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July 2, 2026</w:t>
      </w:r>
    </w:p>
    <w:p>
      <w:pPr>
        <w:spacing w:after="0" w:line="53"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4470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100330</wp:posOffset>
            </wp:positionV>
            <wp:extent cx="54470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1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97155</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S-4</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91440</wp:posOffset>
            </wp:positionV>
            <wp:extent cx="1141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GENTHERM INCORPORATED</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83185</wp:posOffset>
            </wp:positionV>
            <wp:extent cx="11417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93" w:lineRule="exact"/>
        <w:rPr>
          <w:sz w:val="24"/>
          <w:szCs w:val="24"/>
          <w:color w:val="auto"/>
        </w:rPr>
      </w:pPr>
    </w:p>
    <w:tbl>
      <w:tblPr>
        <w:tblLayout w:type="fixed"/>
        <w:tblInd w:w="2260" w:type="dxa"/>
        <w:tblCellMar>
          <w:top w:w="0" w:type="dxa"/>
          <w:left w:w="0" w:type="dxa"/>
          <w:bottom w:w="0" w:type="dxa"/>
          <w:right w:w="0" w:type="dxa"/>
        </w:tblCellMar>
      </w:tblPr>
      <w:tr>
        <w:trPr>
          <w:trHeight w:val="159"/>
        </w:trPr>
        <w:tc>
          <w:tcPr>
            <w:tcW w:w="2020" w:type="dxa"/>
            <w:vAlign w:val="bottom"/>
          </w:tcPr>
          <w:p>
            <w:pPr>
              <w:jc w:val="center"/>
              <w:ind w:right="871"/>
              <w:spacing w:after="0"/>
              <w:rPr>
                <w:sz w:val="20"/>
                <w:szCs w:val="20"/>
                <w:color w:val="auto"/>
              </w:rPr>
            </w:pPr>
            <w:r>
              <w:rPr>
                <w:rFonts w:ascii="Times New Roman" w:cs="Times New Roman" w:eastAsia="Times New Roman" w:hAnsi="Times New Roman"/>
                <w:sz w:val="13"/>
                <w:szCs w:val="13"/>
                <w:b w:val="1"/>
                <w:bCs w:val="1"/>
                <w:color w:val="auto"/>
                <w:w w:val="94"/>
              </w:rPr>
              <w:t>Michigan</w:t>
            </w:r>
          </w:p>
        </w:tc>
        <w:tc>
          <w:tcPr>
            <w:tcW w:w="2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3714</w:t>
            </w:r>
          </w:p>
        </w:tc>
        <w:tc>
          <w:tcPr>
            <w:tcW w:w="1780" w:type="dxa"/>
            <w:vAlign w:val="bottom"/>
          </w:tcPr>
          <w:p>
            <w:pPr>
              <w:jc w:val="center"/>
              <w:ind w:left="891"/>
              <w:spacing w:after="0"/>
              <w:rPr>
                <w:sz w:val="20"/>
                <w:szCs w:val="20"/>
                <w:color w:val="auto"/>
              </w:rPr>
            </w:pPr>
            <w:r>
              <w:rPr>
                <w:rFonts w:ascii="Times New Roman" w:cs="Times New Roman" w:eastAsia="Times New Roman" w:hAnsi="Times New Roman"/>
                <w:sz w:val="13"/>
                <w:szCs w:val="13"/>
                <w:b w:val="1"/>
                <w:bCs w:val="1"/>
                <w:color w:val="auto"/>
                <w:w w:val="95"/>
              </w:rPr>
              <w:t>95-4318554</w:t>
            </w:r>
          </w:p>
        </w:tc>
      </w:tr>
      <w:tr>
        <w:trPr>
          <w:trHeight w:val="95"/>
        </w:trPr>
        <w:tc>
          <w:tcPr>
            <w:tcW w:w="2020" w:type="dxa"/>
            <w:vAlign w:val="bottom"/>
          </w:tcPr>
          <w:p>
            <w:pPr>
              <w:jc w:val="center"/>
              <w:ind w:right="871"/>
              <w:spacing w:after="0"/>
              <w:rPr>
                <w:sz w:val="20"/>
                <w:szCs w:val="20"/>
                <w:color w:val="auto"/>
              </w:rPr>
            </w:pPr>
            <w:r>
              <w:rPr>
                <w:rFonts w:ascii="Times New Roman" w:cs="Times New Roman" w:eastAsia="Times New Roman" w:hAnsi="Times New Roman"/>
                <w:sz w:val="8"/>
                <w:szCs w:val="8"/>
                <w:b w:val="1"/>
                <w:bCs w:val="1"/>
                <w:color w:val="auto"/>
              </w:rPr>
              <w:t>(State or other jurisdiction of</w:t>
            </w:r>
          </w:p>
        </w:tc>
        <w:tc>
          <w:tcPr>
            <w:tcW w:w="29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(Primary Standard Industrial</w:t>
            </w:r>
          </w:p>
        </w:tc>
        <w:tc>
          <w:tcPr>
            <w:tcW w:w="1780" w:type="dxa"/>
            <w:vAlign w:val="bottom"/>
          </w:tcPr>
          <w:p>
            <w:pPr>
              <w:jc w:val="center"/>
              <w:ind w:left="891"/>
              <w:spacing w:after="0"/>
              <w:rPr>
                <w:sz w:val="20"/>
                <w:szCs w:val="20"/>
                <w:color w:val="auto"/>
              </w:rPr>
            </w:pPr>
            <w:r>
              <w:rPr>
                <w:rFonts w:ascii="Times New Roman" w:cs="Times New Roman" w:eastAsia="Times New Roman" w:hAnsi="Times New Roman"/>
                <w:sz w:val="8"/>
                <w:szCs w:val="8"/>
                <w:b w:val="1"/>
                <w:bCs w:val="1"/>
                <w:color w:val="auto"/>
              </w:rPr>
              <w:t>(I.R.S. Employer</w:t>
            </w:r>
          </w:p>
        </w:tc>
      </w:tr>
      <w:tr>
        <w:trPr>
          <w:trHeight w:val="109"/>
        </w:trPr>
        <w:tc>
          <w:tcPr>
            <w:tcW w:w="2020" w:type="dxa"/>
            <w:vAlign w:val="bottom"/>
          </w:tcPr>
          <w:p>
            <w:pPr>
              <w:jc w:val="center"/>
              <w:ind w:right="871"/>
              <w:spacing w:after="0"/>
              <w:rPr>
                <w:sz w:val="20"/>
                <w:szCs w:val="20"/>
                <w:color w:val="auto"/>
              </w:rPr>
            </w:pPr>
            <w:r>
              <w:rPr>
                <w:rFonts w:ascii="Times New Roman" w:cs="Times New Roman" w:eastAsia="Times New Roman" w:hAnsi="Times New Roman"/>
                <w:sz w:val="8"/>
                <w:szCs w:val="8"/>
                <w:b w:val="1"/>
                <w:bCs w:val="1"/>
                <w:color w:val="auto"/>
              </w:rPr>
              <w:t>incorporation or organization)</w:t>
            </w:r>
          </w:p>
        </w:tc>
        <w:tc>
          <w:tcPr>
            <w:tcW w:w="29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Classification Code Number)</w:t>
            </w:r>
          </w:p>
        </w:tc>
        <w:tc>
          <w:tcPr>
            <w:tcW w:w="1780" w:type="dxa"/>
            <w:vAlign w:val="bottom"/>
          </w:tcPr>
          <w:p>
            <w:pPr>
              <w:jc w:val="center"/>
              <w:ind w:left="891"/>
              <w:spacing w:after="0"/>
              <w:rPr>
                <w:sz w:val="20"/>
                <w:szCs w:val="20"/>
                <w:color w:val="auto"/>
              </w:rPr>
            </w:pPr>
            <w:r>
              <w:rPr>
                <w:rFonts w:ascii="Times New Roman" w:cs="Times New Roman" w:eastAsia="Times New Roman" w:hAnsi="Times New Roman"/>
                <w:sz w:val="8"/>
                <w:szCs w:val="8"/>
                <w:b w:val="1"/>
                <w:bCs w:val="1"/>
                <w:color w:val="auto"/>
              </w:rPr>
              <w:t>Identification Number)</w:t>
            </w:r>
          </w:p>
        </w:tc>
      </w:tr>
    </w:tbl>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28875 Cabot Drive</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Novi, Michigan 48377</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(248) 504-0500</w:t>
      </w:r>
    </w:p>
    <w:p>
      <w:pPr>
        <w:spacing w:after="0" w:line="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83185</wp:posOffset>
            </wp:positionV>
            <wp:extent cx="11417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Wayne Kauffman, Esq.</w:t>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Senior Vice President, General Counsel and Secretary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Gentherm Incorporated</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28875 Cabot Drive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Novi, Michigan 48377</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(248) 504-0500</w:t>
      </w:r>
    </w:p>
    <w:p>
      <w:pPr>
        <w:spacing w:after="0" w:line="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89535</wp:posOffset>
            </wp:positionV>
            <wp:extent cx="11417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61" w:lineRule="exact"/>
        <w:rPr>
          <w:sz w:val="24"/>
          <w:szCs w:val="24"/>
          <w:color w:val="auto"/>
        </w:rPr>
      </w:pPr>
    </w:p>
    <w:tbl>
      <w:tblPr>
        <w:tblLayout w:type="fixed"/>
        <w:tblInd w:w="2040" w:type="dxa"/>
        <w:tblCellMar>
          <w:top w:w="0" w:type="dxa"/>
          <w:left w:w="0" w:type="dxa"/>
          <w:bottom w:w="0" w:type="dxa"/>
          <w:right w:w="0" w:type="dxa"/>
        </w:tblCellMar>
      </w:tblPr>
      <w:tr>
        <w:trPr>
          <w:trHeight w:val="166"/>
        </w:trPr>
        <w:tc>
          <w:tcPr>
            <w:tcW w:w="2200" w:type="dxa"/>
            <w:vAlign w:val="bottom"/>
          </w:tcPr>
          <w:p>
            <w:pPr>
              <w:spacing w:after="0"/>
              <w:rPr>
                <w:sz w:val="14"/>
                <w:szCs w:val="14"/>
                <w:color w:val="auto"/>
              </w:rPr>
            </w:pPr>
          </w:p>
        </w:tc>
        <w:tc>
          <w:tcPr>
            <w:tcW w:w="290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i w:val="1"/>
                <w:iCs w:val="1"/>
                <w:color w:val="auto"/>
              </w:rPr>
              <w:t>With copies to:</w:t>
            </w:r>
          </w:p>
        </w:tc>
        <w:tc>
          <w:tcPr>
            <w:tcW w:w="2260" w:type="dxa"/>
            <w:vAlign w:val="bottom"/>
          </w:tcPr>
          <w:p>
            <w:pPr>
              <w:spacing w:after="0"/>
              <w:rPr>
                <w:sz w:val="14"/>
                <w:szCs w:val="14"/>
                <w:color w:val="auto"/>
              </w:rPr>
            </w:pPr>
          </w:p>
        </w:tc>
      </w:tr>
      <w:tr>
        <w:trPr>
          <w:trHeight w:val="202"/>
        </w:trPr>
        <w:tc>
          <w:tcPr>
            <w:tcW w:w="22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8"/>
              </w:rPr>
              <w:t>Michael S. Ben</w:t>
            </w:r>
          </w:p>
        </w:tc>
        <w:tc>
          <w:tcPr>
            <w:tcW w:w="290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Bradley C. Faris</w:t>
            </w:r>
          </w:p>
        </w:tc>
        <w:tc>
          <w:tcPr>
            <w:tcW w:w="226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8"/>
              </w:rPr>
              <w:t>Andrew Kaplan</w:t>
            </w:r>
          </w:p>
        </w:tc>
      </w:tr>
      <w:tr>
        <w:trPr>
          <w:trHeight w:val="158"/>
        </w:trPr>
        <w:tc>
          <w:tcPr>
            <w:tcW w:w="22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6"/>
              </w:rPr>
              <w:t>Jeffrey H. Kuras</w:t>
            </w:r>
          </w:p>
        </w:tc>
        <w:tc>
          <w:tcPr>
            <w:tcW w:w="290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Jason Morelli</w:t>
            </w:r>
          </w:p>
        </w:tc>
        <w:tc>
          <w:tcPr>
            <w:tcW w:w="226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7"/>
              </w:rPr>
              <w:t>Stewart McDowell</w:t>
            </w:r>
          </w:p>
        </w:tc>
      </w:tr>
      <w:tr>
        <w:trPr>
          <w:trHeight w:val="158"/>
        </w:trPr>
        <w:tc>
          <w:tcPr>
            <w:tcW w:w="22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8"/>
              </w:rPr>
              <w:t>Honigman LLP</w:t>
            </w:r>
          </w:p>
        </w:tc>
        <w:tc>
          <w:tcPr>
            <w:tcW w:w="290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Latham &amp; Watkins LLP</w:t>
            </w:r>
          </w:p>
        </w:tc>
        <w:tc>
          <w:tcPr>
            <w:tcW w:w="226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6"/>
              </w:rPr>
              <w:t>Gibson, Dunn &amp; Crutcher LLP</w:t>
            </w:r>
          </w:p>
        </w:tc>
      </w:tr>
      <w:tr>
        <w:trPr>
          <w:trHeight w:val="158"/>
        </w:trPr>
        <w:tc>
          <w:tcPr>
            <w:tcW w:w="22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7"/>
              </w:rPr>
              <w:t>2290 First National Building</w:t>
            </w:r>
          </w:p>
        </w:tc>
        <w:tc>
          <w:tcPr>
            <w:tcW w:w="290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330 N Wabash Ave, Suite 2800</w:t>
            </w:r>
          </w:p>
        </w:tc>
        <w:tc>
          <w:tcPr>
            <w:tcW w:w="226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6"/>
              </w:rPr>
              <w:t>200 Park Avenue</w:t>
            </w:r>
          </w:p>
        </w:tc>
      </w:tr>
      <w:tr>
        <w:trPr>
          <w:trHeight w:val="158"/>
        </w:trPr>
        <w:tc>
          <w:tcPr>
            <w:tcW w:w="22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6"/>
              </w:rPr>
              <w:t>660 Woodward Avenue</w:t>
            </w:r>
          </w:p>
        </w:tc>
        <w:tc>
          <w:tcPr>
            <w:tcW w:w="290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Chicago, IL 60611</w:t>
            </w:r>
          </w:p>
        </w:tc>
        <w:tc>
          <w:tcPr>
            <w:tcW w:w="226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5"/>
              </w:rPr>
              <w:t>New York, NY 10166</w:t>
            </w:r>
          </w:p>
        </w:tc>
      </w:tr>
      <w:tr>
        <w:trPr>
          <w:trHeight w:val="158"/>
        </w:trPr>
        <w:tc>
          <w:tcPr>
            <w:tcW w:w="2200" w:type="dxa"/>
            <w:vAlign w:val="bottom"/>
          </w:tcPr>
          <w:p>
            <w:pPr>
              <w:jc w:val="center"/>
              <w:ind w:right="577"/>
              <w:spacing w:after="0"/>
              <w:rPr>
                <w:sz w:val="20"/>
                <w:szCs w:val="20"/>
                <w:color w:val="auto"/>
              </w:rPr>
            </w:pPr>
            <w:r>
              <w:rPr>
                <w:rFonts w:ascii="Times New Roman" w:cs="Times New Roman" w:eastAsia="Times New Roman" w:hAnsi="Times New Roman"/>
                <w:sz w:val="13"/>
                <w:szCs w:val="13"/>
                <w:b w:val="1"/>
                <w:bCs w:val="1"/>
                <w:color w:val="auto"/>
                <w:w w:val="96"/>
              </w:rPr>
              <w:t>Detroit, MI 48226</w:t>
            </w:r>
          </w:p>
        </w:tc>
        <w:tc>
          <w:tcPr>
            <w:tcW w:w="290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5"/>
              </w:rPr>
              <w:t>(312) 876-7700</w:t>
            </w:r>
          </w:p>
        </w:tc>
        <w:tc>
          <w:tcPr>
            <w:tcW w:w="2260" w:type="dxa"/>
            <w:vAlign w:val="bottom"/>
          </w:tcPr>
          <w:p>
            <w:pPr>
              <w:jc w:val="center"/>
              <w:ind w:left="517"/>
              <w:spacing w:after="0"/>
              <w:rPr>
                <w:sz w:val="20"/>
                <w:szCs w:val="20"/>
                <w:color w:val="auto"/>
              </w:rPr>
            </w:pPr>
            <w:r>
              <w:rPr>
                <w:rFonts w:ascii="Times New Roman" w:cs="Times New Roman" w:eastAsia="Times New Roman" w:hAnsi="Times New Roman"/>
                <w:sz w:val="13"/>
                <w:szCs w:val="13"/>
                <w:b w:val="1"/>
                <w:bCs w:val="1"/>
                <w:color w:val="auto"/>
                <w:w w:val="98"/>
              </w:rPr>
              <w:t>(212) 351-4000</w:t>
            </w:r>
          </w:p>
        </w:tc>
      </w:tr>
      <w:tr>
        <w:trPr>
          <w:trHeight w:val="166"/>
        </w:trPr>
        <w:tc>
          <w:tcPr>
            <w:tcW w:w="2200" w:type="dxa"/>
            <w:vAlign w:val="bottom"/>
          </w:tcPr>
          <w:p>
            <w:pPr>
              <w:jc w:val="center"/>
              <w:ind w:right="597"/>
              <w:spacing w:after="0"/>
              <w:rPr>
                <w:sz w:val="20"/>
                <w:szCs w:val="20"/>
                <w:color w:val="auto"/>
              </w:rPr>
            </w:pPr>
            <w:r>
              <w:rPr>
                <w:rFonts w:ascii="Times New Roman" w:cs="Times New Roman" w:eastAsia="Times New Roman" w:hAnsi="Times New Roman"/>
                <w:sz w:val="13"/>
                <w:szCs w:val="13"/>
                <w:b w:val="1"/>
                <w:bCs w:val="1"/>
                <w:color w:val="auto"/>
                <w:w w:val="95"/>
              </w:rPr>
              <w:t>(313) 701-9300</w:t>
            </w:r>
          </w:p>
        </w:tc>
        <w:tc>
          <w:tcPr>
            <w:tcW w:w="2900" w:type="dxa"/>
            <w:vAlign w:val="bottom"/>
          </w:tcPr>
          <w:p>
            <w:pPr>
              <w:spacing w:after="0"/>
              <w:rPr>
                <w:sz w:val="14"/>
                <w:szCs w:val="14"/>
                <w:color w:val="auto"/>
              </w:rPr>
            </w:pPr>
          </w:p>
        </w:tc>
        <w:tc>
          <w:tcPr>
            <w:tcW w:w="22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95885</wp:posOffset>
            </wp:positionV>
            <wp:extent cx="11417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71" w:lineRule="exact"/>
        <w:rPr>
          <w:sz w:val="24"/>
          <w:szCs w:val="24"/>
          <w:color w:val="auto"/>
        </w:rPr>
      </w:pPr>
    </w:p>
    <w:p>
      <w:pPr>
        <w:ind w:left="1360" w:right="439"/>
        <w:spacing w:after="0" w:line="312" w:lineRule="auto"/>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of the securities to the public: </w:t>
      </w:r>
      <w:r>
        <w:rPr>
          <w:rFonts w:ascii="Times New Roman" w:cs="Times New Roman" w:eastAsia="Times New Roman" w:hAnsi="Times New Roman"/>
          <w:sz w:val="12"/>
          <w:szCs w:val="12"/>
          <w:color w:val="auto"/>
        </w:rPr>
        <w:t>As soon as practicable after this Registration Statement is declared effective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date on which all other conditions to the Distribution and Merger described in the enclosed proxy statement/prospectus have been satisfied or waived.</w:t>
      </w:r>
    </w:p>
    <w:p>
      <w:pPr>
        <w:spacing w:after="0" w:line="1" w:lineRule="exact"/>
        <w:rPr>
          <w:sz w:val="24"/>
          <w:szCs w:val="24"/>
          <w:color w:val="auto"/>
        </w:rPr>
      </w:pPr>
    </w:p>
    <w:p>
      <w:pPr>
        <w:ind w:left="1360" w:right="299"/>
        <w:spacing w:after="0" w:line="171" w:lineRule="exact"/>
        <w:rPr>
          <w:sz w:val="20"/>
          <w:szCs w:val="20"/>
          <w:color w:val="auto"/>
        </w:rPr>
      </w:pPr>
      <w:r>
        <w:rPr>
          <w:rFonts w:ascii="Times New Roman" w:cs="Times New Roman" w:eastAsia="Times New Roman" w:hAnsi="Times New Roman"/>
          <w:sz w:val="13"/>
          <w:szCs w:val="13"/>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379"/>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699"/>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6" w:lineRule="exact"/>
        <w:rPr>
          <w:sz w:val="24"/>
          <w:szCs w:val="24"/>
          <w:color w:val="auto"/>
        </w:rPr>
      </w:pPr>
    </w:p>
    <w:p>
      <w:pPr>
        <w:ind w:left="1360" w:right="399"/>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360" w:type="dxa"/>
        <w:tblCellMar>
          <w:top w:w="0" w:type="dxa"/>
          <w:left w:w="0" w:type="dxa"/>
          <w:bottom w:w="0" w:type="dxa"/>
          <w:right w:w="0" w:type="dxa"/>
        </w:tblCellMar>
      </w:tblPr>
      <w:tr>
        <w:trPr>
          <w:trHeight w:val="213"/>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8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2"/>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8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4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2"/>
        </w:trPr>
        <w:tc>
          <w:tcPr>
            <w:tcW w:w="12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14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5" w:lineRule="exact"/>
        <w:rPr>
          <w:sz w:val="24"/>
          <w:szCs w:val="24"/>
          <w:color w:val="auto"/>
        </w:rPr>
      </w:pPr>
    </w:p>
    <w:p>
      <w:pPr>
        <w:ind w:left="1360" w:right="699"/>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6"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3"/>
          <w:szCs w:val="13"/>
          <w:color w:val="auto"/>
        </w:rPr>
        <w:t>If applicable, place an X in the box to designate the appropriate rule provision relied upon in conducting this transaction:</w:t>
      </w:r>
    </w:p>
    <w:p>
      <w:pPr>
        <w:spacing w:after="0" w:line="26" w:lineRule="exact"/>
        <w:rPr>
          <w:sz w:val="24"/>
          <w:szCs w:val="24"/>
          <w:color w:val="auto"/>
        </w:rPr>
      </w:pPr>
    </w:p>
    <w:p>
      <w:pPr>
        <w:ind w:left="1360"/>
        <w:spacing w:after="0" w:line="150" w:lineRule="exact"/>
        <w:rPr>
          <w:sz w:val="20"/>
          <w:szCs w:val="20"/>
          <w:color w:val="auto"/>
        </w:rPr>
      </w:pPr>
      <w:r>
        <w:rPr>
          <w:rFonts w:ascii="Times New Roman" w:cs="Times New Roman" w:eastAsia="Times New Roman" w:hAnsi="Times New Roman"/>
          <w:sz w:val="13"/>
          <w:szCs w:val="13"/>
          <w:color w:val="auto"/>
        </w:rPr>
        <w:t xml:space="preserve">Exchange Act Rule 13e-4(i) (Cross-Border Issuer Tender Offer)  </w:t>
      </w:r>
      <w:r>
        <w:rPr>
          <w:rFonts w:ascii="MS PGothic" w:cs="MS PGothic" w:eastAsia="MS PGothic" w:hAnsi="MS PGothic"/>
          <w:sz w:val="13"/>
          <w:szCs w:val="13"/>
          <w:color w:val="auto"/>
        </w:rPr>
        <w:t>☐</w:t>
      </w:r>
    </w:p>
    <w:p>
      <w:pPr>
        <w:spacing w:after="0" w:line="59" w:lineRule="exact"/>
        <w:rPr>
          <w:sz w:val="24"/>
          <w:szCs w:val="24"/>
          <w:color w:val="auto"/>
        </w:rPr>
      </w:pPr>
    </w:p>
    <w:p>
      <w:pPr>
        <w:ind w:left="1360"/>
        <w:spacing w:after="0" w:line="150" w:lineRule="exact"/>
        <w:rPr>
          <w:sz w:val="20"/>
          <w:szCs w:val="20"/>
          <w:color w:val="auto"/>
        </w:rPr>
      </w:pPr>
      <w:r>
        <w:rPr>
          <w:rFonts w:ascii="Times New Roman" w:cs="Times New Roman" w:eastAsia="Times New Roman" w:hAnsi="Times New Roman"/>
          <w:sz w:val="13"/>
          <w:szCs w:val="13"/>
          <w:color w:val="auto"/>
        </w:rPr>
        <w:t xml:space="preserve">Exchange Act Rule 14d-1(d) (Cross-Border Third-Party Tender Offer)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108585</wp:posOffset>
            </wp:positionV>
            <wp:extent cx="11417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93" w:lineRule="exact"/>
        <w:rPr>
          <w:sz w:val="24"/>
          <w:szCs w:val="24"/>
          <w:color w:val="auto"/>
        </w:rPr>
      </w:pPr>
    </w:p>
    <w:p>
      <w:pPr>
        <w:ind w:left="1360" w:right="459"/>
        <w:spacing w:after="0" w:line="265" w:lineRule="auto"/>
        <w:rPr>
          <w:sz w:val="20"/>
          <w:szCs w:val="20"/>
          <w:color w:val="auto"/>
        </w:rPr>
      </w:pPr>
      <w:r>
        <w:rPr>
          <w:rFonts w:ascii="Times New Roman" w:cs="Times New Roman" w:eastAsia="Times New Roman" w:hAnsi="Times New Roman"/>
          <w:sz w:val="13"/>
          <w:szCs w:val="13"/>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52705</wp:posOffset>
            </wp:positionV>
            <wp:extent cx="54470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86360</wp:posOffset>
            </wp:positionV>
            <wp:extent cx="54470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1" w:lineRule="exact"/>
        <w:rPr>
          <w:sz w:val="20"/>
          <w:szCs w:val="20"/>
          <w:color w:val="auto"/>
        </w:rPr>
      </w:pPr>
    </w:p>
    <w:tbl>
      <w:tblPr>
        <w:tblLayout w:type="fixed"/>
        <w:tblInd w:w="1343" w:type="dxa"/>
        <w:tblCellMar>
          <w:top w:w="0" w:type="dxa"/>
          <w:left w:w="0" w:type="dxa"/>
          <w:bottom w:w="0" w:type="dxa"/>
          <w:right w:w="0" w:type="dxa"/>
        </w:tblCellMar>
      </w:tblPr>
      <w:tr>
        <w:trPr>
          <w:trHeight w:val="260"/>
        </w:trPr>
        <w:tc>
          <w:tcPr>
            <w:tcW w:w="161"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may</w:t>
            </w:r>
          </w:p>
        </w:tc>
      </w:tr>
    </w:tbl>
    <w:p>
      <w:pPr>
        <w:spacing w:after="0" w:line="40" w:lineRule="exact"/>
        <w:rPr>
          <w:sz w:val="20"/>
          <w:szCs w:val="20"/>
          <w:color w:val="auto"/>
        </w:rPr>
      </w:pPr>
    </w:p>
    <w:tbl>
      <w:tblPr>
        <w:tblLayout w:type="fixed"/>
        <w:tblInd w:w="1301" w:type="dxa"/>
        <w:tblCellMar>
          <w:top w:w="0" w:type="dxa"/>
          <w:left w:w="0" w:type="dxa"/>
          <w:bottom w:w="0" w:type="dxa"/>
          <w:right w:w="0" w:type="dxa"/>
        </w:tblCellMar>
      </w:tblPr>
      <w:tr>
        <w:trPr>
          <w:trHeight w:val="8740"/>
        </w:trPr>
        <w:tc>
          <w:tcPr>
            <w:tcW w:w="539" w:type="dxa"/>
            <w:vAlign w:val="bottom"/>
            <w:textDirection w:val="btLr"/>
          </w:tcPr>
          <w:p>
            <w:pPr>
              <w:spacing w:after="0" w:line="268" w:lineRule="auto"/>
              <w:rPr>
                <w:sz w:val="20"/>
                <w:szCs w:val="20"/>
                <w:color w:val="auto"/>
              </w:rPr>
            </w:pPr>
            <w:r>
              <w:rPr>
                <w:rFonts w:ascii="Times New Roman" w:cs="Times New Roman" w:eastAsia="Times New Roman" w:hAnsi="Times New Roman"/>
                <w:sz w:val="14"/>
                <w:szCs w:val="14"/>
                <w:b w:val="1"/>
                <w:bCs w:val="1"/>
                <w:color w:val="FF4338"/>
              </w:rPr>
              <w:t>constitute an offer to sell or a solicitation of an offer to buy any securities in any jurisdiction where an offer or solicitation is not permitted. not be sold until the registration statement filed with the Securities and Exchange Commission is effective. This proxy statement/prospectus does not The information in this proxy statement/prospectus is not complete and may be changed. The securities offered by this proxy statement/prospectus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color w:val="FF4338"/>
        </w:rPr>
        <w:t>PRELIMINARY, SUBJECT TO COMPLETION, DATED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-591820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pacing w:after="0" w:line="15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PROXY STATEMENT/PROSPECTUS FOR ISSUANCE OF UP TO</w:t>
      </w:r>
    </w:p>
    <w:p>
      <w:pPr>
        <w:spacing w:after="0" w:line="17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SHARES OF COMMON STOCK OF GENTHERM INCORPORATED</w:t>
      </w:r>
    </w:p>
    <w:p>
      <w:pPr>
        <w:spacing w:after="0" w:line="17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YOUR VOTE IS VERY IMPORTANT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Shareholders,</w:t>
      </w:r>
    </w:p>
    <w:p>
      <w:pPr>
        <w:spacing w:after="0" w:line="175" w:lineRule="exact"/>
        <w:rPr>
          <w:sz w:val="20"/>
          <w:szCs w:val="20"/>
          <w:color w:val="auto"/>
        </w:rPr>
      </w:pPr>
    </w:p>
    <w:p>
      <w:pPr>
        <w:ind w:right="939"/>
        <w:spacing w:after="0" w:line="261" w:lineRule="auto"/>
        <w:rPr>
          <w:sz w:val="20"/>
          <w:szCs w:val="20"/>
          <w:color w:val="auto"/>
        </w:rPr>
      </w:pPr>
      <w:r>
        <w:rPr>
          <w:rFonts w:ascii="Times New Roman" w:cs="Times New Roman" w:eastAsia="Times New Roman" w:hAnsi="Times New Roman"/>
          <w:sz w:val="14"/>
          <w:szCs w:val="14"/>
          <w:color w:val="auto"/>
        </w:rPr>
        <w:t>On January 29, 2026, Gentherm Incorporated (“Gentherm” or “we”) announced its entry into a definitive agreement to combine Modine Manufacturing Company’s (“Modine”) Performance Technologies business (the “Performance Technologies Business”) with Gentherm. This transaction is an acceleration of our strategy and transformation to become a leader in precision thermal and flow management that serves diverse markets with a compelling strategic and financial outlook.</w:t>
      </w:r>
    </w:p>
    <w:p>
      <w:pPr>
        <w:spacing w:after="0" w:line="141" w:lineRule="exact"/>
        <w:rPr>
          <w:sz w:val="20"/>
          <w:szCs w:val="20"/>
          <w:color w:val="auto"/>
        </w:rPr>
      </w:pPr>
    </w:p>
    <w:p>
      <w:pPr>
        <w:ind w:right="919"/>
        <w:spacing w:after="0" w:line="261" w:lineRule="auto"/>
        <w:rPr>
          <w:sz w:val="20"/>
          <w:szCs w:val="20"/>
          <w:color w:val="auto"/>
        </w:rPr>
      </w:pPr>
      <w:r>
        <w:rPr>
          <w:rFonts w:ascii="Times New Roman" w:cs="Times New Roman" w:eastAsia="Times New Roman" w:hAnsi="Times New Roman"/>
          <w:sz w:val="14"/>
          <w:szCs w:val="14"/>
          <w:color w:val="auto"/>
        </w:rPr>
        <w:t>In 2025, Gentherm established a new strategic framework to deliver shareholder value, which focuses on profitable growth, operational excellence, and superior financial performance. The management team began executing the strategy organically with a focus on shifting Gentherm to critical growth markets, as well as building a funnel of inorganic opportunities that could accelerate our progress.</w:t>
      </w:r>
    </w:p>
    <w:p>
      <w:pPr>
        <w:spacing w:after="0" w:line="141" w:lineRule="exact"/>
        <w:rPr>
          <w:sz w:val="20"/>
          <w:szCs w:val="20"/>
          <w:color w:val="auto"/>
        </w:rPr>
      </w:pPr>
    </w:p>
    <w:p>
      <w:pPr>
        <w:jc w:val="both"/>
        <w:ind w:right="939"/>
        <w:spacing w:after="0" w:line="258" w:lineRule="auto"/>
        <w:rPr>
          <w:sz w:val="20"/>
          <w:szCs w:val="20"/>
          <w:color w:val="auto"/>
        </w:rPr>
      </w:pPr>
      <w:r>
        <w:rPr>
          <w:rFonts w:ascii="Times New Roman" w:cs="Times New Roman" w:eastAsia="Times New Roman" w:hAnsi="Times New Roman"/>
          <w:sz w:val="14"/>
          <w:szCs w:val="14"/>
          <w:color w:val="auto"/>
        </w:rPr>
        <w:t>Throughout the year, Gentherm’s Board of Directors (the “Board”) played a role in reviewing strategic plans, assessing capital allocation priorities, and evaluating major business development opportunities, including mergers and acquisitions. Following a rigorous process, the Board unanimously approved the combination with the Performance Technologies Business and believes it will position Gentherm as a differentiated supplier with a stronger product portfolio, broader end-market diversification, and an enhanced platform for profitable growth.</w:t>
      </w:r>
    </w:p>
    <w:p>
      <w:pPr>
        <w:spacing w:after="0" w:line="144" w:lineRule="exact"/>
        <w:rPr>
          <w:sz w:val="20"/>
          <w:szCs w:val="20"/>
          <w:color w:val="auto"/>
        </w:rPr>
      </w:pPr>
    </w:p>
    <w:p>
      <w:pPr>
        <w:ind w:right="959"/>
        <w:spacing w:after="0" w:line="261" w:lineRule="auto"/>
        <w:rPr>
          <w:sz w:val="20"/>
          <w:szCs w:val="20"/>
          <w:color w:val="auto"/>
        </w:rPr>
      </w:pPr>
      <w:r>
        <w:rPr>
          <w:rFonts w:ascii="Times New Roman" w:cs="Times New Roman" w:eastAsia="Times New Roman" w:hAnsi="Times New Roman"/>
          <w:sz w:val="14"/>
          <w:szCs w:val="14"/>
          <w:color w:val="auto"/>
        </w:rPr>
        <w:t>At our upcoming shareholder meeting (the “Special Meeting”) on         , 2026 we are asking you to approve the issuance of shares of Gentherm common stock, no par value per share (“Gentherm Common Stock”), and an amendment to the Gentherm Second Amended and Restated Articles of Incorporation increasing the authorized shares to allow for such issuance in connection with this transaction.</w:t>
      </w:r>
    </w:p>
    <w:p>
      <w:pPr>
        <w:spacing w:after="0" w:line="141" w:lineRule="exact"/>
        <w:rPr>
          <w:sz w:val="20"/>
          <w:szCs w:val="20"/>
          <w:color w:val="auto"/>
        </w:rPr>
      </w:pPr>
    </w:p>
    <w:p>
      <w:pPr>
        <w:ind w:right="1259"/>
        <w:spacing w:after="0" w:line="283" w:lineRule="auto"/>
        <w:rPr>
          <w:sz w:val="20"/>
          <w:szCs w:val="20"/>
          <w:color w:val="auto"/>
        </w:rPr>
      </w:pPr>
      <w:r>
        <w:rPr>
          <w:rFonts w:ascii="Times New Roman" w:cs="Times New Roman" w:eastAsia="Times New Roman" w:hAnsi="Times New Roman"/>
          <w:sz w:val="14"/>
          <w:szCs w:val="14"/>
          <w:color w:val="auto"/>
        </w:rPr>
        <w:t>There are many compelling strategic and financial benefits to Gentherm’s combination with the Performance Technologies Business including:</w:t>
      </w:r>
    </w:p>
    <w:p>
      <w:pPr>
        <w:spacing w:after="0" w:line="49" w:lineRule="exact"/>
        <w:rPr>
          <w:sz w:val="20"/>
          <w:szCs w:val="20"/>
          <w:color w:val="auto"/>
        </w:rPr>
      </w:pPr>
    </w:p>
    <w:p>
      <w:pPr>
        <w:ind w:left="640" w:right="1039" w:hanging="275"/>
        <w:spacing w:after="0" w:line="257" w:lineRule="auto"/>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Accelerates Gentherm’s strategic path by building scale in thermal management solutions and expanding its technologies and capabilities in precision flow management</w:t>
      </w:r>
      <w:r>
        <w:rPr>
          <w:rFonts w:ascii="Times New Roman" w:cs="Times New Roman" w:eastAsia="Times New Roman" w:hAnsi="Times New Roman"/>
          <w:sz w:val="14"/>
          <w:szCs w:val="14"/>
          <w:color w:val="auto"/>
        </w:rPr>
        <w:t>: The combination builds scale through a broader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portfolio of thermal management solutions, expanded technology and engineering capabilities, and component-to-system integration synergies. Building on both businesses’ proven technology leadership, deep engineering expertise, and shared cultures of innovation, the combined company will be positioned to deliver differentiated solutions, enhance growth, and create long-term shareholder value.</w:t>
      </w:r>
    </w:p>
    <w:p>
      <w:pPr>
        <w:spacing w:after="0" w:line="69" w:lineRule="exact"/>
        <w:rPr>
          <w:rFonts w:ascii="Times New Roman" w:cs="Times New Roman" w:eastAsia="Times New Roman" w:hAnsi="Times New Roman"/>
          <w:sz w:val="14"/>
          <w:szCs w:val="14"/>
          <w:color w:val="auto"/>
        </w:rPr>
      </w:pPr>
    </w:p>
    <w:p>
      <w:pPr>
        <w:ind w:left="640" w:right="939" w:hanging="275"/>
        <w:spacing w:after="0" w:line="259" w:lineRule="auto"/>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Creates strong commercial opportunities across premium customer bases</w:t>
      </w:r>
      <w:r>
        <w:rPr>
          <w:rFonts w:ascii="Times New Roman" w:cs="Times New Roman" w:eastAsia="Times New Roman" w:hAnsi="Times New Roman"/>
          <w:sz w:val="14"/>
          <w:szCs w:val="14"/>
          <w:color w:val="auto"/>
        </w:rPr>
        <w:t>: The combined company will benefit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significant product cross-selling and integration opportunities given the complementary overlap between Gentherm’s advanced product portfolio and technologies and the Performance Technologies Business’s mission-critical engineered solutions. Gentherm expects to accelerate the adoption of its proven products and solutions across the Performance Technologies Business’s blue-chip customer base where it has deep long-term relationships.</w:t>
      </w:r>
    </w:p>
    <w:p>
      <w:pPr>
        <w:spacing w:after="0" w:line="66" w:lineRule="exact"/>
        <w:rPr>
          <w:rFonts w:ascii="Times New Roman" w:cs="Times New Roman" w:eastAsia="Times New Roman" w:hAnsi="Times New Roman"/>
          <w:sz w:val="14"/>
          <w:szCs w:val="14"/>
          <w:color w:val="auto"/>
        </w:rPr>
      </w:pPr>
    </w:p>
    <w:p>
      <w:pPr>
        <w:ind w:left="640" w:right="979" w:hanging="275"/>
        <w:spacing w:after="0" w:line="262" w:lineRule="auto"/>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Establishes stronger foundation for continued growth</w:t>
      </w:r>
      <w:r>
        <w:rPr>
          <w:rFonts w:ascii="Times New Roman" w:cs="Times New Roman" w:eastAsia="Times New Roman" w:hAnsi="Times New Roman"/>
          <w:sz w:val="14"/>
          <w:szCs w:val="14"/>
          <w:color w:val="auto"/>
        </w:rPr>
        <w:t>: This transaction strengthens Gentherm’s foundation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more balanced end-market exposure and ample opportunities for future growth. Approximately one-third of the combined company’s pro forma revenue would have been generated from end markets outside of light vehicles over the twelve months ended September 30, 2025.</w:t>
      </w:r>
    </w:p>
    <w:p>
      <w:pPr>
        <w:spacing w:after="0" w:line="64" w:lineRule="exact"/>
        <w:rPr>
          <w:rFonts w:ascii="Times New Roman" w:cs="Times New Roman" w:eastAsia="Times New Roman" w:hAnsi="Times New Roman"/>
          <w:sz w:val="14"/>
          <w:szCs w:val="14"/>
          <w:color w:val="auto"/>
        </w:rPr>
      </w:pPr>
    </w:p>
    <w:p>
      <w:pPr>
        <w:ind w:left="640" w:right="1019" w:hanging="275"/>
        <w:spacing w:after="0" w:line="259" w:lineRule="auto"/>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Benefits from shared focus on operational excellence</w:t>
      </w:r>
      <w:r>
        <w:rPr>
          <w:rFonts w:ascii="Times New Roman" w:cs="Times New Roman" w:eastAsia="Times New Roman" w:hAnsi="Times New Roman"/>
          <w:sz w:val="14"/>
          <w:szCs w:val="14"/>
          <w:color w:val="auto"/>
        </w:rPr>
        <w:t>: The combined company will bring together Gentherm’s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culture of operational excellence with the Performance Technologies Business’s well-established operating system, creating a strong foundation for continuous improvement. We believe that joining these businesses will enhance the combined company’s scalability, efficiency, and quality, supporting attractive margin expansion and reinforcing a durable competitive advantage over the long-term.</w:t>
      </w:r>
    </w:p>
    <w:p>
      <w:pPr>
        <w:sectPr>
          <w:pgSz w:w="11900" w:h="16838" w:orient="portrait"/>
          <w:cols w:equalWidth="0" w:num="2">
            <w:col w:w="1841" w:space="179"/>
            <w:col w:w="813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120" w:right="219" w:hanging="345"/>
        <w:spacing w:after="0" w:line="259"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Delivers ~$25.0 million in identified annual cost synergies</w:t>
      </w:r>
      <w:r>
        <w:rPr>
          <w:rFonts w:ascii="Times New Roman" w:cs="Times New Roman" w:eastAsia="Times New Roman" w:hAnsi="Times New Roman"/>
          <w:sz w:val="14"/>
          <w:szCs w:val="14"/>
          <w:color w:val="auto"/>
        </w:rPr>
        <w:t>: We expect this transaction to generate approximately $25.0 million of annual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synergies for the combined company through cost optimization and operational efficiencies. We also expect the combined company to realize significant additional value creation through efficiencies in indirect purchasing and logistics as well as incremental commercial opportunities including cross-selling, product integration, and entrance into global markets in which legacy Gentherm has not previously operated, which, among other contributing factors, is expected to provide improved profitability.</w:t>
      </w:r>
    </w:p>
    <w:p>
      <w:pPr>
        <w:spacing w:after="0" w:line="66" w:lineRule="exact"/>
        <w:rPr>
          <w:rFonts w:ascii="Times New Roman" w:cs="Times New Roman" w:eastAsia="Times New Roman" w:hAnsi="Times New Roman"/>
          <w:sz w:val="14"/>
          <w:szCs w:val="14"/>
          <w:color w:val="auto"/>
        </w:rPr>
      </w:pPr>
    </w:p>
    <w:p>
      <w:pPr>
        <w:ind w:left="2120" w:right="219" w:hanging="345"/>
        <w:spacing w:after="0" w:line="259"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Generates a compelling financial profile with flexibility for future investments</w:t>
      </w:r>
      <w:r>
        <w:rPr>
          <w:rFonts w:ascii="Times New Roman" w:cs="Times New Roman" w:eastAsia="Times New Roman" w:hAnsi="Times New Roman"/>
          <w:sz w:val="14"/>
          <w:szCs w:val="14"/>
          <w:color w:val="auto"/>
        </w:rPr>
        <w:t>: The combined company would have generated pro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forma revenue of $2.6 billion for the trailing twelve month period ended September 30, 2025. The Reverse Morris Trust structure preserves Gentherm’s strong balance sheet, with a pro forma net leverage ratio of approximately 1.0x. This expected strong cash flow generation and modest financial leverage will allow the combined company to maintain capital allocation flexibility, and this transaction is expected to be accretive to adjusted earnings per share by year two.</w:t>
      </w:r>
    </w:p>
    <w:p>
      <w:pPr>
        <w:spacing w:after="0" w:line="143"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We appreciate the engagement we have had with many of you since we announced the transaction. Our teams are working hard to plan for integration, supported by leaders and advisors who have extensive experience in large-scale integrations. We are as confident as ever that the combination with the Performance Technologies Business positions us exceptionally well to build on our momentum and deliver value to shareholders.</w:t>
      </w:r>
    </w:p>
    <w:p>
      <w:pPr>
        <w:spacing w:after="0" w:line="136"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Gentherm Board has been highly engaged throughout the transaction process and strongly recommends that shareholders support this transaction and vote “FOR” each of the proposals to be considered at the Special Meeting.</w:t>
      </w:r>
    </w:p>
    <w:p>
      <w:pPr>
        <w:spacing w:after="0" w:line="125"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 xml:space="preserve">This proxy statement/prospectus is being distributed by Gentherm for use in soliciting proxies for the Special Meeting and contains important information related to this transaction, the Special Meeting and the proposals we are asking shareholders to vote on. We urge shareholders to carefully review this entire document, including all annexes, exhibits and documents incorporated by reference. </w:t>
      </w:r>
      <w:r>
        <w:rPr>
          <w:rFonts w:ascii="Times New Roman" w:cs="Times New Roman" w:eastAsia="Times New Roman" w:hAnsi="Times New Roman"/>
          <w:sz w:val="14"/>
          <w:szCs w:val="14"/>
          <w:b w:val="1"/>
          <w:bCs w:val="1"/>
          <w:color w:val="auto"/>
        </w:rPr>
        <w:t>In particular, you should consider the matters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discussed under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46 of this proxy statement/prospectus.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Thank you for your investment in Gentherm.</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Sincerely,</w:t>
      </w:r>
    </w:p>
    <w:p>
      <w:pPr>
        <w:sectPr>
          <w:pgSz w:w="11900" w:h="16838" w:orient="portrait"/>
          <w:cols w:equalWidth="0" w:num="1">
            <w:col w:w="10159"/>
          </w:cols>
          <w:pgMar w:left="300" w:top="386" w:right="1440" w:bottom="1440" w:gutter="0" w:footer="0" w:header="0"/>
        </w:sectPr>
      </w:pPr>
    </w:p>
    <w:p>
      <w:pPr>
        <w:spacing w:after="0" w:line="1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Ron Hundzinski</w:t>
      </w:r>
    </w:p>
    <w:p>
      <w:pPr>
        <w:spacing w:after="0" w:line="10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i w:val="1"/>
          <w:iCs w:val="1"/>
          <w:color w:val="auto"/>
        </w:rPr>
        <w:t>Chair of the Board of Gentherm Incorporated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Bill Presley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186" w:lineRule="exact"/>
        <w:rPr>
          <w:sz w:val="20"/>
          <w:szCs w:val="20"/>
          <w:color w:val="auto"/>
        </w:rPr>
      </w:pPr>
    </w:p>
    <w:p>
      <w:pPr>
        <w:sectPr>
          <w:pgSz w:w="11900" w:h="16838" w:orient="portrait"/>
          <w:cols w:equalWidth="0" w:num="2">
            <w:col w:w="5180" w:space="720"/>
            <w:col w:w="4259"/>
          </w:cols>
          <w:pgMar w:left="300" w:top="386" w:right="1440" w:bottom="1440" w:gutter="0" w:footer="0" w:header="0"/>
          <w:type w:val="continuous"/>
        </w:sectPr>
      </w:pPr>
    </w:p>
    <w:p>
      <w:pPr>
        <w:ind w:left="1360" w:right="379"/>
        <w:spacing w:after="0" w:line="262"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 SECURITIES TO BE ISSUED IN CONNECTION WITH THE MERGER AND THE OTHER TRANSACTIONS CONTEMPLATED BY THE MERGER AGREEMENT OR HAS PASSED UPON THE ADEQUACY OR ACCURACY OF THIS PROXY STATEMENT/PROSPECTUS. ANY REPRESENTATION TO THE CONTRARY IS A CRIMINAL OFFENSE.</w:t>
      </w:r>
    </w:p>
    <w:p>
      <w:pPr>
        <w:spacing w:after="0" w:line="14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This proxy statement/prospectus is dated            and is first being mailed to Gentherm shareholders on or about            .</w:t>
      </w:r>
    </w:p>
    <w:p>
      <w:pPr>
        <w:sectPr>
          <w:pgSz w:w="11900" w:h="16838" w:orient="portrait"/>
          <w:cols w:equalWidth="0" w:num="1">
            <w:col w:w="10159"/>
          </w:cols>
          <w:pgMar w:left="300" w:top="386"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GENTHERM INCORPORATED</w:t>
      </w:r>
    </w:p>
    <w:p>
      <w:pPr>
        <w:spacing w:after="0" w:line="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NOTICE OF SPECIAL MEETING OF SHAREHOLDERS</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To the Shareholders of Gentherm Incorporated:</w:t>
      </w:r>
    </w:p>
    <w:p>
      <w:pPr>
        <w:spacing w:after="0" w:line="175"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You are hereby notified that Gentherm Incorporated (“Gentherm”) will hold a special meeting of its shareholders on        at        [a.m.] / [p.m.], Eastern Time, exclusively via the Internet at        (the “Special Meeting”). To attend, you must register at         . After you register, you will receive instructions via email, including your unique links that will allow you access to the Special Meeting. You will not be able to attend the Special Meeting in person.</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Special Meeting is being held exclusively for the following purposes:</w:t>
      </w:r>
    </w:p>
    <w:p>
      <w:pPr>
        <w:spacing w:after="0" w:line="196" w:lineRule="exact"/>
        <w:rPr>
          <w:sz w:val="20"/>
          <w:szCs w:val="20"/>
          <w:color w:val="auto"/>
        </w:rPr>
      </w:pPr>
    </w:p>
    <w:p>
      <w:pPr>
        <w:ind w:left="1700" w:right="279" w:hanging="345"/>
        <w:spacing w:after="0" w:line="267"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upon a proposal to approve the issuance of shares of Gentherm Common Stock (the “Share Issuance Proposal”) pursuant to the Agreement and Plan of Merger, dated as of January 29, 2026, by and among Gentherm, Modine Manufacturing Co., Platinum SpinCo Inc. and Platinum Gold Merger Sub Inc.(as may be amended from time to time, the “Merger Agreement”);</w:t>
      </w:r>
    </w:p>
    <w:p>
      <w:pPr>
        <w:spacing w:after="0" w:line="156" w:lineRule="exact"/>
        <w:rPr>
          <w:rFonts w:ascii="Times New Roman" w:cs="Times New Roman" w:eastAsia="Times New Roman" w:hAnsi="Times New Roman"/>
          <w:sz w:val="14"/>
          <w:szCs w:val="14"/>
          <w:color w:val="auto"/>
        </w:rPr>
      </w:pPr>
    </w:p>
    <w:p>
      <w:pPr>
        <w:ind w:left="1700" w:right="239" w:hanging="345"/>
        <w:spacing w:after="0" w:line="267"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upon a proposal to approve an amendment to the Gentherm Second Amended and Restated Articles of Incorporation to effect an increase to the number of authorized shares of Gentherm Common Stock (the “Charter Amendment Proposal”) pursuant to the Merger Agreement; and</w:t>
      </w:r>
    </w:p>
    <w:p>
      <w:pPr>
        <w:spacing w:after="0" w:line="156" w:lineRule="exact"/>
        <w:rPr>
          <w:rFonts w:ascii="Times New Roman" w:cs="Times New Roman" w:eastAsia="Times New Roman" w:hAnsi="Times New Roman"/>
          <w:sz w:val="14"/>
          <w:szCs w:val="14"/>
          <w:color w:val="auto"/>
        </w:rPr>
      </w:pPr>
    </w:p>
    <w:p>
      <w:pPr>
        <w:ind w:left="1700" w:right="259" w:hanging="345"/>
        <w:spacing w:after="0" w:line="256" w:lineRule="auto"/>
        <w:tabs>
          <w:tab w:leader="none" w:pos="17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consider and vote upon a proposal to approve the adjournment of the Special Meeting, if necessary, (a) to solicit additional proxies if there are not sufficient votes at the time of the Special Meeting to approve the Share Issuance Proposal and the Charter Amendment Proposal, (b) to solicit additional proxies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(the “Adjournment Proposal”).</w:t>
      </w:r>
    </w:p>
    <w:p>
      <w:pPr>
        <w:spacing w:after="0" w:line="144"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The accompanying proxy statement/prospectus, including all annexes, exhibits and documents incorporated by reference, contains further information with respect to the business to be transacted at the Special Meeting. We urge you to read the accompanying proxy statement/prospectus, including any documents incorporated by reference therein, and the annexes carefully and in their entirety. The approval of the Share Issuance Proposal and the Charter Amendment Proposal are the only approvals of Gentherm shareholders required for completion of the transactions contemplated by the Merger Agreement. Gentherm will transact no other business at the Special Meeting other than the proposals described above, except such business as may properly be brought before the Special Meeting or any adjournment or postponement thereof.</w:t>
      </w:r>
    </w:p>
    <w:p>
      <w:pPr>
        <w:spacing w:after="0" w:line="14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Board of Directors of Gentherm has fixed the close of business on        as the record date for the Special Meeting (the “Record Date”). Only shareholders of record of Gentherm Common Stock at the close of business on the Record Date are entitled to receive notice of, and to vote at, the Special Meeting or any adjournment or postponement thereof. For at least ten (10) days prior to the Special Meeting, a list of the shareholders entitled to vote at the Special Meeting will be available for inspection upon request.</w:t>
      </w:r>
    </w:p>
    <w:p>
      <w:pPr>
        <w:spacing w:after="0" w:line="141"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To attend the Special Meeting, you must be a registered Gentherm shareholder as of the Record Date, or, if your shares are held through a bank, broker or other nominee, you must obtain a legal proxy from such holder and follow the instructions set forth in the accompanying proxy statement/prospectus.</w:t>
      </w:r>
    </w:p>
    <w:p>
      <w:pPr>
        <w:spacing w:after="0" w:line="136" w:lineRule="exact"/>
        <w:rPr>
          <w:sz w:val="20"/>
          <w:szCs w:val="20"/>
          <w:color w:val="auto"/>
        </w:rPr>
      </w:pPr>
    </w:p>
    <w:p>
      <w:pPr>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THE GENTHERM BOARD OF DIRECTORS HAS UNANIMOUSLY APPROVED THE MERGER AGREEMENT, THE MERGER, THE GENTHERM SHARE ISSUANCE, AND THE GENTHERM CHARTER AMENDMENT AND RECOMMENDS THAT GENTHERM SHAREHOLDERS VOTE “FOR” THE SHARE</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ISSUANCE PROPOSAL, “FOR” THE CHARTER AMENDMENT PROPOSAL AND “FOR” THE ADJOURNMENT PROPOSAL.</w:t>
      </w:r>
    </w:p>
    <w:p>
      <w:pPr>
        <w:spacing w:after="0" w:line="175"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Your vote is very important. To ensure that your vote is recorded promptly, please vote as soon as possible, whether or not you plan to attend the Special Meeting. Shareholders of record have three options for submitting their votes: (1) via the Internet, (2) by telephone, or (3) by mail using a paper proxy card. Submitting a proxy via the Internet or by telephone provides the same authority to vote shares as returning a paper proxy card by mail. If you have Internet access, we encourage you to record your vote via the Internet. If you participate in the Special Meeting via the Internet, you may vote your shares electronically during the Special Meeting even if you previously voted via the Internet, by telephone or by mail using a paper proxy card. If you own shares through a bank, broker, or other holder of record, you must instruct your bank, broker or other holder of record on how to vote in order for them to vote your shares so that your vote can be counted at the Special Meeting. Gentherm shareholders may revoke their proxy in the manner described in the accompanying proxy statement/prospectus before it has been voted at the Special Meeting.</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GENTHERM INCORPORATED</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Wayne Kauffman</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Senior Vice President, General Counsel and Secretary</w:t>
      </w:r>
    </w:p>
    <w:p>
      <w:pPr>
        <w:spacing w:after="0" w:line="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Novi, Michigan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 2026</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77"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This proxy statement/prospectus incorporates important business and financial information about Gentherm from other documents that Gentherm has filed with the Securities and Exchange Commission (the “SEC”) and that are not contained in, and are instead incorporated by reference into, this proxy statement/prospectus. For a list of documents incorporated by reference into this proxy statement/prospectus, see the section entitled “Where You Can Find More Information; Incorporation by Reference.” This information is available for you, without charge, to review through the SEC’s website at www.sec.gov.</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This proxy statement/prospectus, including all annexes, exhibits and documents incorporated by reference into this proxy statement/prospectus, or other information filed with the SEC by Gentherm can also be found on Gentherm’s website at https://ir.gentherm.com/financial-information/sec-filings and can be downloaded free of charge. </w:t>
      </w:r>
      <w:r>
        <w:rPr>
          <w:rFonts w:ascii="Times New Roman" w:cs="Times New Roman" w:eastAsia="Times New Roman" w:hAnsi="Times New Roman"/>
          <w:sz w:val="14"/>
          <w:szCs w:val="14"/>
          <w:b w:val="1"/>
          <w:bCs w:val="1"/>
          <w:color w:val="auto"/>
        </w:rPr>
        <w:t>Paper copies of this proxy statement/prospectus, including all annexes, exhibits and documents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incorporated by reference into this proxy statement/prospectus, may be obtained without charge from Gentherm. </w:t>
      </w:r>
      <w:r>
        <w:rPr>
          <w:rFonts w:ascii="Times New Roman" w:cs="Times New Roman" w:eastAsia="Times New Roman" w:hAnsi="Times New Roman"/>
          <w:sz w:val="14"/>
          <w:szCs w:val="14"/>
          <w:color w:val="auto"/>
        </w:rPr>
        <w:t>Paper copies of exhibits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proxy statement/prospectus or the exhibits to any of the documents incorporated by reference into this proxy statement/prospectus are available, but a reasonable fee per page will be charged to the requesting shareholder. Shareholders may make requests in writing to the attention of Corporate Secretary at Gentherm’s principal executive offices at 28875 Cabot Drive, Novi, Michigan 48377, by calling the Investor Relations contact of Gentherm at (248) 308-1702 or by emailing investors@gentherm.com.</w:t>
      </w:r>
    </w:p>
    <w:p>
      <w:pPr>
        <w:spacing w:after="0" w:line="143" w:lineRule="exact"/>
        <w:rPr>
          <w:sz w:val="20"/>
          <w:szCs w:val="20"/>
          <w:color w:val="auto"/>
        </w:rPr>
      </w:pPr>
    </w:p>
    <w:p>
      <w:pPr>
        <w:ind w:left="1360" w:right="29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In order for you to receive timely delivery of the documents in advance of the Special Meeting, you must request the information no later than         .</w:t>
      </w:r>
    </w:p>
    <w:p>
      <w:pPr>
        <w:spacing w:after="0" w:line="1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Gentherm shareholders who have questions about the Special Meeting or need to obtain proxy cards or other information should contact</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Gentherm’s proxy solicitor using the following contact information:</w:t>
      </w:r>
    </w:p>
    <w:p>
      <w:pPr>
        <w:spacing w:after="0" w:line="16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Innisfree M&amp;A Incorporated</w:t>
      </w:r>
    </w:p>
    <w:p>
      <w:pPr>
        <w:spacing w:after="0" w:line="2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501 Madison Avenue</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(212) 750-5833</w:t>
      </w:r>
    </w:p>
    <w:p>
      <w:pPr>
        <w:spacing w:after="0" w:line="16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None of Gentherm, Merger Sub, Modine or SpinCo has authorized anyone to give any information or make any representation about the transactions described in this proxy statement/prospectus or about Gentherm, Merger Sub, Modine or SpinCo that differs from or adds to the information in this proxy statement/prospectus or the documents that Gentherm or Modine publicly files with the SEC. None of Gentherm, Merger Sub, Modine or SpinCo takes responsibility for, and cannot provide any assurance as to the reliability of, any other information that others may give you.</w:t>
      </w:r>
    </w:p>
    <w:p>
      <w:pPr>
        <w:spacing w:after="0" w:line="14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If you are in a jurisdiction where offers to exchange or sell, or solicitations of offers to exchange or purchase, the securities offered by this proxy statement/prospectus are unlawful, or if you are a person to whom it is unlawful to direct these types of activities, then the offer and solicitations of offers presented in this proxy statement/prospectus do not extend to you. If you are in a jurisdiction where solicitations of a proxy are unlawful, or if you are a person to whom it is unlawful to direct these types of activities, then the solicitation presented in this proxy statement/prospectus does not extend to you.</w:t>
      </w:r>
    </w:p>
    <w:p>
      <w:pPr>
        <w:spacing w:after="0" w:line="144"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The information contained in this proxy statement/prospectus speaks only as of the date of this document, unless the information specifically indicates that another date applies. You should not assume that the information contained in this proxy statement/prospectus is accurate as of any date other than the date hereof or the dates specified herein. You should not assume that the information contained in any document incorporated by reference herein is accurate as of any date other than the date of such document or the dates specified therein. Any statement contained in a document incorporated or deemed to be incorporated by reference into this proxy statement/prospectus will be deemed to be modified or superseded to the extent that a statement contained herein or in any other subsequently filed document that also is or is deemed to be incorporated by reference into this proxy statement/prospectus modifies or supersedes such statement. Any statement so modified or superseded will not be deemed, except as so modified or superseded, to constitute a part of this proxy statement/prospectus.</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Neither the mailing of this proxy statement/prospectus to the Gentherm shareholders, nor the taking of any actions contemplated hereby by Gentherm or Modine at any time, will create any implication to the contrary.</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7" w:lineRule="exact"/>
        <w:rPr>
          <w:sz w:val="20"/>
          <w:szCs w:val="20"/>
          <w:color w:val="auto"/>
        </w:rPr>
      </w:pPr>
    </w:p>
    <w:p>
      <w:pPr>
        <w:ind w:left="1360" w:right="319" w:firstLine="343"/>
        <w:spacing w:after="0" w:line="253" w:lineRule="auto"/>
        <w:rPr>
          <w:sz w:val="20"/>
          <w:szCs w:val="20"/>
          <w:color w:val="auto"/>
        </w:rPr>
      </w:pPr>
      <w:r>
        <w:rPr>
          <w:rFonts w:ascii="Times New Roman" w:cs="Times New Roman" w:eastAsia="Times New Roman" w:hAnsi="Times New Roman"/>
          <w:sz w:val="14"/>
          <w:szCs w:val="14"/>
          <w:color w:val="auto"/>
        </w:rPr>
        <w:t>Gentherm Incorporated (“Gentherm”) has supplied all information contained in or incorporated by reference into this proxy statement/prospectus relating to Gentherm and Platinum Gold Merger Sub Inc. (“Merger Sub”). Modine Manufacturing Co. (“Modine”) has supplied all information contained in or incorporated by reference into this proxy statement/prospectus relating to Modine, Modine’s Performance Technologies business (the “Performance Technologies Business”) and Platinum SpinCo Inc. (“SpinCo”). Gentherm and Modine have both contributed information to this proxy statement/prospectus relating to the transactions contemplated by the Agreement and Plan of Merger, dated as of January 29, 2026, by and among Gentherm, Merger Sub, Modine and SpinCo (as may be amended from time to time, the “Merger Agreement”). Statements contained in this proxy statement/prospectus or in any document incorporated into this proxy statement/prospectus by reference as to the contents of any contract or other document referred to within this proxy statement/prospectus or other documents that are incorporated by reference are not necessarily complete and, in each instance, reference is made to the copy of the applicable contract or other document filed as an exhibit to the registration statement or otherwise filed with the SEC. Each such statement contained in this proxy statement/prospectus is qualified in its entirety by reference to the underlying documents. For a list of documents incorporated by reference into this proxy statement/prospectus, see the section entitled “Where You Can Find More Information; Incorporation by Reference.”</w:t>
      </w:r>
    </w:p>
    <w:p>
      <w:pPr>
        <w:spacing w:after="0" w:line="150"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This proxy statement/prospectus forms a part of a registration statement on Form S-4 (Registration No. 333-  ) filed by Gentherm (the “Gentherm Registration Statement”) with the SEC to register with the SEC the issuance of shares of common stock of Gentherm, no par value (“Gentherm Common Stock”), to be issued pursuant to the Merger Agreement. It constitutes a prospectus of Gentherm under Section 5 of the Securities Act of 1933, as amended (together with the rules and regulations promulgated thereunder), with respect to the shares of Gentherm Common Stock to be issued to Modine shareholders in exchange for the shares of SpinCo’s common stock, par value $0.01 per share (“SpinCo Common Stock”), to which they are entitled in connection with the transactions contemplated by the Merger Agreement. This proxy statement/prospectus also constitutes a proxy statement under Section 14(a) of the Securities Exchange Act of 1934, as amended (together with the rules and regulations promulgated thereunder), and a notice of meeting and action to be taken with respect to the Special Meeting at which Gentherm shareholders will consider and vote on the proposal to approve the issuance of shares of Gentherm Common Stock and the proposal to amend the Gentherm articles of incorporation, each in connection with the transactions described in the Merger Agreement.</w:t>
      </w:r>
    </w:p>
    <w:p>
      <w:pPr>
        <w:spacing w:after="0" w:line="146"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SpinCo is filing a registration statement on Form 10 (the “SpinCo Registration Statement”) to register shares of SpinCo Common Stock, which will be distributed to Modine shareholders pursuant to the Distribution (as defined herein), after which all shares of SpinCo Common Stock (other than shares held by Modine, SpinCo, Gentherm, Merger Sub or their respective subsidiaries, if any, which shares will be cancelled) will be converted into the right to receive shares of Gentherm Common Stock, as calculated and subject to adjustment as set forth in the Merger Agreement.</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TRADEMARKS AND TRADE NAMES</w:t>
      </w:r>
    </w:p>
    <w:p>
      <w:pPr>
        <w:spacing w:after="0" w:line="177" w:lineRule="exact"/>
        <w:rPr>
          <w:sz w:val="20"/>
          <w:szCs w:val="20"/>
          <w:color w:val="auto"/>
        </w:rPr>
      </w:pPr>
    </w:p>
    <w:p>
      <w:pPr>
        <w:ind w:left="1360" w:right="279" w:firstLine="343"/>
        <w:spacing w:after="0" w:line="231" w:lineRule="auto"/>
        <w:rPr>
          <w:sz w:val="20"/>
          <w:szCs w:val="20"/>
          <w:color w:val="auto"/>
        </w:rPr>
      </w:pPr>
      <w:r>
        <w:rPr>
          <w:rFonts w:ascii="Times New Roman" w:cs="Times New Roman" w:eastAsia="Times New Roman" w:hAnsi="Times New Roman"/>
          <w:sz w:val="14"/>
          <w:szCs w:val="14"/>
          <w:color w:val="auto"/>
        </w:rPr>
        <w:t xml:space="preserve">Certain of the logos and other registered or common law trademarks, service marks or trade names appearing in this proxy statement/prospectus are the property of Gentherm or its licensors. Solely for convenience, trademarks, service marks and trade names referred to in this proxy statement/prospectus, including logos, artwork and other visual displays, may appear without the </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symbols, but such references are not intended to indicate in any way that Gentherm will not assert, to the fullest extent under applicable law, Gentherm’s rights or the rights of the applicable licensor to these trademarks, service marks and trade names.</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firstLine="343"/>
        <w:spacing w:after="0" w:line="231" w:lineRule="auto"/>
        <w:rPr>
          <w:sz w:val="20"/>
          <w:szCs w:val="20"/>
          <w:color w:val="auto"/>
        </w:rPr>
      </w:pPr>
      <w:r>
        <w:rPr>
          <w:rFonts w:ascii="Times New Roman" w:cs="Times New Roman" w:eastAsia="Times New Roman" w:hAnsi="Times New Roman"/>
          <w:sz w:val="14"/>
          <w:szCs w:val="14"/>
          <w:color w:val="auto"/>
        </w:rPr>
        <w:t xml:space="preserve">Certain of the logos and other registered or common law trademarks, service marks or trade names appearing in this proxy statement/prospectus are the property of Modine or its licensors. Solely for convenience, trademarks, service marks and trade names referred to in this proxy statement/prospectus, including logos, artwork and other visual displays, may appear without the </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symbols, but such references are not intended to indicate in any way that Modine will not assert, to the fullest extent under applicable law, Modine’s rights or the rights of the applicable licensor to these trademarks, service marks and trade names.</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gridSpan w:val="12"/>
          </w:tcPr>
          <w:p>
            <w:pPr>
              <w:ind w:left="3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120" w:type="dxa"/>
            <w:vAlign w:val="bottom"/>
          </w:tcPr>
          <w:p>
            <w:pPr>
              <w:spacing w:after="0"/>
              <w:rPr>
                <w:sz w:val="16"/>
                <w:szCs w:val="16"/>
                <w:color w:val="auto"/>
              </w:rPr>
            </w:pPr>
          </w:p>
        </w:tc>
      </w:tr>
      <w:tr>
        <w:trPr>
          <w:trHeight w:val="326"/>
        </w:trPr>
        <w:tc>
          <w:tcPr>
            <w:tcW w:w="18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w w:val="98"/>
              </w:rPr>
              <w:t>QUESTIONS AND ANSWERS</w:t>
            </w:r>
          </w:p>
        </w:tc>
        <w:tc>
          <w:tcPr>
            <w:tcW w:w="5600" w:type="dxa"/>
            <w:vAlign w:val="bottom"/>
            <w:gridSpan w:val="26"/>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48"/>
        </w:trPr>
        <w:tc>
          <w:tcPr>
            <w:tcW w:w="72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6"/>
              </w:rPr>
              <w:t>SUMMARY</w:t>
            </w:r>
          </w:p>
        </w:tc>
        <w:tc>
          <w:tcPr>
            <w:tcW w:w="6700" w:type="dxa"/>
            <w:vAlign w:val="bottom"/>
            <w:gridSpan w:val="40"/>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w:t>
            </w:r>
          </w:p>
        </w:tc>
      </w:tr>
      <w:tr>
        <w:trPr>
          <w:trHeight w:val="148"/>
        </w:trPr>
        <w:tc>
          <w:tcPr>
            <w:tcW w:w="7420" w:type="dxa"/>
            <w:vAlign w:val="bottom"/>
            <w:gridSpan w:val="43"/>
          </w:tcPr>
          <w:p>
            <w:pPr>
              <w:spacing w:after="0" w:line="148" w:lineRule="exact"/>
              <w:rPr>
                <w:sz w:val="20"/>
                <w:szCs w:val="20"/>
                <w:color w:val="auto"/>
              </w:rPr>
            </w:pPr>
            <w:r>
              <w:rPr>
                <w:rFonts w:ascii="Times New Roman" w:cs="Times New Roman" w:eastAsia="Times New Roman" w:hAnsi="Times New Roman"/>
                <w:sz w:val="14"/>
                <w:szCs w:val="14"/>
                <w:color w:val="0000EE"/>
              </w:rPr>
              <w:t>HISTORICAL MARKET PRICE DATA AND DIVIDEND INFORMATION FOR GENTHERM</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44</w:t>
            </w:r>
          </w:p>
        </w:tc>
      </w:tr>
      <w:tr>
        <w:trPr>
          <w:trHeight w:val="148"/>
        </w:trPr>
        <w:tc>
          <w:tcPr>
            <w:tcW w:w="5460" w:type="dxa"/>
            <w:vAlign w:val="bottom"/>
            <w:tcBorders>
              <w:top w:val="single" w:sz="8" w:color="0000EE"/>
            </w:tcBorders>
            <w:gridSpan w:val="41"/>
          </w:tcPr>
          <w:p>
            <w:pPr>
              <w:spacing w:after="0" w:line="148" w:lineRule="exact"/>
              <w:rPr>
                <w:sz w:val="20"/>
                <w:szCs w:val="20"/>
                <w:color w:val="auto"/>
              </w:rPr>
            </w:pPr>
            <w:r>
              <w:rPr>
                <w:rFonts w:ascii="Times New Roman" w:cs="Times New Roman" w:eastAsia="Times New Roman" w:hAnsi="Times New Roman"/>
                <w:sz w:val="14"/>
                <w:szCs w:val="14"/>
                <w:color w:val="0000EE"/>
              </w:rPr>
              <w:t>HISTORICAL MARKET PRICE DATA AND DIVIDEND INFORMATION FOR SPINCO</w:t>
            </w:r>
          </w:p>
        </w:tc>
        <w:tc>
          <w:tcPr>
            <w:tcW w:w="1960" w:type="dxa"/>
            <w:vAlign w:val="bottom"/>
            <w:gridSpan w:val="2"/>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44</w:t>
            </w:r>
          </w:p>
        </w:tc>
      </w:tr>
      <w:tr>
        <w:trPr>
          <w:trHeight w:val="148"/>
        </w:trPr>
        <w:tc>
          <w:tcPr>
            <w:tcW w:w="5180" w:type="dxa"/>
            <w:vAlign w:val="bottom"/>
            <w:tcBorders>
              <w:top w:val="single" w:sz="8" w:color="0000EE"/>
            </w:tcBorders>
            <w:gridSpan w:val="38"/>
          </w:tcPr>
          <w:p>
            <w:pPr>
              <w:spacing w:after="0" w:line="148" w:lineRule="exact"/>
              <w:rPr>
                <w:sz w:val="20"/>
                <w:szCs w:val="20"/>
                <w:color w:val="auto"/>
              </w:rPr>
            </w:pPr>
            <w:r>
              <w:rPr>
                <w:rFonts w:ascii="Times New Roman" w:cs="Times New Roman" w:eastAsia="Times New Roman" w:hAnsi="Times New Roman"/>
                <w:sz w:val="14"/>
                <w:szCs w:val="14"/>
                <w:color w:val="0000EE"/>
              </w:rPr>
              <w:t>RISK FACTORS</w:t>
            </w:r>
          </w:p>
        </w:tc>
        <w:tc>
          <w:tcPr>
            <w:tcW w:w="2240" w:type="dxa"/>
            <w:vAlign w:val="bottom"/>
            <w:gridSpan w:val="5"/>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46</w:t>
            </w:r>
          </w:p>
        </w:tc>
      </w:tr>
      <w:tr>
        <w:trPr>
          <w:trHeight w:val="20"/>
        </w:trPr>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Risks Related to the Transactions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46</w:t>
            </w: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Risks Related to the Combined Company’s Business Following the Transactions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55</w:t>
            </w: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7420" w:type="dxa"/>
            <w:vAlign w:val="bottom"/>
            <w:gridSpan w:val="43"/>
          </w:tcPr>
          <w:p>
            <w:pPr>
              <w:spacing w:after="0" w:line="148" w:lineRule="exact"/>
              <w:rPr>
                <w:sz w:val="20"/>
                <w:szCs w:val="20"/>
                <w:color w:val="auto"/>
              </w:rPr>
            </w:pPr>
            <w:r>
              <w:rPr>
                <w:rFonts w:ascii="Times New Roman" w:cs="Times New Roman" w:eastAsia="Times New Roman" w:hAnsi="Times New Roman"/>
                <w:sz w:val="14"/>
                <w:szCs w:val="14"/>
                <w:color w:val="0000EE"/>
              </w:rPr>
              <w:t>CAUTIONARY STATEMENT CONCERNING FORWARD-LOOKING STATEMENTS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68</w:t>
            </w:r>
          </w:p>
        </w:tc>
      </w:tr>
      <w:tr>
        <w:trPr>
          <w:trHeight w:val="148"/>
        </w:trPr>
        <w:tc>
          <w:tcPr>
            <w:tcW w:w="1560" w:type="dxa"/>
            <w:vAlign w:val="bottom"/>
            <w:tcBorders>
              <w:top w:val="single" w:sz="8" w:color="0000EE"/>
              <w:bottom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w w:val="99"/>
              </w:rPr>
              <w:t>THE SPECIAL MEETING</w:t>
            </w:r>
          </w:p>
        </w:tc>
        <w:tc>
          <w:tcPr>
            <w:tcW w:w="3460" w:type="dxa"/>
            <w:vAlign w:val="bottom"/>
            <w:tcBorders>
              <w:top w:val="single" w:sz="8" w:color="0000EE"/>
            </w:tcBorders>
            <w:gridSpan w:val="24"/>
          </w:tcPr>
          <w:p>
            <w:pPr>
              <w:spacing w:after="0"/>
              <w:rPr>
                <w:sz w:val="12"/>
                <w:szCs w:val="12"/>
                <w:color w:val="auto"/>
              </w:rPr>
            </w:pPr>
          </w:p>
        </w:tc>
        <w:tc>
          <w:tcPr>
            <w:tcW w:w="2400" w:type="dxa"/>
            <w:vAlign w:val="bottom"/>
            <w:gridSpan w:val="6"/>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70</w:t>
            </w:r>
          </w:p>
        </w:tc>
      </w:tr>
      <w:tr>
        <w:trPr>
          <w:trHeight w:val="148"/>
        </w:trPr>
        <w:tc>
          <w:tcPr>
            <w:tcW w:w="7420" w:type="dxa"/>
            <w:vAlign w:val="bottom"/>
            <w:gridSpan w:val="43"/>
          </w:tcPr>
          <w:p>
            <w:pPr>
              <w:spacing w:after="0" w:line="148" w:lineRule="exact"/>
              <w:rPr>
                <w:sz w:val="20"/>
                <w:szCs w:val="20"/>
                <w:color w:val="auto"/>
              </w:rPr>
            </w:pPr>
            <w:r>
              <w:rPr>
                <w:rFonts w:ascii="Times New Roman" w:cs="Times New Roman" w:eastAsia="Times New Roman" w:hAnsi="Times New Roman"/>
                <w:sz w:val="14"/>
                <w:szCs w:val="14"/>
                <w:color w:val="0000EE"/>
              </w:rPr>
              <w:t>THE TRANSACTIONS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74</w:t>
            </w:r>
          </w:p>
        </w:tc>
      </w:tr>
      <w:tr>
        <w:trPr>
          <w:trHeight w:val="148"/>
        </w:trPr>
        <w:tc>
          <w:tcPr>
            <w:tcW w:w="280" w:type="dxa"/>
            <w:vAlign w:val="bottom"/>
            <w:tcBorders>
              <w:top w:val="single" w:sz="8" w:color="0000EE"/>
            </w:tcBorders>
          </w:tcPr>
          <w:p>
            <w:pPr>
              <w:spacing w:after="0"/>
              <w:rPr>
                <w:sz w:val="12"/>
                <w:szCs w:val="12"/>
                <w:color w:val="auto"/>
              </w:rPr>
            </w:pPr>
          </w:p>
        </w:tc>
        <w:tc>
          <w:tcPr>
            <w:tcW w:w="1080" w:type="dxa"/>
            <w:vAlign w:val="bottom"/>
            <w:tcBorders>
              <w:top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rPr>
              <w:t>Overview</w:t>
            </w:r>
          </w:p>
        </w:tc>
        <w:tc>
          <w:tcPr>
            <w:tcW w:w="6060" w:type="dxa"/>
            <w:vAlign w:val="bottom"/>
            <w:gridSpan w:val="35"/>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74</w:t>
            </w: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Transaction Sequence</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74</w:t>
            </w: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The Separation and the Distribution</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77</w:t>
            </w:r>
          </w:p>
        </w:tc>
      </w:tr>
      <w:tr>
        <w:trPr>
          <w:trHeight w:val="148"/>
        </w:trPr>
        <w:tc>
          <w:tcPr>
            <w:tcW w:w="280" w:type="dxa"/>
            <w:vAlign w:val="bottom"/>
          </w:tcPr>
          <w:p>
            <w:pPr>
              <w:spacing w:after="0"/>
              <w:rPr>
                <w:sz w:val="12"/>
                <w:szCs w:val="12"/>
                <w:color w:val="auto"/>
              </w:rPr>
            </w:pPr>
          </w:p>
        </w:tc>
        <w:tc>
          <w:tcPr>
            <w:tcW w:w="680" w:type="dxa"/>
            <w:vAlign w:val="bottom"/>
            <w:tcBorders>
              <w:top w:val="single" w:sz="8" w:color="0000EE"/>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6"/>
              </w:rPr>
              <w:t>The Merger</w:t>
            </w:r>
          </w:p>
        </w:tc>
        <w:tc>
          <w:tcPr>
            <w:tcW w:w="1320" w:type="dxa"/>
            <w:vAlign w:val="bottom"/>
            <w:tcBorders>
              <w:top w:val="single" w:sz="8" w:color="0000EE"/>
            </w:tcBorders>
            <w:gridSpan w:val="17"/>
          </w:tcPr>
          <w:p>
            <w:pPr>
              <w:spacing w:after="0"/>
              <w:rPr>
                <w:sz w:val="12"/>
                <w:szCs w:val="12"/>
                <w:color w:val="auto"/>
              </w:rPr>
            </w:pPr>
          </w:p>
        </w:tc>
        <w:tc>
          <w:tcPr>
            <w:tcW w:w="5140" w:type="dxa"/>
            <w:vAlign w:val="bottom"/>
            <w:gridSpan w:val="20"/>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77</w:t>
            </w: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Calculation and Adjustments to the Exchange Ratio; Amount of Gentherm Special Dividend</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77</w:t>
            </w:r>
          </w:p>
        </w:tc>
      </w:tr>
      <w:tr>
        <w:trPr>
          <w:trHeight w:val="148"/>
        </w:trPr>
        <w:tc>
          <w:tcPr>
            <w:tcW w:w="280" w:type="dxa"/>
            <w:vAlign w:val="bottom"/>
          </w:tcPr>
          <w:p>
            <w:pPr>
              <w:spacing w:after="0"/>
              <w:rPr>
                <w:sz w:val="12"/>
                <w:szCs w:val="12"/>
                <w:color w:val="auto"/>
              </w:rPr>
            </w:pPr>
          </w:p>
        </w:tc>
        <w:tc>
          <w:tcPr>
            <w:tcW w:w="5180" w:type="dxa"/>
            <w:vAlign w:val="bottom"/>
            <w:tcBorders>
              <w:top w:val="single" w:sz="8" w:color="0000EE"/>
            </w:tcBorders>
            <w:gridSpan w:val="40"/>
          </w:tcPr>
          <w:p>
            <w:pPr>
              <w:spacing w:after="0" w:line="148" w:lineRule="exact"/>
              <w:rPr>
                <w:sz w:val="20"/>
                <w:szCs w:val="20"/>
                <w:color w:val="auto"/>
              </w:rPr>
            </w:pPr>
            <w:r>
              <w:rPr>
                <w:rFonts w:ascii="Times New Roman" w:cs="Times New Roman" w:eastAsia="Times New Roman" w:hAnsi="Times New Roman"/>
                <w:sz w:val="14"/>
                <w:szCs w:val="14"/>
                <w:color w:val="0000EE"/>
              </w:rPr>
              <w:t>Trading Markets</w:t>
            </w:r>
          </w:p>
        </w:tc>
        <w:tc>
          <w:tcPr>
            <w:tcW w:w="1960" w:type="dxa"/>
            <w:vAlign w:val="bottom"/>
            <w:gridSpan w:val="2"/>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79</w:t>
            </w: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Background of the Transactions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79</w:t>
            </w: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Gentherm’s Reasons for the Merger; Recommendation of Gentherm’s Board of Directors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88</w:t>
            </w:r>
          </w:p>
        </w:tc>
      </w:tr>
      <w:tr>
        <w:trPr>
          <w:trHeight w:val="148"/>
        </w:trPr>
        <w:tc>
          <w:tcPr>
            <w:tcW w:w="280" w:type="dxa"/>
            <w:vAlign w:val="bottom"/>
          </w:tcPr>
          <w:p>
            <w:pPr>
              <w:spacing w:after="0"/>
              <w:rPr>
                <w:sz w:val="12"/>
                <w:szCs w:val="12"/>
                <w:color w:val="auto"/>
              </w:rPr>
            </w:pPr>
          </w:p>
        </w:tc>
        <w:tc>
          <w:tcPr>
            <w:tcW w:w="4040" w:type="dxa"/>
            <w:vAlign w:val="bottom"/>
            <w:tcBorders>
              <w:top w:val="single" w:sz="8" w:color="0000EE"/>
              <w:bottom w:val="single" w:sz="8" w:color="0000EE"/>
            </w:tcBorders>
            <w:gridSpan w:val="33"/>
          </w:tcPr>
          <w:p>
            <w:pPr>
              <w:spacing w:after="0" w:line="148" w:lineRule="exact"/>
              <w:rPr>
                <w:sz w:val="20"/>
                <w:szCs w:val="20"/>
                <w:color w:val="auto"/>
              </w:rPr>
            </w:pPr>
            <w:r>
              <w:rPr>
                <w:rFonts w:ascii="Times New Roman" w:cs="Times New Roman" w:eastAsia="Times New Roman" w:hAnsi="Times New Roman"/>
                <w:sz w:val="14"/>
                <w:szCs w:val="14"/>
                <w:color w:val="0000EE"/>
                <w:w w:val="99"/>
              </w:rPr>
              <w:t>Modine’s Reasons for the Merger; Recommendation of Modine’s Board</w:t>
            </w:r>
          </w:p>
        </w:tc>
        <w:tc>
          <w:tcPr>
            <w:tcW w:w="940" w:type="dxa"/>
            <w:vAlign w:val="bottom"/>
            <w:tcBorders>
              <w:top w:val="single" w:sz="8" w:color="0000EE"/>
            </w:tcBorders>
            <w:gridSpan w:val="5"/>
          </w:tcPr>
          <w:p>
            <w:pPr>
              <w:spacing w:after="0"/>
              <w:rPr>
                <w:sz w:val="12"/>
                <w:szCs w:val="12"/>
                <w:color w:val="auto"/>
              </w:rPr>
            </w:pPr>
          </w:p>
        </w:tc>
        <w:tc>
          <w:tcPr>
            <w:tcW w:w="2160" w:type="dxa"/>
            <w:vAlign w:val="bottom"/>
            <w:gridSpan w:val="4"/>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92</w:t>
            </w: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Certain Financial Forecasts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94</w:t>
            </w:r>
          </w:p>
        </w:tc>
      </w:tr>
      <w:tr>
        <w:trPr>
          <w:trHeight w:val="148"/>
        </w:trPr>
        <w:tc>
          <w:tcPr>
            <w:tcW w:w="280" w:type="dxa"/>
            <w:vAlign w:val="bottom"/>
          </w:tcPr>
          <w:p>
            <w:pPr>
              <w:spacing w:after="0"/>
              <w:rPr>
                <w:sz w:val="12"/>
                <w:szCs w:val="12"/>
                <w:color w:val="auto"/>
              </w:rPr>
            </w:pPr>
          </w:p>
        </w:tc>
        <w:tc>
          <w:tcPr>
            <w:tcW w:w="1140" w:type="dxa"/>
            <w:vAlign w:val="bottom"/>
            <w:tcBorders>
              <w:top w:val="single" w:sz="8" w:color="0000EE"/>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8"/>
              </w:rPr>
              <w:t>Opinion of Barclays</w:t>
            </w:r>
          </w:p>
        </w:tc>
        <w:tc>
          <w:tcPr>
            <w:tcW w:w="380" w:type="dxa"/>
            <w:vAlign w:val="bottom"/>
            <w:tcBorders>
              <w:top w:val="single" w:sz="8" w:color="0000EE"/>
            </w:tcBorders>
            <w:gridSpan w:val="7"/>
          </w:tcPr>
          <w:p>
            <w:pPr>
              <w:spacing w:after="0"/>
              <w:rPr>
                <w:sz w:val="12"/>
                <w:szCs w:val="12"/>
                <w:color w:val="auto"/>
              </w:rPr>
            </w:pPr>
          </w:p>
        </w:tc>
        <w:tc>
          <w:tcPr>
            <w:tcW w:w="5620" w:type="dxa"/>
            <w:vAlign w:val="bottom"/>
            <w:gridSpan w:val="27"/>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100</w:t>
            </w: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Overlap Shareholder Determination Process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110</w:t>
            </w: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Ownership of Gentherm Following the Transactions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110</w:t>
            </w:r>
          </w:p>
        </w:tc>
      </w:tr>
      <w:tr>
        <w:trPr>
          <w:trHeight w:val="148"/>
        </w:trPr>
        <w:tc>
          <w:tcPr>
            <w:tcW w:w="280" w:type="dxa"/>
            <w:vAlign w:val="bottom"/>
          </w:tcPr>
          <w:p>
            <w:pPr>
              <w:spacing w:after="0"/>
              <w:rPr>
                <w:sz w:val="12"/>
                <w:szCs w:val="12"/>
                <w:color w:val="auto"/>
              </w:rPr>
            </w:pPr>
          </w:p>
        </w:tc>
        <w:tc>
          <w:tcPr>
            <w:tcW w:w="2920" w:type="dxa"/>
            <w:vAlign w:val="bottom"/>
            <w:tcBorders>
              <w:top w:val="single" w:sz="8" w:color="0000EE"/>
            </w:tcBorders>
            <w:gridSpan w:val="30"/>
          </w:tcPr>
          <w:p>
            <w:pPr>
              <w:spacing w:after="0" w:line="148" w:lineRule="exact"/>
              <w:rPr>
                <w:sz w:val="20"/>
                <w:szCs w:val="20"/>
                <w:color w:val="auto"/>
              </w:rPr>
            </w:pPr>
            <w:r>
              <w:rPr>
                <w:rFonts w:ascii="Times New Roman" w:cs="Times New Roman" w:eastAsia="Times New Roman" w:hAnsi="Times New Roman"/>
                <w:sz w:val="14"/>
                <w:szCs w:val="14"/>
                <w:color w:val="0000EE"/>
              </w:rPr>
              <w:t>Ownership of SpinCo Following the Transactions</w:t>
            </w:r>
          </w:p>
        </w:tc>
        <w:tc>
          <w:tcPr>
            <w:tcW w:w="4220" w:type="dxa"/>
            <w:vAlign w:val="bottom"/>
            <w:gridSpan w:val="12"/>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110</w:t>
            </w:r>
          </w:p>
        </w:tc>
      </w:tr>
      <w:tr>
        <w:trPr>
          <w:trHeight w:val="20"/>
        </w:trPr>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3300" w:type="dxa"/>
            <w:vAlign w:val="bottom"/>
            <w:tcBorders>
              <w:bottom w:val="single" w:sz="8" w:color="0000EE"/>
            </w:tcBorders>
            <w:gridSpan w:val="31"/>
          </w:tcPr>
          <w:p>
            <w:pPr>
              <w:spacing w:after="0" w:line="148" w:lineRule="exact"/>
              <w:rPr>
                <w:sz w:val="20"/>
                <w:szCs w:val="20"/>
                <w:color w:val="auto"/>
              </w:rPr>
            </w:pPr>
            <w:r>
              <w:rPr>
                <w:rFonts w:ascii="Times New Roman" w:cs="Times New Roman" w:eastAsia="Times New Roman" w:hAnsi="Times New Roman"/>
                <w:sz w:val="14"/>
                <w:szCs w:val="14"/>
                <w:color w:val="0000EE"/>
                <w:w w:val="99"/>
              </w:rPr>
              <w:t>Interests of Directors and Executive Officers in the Merger</w:t>
            </w:r>
          </w:p>
        </w:tc>
        <w:tc>
          <w:tcPr>
            <w:tcW w:w="3840" w:type="dxa"/>
            <w:vAlign w:val="bottom"/>
            <w:gridSpan w:val="11"/>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111</w:t>
            </w:r>
          </w:p>
        </w:tc>
      </w:tr>
      <w:tr>
        <w:trPr>
          <w:trHeight w:val="148"/>
        </w:trPr>
        <w:tc>
          <w:tcPr>
            <w:tcW w:w="280" w:type="dxa"/>
            <w:vAlign w:val="bottom"/>
          </w:tcPr>
          <w:p>
            <w:pPr>
              <w:spacing w:after="0"/>
              <w:rPr>
                <w:sz w:val="12"/>
                <w:szCs w:val="12"/>
                <w:color w:val="auto"/>
              </w:rPr>
            </w:pPr>
          </w:p>
        </w:tc>
        <w:tc>
          <w:tcPr>
            <w:tcW w:w="1240" w:type="dxa"/>
            <w:vAlign w:val="bottom"/>
            <w:tcBorders>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8"/>
              </w:rPr>
              <w:t>Regulatory Approvals</w:t>
            </w:r>
          </w:p>
        </w:tc>
        <w:tc>
          <w:tcPr>
            <w:tcW w:w="5900" w:type="dxa"/>
            <w:vAlign w:val="bottom"/>
            <w:gridSpan w:val="32"/>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113</w:t>
            </w: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IRS Ruling</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113</w:t>
            </w:r>
          </w:p>
        </w:tc>
      </w:tr>
      <w:tr>
        <w:trPr>
          <w:trHeight w:val="148"/>
        </w:trPr>
        <w:tc>
          <w:tcPr>
            <w:tcW w:w="280" w:type="dxa"/>
            <w:vAlign w:val="bottom"/>
          </w:tcPr>
          <w:p>
            <w:pPr>
              <w:spacing w:after="0"/>
              <w:rPr>
                <w:sz w:val="12"/>
                <w:szCs w:val="12"/>
                <w:color w:val="auto"/>
              </w:rPr>
            </w:pPr>
          </w:p>
        </w:tc>
        <w:tc>
          <w:tcPr>
            <w:tcW w:w="4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Listing</w:t>
            </w:r>
          </w:p>
        </w:tc>
        <w:tc>
          <w:tcPr>
            <w:tcW w:w="220" w:type="dxa"/>
            <w:vAlign w:val="bottom"/>
            <w:tcBorders>
              <w:top w:val="single" w:sz="8" w:color="0000EE"/>
            </w:tcBorders>
            <w:gridSpan w:val="3"/>
          </w:tcPr>
          <w:p>
            <w:pPr>
              <w:spacing w:after="0"/>
              <w:rPr>
                <w:sz w:val="12"/>
                <w:szCs w:val="12"/>
                <w:color w:val="auto"/>
              </w:rPr>
            </w:pPr>
          </w:p>
        </w:tc>
        <w:tc>
          <w:tcPr>
            <w:tcW w:w="6520" w:type="dxa"/>
            <w:vAlign w:val="bottom"/>
            <w:gridSpan w:val="38"/>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114</w:t>
            </w: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Federal Securities Laws Consequences; Resale Restrictions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114</w:t>
            </w:r>
          </w:p>
        </w:tc>
      </w:tr>
      <w:tr>
        <w:trPr>
          <w:trHeight w:val="148"/>
        </w:trPr>
        <w:tc>
          <w:tcPr>
            <w:tcW w:w="280" w:type="dxa"/>
            <w:vAlign w:val="bottom"/>
          </w:tcPr>
          <w:p>
            <w:pPr>
              <w:spacing w:after="0"/>
              <w:rPr>
                <w:sz w:val="12"/>
                <w:szCs w:val="12"/>
                <w:color w:val="auto"/>
              </w:rPr>
            </w:pPr>
          </w:p>
        </w:tc>
        <w:tc>
          <w:tcPr>
            <w:tcW w:w="1260" w:type="dxa"/>
            <w:vAlign w:val="bottom"/>
            <w:tcBorders>
              <w:top w:val="single" w:sz="8" w:color="0000EE"/>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8"/>
              </w:rPr>
              <w:t>Accounting Treatment</w:t>
            </w:r>
          </w:p>
        </w:tc>
        <w:tc>
          <w:tcPr>
            <w:tcW w:w="2060" w:type="dxa"/>
            <w:vAlign w:val="bottom"/>
            <w:tcBorders>
              <w:top w:val="single" w:sz="8" w:color="0000EE"/>
            </w:tcBorders>
            <w:gridSpan w:val="21"/>
          </w:tcPr>
          <w:p>
            <w:pPr>
              <w:spacing w:after="0"/>
              <w:rPr>
                <w:sz w:val="12"/>
                <w:szCs w:val="12"/>
                <w:color w:val="auto"/>
              </w:rPr>
            </w:pPr>
          </w:p>
        </w:tc>
        <w:tc>
          <w:tcPr>
            <w:tcW w:w="3820" w:type="dxa"/>
            <w:vAlign w:val="bottom"/>
            <w:gridSpan w:val="10"/>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114</w:t>
            </w:r>
          </w:p>
        </w:tc>
      </w:tr>
      <w:tr>
        <w:trPr>
          <w:trHeight w:val="148"/>
        </w:trPr>
        <w:tc>
          <w:tcPr>
            <w:tcW w:w="280" w:type="dxa"/>
            <w:vAlign w:val="bottom"/>
          </w:tcPr>
          <w:p>
            <w:pPr>
              <w:spacing w:after="0"/>
              <w:rPr>
                <w:sz w:val="12"/>
                <w:szCs w:val="12"/>
                <w:color w:val="auto"/>
              </w:rPr>
            </w:pPr>
          </w:p>
        </w:tc>
        <w:tc>
          <w:tcPr>
            <w:tcW w:w="2520" w:type="dxa"/>
            <w:vAlign w:val="bottom"/>
            <w:tcBorders>
              <w:bottom w:val="single" w:sz="8" w:color="0000EE"/>
            </w:tcBorders>
            <w:gridSpan w:val="26"/>
          </w:tcPr>
          <w:p>
            <w:pPr>
              <w:spacing w:after="0" w:line="148" w:lineRule="exact"/>
              <w:rPr>
                <w:sz w:val="20"/>
                <w:szCs w:val="20"/>
                <w:color w:val="auto"/>
              </w:rPr>
            </w:pPr>
            <w:r>
              <w:rPr>
                <w:rFonts w:ascii="Times New Roman" w:cs="Times New Roman" w:eastAsia="Times New Roman" w:hAnsi="Times New Roman"/>
                <w:sz w:val="14"/>
                <w:szCs w:val="14"/>
                <w:color w:val="0000EE"/>
                <w:w w:val="99"/>
              </w:rPr>
              <w:t>No Dissenters’ Rights or Rights of Appraisal</w:t>
            </w:r>
          </w:p>
        </w:tc>
        <w:tc>
          <w:tcPr>
            <w:tcW w:w="4620" w:type="dxa"/>
            <w:vAlign w:val="bottom"/>
            <w:gridSpan w:val="16"/>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115</w:t>
            </w:r>
          </w:p>
        </w:tc>
      </w:tr>
      <w:tr>
        <w:trPr>
          <w:trHeight w:val="148"/>
        </w:trPr>
        <w:tc>
          <w:tcPr>
            <w:tcW w:w="7420" w:type="dxa"/>
            <w:vAlign w:val="bottom"/>
            <w:gridSpan w:val="43"/>
          </w:tcPr>
          <w:p>
            <w:pPr>
              <w:spacing w:after="0" w:line="148" w:lineRule="exact"/>
              <w:rPr>
                <w:sz w:val="20"/>
                <w:szCs w:val="20"/>
                <w:color w:val="auto"/>
              </w:rPr>
            </w:pPr>
            <w:r>
              <w:rPr>
                <w:rFonts w:ascii="Times New Roman" w:cs="Times New Roman" w:eastAsia="Times New Roman" w:hAnsi="Times New Roman"/>
                <w:sz w:val="14"/>
                <w:szCs w:val="14"/>
                <w:color w:val="0000EE"/>
              </w:rPr>
              <w:t>THE TRANSACTION AGREEMENTS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116</w:t>
            </w:r>
          </w:p>
        </w:tc>
      </w:tr>
      <w:tr>
        <w:trPr>
          <w:trHeight w:val="148"/>
        </w:trPr>
        <w:tc>
          <w:tcPr>
            <w:tcW w:w="280" w:type="dxa"/>
            <w:vAlign w:val="bottom"/>
            <w:tcBorders>
              <w:top w:val="single" w:sz="8" w:color="0000EE"/>
            </w:tcBorders>
          </w:tcPr>
          <w:p>
            <w:pPr>
              <w:spacing w:after="0"/>
              <w:rPr>
                <w:sz w:val="12"/>
                <w:szCs w:val="12"/>
                <w:color w:val="auto"/>
              </w:rPr>
            </w:pPr>
          </w:p>
        </w:tc>
        <w:tc>
          <w:tcPr>
            <w:tcW w:w="1320" w:type="dxa"/>
            <w:vAlign w:val="bottom"/>
            <w:tcBorders>
              <w:top w:val="single" w:sz="8" w:color="0000EE"/>
              <w:bottom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w w:val="98"/>
              </w:rPr>
              <w:t>The Merger Agreement</w:t>
            </w:r>
          </w:p>
        </w:tc>
        <w:tc>
          <w:tcPr>
            <w:tcW w:w="660" w:type="dxa"/>
            <w:vAlign w:val="bottom"/>
            <w:tcBorders>
              <w:top w:val="single" w:sz="8" w:color="0000EE"/>
            </w:tcBorders>
            <w:gridSpan w:val="8"/>
          </w:tcPr>
          <w:p>
            <w:pPr>
              <w:spacing w:after="0"/>
              <w:rPr>
                <w:sz w:val="12"/>
                <w:szCs w:val="12"/>
                <w:color w:val="auto"/>
              </w:rPr>
            </w:pPr>
          </w:p>
        </w:tc>
        <w:tc>
          <w:tcPr>
            <w:tcW w:w="5160" w:type="dxa"/>
            <w:vAlign w:val="bottom"/>
            <w:gridSpan w:val="21"/>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116</w:t>
            </w: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The Separation Agreement</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137</w:t>
            </w:r>
          </w:p>
        </w:tc>
      </w:tr>
      <w:tr>
        <w:trPr>
          <w:trHeight w:val="148"/>
        </w:trPr>
        <w:tc>
          <w:tcPr>
            <w:tcW w:w="280" w:type="dxa"/>
            <w:vAlign w:val="bottom"/>
          </w:tcPr>
          <w:p>
            <w:pPr>
              <w:spacing w:after="0"/>
              <w:rPr>
                <w:sz w:val="12"/>
                <w:szCs w:val="12"/>
                <w:color w:val="auto"/>
              </w:rPr>
            </w:pPr>
          </w:p>
        </w:tc>
        <w:tc>
          <w:tcPr>
            <w:tcW w:w="1500" w:type="dxa"/>
            <w:vAlign w:val="bottom"/>
            <w:tcBorders>
              <w:top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rPr>
              <w:t>Debt Financing</w:t>
            </w:r>
          </w:p>
        </w:tc>
        <w:tc>
          <w:tcPr>
            <w:tcW w:w="5640" w:type="dxa"/>
            <w:vAlign w:val="bottom"/>
            <w:gridSpan w:val="28"/>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147</w:t>
            </w:r>
          </w:p>
        </w:tc>
      </w:tr>
      <w:tr>
        <w:trPr>
          <w:trHeight w:val="20"/>
        </w:trPr>
        <w:tc>
          <w:tcPr>
            <w:tcW w:w="280" w:type="dxa"/>
            <w:vAlign w:val="bottom"/>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7420" w:type="dxa"/>
            <w:vAlign w:val="bottom"/>
            <w:gridSpan w:val="43"/>
          </w:tcPr>
          <w:p>
            <w:pPr>
              <w:spacing w:after="0" w:line="148" w:lineRule="exact"/>
              <w:rPr>
                <w:sz w:val="20"/>
                <w:szCs w:val="20"/>
                <w:color w:val="auto"/>
              </w:rPr>
            </w:pPr>
            <w:r>
              <w:rPr>
                <w:rFonts w:ascii="Times New Roman" w:cs="Times New Roman" w:eastAsia="Times New Roman" w:hAnsi="Times New Roman"/>
                <w:sz w:val="14"/>
                <w:szCs w:val="14"/>
                <w:color w:val="0000EE"/>
              </w:rPr>
              <w:t>ADDITIONAL AGREEMENTS RELATED TO THE SEPARATION, THE DISTRIBUTION AND THE MERGER</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149</w:t>
            </w:r>
          </w:p>
        </w:tc>
      </w:tr>
      <w:tr>
        <w:trPr>
          <w:trHeight w:val="148"/>
        </w:trPr>
        <w:tc>
          <w:tcPr>
            <w:tcW w:w="280" w:type="dxa"/>
            <w:vAlign w:val="bottom"/>
            <w:tcBorders>
              <w:top w:val="single" w:sz="8" w:color="0000EE"/>
            </w:tcBorders>
          </w:tcPr>
          <w:p>
            <w:pPr>
              <w:spacing w:after="0"/>
              <w:rPr>
                <w:sz w:val="12"/>
                <w:szCs w:val="12"/>
                <w:color w:val="auto"/>
              </w:rPr>
            </w:pPr>
          </w:p>
        </w:tc>
        <w:tc>
          <w:tcPr>
            <w:tcW w:w="6240" w:type="dxa"/>
            <w:vAlign w:val="bottom"/>
            <w:tcBorders>
              <w:top w:val="single" w:sz="8" w:color="0000EE"/>
            </w:tcBorders>
            <w:gridSpan w:val="41"/>
          </w:tcPr>
          <w:p>
            <w:pPr>
              <w:spacing w:after="0" w:line="148" w:lineRule="exact"/>
              <w:rPr>
                <w:sz w:val="20"/>
                <w:szCs w:val="20"/>
                <w:color w:val="auto"/>
              </w:rPr>
            </w:pPr>
            <w:r>
              <w:rPr>
                <w:rFonts w:ascii="Times New Roman" w:cs="Times New Roman" w:eastAsia="Times New Roman" w:hAnsi="Times New Roman"/>
                <w:sz w:val="14"/>
                <w:szCs w:val="14"/>
                <w:color w:val="0000EE"/>
              </w:rPr>
              <w:t>Tax Matters Agreement</w:t>
            </w:r>
          </w:p>
        </w:tc>
        <w:tc>
          <w:tcPr>
            <w:tcW w:w="90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149</w:t>
            </w:r>
          </w:p>
        </w:tc>
      </w:tr>
      <w:tr>
        <w:trPr>
          <w:trHeight w:val="20"/>
        </w:trPr>
        <w:tc>
          <w:tcPr>
            <w:tcW w:w="280" w:type="dxa"/>
            <w:vAlign w:val="bottom"/>
          </w:tcPr>
          <w:p>
            <w:pPr>
              <w:spacing w:after="0" w:line="20" w:lineRule="exact"/>
              <w:rPr>
                <w:sz w:val="1"/>
                <w:szCs w:val="1"/>
                <w:color w:val="auto"/>
              </w:rPr>
            </w:pPr>
          </w:p>
        </w:tc>
        <w:tc>
          <w:tcPr>
            <w:tcW w:w="1320" w:type="dxa"/>
            <w:vAlign w:val="bottom"/>
            <w:gridSpan w:val="1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1780" w:type="dxa"/>
            <w:vAlign w:val="bottom"/>
            <w:tcBorders>
              <w:bottom w:val="single" w:sz="8" w:color="0000EE"/>
            </w:tcBorders>
            <w:gridSpan w:val="19"/>
          </w:tcPr>
          <w:p>
            <w:pPr>
              <w:spacing w:after="0" w:line="148" w:lineRule="exact"/>
              <w:rPr>
                <w:sz w:val="20"/>
                <w:szCs w:val="20"/>
                <w:color w:val="auto"/>
              </w:rPr>
            </w:pPr>
            <w:r>
              <w:rPr>
                <w:rFonts w:ascii="Times New Roman" w:cs="Times New Roman" w:eastAsia="Times New Roman" w:hAnsi="Times New Roman"/>
                <w:sz w:val="14"/>
                <w:szCs w:val="14"/>
                <w:color w:val="0000EE"/>
                <w:w w:val="98"/>
              </w:rPr>
              <w:t>Technical Services Agreements</w:t>
            </w:r>
          </w:p>
        </w:tc>
        <w:tc>
          <w:tcPr>
            <w:tcW w:w="5360" w:type="dxa"/>
            <w:vAlign w:val="bottom"/>
            <w:gridSpan w:val="23"/>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152</w:t>
            </w: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Intellectual Property Matters Agreement</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152</w:t>
            </w:r>
          </w:p>
        </w:tc>
      </w:tr>
      <w:tr>
        <w:trPr>
          <w:trHeight w:val="148"/>
        </w:trPr>
        <w:tc>
          <w:tcPr>
            <w:tcW w:w="280" w:type="dxa"/>
            <w:vAlign w:val="bottom"/>
          </w:tcPr>
          <w:p>
            <w:pPr>
              <w:spacing w:after="0"/>
              <w:rPr>
                <w:sz w:val="12"/>
                <w:szCs w:val="12"/>
                <w:color w:val="auto"/>
              </w:rPr>
            </w:pPr>
          </w:p>
        </w:tc>
        <w:tc>
          <w:tcPr>
            <w:tcW w:w="2260" w:type="dxa"/>
            <w:vAlign w:val="bottom"/>
            <w:tcBorders>
              <w:top w:val="single" w:sz="8" w:color="0000EE"/>
            </w:tcBorders>
            <w:gridSpan w:val="24"/>
          </w:tcPr>
          <w:p>
            <w:pPr>
              <w:spacing w:after="0" w:line="148" w:lineRule="exact"/>
              <w:rPr>
                <w:sz w:val="20"/>
                <w:szCs w:val="20"/>
                <w:color w:val="auto"/>
              </w:rPr>
            </w:pPr>
            <w:r>
              <w:rPr>
                <w:rFonts w:ascii="Times New Roman" w:cs="Times New Roman" w:eastAsia="Times New Roman" w:hAnsi="Times New Roman"/>
                <w:sz w:val="14"/>
                <w:szCs w:val="14"/>
                <w:color w:val="0000EE"/>
              </w:rPr>
              <w:t>Trademark Matters Agreement</w:t>
            </w:r>
          </w:p>
        </w:tc>
        <w:tc>
          <w:tcPr>
            <w:tcW w:w="4880" w:type="dxa"/>
            <w:vAlign w:val="bottom"/>
            <w:gridSpan w:val="18"/>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152</w:t>
            </w:r>
          </w:p>
        </w:tc>
      </w:tr>
      <w:tr>
        <w:trPr>
          <w:trHeight w:val="20"/>
        </w:trPr>
        <w:tc>
          <w:tcPr>
            <w:tcW w:w="280" w:type="dxa"/>
            <w:vAlign w:val="bottom"/>
          </w:tcPr>
          <w:p>
            <w:pPr>
              <w:spacing w:after="0" w:line="20" w:lineRule="exact"/>
              <w:rPr>
                <w:sz w:val="1"/>
                <w:szCs w:val="1"/>
                <w:color w:val="auto"/>
              </w:rPr>
            </w:pPr>
          </w:p>
        </w:tc>
        <w:tc>
          <w:tcPr>
            <w:tcW w:w="1680" w:type="dxa"/>
            <w:vAlign w:val="bottom"/>
            <w:gridSpan w:val="17"/>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280" w:type="dxa"/>
            <w:vAlign w:val="bottom"/>
          </w:tcPr>
          <w:p>
            <w:pPr>
              <w:spacing w:after="0"/>
              <w:rPr>
                <w:sz w:val="12"/>
                <w:szCs w:val="12"/>
                <w:color w:val="auto"/>
              </w:rPr>
            </w:pPr>
          </w:p>
        </w:tc>
        <w:tc>
          <w:tcPr>
            <w:tcW w:w="1740" w:type="dxa"/>
            <w:vAlign w:val="bottom"/>
            <w:tcBorders>
              <w:bottom w:val="single" w:sz="8" w:color="0000EE"/>
            </w:tcBorders>
            <w:gridSpan w:val="18"/>
          </w:tcPr>
          <w:p>
            <w:pPr>
              <w:spacing w:after="0" w:line="148" w:lineRule="exact"/>
              <w:rPr>
                <w:sz w:val="20"/>
                <w:szCs w:val="20"/>
                <w:color w:val="auto"/>
              </w:rPr>
            </w:pPr>
            <w:r>
              <w:rPr>
                <w:rFonts w:ascii="Times New Roman" w:cs="Times New Roman" w:eastAsia="Times New Roman" w:hAnsi="Times New Roman"/>
                <w:sz w:val="14"/>
                <w:szCs w:val="14"/>
                <w:color w:val="0000EE"/>
                <w:w w:val="98"/>
              </w:rPr>
              <w:t>Transition Services Agreement</w:t>
            </w:r>
          </w:p>
        </w:tc>
        <w:tc>
          <w:tcPr>
            <w:tcW w:w="5400" w:type="dxa"/>
            <w:vAlign w:val="bottom"/>
            <w:gridSpan w:val="24"/>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153</w:t>
            </w:r>
          </w:p>
        </w:tc>
      </w:tr>
      <w:tr>
        <w:trPr>
          <w:trHeight w:val="148"/>
        </w:trPr>
        <w:tc>
          <w:tcPr>
            <w:tcW w:w="280" w:type="dxa"/>
            <w:vAlign w:val="bottom"/>
          </w:tcPr>
          <w:p>
            <w:pPr>
              <w:spacing w:after="0"/>
              <w:rPr>
                <w:sz w:val="12"/>
                <w:szCs w:val="12"/>
                <w:color w:val="auto"/>
              </w:rPr>
            </w:pPr>
          </w:p>
        </w:tc>
        <w:tc>
          <w:tcPr>
            <w:tcW w:w="7140" w:type="dxa"/>
            <w:vAlign w:val="bottom"/>
            <w:gridSpan w:val="42"/>
          </w:tcPr>
          <w:p>
            <w:pPr>
              <w:spacing w:after="0" w:line="148" w:lineRule="exact"/>
              <w:rPr>
                <w:sz w:val="20"/>
                <w:szCs w:val="20"/>
                <w:color w:val="auto"/>
              </w:rPr>
            </w:pPr>
            <w:r>
              <w:rPr>
                <w:rFonts w:ascii="Times New Roman" w:cs="Times New Roman" w:eastAsia="Times New Roman" w:hAnsi="Times New Roman"/>
                <w:sz w:val="14"/>
                <w:szCs w:val="14"/>
                <w:color w:val="0000EE"/>
              </w:rPr>
              <w:t>Employee Matters Agreement</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153</w:t>
            </w:r>
          </w:p>
        </w:tc>
      </w:tr>
      <w:tr>
        <w:trPr>
          <w:trHeight w:val="20"/>
        </w:trPr>
        <w:tc>
          <w:tcPr>
            <w:tcW w:w="280" w:type="dxa"/>
            <w:vAlign w:val="bottom"/>
          </w:tcPr>
          <w:p>
            <w:pPr>
              <w:spacing w:after="0" w:line="20" w:lineRule="exact"/>
              <w:rPr>
                <w:sz w:val="1"/>
                <w:szCs w:val="1"/>
                <w:color w:val="auto"/>
              </w:rPr>
            </w:pPr>
          </w:p>
        </w:tc>
        <w:tc>
          <w:tcPr>
            <w:tcW w:w="1680" w:type="dxa"/>
            <w:vAlign w:val="bottom"/>
            <w:gridSpan w:val="1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7420" w:type="dxa"/>
            <w:vAlign w:val="bottom"/>
            <w:gridSpan w:val="43"/>
          </w:tcPr>
          <w:p>
            <w:pPr>
              <w:spacing w:after="0" w:line="148" w:lineRule="exact"/>
              <w:rPr>
                <w:sz w:val="20"/>
                <w:szCs w:val="20"/>
                <w:color w:val="auto"/>
              </w:rPr>
            </w:pPr>
            <w:r>
              <w:rPr>
                <w:rFonts w:ascii="Times New Roman" w:cs="Times New Roman" w:eastAsia="Times New Roman" w:hAnsi="Times New Roman"/>
                <w:sz w:val="14"/>
                <w:szCs w:val="14"/>
                <w:color w:val="0000EE"/>
              </w:rPr>
              <w:t>DESCRIPTION OF CAPITAL STOCK OF GENTHERM AND THE COMBINED COMPANY</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158</w:t>
            </w:r>
          </w:p>
        </w:tc>
      </w:tr>
      <w:tr>
        <w:trPr>
          <w:trHeight w:val="148"/>
        </w:trPr>
        <w:tc>
          <w:tcPr>
            <w:tcW w:w="5400" w:type="dxa"/>
            <w:vAlign w:val="bottom"/>
            <w:tcBorders>
              <w:top w:val="single" w:sz="8" w:color="0000EE"/>
            </w:tcBorders>
            <w:gridSpan w:val="40"/>
          </w:tcPr>
          <w:p>
            <w:pPr>
              <w:spacing w:after="0" w:line="148" w:lineRule="exact"/>
              <w:rPr>
                <w:sz w:val="20"/>
                <w:szCs w:val="20"/>
                <w:color w:val="auto"/>
              </w:rPr>
            </w:pPr>
            <w:r>
              <w:rPr>
                <w:rFonts w:ascii="Times New Roman" w:cs="Times New Roman" w:eastAsia="Times New Roman" w:hAnsi="Times New Roman"/>
                <w:sz w:val="14"/>
                <w:szCs w:val="14"/>
                <w:color w:val="0000EE"/>
              </w:rPr>
              <w:t>DESCRIPTION OF SPINCO COMMON STOCK</w:t>
            </w:r>
          </w:p>
        </w:tc>
        <w:tc>
          <w:tcPr>
            <w:tcW w:w="2020" w:type="dxa"/>
            <w:vAlign w:val="bottom"/>
            <w:gridSpan w:val="3"/>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162</w:t>
            </w:r>
          </w:p>
        </w:tc>
      </w:tr>
      <w:tr>
        <w:trPr>
          <w:trHeight w:val="20"/>
        </w:trPr>
        <w:tc>
          <w:tcPr>
            <w:tcW w:w="2140" w:type="dxa"/>
            <w:vAlign w:val="bottom"/>
            <w:tcBorders>
              <w:right w:val="single" w:sz="8" w:color="0000EE"/>
            </w:tcBorders>
            <w:gridSpan w:val="21"/>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7420" w:type="dxa"/>
            <w:vAlign w:val="bottom"/>
            <w:gridSpan w:val="43"/>
          </w:tcPr>
          <w:p>
            <w:pPr>
              <w:spacing w:after="0" w:line="148" w:lineRule="exact"/>
              <w:rPr>
                <w:sz w:val="20"/>
                <w:szCs w:val="20"/>
                <w:color w:val="auto"/>
              </w:rPr>
            </w:pPr>
            <w:r>
              <w:rPr>
                <w:rFonts w:ascii="Times New Roman" w:cs="Times New Roman" w:eastAsia="Times New Roman" w:hAnsi="Times New Roman"/>
                <w:sz w:val="14"/>
                <w:szCs w:val="14"/>
                <w:color w:val="0000EE"/>
              </w:rPr>
              <w:t>COMPARISON OF SHAREHOLDERS’ RIGHTS</w:t>
            </w: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163</w:t>
            </w:r>
          </w:p>
        </w:tc>
      </w:tr>
      <w:tr>
        <w:trPr>
          <w:trHeight w:val="148"/>
        </w:trPr>
        <w:tc>
          <w:tcPr>
            <w:tcW w:w="2300" w:type="dxa"/>
            <w:vAlign w:val="bottom"/>
            <w:tcBorders>
              <w:top w:val="single" w:sz="8" w:color="0000EE"/>
              <w:bottom w:val="single" w:sz="8" w:color="0000EE"/>
            </w:tcBorders>
            <w:gridSpan w:val="24"/>
          </w:tcPr>
          <w:p>
            <w:pPr>
              <w:spacing w:after="0" w:line="148" w:lineRule="exact"/>
              <w:rPr>
                <w:sz w:val="20"/>
                <w:szCs w:val="20"/>
                <w:color w:val="auto"/>
              </w:rPr>
            </w:pPr>
            <w:r>
              <w:rPr>
                <w:rFonts w:ascii="Times New Roman" w:cs="Times New Roman" w:eastAsia="Times New Roman" w:hAnsi="Times New Roman"/>
                <w:sz w:val="14"/>
                <w:szCs w:val="14"/>
                <w:color w:val="0000EE"/>
                <w:w w:val="98"/>
              </w:rPr>
              <w:t>INFORMATION ABOUT GENTHERM</w:t>
            </w:r>
          </w:p>
        </w:tc>
        <w:tc>
          <w:tcPr>
            <w:tcW w:w="540" w:type="dxa"/>
            <w:vAlign w:val="bottom"/>
            <w:tcBorders>
              <w:top w:val="single" w:sz="8" w:color="0000EE"/>
            </w:tcBorders>
            <w:gridSpan w:val="5"/>
          </w:tcPr>
          <w:p>
            <w:pPr>
              <w:spacing w:after="0"/>
              <w:rPr>
                <w:sz w:val="12"/>
                <w:szCs w:val="12"/>
                <w:color w:val="auto"/>
              </w:rPr>
            </w:pPr>
          </w:p>
        </w:tc>
        <w:tc>
          <w:tcPr>
            <w:tcW w:w="4580" w:type="dxa"/>
            <w:vAlign w:val="bottom"/>
            <w:gridSpan w:val="14"/>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172</w:t>
            </w:r>
          </w:p>
        </w:tc>
      </w:tr>
      <w:tr>
        <w:trPr>
          <w:trHeight w:val="148"/>
        </w:trPr>
        <w:tc>
          <w:tcPr>
            <w:tcW w:w="2140" w:type="dxa"/>
            <w:vAlign w:val="bottom"/>
            <w:tcBorders>
              <w:bottom w:val="single" w:sz="8" w:color="0000EE"/>
            </w:tcBorders>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INFORMATION ABOUT MODINE</w:t>
            </w:r>
          </w:p>
        </w:tc>
        <w:tc>
          <w:tcPr>
            <w:tcW w:w="5280" w:type="dxa"/>
            <w:vAlign w:val="bottom"/>
            <w:gridSpan w:val="22"/>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172</w:t>
            </w:r>
          </w:p>
        </w:tc>
      </w:tr>
      <w:tr>
        <w:trPr>
          <w:trHeight w:val="148"/>
        </w:trPr>
        <w:tc>
          <w:tcPr>
            <w:tcW w:w="4660" w:type="dxa"/>
            <w:vAlign w:val="bottom"/>
            <w:tcBorders>
              <w:bottom w:val="single" w:sz="8" w:color="0000EE"/>
            </w:tcBorders>
            <w:gridSpan w:val="35"/>
          </w:tcPr>
          <w:p>
            <w:pPr>
              <w:spacing w:after="0" w:line="148" w:lineRule="exact"/>
              <w:rPr>
                <w:sz w:val="20"/>
                <w:szCs w:val="20"/>
                <w:color w:val="auto"/>
              </w:rPr>
            </w:pPr>
            <w:r>
              <w:rPr>
                <w:rFonts w:ascii="Times New Roman" w:cs="Times New Roman" w:eastAsia="Times New Roman" w:hAnsi="Times New Roman"/>
                <w:sz w:val="14"/>
                <w:szCs w:val="14"/>
                <w:color w:val="0000EE"/>
                <w:w w:val="99"/>
              </w:rPr>
              <w:t>INFORMATION ABOUT THE PERFORMANCE TECHNOLOGIES BUSINESS</w:t>
            </w:r>
          </w:p>
        </w:tc>
        <w:tc>
          <w:tcPr>
            <w:tcW w:w="2760" w:type="dxa"/>
            <w:vAlign w:val="bottom"/>
            <w:gridSpan w:val="8"/>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173</w:t>
            </w: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7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w w:val="99"/>
              </w:rPr>
              <w:t>MANAGEMENT’S DISCUSSION AND ANALYSIS OF FINANCIAL CONDITION AND RESULTS OF OPERATIONS OF THE</w:t>
            </w:r>
          </w:p>
        </w:tc>
        <w:tc>
          <w:tcPr>
            <w:tcW w:w="1080" w:type="dxa"/>
            <w:vAlign w:val="bottom"/>
          </w:tcPr>
          <w:p>
            <w:pPr>
              <w:spacing w:after="0"/>
              <w:rPr>
                <w:sz w:val="13"/>
                <w:szCs w:val="13"/>
                <w:color w:val="auto"/>
              </w:rPr>
            </w:pPr>
          </w:p>
        </w:tc>
      </w:tr>
      <w:tr>
        <w:trPr>
          <w:trHeight w:val="148"/>
        </w:trPr>
        <w:tc>
          <w:tcPr>
            <w:tcW w:w="140" w:type="dxa"/>
            <w:vAlign w:val="bottom"/>
          </w:tcPr>
          <w:p>
            <w:pPr>
              <w:spacing w:after="0"/>
              <w:rPr>
                <w:sz w:val="12"/>
                <w:szCs w:val="12"/>
                <w:color w:val="auto"/>
              </w:rPr>
            </w:pPr>
          </w:p>
        </w:tc>
        <w:tc>
          <w:tcPr>
            <w:tcW w:w="7320" w:type="dxa"/>
            <w:vAlign w:val="bottom"/>
            <w:gridSpan w:val="16"/>
          </w:tcPr>
          <w:p>
            <w:pPr>
              <w:spacing w:after="0" w:line="148" w:lineRule="exact"/>
              <w:rPr>
                <w:sz w:val="20"/>
                <w:szCs w:val="20"/>
                <w:color w:val="auto"/>
              </w:rPr>
            </w:pPr>
            <w:r>
              <w:rPr>
                <w:rFonts w:ascii="Times New Roman" w:cs="Times New Roman" w:eastAsia="Times New Roman" w:hAnsi="Times New Roman"/>
                <w:sz w:val="14"/>
                <w:szCs w:val="14"/>
                <w:color w:val="0000EE"/>
              </w:rPr>
              <w:t>PERFORMANCE TECHNOLOGIES BUSINESS</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179</w:t>
            </w:r>
          </w:p>
        </w:tc>
      </w:tr>
      <w:tr>
        <w:trPr>
          <w:trHeight w:val="20"/>
        </w:trPr>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8"/>
        </w:trPr>
        <w:tc>
          <w:tcPr>
            <w:tcW w:w="5120" w:type="dxa"/>
            <w:vAlign w:val="bottom"/>
            <w:tcBorders>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w w:val="99"/>
              </w:rPr>
              <w:t>UNAUDITED PRO FORMA CONDENSED COMBINED FINANCIAL INFORMATION</w:t>
            </w:r>
          </w:p>
        </w:tc>
        <w:tc>
          <w:tcPr>
            <w:tcW w:w="2340" w:type="dxa"/>
            <w:vAlign w:val="bottom"/>
            <w:gridSpan w:val="3"/>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193</w:t>
            </w:r>
          </w:p>
        </w:tc>
      </w:tr>
      <w:tr>
        <w:trPr>
          <w:trHeight w:val="148"/>
        </w:trPr>
        <w:tc>
          <w:tcPr>
            <w:tcW w:w="7460" w:type="dxa"/>
            <w:vAlign w:val="bottom"/>
            <w:gridSpan w:val="17"/>
          </w:tcPr>
          <w:p>
            <w:pPr>
              <w:spacing w:after="0" w:line="148" w:lineRule="exact"/>
              <w:rPr>
                <w:sz w:val="20"/>
                <w:szCs w:val="20"/>
                <w:color w:val="auto"/>
              </w:rPr>
            </w:pPr>
            <w:r>
              <w:rPr>
                <w:rFonts w:ascii="Times New Roman" w:cs="Times New Roman" w:eastAsia="Times New Roman" w:hAnsi="Times New Roman"/>
                <w:sz w:val="14"/>
                <w:szCs w:val="14"/>
                <w:color w:val="0000EE"/>
              </w:rPr>
              <w:t>MATERIAL U.S. FEDERAL INCOME TAX CONSIDERATIONS OF THE DISTRIBUTION AND THE MERGER</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215</w:t>
            </w:r>
          </w:p>
        </w:tc>
      </w:tr>
      <w:tr>
        <w:trPr>
          <w:trHeight w:val="148"/>
        </w:trPr>
        <w:tc>
          <w:tcPr>
            <w:tcW w:w="4360" w:type="dxa"/>
            <w:vAlign w:val="bottom"/>
            <w:tcBorders>
              <w:top w:val="single" w:sz="8" w:color="0000EE"/>
              <w:bottom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w w:val="98"/>
              </w:rPr>
              <w:t>CERTAIN RELATIONSHIPS AND RELATED PERSON TRANSACTIONS</w:t>
            </w:r>
          </w:p>
        </w:tc>
        <w:tc>
          <w:tcPr>
            <w:tcW w:w="2220" w:type="dxa"/>
            <w:vAlign w:val="bottom"/>
            <w:tcBorders>
              <w:top w:val="single" w:sz="8" w:color="0000EE"/>
            </w:tcBorders>
            <w:gridSpan w:val="3"/>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223</w:t>
            </w:r>
          </w:p>
        </w:tc>
      </w:tr>
      <w:tr>
        <w:trPr>
          <w:trHeight w:val="148"/>
        </w:trPr>
        <w:tc>
          <w:tcPr>
            <w:tcW w:w="7460" w:type="dxa"/>
            <w:vAlign w:val="bottom"/>
            <w:gridSpan w:val="17"/>
          </w:tcPr>
          <w:p>
            <w:pPr>
              <w:spacing w:after="0" w:line="148" w:lineRule="exact"/>
              <w:rPr>
                <w:sz w:val="20"/>
                <w:szCs w:val="20"/>
                <w:color w:val="auto"/>
              </w:rPr>
            </w:pPr>
            <w:r>
              <w:rPr>
                <w:rFonts w:ascii="Times New Roman" w:cs="Times New Roman" w:eastAsia="Times New Roman" w:hAnsi="Times New Roman"/>
                <w:sz w:val="14"/>
                <w:szCs w:val="14"/>
                <w:color w:val="0000EE"/>
              </w:rPr>
              <w:t>CERTAIN BENEFICIAL OWNERS OF GENTHERM COMMON STOCK</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223</w:t>
            </w:r>
          </w:p>
        </w:tc>
      </w:tr>
      <w:tr>
        <w:trPr>
          <w:trHeight w:val="148"/>
        </w:trPr>
        <w:tc>
          <w:tcPr>
            <w:tcW w:w="1300" w:type="dxa"/>
            <w:vAlign w:val="bottom"/>
            <w:tcBorders>
              <w:top w:val="single" w:sz="8" w:color="0000EE"/>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8"/>
              </w:rPr>
              <w:t>APPRAISAL RIGHTS</w:t>
            </w:r>
          </w:p>
        </w:tc>
        <w:tc>
          <w:tcPr>
            <w:tcW w:w="2960" w:type="dxa"/>
            <w:vAlign w:val="bottom"/>
            <w:tcBorders>
              <w:top w:val="single" w:sz="8" w:color="0000EE"/>
            </w:tcBorders>
            <w:gridSpan w:val="5"/>
          </w:tcPr>
          <w:p>
            <w:pPr>
              <w:spacing w:after="0"/>
              <w:rPr>
                <w:sz w:val="12"/>
                <w:szCs w:val="12"/>
                <w:color w:val="auto"/>
              </w:rPr>
            </w:pPr>
          </w:p>
        </w:tc>
        <w:tc>
          <w:tcPr>
            <w:tcW w:w="3200" w:type="dxa"/>
            <w:vAlign w:val="bottom"/>
            <w:gridSpan w:val="5"/>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225</w:t>
            </w:r>
          </w:p>
        </w:tc>
      </w:tr>
      <w:tr>
        <w:trPr>
          <w:trHeight w:val="148"/>
        </w:trPr>
        <w:tc>
          <w:tcPr>
            <w:tcW w:w="7460" w:type="dxa"/>
            <w:vAlign w:val="bottom"/>
            <w:gridSpan w:val="17"/>
          </w:tcPr>
          <w:p>
            <w:pPr>
              <w:spacing w:after="0" w:line="148" w:lineRule="exact"/>
              <w:rPr>
                <w:sz w:val="20"/>
                <w:szCs w:val="20"/>
                <w:color w:val="auto"/>
              </w:rPr>
            </w:pPr>
            <w:r>
              <w:rPr>
                <w:rFonts w:ascii="Times New Roman" w:cs="Times New Roman" w:eastAsia="Times New Roman" w:hAnsi="Times New Roman"/>
                <w:sz w:val="14"/>
                <w:szCs w:val="14"/>
                <w:color w:val="0000EE"/>
              </w:rPr>
              <w:t>LEGAL MATTERS</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225</w:t>
            </w:r>
          </w:p>
        </w:tc>
      </w:tr>
      <w:tr>
        <w:trPr>
          <w:trHeight w:val="148"/>
        </w:trPr>
        <w:tc>
          <w:tcPr>
            <w:tcW w:w="600" w:type="dxa"/>
            <w:vAlign w:val="bottom"/>
            <w:tcBorders>
              <w:top w:val="single" w:sz="8" w:color="0000EE"/>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tcPr>
          <w:p>
            <w:pPr>
              <w:spacing w:after="0"/>
              <w:rPr>
                <w:sz w:val="12"/>
                <w:szCs w:val="12"/>
                <w:color w:val="auto"/>
              </w:rPr>
            </w:pPr>
          </w:p>
        </w:tc>
        <w:tc>
          <w:tcPr>
            <w:tcW w:w="6340" w:type="dxa"/>
            <w:vAlign w:val="bottom"/>
            <w:gridSpan w:val="11"/>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225</w:t>
            </w:r>
          </w:p>
        </w:tc>
      </w:tr>
      <w:tr>
        <w:trPr>
          <w:trHeight w:val="148"/>
        </w:trPr>
        <w:tc>
          <w:tcPr>
            <w:tcW w:w="244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9"/>
              </w:rPr>
              <w:t>FUTURE SHAREHOLDER PROPOSALS</w:t>
            </w:r>
          </w:p>
        </w:tc>
        <w:tc>
          <w:tcPr>
            <w:tcW w:w="5020" w:type="dxa"/>
            <w:vAlign w:val="bottom"/>
            <w:gridSpan w:val="9"/>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225</w:t>
            </w:r>
          </w:p>
        </w:tc>
      </w:tr>
      <w:tr>
        <w:trPr>
          <w:trHeight w:val="148"/>
        </w:trPr>
        <w:tc>
          <w:tcPr>
            <w:tcW w:w="7460" w:type="dxa"/>
            <w:vAlign w:val="bottom"/>
            <w:gridSpan w:val="17"/>
          </w:tcPr>
          <w:p>
            <w:pPr>
              <w:spacing w:after="0" w:line="148" w:lineRule="exact"/>
              <w:rPr>
                <w:sz w:val="20"/>
                <w:szCs w:val="20"/>
                <w:color w:val="auto"/>
              </w:rPr>
            </w:pPr>
            <w:r>
              <w:rPr>
                <w:rFonts w:ascii="Times New Roman" w:cs="Times New Roman" w:eastAsia="Times New Roman" w:hAnsi="Times New Roman"/>
                <w:sz w:val="14"/>
                <w:szCs w:val="14"/>
                <w:color w:val="0000EE"/>
              </w:rPr>
              <w:t>PROPOSALS TO BE ACTED UPON AT THE SPECIAL MEETING</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226</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20" w:type="dxa"/>
            <w:vAlign w:val="bottom"/>
            <w:gridSpan w:val="6"/>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48"/>
        </w:trPr>
        <w:tc>
          <w:tcPr>
            <w:tcW w:w="5240" w:type="dxa"/>
            <w:vAlign w:val="bottom"/>
            <w:tcBorders>
              <w:bottom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EE"/>
                <w:w w:val="99"/>
              </w:rPr>
              <w:t>WHERE YOU CAN FIND MORE INFORMATION; INCORPORATION BY REFERENCE</w:t>
            </w:r>
          </w:p>
        </w:tc>
        <w:tc>
          <w:tcPr>
            <w:tcW w:w="2220" w:type="dxa"/>
            <w:vAlign w:val="bottom"/>
            <w:gridSpan w:val="2"/>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229</w:t>
            </w:r>
          </w:p>
        </w:tc>
      </w:tr>
      <w:tr>
        <w:trPr>
          <w:trHeight w:val="148"/>
        </w:trPr>
        <w:tc>
          <w:tcPr>
            <w:tcW w:w="7460" w:type="dxa"/>
            <w:vAlign w:val="bottom"/>
            <w:gridSpan w:val="17"/>
          </w:tcPr>
          <w:p>
            <w:pPr>
              <w:spacing w:after="0" w:line="148" w:lineRule="exact"/>
              <w:rPr>
                <w:sz w:val="20"/>
                <w:szCs w:val="20"/>
                <w:color w:val="auto"/>
              </w:rPr>
            </w:pPr>
            <w:r>
              <w:rPr>
                <w:rFonts w:ascii="Times New Roman" w:cs="Times New Roman" w:eastAsia="Times New Roman" w:hAnsi="Times New Roman"/>
                <w:sz w:val="14"/>
                <w:szCs w:val="14"/>
                <w:color w:val="0000EE"/>
              </w:rPr>
              <w:t>INDEX TO COMBINED FINANCIAL STATEMENTS</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F-1</w:t>
            </w:r>
          </w:p>
        </w:tc>
      </w:tr>
      <w:tr>
        <w:trPr>
          <w:trHeight w:val="148"/>
        </w:trPr>
        <w:tc>
          <w:tcPr>
            <w:tcW w:w="52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8"/>
              </w:rPr>
              <w:t>Annex A</w:t>
            </w:r>
          </w:p>
        </w:tc>
        <w:tc>
          <w:tcPr>
            <w:tcW w:w="2620" w:type="dxa"/>
            <w:vAlign w:val="bottom"/>
            <w:tcBorders>
              <w:top w:val="single" w:sz="8" w:color="0000EE"/>
            </w:tcBorders>
            <w:gridSpan w:val="6"/>
          </w:tcPr>
          <w:p>
            <w:pPr>
              <w:spacing w:after="0"/>
              <w:rPr>
                <w:sz w:val="12"/>
                <w:szCs w:val="12"/>
                <w:color w:val="auto"/>
              </w:rPr>
            </w:pPr>
          </w:p>
        </w:tc>
        <w:tc>
          <w:tcPr>
            <w:tcW w:w="4320" w:type="dxa"/>
            <w:vAlign w:val="bottom"/>
            <w:gridSpan w:val="7"/>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A-1</w:t>
            </w:r>
          </w:p>
        </w:tc>
      </w:tr>
      <w:tr>
        <w:trPr>
          <w:trHeight w:val="148"/>
        </w:trPr>
        <w:tc>
          <w:tcPr>
            <w:tcW w:w="50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5"/>
              </w:rPr>
              <w:t>Annex B</w:t>
            </w:r>
          </w:p>
        </w:tc>
        <w:tc>
          <w:tcPr>
            <w:tcW w:w="6960" w:type="dxa"/>
            <w:vAlign w:val="bottom"/>
            <w:gridSpan w:val="14"/>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B-1</w:t>
            </w:r>
          </w:p>
        </w:tc>
      </w:tr>
      <w:tr>
        <w:trPr>
          <w:trHeight w:val="148"/>
        </w:trPr>
        <w:tc>
          <w:tcPr>
            <w:tcW w:w="50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5"/>
              </w:rPr>
              <w:t>Annex C</w:t>
            </w:r>
          </w:p>
        </w:tc>
        <w:tc>
          <w:tcPr>
            <w:tcW w:w="6960" w:type="dxa"/>
            <w:vAlign w:val="bottom"/>
            <w:gridSpan w:val="14"/>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C-1</w:t>
            </w:r>
          </w:p>
        </w:tc>
      </w:tr>
      <w:tr>
        <w:trPr>
          <w:trHeight w:val="148"/>
        </w:trPr>
        <w:tc>
          <w:tcPr>
            <w:tcW w:w="520" w:type="dxa"/>
            <w:vAlign w:val="bottom"/>
            <w:tcBorders>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8"/>
              </w:rPr>
              <w:t>Annex D</w:t>
            </w:r>
          </w:p>
        </w:tc>
        <w:tc>
          <w:tcPr>
            <w:tcW w:w="6940" w:type="dxa"/>
            <w:vAlign w:val="bottom"/>
            <w:gridSpan w:val="13"/>
          </w:tcPr>
          <w:p>
            <w:pPr>
              <w:spacing w:after="0"/>
              <w:rPr>
                <w:sz w:val="12"/>
                <w:szCs w:val="12"/>
                <w:color w:val="auto"/>
              </w:rPr>
            </w:pP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D-1</w:t>
            </w:r>
          </w:p>
        </w:tc>
      </w:tr>
      <w:tr>
        <w:trPr>
          <w:trHeight w:val="148"/>
        </w:trPr>
        <w:tc>
          <w:tcPr>
            <w:tcW w:w="7460" w:type="dxa"/>
            <w:vAlign w:val="bottom"/>
            <w:gridSpan w:val="17"/>
          </w:tcPr>
          <w:p>
            <w:pPr>
              <w:spacing w:after="0" w:line="148" w:lineRule="exact"/>
              <w:rPr>
                <w:sz w:val="20"/>
                <w:szCs w:val="20"/>
                <w:color w:val="auto"/>
              </w:rPr>
            </w:pPr>
            <w:r>
              <w:rPr>
                <w:rFonts w:ascii="Times New Roman" w:cs="Times New Roman" w:eastAsia="Times New Roman" w:hAnsi="Times New Roman"/>
                <w:sz w:val="14"/>
                <w:szCs w:val="14"/>
                <w:color w:val="0000EE"/>
              </w:rPr>
              <w:t>Annex E</w:t>
            </w:r>
          </w:p>
        </w:tc>
        <w:tc>
          <w:tcPr>
            <w:tcW w:w="10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E-1</w:t>
            </w:r>
          </w:p>
        </w:tc>
      </w:tr>
      <w:tr>
        <w:trPr>
          <w:trHeight w:val="20"/>
        </w:trPr>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Certain abbreviations and terms used in the text and notes of this proxy statement/prospectus are defined below:</w:t>
      </w:r>
    </w:p>
    <w:p>
      <w:pPr>
        <w:sectPr>
          <w:pgSz w:w="11900" w:h="16838" w:orient="portrait"/>
          <w:cols w:equalWidth="0" w:num="1">
            <w:col w:w="10159"/>
          </w:cols>
          <w:pgMar w:left="300" w:top="386" w:right="1440" w:bottom="1440" w:gutter="0" w:footer="0" w:header="0"/>
        </w:sectPr>
      </w:pPr>
    </w:p>
    <w:p>
      <w:pPr>
        <w:spacing w:after="0" w:line="19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88"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“Acquisition Transaction”</w:t>
      </w:r>
    </w:p>
    <w:p>
      <w:pPr>
        <w:spacing w:after="0" w:line="20" w:lineRule="exact"/>
        <w:rPr>
          <w:sz w:val="20"/>
          <w:szCs w:val="20"/>
          <w:color w:val="auto"/>
        </w:rPr>
      </w:pPr>
      <w:r>
        <w:rPr>
          <w:sz w:val="20"/>
          <w:szCs w:val="20"/>
          <w:color w:val="auto"/>
        </w:rPr>
        <w:br w:type="column"/>
      </w:r>
    </w:p>
    <w:p>
      <w:pPr>
        <w:ind w:right="279"/>
        <w:spacing w:after="0" w:line="253" w:lineRule="auto"/>
        <w:rPr>
          <w:sz w:val="20"/>
          <w:szCs w:val="20"/>
          <w:color w:val="auto"/>
        </w:rPr>
      </w:pPr>
      <w:r>
        <w:rPr>
          <w:rFonts w:ascii="Times New Roman" w:cs="Times New Roman" w:eastAsia="Times New Roman" w:hAnsi="Times New Roman"/>
          <w:sz w:val="14"/>
          <w:szCs w:val="14"/>
          <w:color w:val="auto"/>
        </w:rPr>
        <w:t>Any transaction or series of transactions (other than the Transactions) involving, directly or indirectly: (a) any merger, scheme of arrangement, reorganization, sale of assets, share exchange, consolidation, business combination, recapitalization, dissolution, liquidation, joint venture, exclusive license, spin-off, share exchange or other similar transaction involving twenty percent (20%) or more of the issued and outstanding shares of Gentherm Common Stock or any other class or type of interest, or consolidated assets of Gentherm or any of its subsidiaries, (b) the acquisition (whether by merger, scheme of arrangement, consolidation, equity investment, joint venture or otherwise) by any Person of twenty percent (20%) or more of the consolidated assets (it being understood that consolidated assets include equity securities of subsidiaries), net revenue or net income of Gentherm and its subsidiaries, as determined on a fair-market-value basis, (c) the purchase or acquisition after the date hereof, directly or indirectly, by any Person of twenty percent (20%) or more of the issued and outstanding shares of Gentherm Common Stock or of any other class or type of interest of Gentherm, (d) any purchase, acquisition, tender offer or exchange offer that, if consummated, would result in any Person beneficially owning twenty percent (20%) or more of the shares of Gentherm Common Stock or if any other class or type of interest of Gentherm or any of its subsidiaries or (e) any combination of the foregoing.</w:t>
      </w:r>
    </w:p>
    <w:p>
      <w:pPr>
        <w:spacing w:after="0" w:line="86" w:lineRule="exact"/>
        <w:rPr>
          <w:sz w:val="20"/>
          <w:szCs w:val="20"/>
          <w:color w:val="auto"/>
        </w:rPr>
      </w:pPr>
    </w:p>
    <w:p>
      <w:pPr>
        <w:sectPr>
          <w:pgSz w:w="11900" w:h="16838" w:orient="portrait"/>
          <w:cols w:equalWidth="0" w:num="2">
            <w:col w:w="2820" w:space="2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“Adjournment Proposal”</w:t>
      </w:r>
    </w:p>
    <w:p>
      <w:pPr>
        <w:spacing w:after="0" w:line="20" w:lineRule="exact"/>
        <w:rPr>
          <w:sz w:val="20"/>
          <w:szCs w:val="20"/>
          <w:color w:val="auto"/>
        </w:rPr>
      </w:pPr>
      <w:r>
        <w:rPr>
          <w:sz w:val="20"/>
          <w:szCs w:val="20"/>
          <w:color w:val="auto"/>
        </w:rPr>
        <w:br w:type="column"/>
      </w:r>
    </w:p>
    <w:p>
      <w:pPr>
        <w:ind w:right="379"/>
        <w:spacing w:after="0" w:line="255" w:lineRule="auto"/>
        <w:rPr>
          <w:sz w:val="20"/>
          <w:szCs w:val="20"/>
          <w:color w:val="auto"/>
        </w:rPr>
      </w:pPr>
      <w:r>
        <w:rPr>
          <w:rFonts w:ascii="Times New Roman" w:cs="Times New Roman" w:eastAsia="Times New Roman" w:hAnsi="Times New Roman"/>
          <w:sz w:val="14"/>
          <w:szCs w:val="14"/>
          <w:color w:val="auto"/>
        </w:rPr>
        <w:t>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w:t>
      </w:r>
    </w:p>
    <w:p>
      <w:pPr>
        <w:spacing w:after="0" w:line="82" w:lineRule="exact"/>
        <w:rPr>
          <w:sz w:val="20"/>
          <w:szCs w:val="20"/>
          <w:color w:val="auto"/>
        </w:rPr>
      </w:pPr>
    </w:p>
    <w:p>
      <w:pPr>
        <w:sectPr>
          <w:pgSz w:w="11900" w:h="16838" w:orient="portrait"/>
          <w:cols w:equalWidth="0" w:num="2">
            <w:col w:w="2760" w:space="3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“Affiliate”</w:t>
      </w:r>
    </w:p>
    <w:p>
      <w:pPr>
        <w:spacing w:after="0" w:line="20" w:lineRule="exact"/>
        <w:rPr>
          <w:sz w:val="20"/>
          <w:szCs w:val="20"/>
          <w:color w:val="auto"/>
        </w:rPr>
      </w:pPr>
      <w:r>
        <w:rPr>
          <w:sz w:val="20"/>
          <w:szCs w:val="20"/>
          <w:color w:val="auto"/>
        </w:rPr>
        <w:br w:type="column"/>
      </w:r>
    </w:p>
    <w:p>
      <w:pPr>
        <w:ind w:right="359"/>
        <w:spacing w:after="0" w:line="257" w:lineRule="auto"/>
        <w:rPr>
          <w:sz w:val="20"/>
          <w:szCs w:val="20"/>
          <w:color w:val="auto"/>
        </w:rPr>
      </w:pPr>
      <w:r>
        <w:rPr>
          <w:rFonts w:ascii="Times New Roman" w:cs="Times New Roman" w:eastAsia="Times New Roman" w:hAnsi="Times New Roman"/>
          <w:sz w:val="14"/>
          <w:szCs w:val="14"/>
          <w:color w:val="auto"/>
        </w:rPr>
        <w:t>When used with respect to a specified Person (at any point in time or with respect to a period of time, as applicable), a Person that, directly or indirectly, through one (1)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w:t>
      </w:r>
    </w:p>
    <w:p>
      <w:pPr>
        <w:spacing w:after="0" w:line="78"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“Aggregate Adjustment</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w:t>
      </w:r>
    </w:p>
    <w:p>
      <w:pPr>
        <w:spacing w:after="0" w:line="20" w:lineRule="exact"/>
        <w:rPr>
          <w:sz w:val="20"/>
          <w:szCs w:val="20"/>
          <w:color w:val="auto"/>
        </w:rPr>
      </w:pPr>
      <w:r>
        <w:rPr>
          <w:sz w:val="20"/>
          <w:szCs w:val="20"/>
          <w:color w:val="auto"/>
        </w:rPr>
        <w:br w:type="column"/>
      </w:r>
    </w:p>
    <w:p>
      <w:pPr>
        <w:ind w:right="419"/>
        <w:spacing w:after="0" w:line="286" w:lineRule="auto"/>
        <w:rPr>
          <w:sz w:val="20"/>
          <w:szCs w:val="20"/>
          <w:color w:val="auto"/>
        </w:rPr>
      </w:pPr>
      <w:r>
        <w:rPr>
          <w:rFonts w:ascii="Times New Roman" w:cs="Times New Roman" w:eastAsia="Times New Roman" w:hAnsi="Times New Roman"/>
          <w:sz w:val="14"/>
          <w:szCs w:val="14"/>
          <w:color w:val="auto"/>
        </w:rPr>
        <w:t xml:space="preserve">The product of: (A) the Exchange Ratio Increase Amount,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(B) $37.4775,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(C) the number of outstanding shares of SpinCo Common Stock that will be outstanding immediately prior to the Effective Time.</w:t>
      </w:r>
    </w:p>
    <w:p>
      <w:pPr>
        <w:spacing w:after="0" w:line="60" w:lineRule="exact"/>
        <w:rPr>
          <w:sz w:val="20"/>
          <w:szCs w:val="20"/>
          <w:color w:val="auto"/>
        </w:rPr>
      </w:pPr>
    </w:p>
    <w:p>
      <w:pPr>
        <w:sectPr>
          <w:pgSz w:w="11900" w:h="16838" w:orient="portrait"/>
          <w:cols w:equalWidth="0" w:num="2">
            <w:col w:w="2680" w:space="400"/>
            <w:col w:w="7079"/>
          </w:cols>
          <w:pgMar w:left="300" w:top="386" w:right="1440" w:bottom="1440" w:gutter="0" w:footer="0" w:header="0"/>
          <w:type w:val="continuous"/>
        </w:sectPr>
      </w:pPr>
    </w:p>
    <w:p>
      <w:pPr>
        <w:jc w:val="center"/>
        <w:ind w:left="840"/>
        <w:spacing w:after="0"/>
        <w:rPr>
          <w:sz w:val="20"/>
          <w:szCs w:val="20"/>
          <w:color w:val="auto"/>
        </w:rPr>
      </w:pPr>
      <w:r>
        <w:rPr>
          <w:rFonts w:ascii="Times New Roman" w:cs="Times New Roman" w:eastAsia="Times New Roman" w:hAnsi="Times New Roman"/>
          <w:sz w:val="13"/>
          <w:szCs w:val="13"/>
          <w:color w:val="auto"/>
        </w:rPr>
        <w:t>“Assets”</w:t>
      </w:r>
    </w:p>
    <w:p>
      <w:pPr>
        <w:spacing w:after="0" w:line="20" w:lineRule="exact"/>
        <w:rPr>
          <w:sz w:val="20"/>
          <w:szCs w:val="20"/>
          <w:color w:val="auto"/>
        </w:rPr>
      </w:pPr>
      <w:r>
        <w:rPr>
          <w:sz w:val="20"/>
          <w:szCs w:val="20"/>
          <w:color w:val="auto"/>
        </w:rPr>
        <w:br w:type="column"/>
      </w:r>
    </w:p>
    <w:p>
      <w:pPr>
        <w:ind w:right="239"/>
        <w:spacing w:after="0" w:line="261" w:lineRule="auto"/>
        <w:rPr>
          <w:sz w:val="20"/>
          <w:szCs w:val="20"/>
          <w:color w:val="auto"/>
        </w:rPr>
      </w:pPr>
      <w:r>
        <w:rPr>
          <w:rFonts w:ascii="Times New Roman" w:cs="Times New Roman" w:eastAsia="Times New Roman" w:hAnsi="Times New Roman"/>
          <w:sz w:val="14"/>
          <w:szCs w:val="14"/>
          <w:color w:val="auto"/>
        </w:rPr>
        <w:t>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w:t>
      </w:r>
    </w:p>
    <w:p>
      <w:pPr>
        <w:spacing w:after="0" w:line="88"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1"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3080" w:right="359"/>
        <w:spacing w:after="0" w:line="242" w:lineRule="auto"/>
        <w:rPr>
          <w:sz w:val="20"/>
          <w:szCs w:val="20"/>
          <w:color w:val="auto"/>
        </w:rPr>
      </w:pPr>
      <w:r>
        <w:rPr>
          <w:rFonts w:ascii="Times New Roman" w:cs="Times New Roman" w:eastAsia="Times New Roman" w:hAnsi="Times New Roman"/>
          <w:sz w:val="14"/>
          <w:szCs w:val="14"/>
          <w:color w:val="auto"/>
        </w:rPr>
        <w:t>statements of such Person, including rights and benefits pursuant to any contract, license, permit, mortgage, concession, franchise, undertaking or other arrangement.</w:t>
      </w:r>
    </w:p>
    <w:p>
      <w:pPr>
        <w:sectPr>
          <w:pgSz w:w="11900" w:h="16838" w:orient="portrait"/>
          <w:cols w:equalWidth="0" w:num="1">
            <w:col w:w="10159"/>
          </w:cols>
          <w:pgMar w:left="300" w:top="386" w:right="1440" w:bottom="1440" w:gutter="0" w:footer="0" w:header="0"/>
          <w:type w:val="continuous"/>
        </w:sectPr>
      </w:pPr>
    </w:p>
    <w:p>
      <w:pPr>
        <w:spacing w:after="0" w:line="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“Barclays”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Barclays Capital Inc., financial advisor to Gentherm for purposes of the Transactions.</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“Benefit Plan”</w:t>
      </w:r>
    </w:p>
    <w:p>
      <w:pPr>
        <w:spacing w:after="0" w:line="20" w:lineRule="exact"/>
        <w:rPr>
          <w:sz w:val="20"/>
          <w:szCs w:val="20"/>
          <w:color w:val="auto"/>
        </w:rPr>
      </w:pPr>
      <w:r>
        <w:rPr>
          <w:sz w:val="20"/>
          <w:szCs w:val="20"/>
          <w:color w:val="auto"/>
        </w:rPr>
        <w:br w:type="column"/>
      </w:r>
    </w:p>
    <w:p>
      <w:pPr>
        <w:ind w:right="239"/>
        <w:spacing w:after="0" w:line="256" w:lineRule="auto"/>
        <w:rPr>
          <w:sz w:val="20"/>
          <w:szCs w:val="20"/>
          <w:color w:val="auto"/>
        </w:rPr>
      </w:pPr>
      <w:r>
        <w:rPr>
          <w:rFonts w:ascii="Times New Roman" w:cs="Times New Roman" w:eastAsia="Times New Roman" w:hAnsi="Times New Roman"/>
          <w:sz w:val="14"/>
          <w:szCs w:val="14"/>
          <w:color w:val="auto"/>
        </w:rPr>
        <w:t>Each “employee benefit plan” (within the meaning of Section 3(3) of ERISA but regardless of whether such plan is subject to ERISA) and each benefit or compensation plan, program, policy, contract, agreement or arrangement, including each pension, post-employment or retirement, profit sharing, 401(k), severance, health and welfare, disability, deferred compensation, employment, consulting, termination, supplemental unemployment, change-in-control, retention, fringe benefit, stock purchase, cash bonus or equity or equity-based incentive plan, program, agreement, policy or other arrangement, in each case, excluding any plan, program or arrangement that is sponsored, maintained or administered by any Governmental Authority or any multiemployer plan.</w:t>
      </w:r>
    </w:p>
    <w:p>
      <w:pPr>
        <w:spacing w:after="0" w:line="80"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BofA Securities, Inc., financial advisor to Modine for purposes of the Transactions.</w:t>
      </w:r>
    </w:p>
    <w:p>
      <w:pPr>
        <w:spacing w:after="0" w:line="112" w:lineRule="exact"/>
        <w:rPr>
          <w:sz w:val="20"/>
          <w:szCs w:val="20"/>
          <w:color w:val="auto"/>
        </w:rPr>
      </w:pPr>
    </w:p>
    <w:p>
      <w:pPr>
        <w:sectPr>
          <w:pgSz w:w="11900" w:h="16838" w:orient="portrait"/>
          <w:cols w:equalWidth="0" w:num="2">
            <w:col w:w="2380" w:space="7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“Bridge Financing”</w:t>
      </w:r>
    </w:p>
    <w:p>
      <w:pPr>
        <w:spacing w:after="0" w:line="20" w:lineRule="exact"/>
        <w:rPr>
          <w:sz w:val="20"/>
          <w:szCs w:val="20"/>
          <w:color w:val="auto"/>
        </w:rPr>
      </w:pPr>
      <w:r>
        <w:rPr>
          <w:sz w:val="20"/>
          <w:szCs w:val="20"/>
          <w:color w:val="auto"/>
        </w:rPr>
        <w:br w:type="column"/>
      </w:r>
    </w:p>
    <w:p>
      <w:pPr>
        <w:ind w:right="299"/>
        <w:spacing w:after="0" w:line="283" w:lineRule="auto"/>
        <w:rPr>
          <w:sz w:val="20"/>
          <w:szCs w:val="20"/>
          <w:color w:val="auto"/>
        </w:rPr>
      </w:pPr>
      <w:r>
        <w:rPr>
          <w:rFonts w:ascii="Times New Roman" w:cs="Times New Roman" w:eastAsia="Times New Roman" w:hAnsi="Times New Roman"/>
          <w:sz w:val="14"/>
          <w:szCs w:val="14"/>
          <w:color w:val="auto"/>
        </w:rPr>
        <w:t>The bridge debt financing contemplated by the Commitment Letter, the commitments for which have been reduced to $0 as of June 29, 2026.</w:t>
      </w:r>
    </w:p>
    <w:p>
      <w:pPr>
        <w:spacing w:after="0" w:line="62" w:lineRule="exact"/>
        <w:rPr>
          <w:sz w:val="20"/>
          <w:szCs w:val="20"/>
          <w:color w:val="auto"/>
        </w:rPr>
      </w:pPr>
    </w:p>
    <w:p>
      <w:pPr>
        <w:sectPr>
          <w:pgSz w:w="11900" w:h="16838" w:orient="portrait"/>
          <w:cols w:equalWidth="0" w:num="2">
            <w:col w:w="2460" w:space="6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“Burdensome Condition”</w:t>
      </w:r>
    </w:p>
    <w:p>
      <w:pPr>
        <w:spacing w:after="0" w:line="20" w:lineRule="exact"/>
        <w:rPr>
          <w:sz w:val="20"/>
          <w:szCs w:val="20"/>
          <w:color w:val="auto"/>
        </w:rPr>
      </w:pPr>
      <w:r>
        <w:rPr>
          <w:sz w:val="20"/>
          <w:szCs w:val="20"/>
          <w:color w:val="auto"/>
        </w:rPr>
        <w:br w:type="column"/>
      </w:r>
    </w:p>
    <w:p>
      <w:pPr>
        <w:ind w:right="299"/>
        <w:spacing w:after="0" w:line="257" w:lineRule="auto"/>
        <w:rPr>
          <w:sz w:val="20"/>
          <w:szCs w:val="20"/>
          <w:color w:val="auto"/>
        </w:rPr>
      </w:pPr>
      <w:r>
        <w:rPr>
          <w:rFonts w:ascii="Times New Roman" w:cs="Times New Roman" w:eastAsia="Times New Roman" w:hAnsi="Times New Roman"/>
          <w:sz w:val="14"/>
          <w:szCs w:val="14"/>
          <w:color w:val="auto"/>
        </w:rPr>
        <w:t>For Gentherm, any requirement to take or agree to take any action that would, or would reasonably be expected to, result in a material adverse effect on the business, assets, properties, financial condition or results of operations of Gentherm and its subsidiaries (including SpinCo and other members of the SpinCo Group), taken as a whole, after the consummation of the Transactions, or for Modine, any requirement to take or agree to take any action that is not conditioned on the Closing or relates to or would impact any properties, assets or businesses of Modine’s climate solutions business.</w:t>
      </w:r>
    </w:p>
    <w:p>
      <w:pPr>
        <w:spacing w:after="0" w:line="80" w:lineRule="exact"/>
        <w:rPr>
          <w:sz w:val="20"/>
          <w:szCs w:val="20"/>
          <w:color w:val="auto"/>
        </w:rPr>
      </w:pPr>
    </w:p>
    <w:p>
      <w:pPr>
        <w:sectPr>
          <w:pgSz w:w="11900" w:h="16838" w:orient="portrait"/>
          <w:cols w:equalWidth="0" w:num="2">
            <w:col w:w="2780" w:space="3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“Cash Transfer”</w:t>
      </w:r>
    </w:p>
    <w:p>
      <w:pPr>
        <w:spacing w:after="0" w:line="20" w:lineRule="exact"/>
        <w:rPr>
          <w:sz w:val="20"/>
          <w:szCs w:val="20"/>
          <w:color w:val="auto"/>
        </w:rPr>
      </w:pPr>
      <w:r>
        <w:rPr>
          <w:sz w:val="20"/>
          <w:szCs w:val="20"/>
          <w:color w:val="auto"/>
        </w:rPr>
        <w:br w:type="column"/>
      </w:r>
    </w:p>
    <w:p>
      <w:pPr>
        <w:ind w:right="339"/>
        <w:spacing w:after="0" w:line="267" w:lineRule="auto"/>
        <w:rPr>
          <w:sz w:val="20"/>
          <w:szCs w:val="20"/>
          <w:color w:val="auto"/>
        </w:rPr>
      </w:pPr>
      <w:r>
        <w:rPr>
          <w:rFonts w:ascii="Times New Roman" w:cs="Times New Roman" w:eastAsia="Times New Roman" w:hAnsi="Times New Roman"/>
          <w:sz w:val="14"/>
          <w:szCs w:val="14"/>
          <w:color w:val="auto"/>
        </w:rPr>
        <w:t>(a) If the Cash Transfer Amount is a positive number, a cash payment from SpinCo to Modine in an amount equal to the Cash Transfer Amount and (b) if the Cash Transfer Amount is a negative number, a cash payment from Modine to SpinCo in an amount equal to the absolute value of the Cash Transfer Amount.</w:t>
      </w:r>
    </w:p>
    <w:p>
      <w:pPr>
        <w:spacing w:after="0" w:line="7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“Cash Transfer Amount”</w:t>
      </w:r>
    </w:p>
    <w:p>
      <w:pPr>
        <w:spacing w:after="0" w:line="20" w:lineRule="exact"/>
        <w:rPr>
          <w:sz w:val="20"/>
          <w:szCs w:val="20"/>
          <w:color w:val="auto"/>
        </w:rPr>
      </w:pPr>
      <w:r>
        <w:rPr>
          <w:sz w:val="20"/>
          <w:szCs w:val="20"/>
          <w:color w:val="auto"/>
        </w:rPr>
        <w:br w:type="column"/>
      </w:r>
    </w:p>
    <w:p>
      <w:pPr>
        <w:ind w:right="499"/>
        <w:spacing w:after="0" w:line="323" w:lineRule="auto"/>
        <w:rPr>
          <w:sz w:val="20"/>
          <w:szCs w:val="20"/>
          <w:color w:val="auto"/>
        </w:rPr>
      </w:pPr>
      <w:r>
        <w:rPr>
          <w:rFonts w:ascii="Times New Roman" w:cs="Times New Roman" w:eastAsia="Times New Roman" w:hAnsi="Times New Roman"/>
          <w:sz w:val="13"/>
          <w:szCs w:val="13"/>
          <w:color w:val="auto"/>
        </w:rPr>
        <w:t>The sum of (a) the Estimated Net Working Capital Adjustment (which may be positive or negative), plus (b) the Estimated SpinCo Cash, minus (c) the Estimated SpinCo Indebtedness, plus (d) the SpinCo Expense Reimbursement.</w:t>
      </w:r>
    </w:p>
    <w:p>
      <w:pPr>
        <w:spacing w:after="0" w:line="39" w:lineRule="exact"/>
        <w:rPr>
          <w:sz w:val="20"/>
          <w:szCs w:val="20"/>
          <w:color w:val="auto"/>
        </w:rPr>
      </w:pPr>
    </w:p>
    <w:p>
      <w:pPr>
        <w:sectPr>
          <w:pgSz w:w="11900" w:h="16838" w:orient="portrait"/>
          <w:cols w:equalWidth="0" w:num="2">
            <w:col w:w="2760" w:space="3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“Charter Amendment”</w:t>
      </w:r>
    </w:p>
    <w:p>
      <w:pPr>
        <w:spacing w:after="0" w:line="20" w:lineRule="exact"/>
        <w:rPr>
          <w:sz w:val="20"/>
          <w:szCs w:val="20"/>
          <w:color w:val="auto"/>
        </w:rPr>
      </w:pPr>
      <w:r>
        <w:rPr>
          <w:sz w:val="20"/>
          <w:szCs w:val="20"/>
          <w:color w:val="auto"/>
        </w:rPr>
        <w:br w:type="column"/>
      </w:r>
    </w:p>
    <w:p>
      <w:pPr>
        <w:ind w:right="259"/>
        <w:spacing w:after="0" w:line="283" w:lineRule="auto"/>
        <w:rPr>
          <w:sz w:val="20"/>
          <w:szCs w:val="20"/>
          <w:color w:val="auto"/>
        </w:rPr>
      </w:pPr>
      <w:r>
        <w:rPr>
          <w:rFonts w:ascii="Times New Roman" w:cs="Times New Roman" w:eastAsia="Times New Roman" w:hAnsi="Times New Roman"/>
          <w:sz w:val="14"/>
          <w:szCs w:val="14"/>
          <w:color w:val="auto"/>
        </w:rPr>
        <w:t>The amendment to the Gentherm Charter that is the subject of the Charter Amendment Proposal, substantially in the form included in this proxy statement/prospectus as Annex D.</w:t>
      </w:r>
    </w:p>
    <w:p>
      <w:pPr>
        <w:spacing w:after="0" w:line="62" w:lineRule="exact"/>
        <w:rPr>
          <w:sz w:val="20"/>
          <w:szCs w:val="20"/>
          <w:color w:val="auto"/>
        </w:rPr>
      </w:pPr>
    </w:p>
    <w:p>
      <w:pPr>
        <w:sectPr>
          <w:pgSz w:w="11900" w:h="16838" w:orient="portrait"/>
          <w:cols w:equalWidth="0" w:num="2">
            <w:col w:w="2620" w:space="4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“Charter Amendment</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Proposal”</w:t>
      </w:r>
    </w:p>
    <w:p>
      <w:pPr>
        <w:spacing w:after="0" w:line="20" w:lineRule="exact"/>
        <w:rPr>
          <w:sz w:val="20"/>
          <w:szCs w:val="20"/>
          <w:color w:val="auto"/>
        </w:rPr>
      </w:pPr>
      <w:r>
        <w:rPr>
          <w:sz w:val="20"/>
          <w:szCs w:val="20"/>
          <w:color w:val="auto"/>
        </w:rPr>
        <w:br w:type="column"/>
      </w:r>
    </w:p>
    <w:p>
      <w:pPr>
        <w:ind w:right="299"/>
        <w:spacing w:after="0" w:line="283" w:lineRule="auto"/>
        <w:rPr>
          <w:sz w:val="20"/>
          <w:szCs w:val="20"/>
          <w:color w:val="auto"/>
        </w:rPr>
      </w:pPr>
      <w:r>
        <w:rPr>
          <w:rFonts w:ascii="Times New Roman" w:cs="Times New Roman" w:eastAsia="Times New Roman" w:hAnsi="Times New Roman"/>
          <w:sz w:val="14"/>
          <w:szCs w:val="14"/>
          <w:color w:val="auto"/>
        </w:rPr>
        <w:t>A proposal to approve an amendment to the Gentherm Charter to effect an increase to the number of authorized shares of Gentherm Common Stock pursuant to the Merger Agreement.</w:t>
      </w:r>
    </w:p>
    <w:p>
      <w:pPr>
        <w:spacing w:after="0" w:line="62" w:lineRule="exact"/>
        <w:rPr>
          <w:sz w:val="20"/>
          <w:szCs w:val="20"/>
          <w:color w:val="auto"/>
        </w:rPr>
      </w:pPr>
    </w:p>
    <w:p>
      <w:pPr>
        <w:sectPr>
          <w:pgSz w:w="11900" w:h="16838" w:orient="portrait"/>
          <w:cols w:equalWidth="0" w:num="2">
            <w:col w:w="2560" w:space="5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“Closing”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closing of the Merger.</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date on which the Closing actually occurs.</w:t>
      </w:r>
    </w:p>
    <w:p>
      <w:pPr>
        <w:spacing w:after="0" w:line="123"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14"/>
          <w:szCs w:val="14"/>
          <w:color w:val="auto"/>
        </w:rPr>
        <w:t>“Code”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Internal Revenue Code of 1986, as amended.</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“Commitment Letter”</w:t>
      </w:r>
    </w:p>
    <w:p>
      <w:pPr>
        <w:spacing w:after="0" w:line="20" w:lineRule="exact"/>
        <w:rPr>
          <w:sz w:val="20"/>
          <w:szCs w:val="20"/>
          <w:color w:val="auto"/>
        </w:rPr>
      </w:pPr>
      <w:r>
        <w:rPr>
          <w:sz w:val="20"/>
          <w:szCs w:val="20"/>
          <w:color w:val="auto"/>
        </w:rPr>
        <w:br w:type="column"/>
      </w:r>
    </w:p>
    <w:p>
      <w:pPr>
        <w:ind w:right="259"/>
        <w:spacing w:after="0" w:line="283" w:lineRule="auto"/>
        <w:rPr>
          <w:sz w:val="20"/>
          <w:szCs w:val="20"/>
          <w:color w:val="auto"/>
        </w:rPr>
      </w:pPr>
      <w:r>
        <w:rPr>
          <w:rFonts w:ascii="Times New Roman" w:cs="Times New Roman" w:eastAsia="Times New Roman" w:hAnsi="Times New Roman"/>
          <w:sz w:val="14"/>
          <w:szCs w:val="14"/>
          <w:color w:val="auto"/>
        </w:rPr>
        <w:t>The Amended and Restated Commitment Letter, dated as of February 27, 2026, by and among SpinCo, Gentherm and the Commitment Parties, as may be amended from time to time.</w:t>
      </w:r>
    </w:p>
    <w:p>
      <w:pPr>
        <w:spacing w:after="0" w:line="62" w:lineRule="exact"/>
        <w:rPr>
          <w:sz w:val="20"/>
          <w:szCs w:val="20"/>
          <w:color w:val="auto"/>
        </w:rPr>
      </w:pPr>
    </w:p>
    <w:p>
      <w:pPr>
        <w:sectPr>
          <w:pgSz w:w="11900" w:h="16838" w:orient="portrait"/>
          <w:cols w:equalWidth="0" w:num="2">
            <w:col w:w="2580" w:space="5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“Commitment Parties”</w:t>
      </w:r>
    </w:p>
    <w:p>
      <w:pPr>
        <w:spacing w:after="0" w:line="20" w:lineRule="exact"/>
        <w:rPr>
          <w:sz w:val="20"/>
          <w:szCs w:val="20"/>
          <w:color w:val="auto"/>
        </w:rPr>
      </w:pPr>
      <w:r>
        <w:rPr>
          <w:sz w:val="20"/>
          <w:szCs w:val="20"/>
          <w:color w:val="auto"/>
        </w:rPr>
        <w:br w:type="column"/>
      </w:r>
    </w:p>
    <w:p>
      <w:pPr>
        <w:ind w:right="459"/>
        <w:spacing w:after="0" w:line="261" w:lineRule="auto"/>
        <w:rPr>
          <w:sz w:val="20"/>
          <w:szCs w:val="20"/>
          <w:color w:val="auto"/>
        </w:rPr>
      </w:pPr>
      <w:r>
        <w:rPr>
          <w:rFonts w:ascii="Times New Roman" w:cs="Times New Roman" w:eastAsia="Times New Roman" w:hAnsi="Times New Roman"/>
          <w:sz w:val="14"/>
          <w:szCs w:val="14"/>
          <w:color w:val="auto"/>
        </w:rPr>
        <w:t>The financial institutions party to the Commitment Letter, which include Barclays Bank PLC, JPMorgan Chase Bank, N.A., HSBC Bank USA, National Association, HSBC Securities (USA) Inc., PNC Bank, National Association, PNC Capital Markets LLC, Wells Fargo Bank, National Association, Wells Fargo Securities, LLC, Citizens Bank, N.A. and Fifth Third Bank, N.A.</w:t>
      </w:r>
    </w:p>
    <w:p>
      <w:pPr>
        <w:spacing w:after="0" w:line="193" w:lineRule="exact"/>
        <w:rPr>
          <w:sz w:val="20"/>
          <w:szCs w:val="20"/>
          <w:color w:val="auto"/>
        </w:rPr>
      </w:pPr>
    </w:p>
    <w:p>
      <w:pPr>
        <w:sectPr>
          <w:pgSz w:w="11900" w:h="16838" w:orient="portrait"/>
          <w:cols w:equalWidth="0" w:num="2">
            <w:col w:w="2640" w:space="440"/>
            <w:col w:w="7079"/>
          </w:cols>
          <w:pgMar w:left="300" w:top="386" w:right="1440"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1"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“Competing Proposal”</w:t>
      </w:r>
    </w:p>
    <w:p>
      <w:pPr>
        <w:spacing w:after="0" w:line="20" w:lineRule="exact"/>
        <w:rPr>
          <w:sz w:val="20"/>
          <w:szCs w:val="20"/>
          <w:color w:val="auto"/>
        </w:rPr>
      </w:pPr>
      <w:r>
        <w:rPr>
          <w:sz w:val="20"/>
          <w:szCs w:val="20"/>
          <w:color w:val="auto"/>
        </w:rPr>
        <w:br w:type="column"/>
      </w:r>
    </w:p>
    <w:p>
      <w:pPr>
        <w:ind w:right="399"/>
        <w:spacing w:after="0" w:line="242" w:lineRule="auto"/>
        <w:rPr>
          <w:sz w:val="20"/>
          <w:szCs w:val="20"/>
          <w:color w:val="auto"/>
        </w:rPr>
      </w:pPr>
      <w:r>
        <w:rPr>
          <w:rFonts w:ascii="Times New Roman" w:cs="Times New Roman" w:eastAsia="Times New Roman" w:hAnsi="Times New Roman"/>
          <w:sz w:val="14"/>
          <w:szCs w:val="14"/>
          <w:color w:val="auto"/>
        </w:rPr>
        <w:t>Any inquiry, proposal or offer (other than an offer or proposal made or submitted by Gentherm to Modine or SpinCo or by Modine to Gentherm) from a third party relating to any Acquisition Transaction.</w:t>
      </w:r>
    </w:p>
    <w:p>
      <w:pPr>
        <w:spacing w:after="0" w:line="89" w:lineRule="exact"/>
        <w:rPr>
          <w:sz w:val="20"/>
          <w:szCs w:val="20"/>
          <w:color w:val="auto"/>
        </w:rPr>
      </w:pPr>
    </w:p>
    <w:p>
      <w:pPr>
        <w:sectPr>
          <w:pgSz w:w="11900" w:h="16838" w:orient="portrait"/>
          <w:cols w:equalWidth="0" w:num="2">
            <w:col w:w="2620" w:space="4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“Contribution”</w:t>
      </w:r>
    </w:p>
    <w:p>
      <w:pPr>
        <w:spacing w:after="0" w:line="20" w:lineRule="exact"/>
        <w:rPr>
          <w:sz w:val="20"/>
          <w:szCs w:val="20"/>
          <w:color w:val="auto"/>
        </w:rPr>
      </w:pPr>
      <w:r>
        <w:rPr>
          <w:sz w:val="20"/>
          <w:szCs w:val="20"/>
          <w:color w:val="auto"/>
        </w:rPr>
        <w:br w:type="column"/>
      </w:r>
    </w:p>
    <w:p>
      <w:pPr>
        <w:ind w:right="239"/>
        <w:spacing w:after="0" w:line="257" w:lineRule="auto"/>
        <w:rPr>
          <w:sz w:val="20"/>
          <w:szCs w:val="20"/>
          <w:color w:val="auto"/>
        </w:rPr>
      </w:pPr>
      <w:r>
        <w:rPr>
          <w:rFonts w:ascii="Times New Roman" w:cs="Times New Roman" w:eastAsia="Times New Roman" w:hAnsi="Times New Roman"/>
          <w:sz w:val="14"/>
          <w:szCs w:val="14"/>
          <w:color w:val="auto"/>
        </w:rPr>
        <w:t>The contribution by Modine of (i) the SpinCo Assets listed below in “The Transaction Agreements-The Separation Agreement-Transfer of Assets and Assumption of Liabilities” and (ii) the Cash Transfer (if the Cash Transfer Amount is a negative number) to SpinCo in exchange for (a) the assumption of the SpinCo Liabilities by SpinCo, (b) the actual or deemed issuance by SpinCo to Modine of shares of SpinCo Common Stock, (c) the payment by SpinCo to Modine of the SpinCo Cash Distribution and (d) the payment by SpinCo to Modine of the Cash Transfer (if the Cash Transfer Amount is a positive number).</w:t>
      </w:r>
    </w:p>
    <w:p>
      <w:pPr>
        <w:spacing w:after="0" w:line="80"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“Cut-Off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11:59 p.m., Eastern Time, on the day prior to the Distribution Date.</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“Determination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4:30 p.m., Eastern Time, on the second business day immediately prior to the date on which the Closing occurs.</w:t>
      </w:r>
    </w:p>
    <w:p>
      <w:pPr>
        <w:spacing w:after="0" w:line="124" w:lineRule="exact"/>
        <w:rPr>
          <w:sz w:val="20"/>
          <w:szCs w:val="20"/>
          <w:color w:val="auto"/>
        </w:rPr>
      </w:pPr>
    </w:p>
    <w:p>
      <w:pPr>
        <w:sectPr>
          <w:pgSz w:w="11900" w:h="16838" w:orient="portrait"/>
          <w:cols w:equalWidth="0" w:num="2">
            <w:col w:w="2620" w:space="460"/>
            <w:col w:w="7079"/>
          </w:cols>
          <w:pgMar w:left="300" w:top="386" w:right="1440" w:bottom="1440" w:gutter="0" w:footer="0" w:header="0"/>
          <w:type w:val="continuous"/>
        </w:sectPr>
      </w:pPr>
    </w:p>
    <w:p>
      <w:pPr>
        <w:jc w:val="center"/>
        <w:ind w:left="860"/>
        <w:spacing w:after="0"/>
        <w:rPr>
          <w:sz w:val="20"/>
          <w:szCs w:val="20"/>
          <w:color w:val="auto"/>
        </w:rPr>
      </w:pPr>
      <w:r>
        <w:rPr>
          <w:rFonts w:ascii="Times New Roman" w:cs="Times New Roman" w:eastAsia="Times New Roman" w:hAnsi="Times New Roman"/>
          <w:sz w:val="13"/>
          <w:szCs w:val="13"/>
          <w:color w:val="auto"/>
        </w:rPr>
        <w:t>“DGCL”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General Corporation Law of the State of Delaware, as amended.</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“Distribution”</w:t>
      </w:r>
    </w:p>
    <w:p>
      <w:pPr>
        <w:spacing w:after="0" w:line="20" w:lineRule="exact"/>
        <w:rPr>
          <w:sz w:val="20"/>
          <w:szCs w:val="20"/>
          <w:color w:val="auto"/>
        </w:rPr>
      </w:pPr>
      <w:r>
        <w:rPr>
          <w:sz w:val="20"/>
          <w:szCs w:val="20"/>
          <w:color w:val="auto"/>
        </w:rPr>
        <w:br w:type="column"/>
      </w:r>
    </w:p>
    <w:p>
      <w:pPr>
        <w:ind w:right="459"/>
        <w:spacing w:after="0" w:line="283" w:lineRule="auto"/>
        <w:rPr>
          <w:sz w:val="20"/>
          <w:szCs w:val="20"/>
          <w:color w:val="auto"/>
        </w:rPr>
      </w:pPr>
      <w:r>
        <w:rPr>
          <w:rFonts w:ascii="Times New Roman" w:cs="Times New Roman" w:eastAsia="Times New Roman" w:hAnsi="Times New Roman"/>
          <w:sz w:val="14"/>
          <w:szCs w:val="14"/>
          <w:color w:val="auto"/>
        </w:rPr>
        <w:t>The distribution by Modine of one hundred percent (100%) of the SpinCo Common Stock pursuant to the terms of the Separation Agreement.</w:t>
      </w:r>
    </w:p>
    <w:p>
      <w:pPr>
        <w:spacing w:after="0" w:line="6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“Distribution Date”</w:t>
      </w:r>
    </w:p>
    <w:p>
      <w:pPr>
        <w:spacing w:after="0" w:line="20" w:lineRule="exact"/>
        <w:rPr>
          <w:sz w:val="20"/>
          <w:szCs w:val="20"/>
          <w:color w:val="auto"/>
        </w:rPr>
      </w:pPr>
      <w:r>
        <w:rPr>
          <w:sz w:val="20"/>
          <w:szCs w:val="20"/>
          <w:color w:val="auto"/>
        </w:rPr>
        <w:br w:type="column"/>
      </w:r>
    </w:p>
    <w:p>
      <w:pPr>
        <w:ind w:right="259"/>
        <w:spacing w:after="0" w:line="283" w:lineRule="auto"/>
        <w:rPr>
          <w:sz w:val="20"/>
          <w:szCs w:val="20"/>
          <w:color w:val="auto"/>
        </w:rPr>
      </w:pPr>
      <w:r>
        <w:rPr>
          <w:rFonts w:ascii="Times New Roman" w:cs="Times New Roman" w:eastAsia="Times New Roman" w:hAnsi="Times New Roman"/>
          <w:sz w:val="14"/>
          <w:szCs w:val="14"/>
          <w:color w:val="auto"/>
        </w:rPr>
        <w:t>The date on which Modine distributes all of the issued and outstanding shares of SpinCo Common Stock to the holders of record of shares of Modine Common Stock as of the Distribution Record Date.</w:t>
      </w:r>
    </w:p>
    <w:p>
      <w:pPr>
        <w:spacing w:after="0" w:line="62" w:lineRule="exact"/>
        <w:rPr>
          <w:sz w:val="20"/>
          <w:szCs w:val="20"/>
          <w:color w:val="auto"/>
        </w:rPr>
      </w:pPr>
    </w:p>
    <w:p>
      <w:pPr>
        <w:sectPr>
          <w:pgSz w:w="11900" w:h="16838" w:orient="portrait"/>
          <w:cols w:equalWidth="0" w:num="2">
            <w:col w:w="2460" w:space="6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“Distribution Record Date”</w:t>
      </w:r>
    </w:p>
    <w:p>
      <w:pPr>
        <w:spacing w:after="0" w:line="20" w:lineRule="exact"/>
        <w:rPr>
          <w:sz w:val="20"/>
          <w:szCs w:val="20"/>
          <w:color w:val="auto"/>
        </w:rPr>
      </w:pPr>
      <w:r>
        <w:rPr>
          <w:sz w:val="20"/>
          <w:szCs w:val="20"/>
          <w:color w:val="auto"/>
        </w:rPr>
        <w:br w:type="column"/>
      </w:r>
    </w:p>
    <w:p>
      <w:pPr>
        <w:ind w:right="359"/>
        <w:spacing w:after="0" w:line="267" w:lineRule="auto"/>
        <w:rPr>
          <w:sz w:val="20"/>
          <w:szCs w:val="20"/>
          <w:color w:val="auto"/>
        </w:rPr>
      </w:pPr>
      <w:r>
        <w:rPr>
          <w:rFonts w:ascii="Times New Roman" w:cs="Times New Roman" w:eastAsia="Times New Roman" w:hAnsi="Times New Roman"/>
          <w:sz w:val="14"/>
          <w:szCs w:val="14"/>
          <w:color w:val="auto"/>
        </w:rPr>
        <w:t>The close of business, on the date to be determined by the Modine Board (or a committee thereof) as the record date for the determination of holders of record of shares of Modine Common Stock entitled to receive SpinCo Common Stock pursuant to the Distribution.</w:t>
      </w:r>
    </w:p>
    <w:p>
      <w:pPr>
        <w:spacing w:after="0" w:line="72" w:lineRule="exact"/>
        <w:rPr>
          <w:sz w:val="20"/>
          <w:szCs w:val="20"/>
          <w:color w:val="auto"/>
        </w:rPr>
      </w:pPr>
    </w:p>
    <w:p>
      <w:pPr>
        <w:sectPr>
          <w:pgSz w:w="11900" w:h="16838" w:orient="portrait"/>
          <w:cols w:equalWidth="0" w:num="2">
            <w:col w:w="2900" w:space="1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“Distribution Time”</w:t>
      </w:r>
    </w:p>
    <w:p>
      <w:pPr>
        <w:spacing w:after="0" w:line="20" w:lineRule="exact"/>
        <w:rPr>
          <w:sz w:val="20"/>
          <w:szCs w:val="20"/>
          <w:color w:val="auto"/>
        </w:rPr>
      </w:pPr>
      <w:r>
        <w:rPr>
          <w:sz w:val="20"/>
          <w:szCs w:val="20"/>
          <w:color w:val="auto"/>
        </w:rPr>
        <w:br w:type="column"/>
      </w:r>
    </w:p>
    <w:p>
      <w:pPr>
        <w:ind w:right="359"/>
        <w:spacing w:after="0" w:line="283" w:lineRule="auto"/>
        <w:rPr>
          <w:sz w:val="20"/>
          <w:szCs w:val="20"/>
          <w:color w:val="auto"/>
        </w:rPr>
      </w:pPr>
      <w:r>
        <w:rPr>
          <w:rFonts w:ascii="Times New Roman" w:cs="Times New Roman" w:eastAsia="Times New Roman" w:hAnsi="Times New Roman"/>
          <w:sz w:val="14"/>
          <w:szCs w:val="14"/>
          <w:color w:val="auto"/>
        </w:rPr>
        <w:t>The time at which the Distribution occurs on the Distribution Date, which for accounting purposes will be deemed to be 12:01 a.m., Eastern Time, unless another time is selected by Gentherm, Modine and SpinCo.</w:t>
      </w:r>
    </w:p>
    <w:p>
      <w:pPr>
        <w:spacing w:after="0" w:line="62" w:lineRule="exact"/>
        <w:rPr>
          <w:sz w:val="20"/>
          <w:szCs w:val="20"/>
          <w:color w:val="auto"/>
        </w:rPr>
      </w:pPr>
    </w:p>
    <w:p>
      <w:pPr>
        <w:sectPr>
          <w:pgSz w:w="11900" w:h="16838" w:orient="portrait"/>
          <w:cols w:equalWidth="0" w:num="2">
            <w:col w:w="2480" w:space="600"/>
            <w:col w:w="7079"/>
          </w:cols>
          <w:pgMar w:left="300" w:top="386" w:right="1440" w:bottom="1440"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3"/>
          <w:szCs w:val="13"/>
          <w:color w:val="auto"/>
        </w:rPr>
        <w:t>“DOJ”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U.S. Department of Justice.</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“Effective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effective time of the Merger.</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“Employee Matters</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Agreement”</w:t>
      </w:r>
    </w:p>
    <w:p>
      <w:pPr>
        <w:spacing w:after="0" w:line="20" w:lineRule="exact"/>
        <w:rPr>
          <w:sz w:val="20"/>
          <w:szCs w:val="20"/>
          <w:color w:val="auto"/>
        </w:rPr>
      </w:pPr>
      <w:r>
        <w:rPr>
          <w:sz w:val="20"/>
          <w:szCs w:val="20"/>
          <w:color w:val="auto"/>
        </w:rPr>
        <w:br w:type="column"/>
      </w:r>
    </w:p>
    <w:p>
      <w:pPr>
        <w:ind w:right="359"/>
        <w:spacing w:after="0" w:line="283" w:lineRule="auto"/>
        <w:rPr>
          <w:sz w:val="20"/>
          <w:szCs w:val="20"/>
          <w:color w:val="auto"/>
        </w:rPr>
      </w:pPr>
      <w:r>
        <w:rPr>
          <w:rFonts w:ascii="Times New Roman" w:cs="Times New Roman" w:eastAsia="Times New Roman" w:hAnsi="Times New Roman"/>
          <w:sz w:val="14"/>
          <w:szCs w:val="14"/>
          <w:color w:val="auto"/>
        </w:rPr>
        <w:t>The Employee Matters Agreement to be entered into prior to or at the Effective Time, by and among Gentherm, SpinCo and Modine.</w:t>
      </w:r>
    </w:p>
    <w:p>
      <w:pPr>
        <w:spacing w:after="0" w:line="62" w:lineRule="exact"/>
        <w:rPr>
          <w:sz w:val="20"/>
          <w:szCs w:val="20"/>
          <w:color w:val="auto"/>
        </w:rPr>
      </w:pPr>
    </w:p>
    <w:p>
      <w:pPr>
        <w:sectPr>
          <w:pgSz w:w="11900" w:h="16838" w:orient="portrait"/>
          <w:cols w:equalWidth="0" w:num="2">
            <w:col w:w="2440" w:space="6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“Equity Award Exchange</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Ratio”</w:t>
      </w:r>
    </w:p>
    <w:p>
      <w:pPr>
        <w:spacing w:after="0" w:line="20" w:lineRule="exact"/>
        <w:rPr>
          <w:sz w:val="20"/>
          <w:szCs w:val="20"/>
          <w:color w:val="auto"/>
        </w:rPr>
      </w:pPr>
      <w:r>
        <w:rPr>
          <w:sz w:val="20"/>
          <w:szCs w:val="20"/>
          <w:color w:val="auto"/>
        </w:rPr>
        <w:br w:type="column"/>
      </w:r>
    </w:p>
    <w:p>
      <w:pPr>
        <w:ind w:right="239"/>
        <w:spacing w:after="0" w:line="257" w:lineRule="auto"/>
        <w:rPr>
          <w:sz w:val="20"/>
          <w:szCs w:val="20"/>
          <w:color w:val="auto"/>
        </w:rPr>
      </w:pPr>
      <w:r>
        <w:rPr>
          <w:rFonts w:ascii="Times New Roman" w:cs="Times New Roman" w:eastAsia="Times New Roman" w:hAnsi="Times New Roman"/>
          <w:sz w:val="14"/>
          <w:szCs w:val="14"/>
          <w:color w:val="auto"/>
        </w:rPr>
        <w:t>The quotient, rounded down to four decimal places, obtained by dividing (a) the average volume weighted average trading price of a share of Modine Common Stock trading “regular way with due bills” on the applicable exchange (i.e., inclusive of SpinCo value) for the five (5) consecutive trading days ending two (2) trading days prior to the date on which the Determination Time occurs by (b) the average volume weighted average trading price of a share of Gentherm Common Stock trading on the applicable exchange for the five (5) consecutive trading days ending two (2) trading days prior to the date on which the Determination Time occurs, in each case as reported by Bloomberg, L.P.</w:t>
      </w:r>
    </w:p>
    <w:p>
      <w:pPr>
        <w:spacing w:after="0" w:line="80" w:lineRule="exact"/>
        <w:rPr>
          <w:sz w:val="20"/>
          <w:szCs w:val="20"/>
          <w:color w:val="auto"/>
        </w:rPr>
      </w:pPr>
    </w:p>
    <w:p>
      <w:pPr>
        <w:sectPr>
          <w:pgSz w:w="11900" w:h="16838" w:orient="portrait"/>
          <w:cols w:equalWidth="0" w:num="2">
            <w:col w:w="2780" w:space="3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“ERISA”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U.S. Employee Retirement Income Security Act of 1974, as amended, and the regulations promulgated thereunder.</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“Estimated Net Working</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Modine’s good faith estimate of the Net Working Capital as of the Cut-Off Time.</w:t>
      </w:r>
    </w:p>
    <w:p>
      <w:pPr>
        <w:spacing w:after="0" w:line="302" w:lineRule="exact"/>
        <w:rPr>
          <w:sz w:val="20"/>
          <w:szCs w:val="20"/>
          <w:color w:val="auto"/>
        </w:rPr>
      </w:pPr>
    </w:p>
    <w:p>
      <w:pPr>
        <w:sectPr>
          <w:pgSz w:w="11900" w:h="16838" w:orient="portrait"/>
          <w:cols w:equalWidth="0" w:num="2">
            <w:col w:w="2740" w:space="340"/>
            <w:col w:w="7079"/>
          </w:cols>
          <w:pgMar w:left="300" w:top="386" w:right="1440"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1"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“Estimated Net Working</w:t>
      </w:r>
    </w:p>
    <w:p>
      <w:pPr>
        <w:spacing w:after="0" w:line="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Capital Adjustment”</w:t>
      </w:r>
    </w:p>
    <w:p>
      <w:pPr>
        <w:spacing w:after="0" w:line="20" w:lineRule="exact"/>
        <w:rPr>
          <w:sz w:val="20"/>
          <w:szCs w:val="20"/>
          <w:color w:val="auto"/>
        </w:rPr>
      </w:pPr>
      <w:r>
        <w:rPr>
          <w:sz w:val="20"/>
          <w:szCs w:val="20"/>
          <w:color w:val="auto"/>
        </w:rPr>
        <w:br w:type="column"/>
      </w:r>
    </w:p>
    <w:p>
      <w:pPr>
        <w:ind w:right="239"/>
        <w:spacing w:after="0" w:line="249" w:lineRule="auto"/>
        <w:rPr>
          <w:sz w:val="20"/>
          <w:szCs w:val="20"/>
          <w:color w:val="auto"/>
        </w:rPr>
      </w:pPr>
      <w:r>
        <w:rPr>
          <w:rFonts w:ascii="Times New Roman" w:cs="Times New Roman" w:eastAsia="Times New Roman" w:hAnsi="Times New Roman"/>
          <w:sz w:val="14"/>
          <w:szCs w:val="14"/>
          <w:color w:val="auto"/>
        </w:rPr>
        <w:t>(A) if the Estimated Net Working Capital exceeds one hundred and five percent (105%) of the Target Net Working Capital, then a positive amount equal to the amount by which such Estimated Net Working Capital exceeds the Target Net Working Capital; (B) if the Estimated Net Working Capital is equal to or less than one hundred and five percent (105%) of the Target Net Working Capital and equal to or greater than ninety-five percent (95%) of the Target Net Working Capital, then an amount equal to zero; and (C) if the Estimated Net Working Capital is less than ninety-five percent (95%) of the Target Net Working Capital, then a negative amount equal to the amount by which the Target Net Working Capital exceeds the Estimated Net Working Capital.</w:t>
      </w:r>
    </w:p>
    <w:p>
      <w:pPr>
        <w:spacing w:after="0" w:line="86" w:lineRule="exact"/>
        <w:rPr>
          <w:sz w:val="20"/>
          <w:szCs w:val="20"/>
          <w:color w:val="auto"/>
        </w:rPr>
      </w:pPr>
    </w:p>
    <w:p>
      <w:pPr>
        <w:sectPr>
          <w:pgSz w:w="11900" w:h="16838" w:orient="portrait"/>
          <w:cols w:equalWidth="0" w:num="2">
            <w:col w:w="2740" w:space="3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“Estimated SpinCo 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Modine’s good faith estimate of the SpinCo Cash (as defined in the Separation Agreement) as of the Cut-Off Time.</w:t>
      </w:r>
    </w:p>
    <w:p>
      <w:pPr>
        <w:spacing w:after="0" w:line="123" w:lineRule="exact"/>
        <w:rPr>
          <w:sz w:val="20"/>
          <w:szCs w:val="20"/>
          <w:color w:val="auto"/>
        </w:rPr>
      </w:pPr>
    </w:p>
    <w:p>
      <w:pPr>
        <w:sectPr>
          <w:pgSz w:w="11900" w:h="16838" w:orient="portrait"/>
          <w:cols w:equalWidth="0" w:num="2">
            <w:col w:w="2820" w:space="2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“Estimated SpinCo</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Expense Reimbursement”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Modine’s good faith estimate of the SpinCo Expense Reimbursement as of the Cut-Off Time.</w:t>
      </w:r>
    </w:p>
    <w:p>
      <w:pPr>
        <w:spacing w:after="0" w:line="292" w:lineRule="exact"/>
        <w:rPr>
          <w:sz w:val="20"/>
          <w:szCs w:val="20"/>
          <w:color w:val="auto"/>
        </w:rPr>
      </w:pPr>
    </w:p>
    <w:p>
      <w:pPr>
        <w:sectPr>
          <w:pgSz w:w="11900" w:h="16838" w:orient="portrait"/>
          <w:cols w:equalWidth="0" w:num="2">
            <w:col w:w="2820" w:space="2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“Estimated SpinCo</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Indebtedness”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Modine’s good faith estimate of the SpinCo Indebtedness as of the Cut-Off Time.</w:t>
      </w:r>
    </w:p>
    <w:p>
      <w:pPr>
        <w:spacing w:after="0" w:line="292" w:lineRule="exact"/>
        <w:rPr>
          <w:sz w:val="20"/>
          <w:szCs w:val="20"/>
          <w:color w:val="auto"/>
        </w:rPr>
      </w:pPr>
    </w:p>
    <w:p>
      <w:pPr>
        <w:sectPr>
          <w:pgSz w:w="11900" w:h="16838" w:orient="portrait"/>
          <w:cols w:equalWidth="0" w:num="2">
            <w:col w:w="2440" w:space="6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“Excess Adjustment</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amount by which the Aggregate Adjustment Amount exceeds the Final Adjustment Cap.</w:t>
      </w:r>
    </w:p>
    <w:p>
      <w:pPr>
        <w:spacing w:after="0" w:line="292" w:lineRule="exact"/>
        <w:rPr>
          <w:sz w:val="20"/>
          <w:szCs w:val="20"/>
          <w:color w:val="auto"/>
        </w:rPr>
      </w:pPr>
    </w:p>
    <w:p>
      <w:pPr>
        <w:sectPr>
          <w:pgSz w:w="11900" w:h="16838" w:orient="portrait"/>
          <w:cols w:equalWidth="0" w:num="2">
            <w:col w:w="2500" w:space="5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“Exchange Agent”</w:t>
      </w:r>
    </w:p>
    <w:p>
      <w:pPr>
        <w:spacing w:after="0" w:line="20" w:lineRule="exact"/>
        <w:rPr>
          <w:sz w:val="20"/>
          <w:szCs w:val="20"/>
          <w:color w:val="auto"/>
        </w:rPr>
      </w:pPr>
      <w:r>
        <w:rPr>
          <w:sz w:val="20"/>
          <w:szCs w:val="20"/>
          <w:color w:val="auto"/>
        </w:rPr>
        <w:br w:type="column"/>
      </w:r>
    </w:p>
    <w:p>
      <w:pPr>
        <w:jc w:val="both"/>
        <w:ind w:right="699"/>
        <w:spacing w:after="0" w:line="267" w:lineRule="auto"/>
        <w:rPr>
          <w:sz w:val="20"/>
          <w:szCs w:val="20"/>
          <w:color w:val="auto"/>
        </w:rPr>
      </w:pPr>
      <w:r>
        <w:rPr>
          <w:rFonts w:ascii="Times New Roman" w:cs="Times New Roman" w:eastAsia="Times New Roman" w:hAnsi="Times New Roman"/>
          <w:sz w:val="14"/>
          <w:szCs w:val="14"/>
          <w:color w:val="auto"/>
        </w:rPr>
        <w:t>A nationally recognized commercial bank or trust company designated by Gentherm and reasonably acceptable to Modine to act as agent for the benefit of the holders of shares of SpinCo Common Stock whose shares of SpinCo Common Stock are exchanged in accordance with the Merger Agreement.</w:t>
      </w:r>
    </w:p>
    <w:p>
      <w:pPr>
        <w:spacing w:after="0" w:line="72" w:lineRule="exact"/>
        <w:rPr>
          <w:sz w:val="20"/>
          <w:szCs w:val="20"/>
          <w:color w:val="auto"/>
        </w:rPr>
      </w:pPr>
    </w:p>
    <w:p>
      <w:pPr>
        <w:sectPr>
          <w:pgSz w:w="11900" w:h="16838" w:orient="portrait"/>
          <w:cols w:equalWidth="0" w:num="2">
            <w:col w:w="2400" w:space="6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“Exchange Fund”</w:t>
      </w:r>
    </w:p>
    <w:p>
      <w:pPr>
        <w:spacing w:after="0" w:line="20" w:lineRule="exact"/>
        <w:rPr>
          <w:sz w:val="20"/>
          <w:szCs w:val="20"/>
          <w:color w:val="auto"/>
        </w:rPr>
      </w:pPr>
      <w:r>
        <w:rPr>
          <w:sz w:val="20"/>
          <w:szCs w:val="20"/>
          <w:color w:val="auto"/>
        </w:rPr>
        <w:br w:type="column"/>
      </w:r>
    </w:p>
    <w:p>
      <w:pPr>
        <w:ind w:right="379"/>
        <w:spacing w:after="0" w:line="267" w:lineRule="auto"/>
        <w:rPr>
          <w:sz w:val="20"/>
          <w:szCs w:val="20"/>
          <w:color w:val="auto"/>
        </w:rPr>
      </w:pPr>
      <w:r>
        <w:rPr>
          <w:rFonts w:ascii="Times New Roman" w:cs="Times New Roman" w:eastAsia="Times New Roman" w:hAnsi="Times New Roman"/>
          <w:sz w:val="14"/>
          <w:szCs w:val="14"/>
          <w:color w:val="auto"/>
        </w:rPr>
        <w:t>Book-entry shares representing consideration in respect of the Merger issuable to holders of shares of SpinCo Common Stock pursuant to the Merger Agreement as of immediately prior to the Effective Time and other amounts payable pursuant to the Merger Agreement.</w:t>
      </w:r>
    </w:p>
    <w:p>
      <w:pPr>
        <w:spacing w:after="0" w:line="7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“Exchange Ratio”</w:t>
      </w:r>
    </w:p>
    <w:p>
      <w:pPr>
        <w:spacing w:after="0" w:line="20" w:lineRule="exact"/>
        <w:rPr>
          <w:sz w:val="20"/>
          <w:szCs w:val="20"/>
          <w:color w:val="auto"/>
        </w:rPr>
      </w:pPr>
      <w:r>
        <w:rPr>
          <w:sz w:val="20"/>
          <w:szCs w:val="20"/>
          <w:color w:val="auto"/>
        </w:rPr>
        <w:br w:type="column"/>
      </w:r>
    </w:p>
    <w:p>
      <w:pPr>
        <w:jc w:val="both"/>
        <w:ind w:right="639"/>
        <w:spacing w:after="0" w:line="267" w:lineRule="auto"/>
        <w:rPr>
          <w:sz w:val="20"/>
          <w:szCs w:val="20"/>
          <w:color w:val="auto"/>
        </w:rPr>
      </w:pPr>
      <w:r>
        <w:rPr>
          <w:rFonts w:ascii="Times New Roman" w:cs="Times New Roman" w:eastAsia="Times New Roman" w:hAnsi="Times New Roman"/>
          <w:sz w:val="14"/>
          <w:szCs w:val="14"/>
          <w:color w:val="auto"/>
        </w:rPr>
        <w:t xml:space="preserve">Prior to giving effect to any adjustment provided in the Merger Agreement, a number equal to (a) the Fully Diluted SpinCo Shares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SpinCo Make Whole Awards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(b) the number of outstanding shares of SpinCo Common Stock immediately following the Distribution.</w:t>
      </w:r>
    </w:p>
    <w:p>
      <w:pPr>
        <w:spacing w:after="0" w:line="72" w:lineRule="exact"/>
        <w:rPr>
          <w:sz w:val="20"/>
          <w:szCs w:val="20"/>
          <w:color w:val="auto"/>
        </w:rPr>
      </w:pPr>
    </w:p>
    <w:p>
      <w:pPr>
        <w:sectPr>
          <w:pgSz w:w="11900" w:h="16838" w:orient="portrait"/>
          <w:cols w:equalWidth="0" w:num="2">
            <w:col w:w="2380" w:space="7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“Exchange Ratio Increase</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w:t>
      </w:r>
    </w:p>
    <w:p>
      <w:pPr>
        <w:spacing w:after="0" w:line="20" w:lineRule="exact"/>
        <w:rPr>
          <w:sz w:val="20"/>
          <w:szCs w:val="20"/>
          <w:color w:val="auto"/>
        </w:rPr>
      </w:pPr>
      <w:r>
        <w:rPr>
          <w:sz w:val="20"/>
          <w:szCs w:val="20"/>
          <w:color w:val="auto"/>
        </w:rPr>
        <w:br w:type="column"/>
      </w:r>
    </w:p>
    <w:p>
      <w:pPr>
        <w:ind w:right="879"/>
        <w:spacing w:after="0" w:line="283" w:lineRule="auto"/>
        <w:rPr>
          <w:sz w:val="20"/>
          <w:szCs w:val="20"/>
          <w:color w:val="auto"/>
        </w:rPr>
      </w:pPr>
      <w:r>
        <w:rPr>
          <w:rFonts w:ascii="Times New Roman" w:cs="Times New Roman" w:eastAsia="Times New Roman" w:hAnsi="Times New Roman"/>
          <w:sz w:val="14"/>
          <w:szCs w:val="14"/>
          <w:color w:val="auto"/>
        </w:rPr>
        <w:t>The amount by which the Exchange Ratio may be increased in certain circumstances as set forth in the Merger Agreement.</w:t>
      </w:r>
    </w:p>
    <w:p>
      <w:pPr>
        <w:spacing w:after="0" w:line="62" w:lineRule="exact"/>
        <w:rPr>
          <w:sz w:val="20"/>
          <w:szCs w:val="20"/>
          <w:color w:val="auto"/>
        </w:rPr>
      </w:pPr>
    </w:p>
    <w:p>
      <w:pPr>
        <w:sectPr>
          <w:pgSz w:w="11900" w:h="16838" w:orient="portrait"/>
          <w:cols w:equalWidth="0" w:num="2">
            <w:col w:w="2800" w:space="2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“Final Adjustment</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w:t>
      </w:r>
    </w:p>
    <w:p>
      <w:pPr>
        <w:spacing w:after="0" w:line="20" w:lineRule="exact"/>
        <w:rPr>
          <w:sz w:val="20"/>
          <w:szCs w:val="20"/>
          <w:color w:val="auto"/>
        </w:rPr>
      </w:pPr>
      <w:r>
        <w:rPr>
          <w:sz w:val="20"/>
          <w:szCs w:val="20"/>
          <w:color w:val="auto"/>
        </w:rPr>
        <w:br w:type="column"/>
      </w:r>
    </w:p>
    <w:p>
      <w:pPr>
        <w:ind w:right="899"/>
        <w:spacing w:after="0" w:line="283" w:lineRule="auto"/>
        <w:rPr>
          <w:sz w:val="20"/>
          <w:szCs w:val="20"/>
          <w:color w:val="auto"/>
        </w:rPr>
      </w:pPr>
      <w:r>
        <w:rPr>
          <w:rFonts w:ascii="Times New Roman" w:cs="Times New Roman" w:eastAsia="Times New Roman" w:hAnsi="Times New Roman"/>
          <w:sz w:val="14"/>
          <w:szCs w:val="14"/>
          <w:color w:val="auto"/>
        </w:rPr>
        <w:t>The lesser of (x) the Aggregate Adjustment Amount minus the Intermediate Adjustment Cap and (y) the Final Adjustment Cap minus the Intermediate Adjustment Cap (or, if clauses (x) and (y) are equal, such amount).</w:t>
      </w:r>
    </w:p>
    <w:p>
      <w:pPr>
        <w:spacing w:after="0" w:line="62" w:lineRule="exact"/>
        <w:rPr>
          <w:sz w:val="20"/>
          <w:szCs w:val="20"/>
          <w:color w:val="auto"/>
        </w:rPr>
      </w:pPr>
    </w:p>
    <w:p>
      <w:pPr>
        <w:sectPr>
          <w:pgSz w:w="11900" w:h="16838" w:orient="portrait"/>
          <w:cols w:equalWidth="0" w:num="2">
            <w:col w:w="2400" w:space="6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“Final Adjustment Cap”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$200,000,000.</w:t>
      </w:r>
    </w:p>
    <w:p>
      <w:pPr>
        <w:spacing w:after="0" w:line="122" w:lineRule="exact"/>
        <w:rPr>
          <w:sz w:val="20"/>
          <w:szCs w:val="20"/>
          <w:color w:val="auto"/>
        </w:rPr>
      </w:pPr>
    </w:p>
    <w:p>
      <w:pPr>
        <w:sectPr>
          <w:pgSz w:w="11900" w:h="16838" w:orient="portrait"/>
          <w:cols w:equalWidth="0" w:num="2">
            <w:col w:w="2720" w:space="360"/>
            <w:col w:w="7079"/>
          </w:cols>
          <w:pgMar w:left="300" w:top="386" w:right="1440" w:bottom="1440" w:gutter="0" w:footer="0" w:header="0"/>
          <w:type w:val="continuous"/>
        </w:sectPr>
      </w:pP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“Final Cash Transfer</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w:t>
      </w:r>
    </w:p>
    <w:p>
      <w:pPr>
        <w:spacing w:after="0" w:line="20" w:lineRule="exact"/>
        <w:rPr>
          <w:sz w:val="20"/>
          <w:szCs w:val="20"/>
          <w:color w:val="auto"/>
        </w:rPr>
      </w:pPr>
      <w:r>
        <w:rPr>
          <w:sz w:val="20"/>
          <w:szCs w:val="20"/>
          <w:color w:val="auto"/>
        </w:rPr>
        <w:br w:type="column"/>
      </w:r>
    </w:p>
    <w:p>
      <w:pPr>
        <w:jc w:val="both"/>
        <w:ind w:right="359"/>
        <w:spacing w:after="0" w:line="326" w:lineRule="auto"/>
        <w:rPr>
          <w:sz w:val="20"/>
          <w:szCs w:val="20"/>
          <w:color w:val="auto"/>
        </w:rPr>
      </w:pPr>
      <w:r>
        <w:rPr>
          <w:rFonts w:ascii="Times New Roman" w:cs="Times New Roman" w:eastAsia="Times New Roman" w:hAnsi="Times New Roman"/>
          <w:sz w:val="13"/>
          <w:szCs w:val="13"/>
          <w:color w:val="auto"/>
        </w:rPr>
        <w:t xml:space="preserve">An amount equal to the sum of (a) the Final Net Working Capital Adjustment (which may be positive or negative),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(b) the Final SpinCo Cash,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(c) the Final SpinCo Indebtedness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(d) the Final SpinCo Expense Reimbursement.</w:t>
      </w:r>
    </w:p>
    <w:p>
      <w:pPr>
        <w:spacing w:after="0" w:line="37" w:lineRule="exact"/>
        <w:rPr>
          <w:sz w:val="20"/>
          <w:szCs w:val="20"/>
          <w:color w:val="auto"/>
        </w:rPr>
      </w:pPr>
    </w:p>
    <w:p>
      <w:pPr>
        <w:sectPr>
          <w:pgSz w:w="11900" w:h="16838" w:orient="portrait"/>
          <w:cols w:equalWidth="0" w:num="2">
            <w:col w:w="2520" w:space="5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“Final Net Working</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Net Working Capital set forth in the Final Adjustment Statement.</w:t>
      </w:r>
    </w:p>
    <w:p>
      <w:pPr>
        <w:spacing w:after="0" w:line="394" w:lineRule="exact"/>
        <w:rPr>
          <w:sz w:val="20"/>
          <w:szCs w:val="20"/>
          <w:color w:val="auto"/>
        </w:rPr>
      </w:pPr>
    </w:p>
    <w:p>
      <w:pPr>
        <w:sectPr>
          <w:pgSz w:w="11900" w:h="16838" w:orient="portrait"/>
          <w:cols w:equalWidth="0" w:num="2">
            <w:col w:w="2460" w:space="620"/>
            <w:col w:w="7079"/>
          </w:cols>
          <w:pgMar w:left="300" w:top="386" w:right="1440" w:bottom="1440" w:gutter="0" w:footer="0" w:header="0"/>
          <w:type w:val="continuous"/>
        </w:sectPr>
      </w:pPr>
    </w:p>
    <w:p>
      <w:pPr>
        <w:spacing w:after="0" w:line="1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16"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“Final Net Working</w:t>
      </w:r>
    </w:p>
    <w:p>
      <w:pPr>
        <w:ind w:left="1360"/>
        <w:spacing w:after="0"/>
        <w:rPr>
          <w:sz w:val="20"/>
          <w:szCs w:val="20"/>
          <w:color w:val="auto"/>
        </w:rPr>
      </w:pPr>
      <w:r>
        <w:rPr>
          <w:rFonts w:ascii="Times New Roman" w:cs="Times New Roman" w:eastAsia="Times New Roman" w:hAnsi="Times New Roman"/>
          <w:sz w:val="14"/>
          <w:szCs w:val="14"/>
          <w:color w:val="auto"/>
        </w:rPr>
        <w:t>Capital Adjustment”</w:t>
      </w:r>
    </w:p>
    <w:p>
      <w:pPr>
        <w:spacing w:after="0" w:line="20" w:lineRule="exact"/>
        <w:rPr>
          <w:sz w:val="20"/>
          <w:szCs w:val="20"/>
          <w:color w:val="auto"/>
        </w:rPr>
      </w:pPr>
      <w:r>
        <w:rPr>
          <w:sz w:val="20"/>
          <w:szCs w:val="20"/>
          <w:color w:val="auto"/>
        </w:rPr>
        <w:br w:type="column"/>
      </w:r>
    </w:p>
    <w:p>
      <w:pPr>
        <w:ind w:right="279"/>
        <w:spacing w:after="0" w:line="249" w:lineRule="auto"/>
        <w:rPr>
          <w:sz w:val="20"/>
          <w:szCs w:val="20"/>
          <w:color w:val="auto"/>
        </w:rPr>
      </w:pPr>
      <w:r>
        <w:rPr>
          <w:rFonts w:ascii="Times New Roman" w:cs="Times New Roman" w:eastAsia="Times New Roman" w:hAnsi="Times New Roman"/>
          <w:sz w:val="14"/>
          <w:szCs w:val="14"/>
          <w:color w:val="auto"/>
        </w:rPr>
        <w:t>If (A) the Final Net Working Capital exceeds one hundred and five percent (105%) of the Target Net Working Capital, then a positive amount equal to the amount by which such Final Net Working Capital exceeds the Target Net Working Capital; (B) the Final Net Working Capital is equal to or less than one hundred and five percent (105%) of the Target Net Working Capital and equal to or greater than ninety-five percent (95%) of the Target Net Working Capital, then an amount equal to zero; and (C) the Final Net Working Capital is less than ninety-five percent (95%) of the Target Net Working Capital, then a negative amount equal to the amount by which the Target Net Working Capital exceeds the Final Net Working Capital.</w:t>
      </w:r>
    </w:p>
    <w:p>
      <w:pPr>
        <w:spacing w:after="0" w:line="86" w:lineRule="exact"/>
        <w:rPr>
          <w:sz w:val="20"/>
          <w:szCs w:val="20"/>
          <w:color w:val="auto"/>
        </w:rPr>
      </w:pPr>
    </w:p>
    <w:p>
      <w:pPr>
        <w:sectPr>
          <w:pgSz w:w="11900" w:h="16838" w:orient="portrait"/>
          <w:cols w:equalWidth="0" w:num="2">
            <w:col w:w="2520" w:space="5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“Final SpinCo 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SpinCo Cash as of the Cut-Off Time as determined pursuant to the post-closing adjustment.</w:t>
      </w:r>
    </w:p>
    <w:p>
      <w:pPr>
        <w:spacing w:after="0" w:line="124" w:lineRule="exact"/>
        <w:rPr>
          <w:sz w:val="20"/>
          <w:szCs w:val="20"/>
          <w:color w:val="auto"/>
        </w:rPr>
      </w:pPr>
    </w:p>
    <w:p>
      <w:pPr>
        <w:sectPr>
          <w:pgSz w:w="11900" w:h="16838" w:orient="portrait"/>
          <w:cols w:equalWidth="0" w:num="2">
            <w:col w:w="2540" w:space="5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“Final SpinCo Expense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Reimbursement”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SpinCo Expense Reimbursement as determined pursuant to the post-closing adjustment.</w:t>
      </w:r>
    </w:p>
    <w:p>
      <w:pPr>
        <w:spacing w:after="0" w:line="280" w:lineRule="exact"/>
        <w:rPr>
          <w:sz w:val="20"/>
          <w:szCs w:val="20"/>
          <w:color w:val="auto"/>
        </w:rPr>
      </w:pPr>
    </w:p>
    <w:p>
      <w:pPr>
        <w:sectPr>
          <w:pgSz w:w="11900" w:h="16838" w:orient="portrait"/>
          <w:cols w:equalWidth="0" w:num="2">
            <w:col w:w="2680" w:space="4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“Final SpinCo</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Indebtedness”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SpinCo Indebtedness as of the Cut-Off Time as determined pursuant to the post-closing adjustment.</w:t>
      </w:r>
    </w:p>
    <w:p>
      <w:pPr>
        <w:spacing w:after="0" w:line="29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3"/>
          <w:szCs w:val="13"/>
          <w:color w:val="auto"/>
        </w:rPr>
        <w:t>“FTC”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U.S. Federal Trade Commission.</w:t>
      </w:r>
    </w:p>
    <w:p>
      <w:pPr>
        <w:spacing w:after="0" w:line="110"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“Fully Diluted Gentherm</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Shares”</w:t>
      </w:r>
    </w:p>
    <w:p>
      <w:pPr>
        <w:spacing w:after="0" w:line="20" w:lineRule="exact"/>
        <w:rPr>
          <w:sz w:val="20"/>
          <w:szCs w:val="20"/>
          <w:color w:val="auto"/>
        </w:rPr>
      </w:pPr>
      <w:r>
        <w:rPr>
          <w:sz w:val="20"/>
          <w:szCs w:val="20"/>
          <w:color w:val="auto"/>
        </w:rPr>
        <w:br w:type="column"/>
      </w:r>
    </w:p>
    <w:p>
      <w:pPr>
        <w:ind w:right="259"/>
        <w:spacing w:after="0" w:line="259" w:lineRule="auto"/>
        <w:rPr>
          <w:sz w:val="20"/>
          <w:szCs w:val="20"/>
          <w:color w:val="auto"/>
        </w:rPr>
      </w:pPr>
      <w:r>
        <w:rPr>
          <w:rFonts w:ascii="Times New Roman" w:cs="Times New Roman" w:eastAsia="Times New Roman" w:hAnsi="Times New Roman"/>
          <w:sz w:val="14"/>
          <w:szCs w:val="14"/>
          <w:color w:val="auto"/>
        </w:rPr>
        <w:t xml:space="preserve">The sum of (a) the number of shares of Gentherm Common Stock outstanding as of the Determination Time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the number of shares of Gentherm Common Stock underlying Gentherm Equity Awards as of the Determination Time (provided that for purposes of this clause (b), shares of Gentherm Common Stock underlying Gentherm RSU Awards and Gentherm PSU Awards will be calculated using the treasury stock method and performance awards will be calculated assuming performance goals are satisfied based on target performance).</w:t>
      </w:r>
    </w:p>
    <w:p>
      <w:pPr>
        <w:spacing w:after="0" w:line="79" w:lineRule="exact"/>
        <w:rPr>
          <w:sz w:val="20"/>
          <w:szCs w:val="20"/>
          <w:color w:val="auto"/>
        </w:rPr>
      </w:pPr>
    </w:p>
    <w:p>
      <w:pPr>
        <w:sectPr>
          <w:pgSz w:w="11900" w:h="16838" w:orient="portrait"/>
          <w:cols w:equalWidth="0" w:num="2">
            <w:col w:w="2760" w:space="3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“Fully Diluted SpinCo</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Shares”</w:t>
      </w:r>
    </w:p>
    <w:p>
      <w:pPr>
        <w:spacing w:after="0" w:line="20" w:lineRule="exact"/>
        <w:rPr>
          <w:sz w:val="20"/>
          <w:szCs w:val="20"/>
          <w:color w:val="auto"/>
        </w:rPr>
      </w:pPr>
      <w:r>
        <w:rPr>
          <w:sz w:val="20"/>
          <w:szCs w:val="20"/>
          <w:color w:val="auto"/>
        </w:rPr>
        <w:br w:type="column"/>
      </w:r>
    </w:p>
    <w:p>
      <w:pPr>
        <w:ind w:right="539"/>
        <w:spacing w:after="0" w:line="283" w:lineRule="auto"/>
        <w:rPr>
          <w:sz w:val="20"/>
          <w:szCs w:val="20"/>
          <w:color w:val="auto"/>
        </w:rPr>
      </w:pPr>
      <w:r>
        <w:rPr>
          <w:rFonts w:ascii="Times New Roman" w:cs="Times New Roman" w:eastAsia="Times New Roman" w:hAnsi="Times New Roman"/>
          <w:sz w:val="14"/>
          <w:szCs w:val="14"/>
          <w:color w:val="auto"/>
        </w:rPr>
        <w:t>A number of shares of Gentherm Common Stock equal to (a) the Fully Diluted Gentherm Shares, multiplied by (b) a fraction equal to (i) 40%, divided by (ii) 60%.</w:t>
      </w:r>
    </w:p>
    <w:p>
      <w:pPr>
        <w:spacing w:after="0" w:line="62" w:lineRule="exact"/>
        <w:rPr>
          <w:sz w:val="20"/>
          <w:szCs w:val="20"/>
          <w:color w:val="auto"/>
        </w:rPr>
      </w:pPr>
    </w:p>
    <w:p>
      <w:pPr>
        <w:sectPr>
          <w:pgSz w:w="11900" w:h="16838" w:orient="portrait"/>
          <w:cols w:equalWidth="0" w:num="2">
            <w:col w:w="2620" w:space="460"/>
            <w:col w:w="7079"/>
          </w:cols>
          <w:pgMar w:left="300" w:top="386" w:right="1440" w:bottom="1440" w:gutter="0" w:footer="0" w:header="0"/>
          <w:type w:val="continuous"/>
        </w:sectPr>
      </w:pPr>
    </w:p>
    <w:p>
      <w:pPr>
        <w:jc w:val="center"/>
        <w:ind w:left="860"/>
        <w:spacing w:after="0"/>
        <w:rPr>
          <w:sz w:val="20"/>
          <w:szCs w:val="20"/>
          <w:color w:val="auto"/>
        </w:rPr>
      </w:pPr>
      <w:r>
        <w:rPr>
          <w:rFonts w:ascii="Times New Roman" w:cs="Times New Roman" w:eastAsia="Times New Roman" w:hAnsi="Times New Roman"/>
          <w:sz w:val="13"/>
          <w:szCs w:val="13"/>
          <w:color w:val="auto"/>
        </w:rPr>
        <w:t>“GAAP”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United States generally accepted accounting principles.</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Gentherm Incorporated, a Michigan corporation.</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“Gentherm Benefit Plan”</w:t>
      </w:r>
    </w:p>
    <w:p>
      <w:pPr>
        <w:spacing w:after="0" w:line="20" w:lineRule="exact"/>
        <w:rPr>
          <w:sz w:val="20"/>
          <w:szCs w:val="20"/>
          <w:color w:val="auto"/>
        </w:rPr>
      </w:pPr>
      <w:r>
        <w:rPr>
          <w:sz w:val="20"/>
          <w:szCs w:val="20"/>
          <w:color w:val="auto"/>
        </w:rPr>
        <w:br w:type="column"/>
      </w:r>
    </w:p>
    <w:p>
      <w:pPr>
        <w:ind w:right="259"/>
        <w:spacing w:after="0" w:line="267" w:lineRule="auto"/>
        <w:rPr>
          <w:sz w:val="20"/>
          <w:szCs w:val="20"/>
          <w:color w:val="auto"/>
        </w:rPr>
      </w:pPr>
      <w:r>
        <w:rPr>
          <w:rFonts w:ascii="Times New Roman" w:cs="Times New Roman" w:eastAsia="Times New Roman" w:hAnsi="Times New Roman"/>
          <w:sz w:val="14"/>
          <w:szCs w:val="14"/>
          <w:color w:val="auto"/>
        </w:rPr>
        <w:t>Each Benefit Plan (a) that is maintained, sponsored, contributed to or entered into, by Gentherm or any of its subsidiaries, or to which Gentherm or any of its subsidiaries is required to contribute or (b) under or with respect to which Gentherm or any of its subsidiaries has any liability.</w:t>
      </w:r>
    </w:p>
    <w:p>
      <w:pPr>
        <w:spacing w:after="0" w:line="72" w:lineRule="exact"/>
        <w:rPr>
          <w:sz w:val="20"/>
          <w:szCs w:val="20"/>
          <w:color w:val="auto"/>
        </w:rPr>
      </w:pPr>
    </w:p>
    <w:p>
      <w:pPr>
        <w:sectPr>
          <w:pgSz w:w="11900" w:h="16838" w:orient="portrait"/>
          <w:cols w:equalWidth="0" w:num="2">
            <w:col w:w="2780" w:space="3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Board of Directors of Gentherm.</w:t>
      </w:r>
    </w:p>
    <w:p>
      <w:pPr>
        <w:spacing w:after="0" w:line="124" w:lineRule="exact"/>
        <w:rPr>
          <w:sz w:val="20"/>
          <w:szCs w:val="20"/>
          <w:color w:val="auto"/>
        </w:rPr>
      </w:pPr>
    </w:p>
    <w:p>
      <w:pPr>
        <w:sectPr>
          <w:pgSz w:w="11900" w:h="16838" w:orient="portrait"/>
          <w:cols w:equalWidth="0" w:num="2">
            <w:col w:w="2420" w:space="6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“Gentherm Board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Recommendation”</w:t>
      </w:r>
    </w:p>
    <w:p>
      <w:pPr>
        <w:spacing w:after="0" w:line="20" w:lineRule="exact"/>
        <w:rPr>
          <w:sz w:val="20"/>
          <w:szCs w:val="20"/>
          <w:color w:val="auto"/>
        </w:rPr>
      </w:pPr>
      <w:r>
        <w:rPr>
          <w:sz w:val="20"/>
          <w:szCs w:val="20"/>
          <w:color w:val="auto"/>
        </w:rPr>
        <w:br w:type="column"/>
      </w:r>
    </w:p>
    <w:p>
      <w:pPr>
        <w:ind w:right="399"/>
        <w:spacing w:after="0" w:line="283" w:lineRule="auto"/>
        <w:rPr>
          <w:sz w:val="20"/>
          <w:szCs w:val="20"/>
          <w:color w:val="auto"/>
        </w:rPr>
      </w:pPr>
      <w:r>
        <w:rPr>
          <w:rFonts w:ascii="Times New Roman" w:cs="Times New Roman" w:eastAsia="Times New Roman" w:hAnsi="Times New Roman"/>
          <w:sz w:val="14"/>
          <w:szCs w:val="14"/>
          <w:color w:val="auto"/>
        </w:rPr>
        <w:t>The recommendation by the Gentherm Board that Gentherm shareholders vote “FOR” the Share Issuance Proposal and “FOR” the Charter Amendment Proposal.</w:t>
      </w:r>
    </w:p>
    <w:p>
      <w:pPr>
        <w:spacing w:after="0" w:line="62" w:lineRule="exact"/>
        <w:rPr>
          <w:sz w:val="20"/>
          <w:szCs w:val="20"/>
          <w:color w:val="auto"/>
        </w:rPr>
      </w:pPr>
    </w:p>
    <w:p>
      <w:pPr>
        <w:sectPr>
          <w:pgSz w:w="11900" w:h="16838" w:orient="portrait"/>
          <w:cols w:equalWidth="0" w:num="2">
            <w:col w:w="2400" w:space="6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“Gentherm Bylaws”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Amended and Restated Bylaws of Gentherm.</w:t>
      </w:r>
    </w:p>
    <w:p>
      <w:pPr>
        <w:spacing w:after="0" w:line="123" w:lineRule="exact"/>
        <w:rPr>
          <w:sz w:val="20"/>
          <w:szCs w:val="20"/>
          <w:color w:val="auto"/>
        </w:rPr>
      </w:pPr>
    </w:p>
    <w:p>
      <w:pPr>
        <w:sectPr>
          <w:pgSz w:w="11900" w:h="16838" w:orient="portrait"/>
          <w:cols w:equalWidth="0" w:num="2">
            <w:col w:w="2500" w:space="5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“Gentherm Charter”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Second Amended and Restated Articles of Incorporation of Gentherm.</w:t>
      </w:r>
    </w:p>
    <w:p>
      <w:pPr>
        <w:spacing w:after="0" w:line="112" w:lineRule="exact"/>
        <w:rPr>
          <w:sz w:val="20"/>
          <w:szCs w:val="20"/>
          <w:color w:val="auto"/>
        </w:rPr>
      </w:pPr>
    </w:p>
    <w:p>
      <w:pPr>
        <w:sectPr>
          <w:pgSz w:w="11900" w:h="16838" w:orient="portrait"/>
          <w:cols w:equalWidth="0" w:num="2">
            <w:col w:w="2500" w:space="5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“Gentherm Common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common stock, without par value, of Gentherm.</w:t>
      </w:r>
    </w:p>
    <w:p>
      <w:pPr>
        <w:spacing w:after="0" w:line="292" w:lineRule="exact"/>
        <w:rPr>
          <w:sz w:val="20"/>
          <w:szCs w:val="20"/>
          <w:color w:val="auto"/>
        </w:rPr>
      </w:pPr>
    </w:p>
    <w:p>
      <w:pPr>
        <w:sectPr>
          <w:pgSz w:w="11900" w:h="16838" w:orient="portrait"/>
          <w:cols w:equalWidth="0" w:num="2">
            <w:col w:w="2540" w:space="5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Equity</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Collectively, all Gentherm RSU Awards, Gentherm Restricted Stock Awards, and Gentherm PSU Awards.</w:t>
      </w:r>
    </w:p>
    <w:p>
      <w:pPr>
        <w:spacing w:after="0" w:line="302" w:lineRule="exact"/>
        <w:rPr>
          <w:sz w:val="20"/>
          <w:szCs w:val="20"/>
          <w:color w:val="auto"/>
        </w:rPr>
      </w:pPr>
    </w:p>
    <w:p>
      <w:pPr>
        <w:sectPr>
          <w:pgSz w:w="11900" w:h="16838" w:orient="portrait"/>
          <w:cols w:equalWidth="0" w:num="2">
            <w:col w:w="2380" w:space="700"/>
            <w:col w:w="7079"/>
          </w:cols>
          <w:pgMar w:left="300" w:top="386" w:right="1440"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1"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Equity</w:t>
      </w:r>
    </w:p>
    <w:p>
      <w:pPr>
        <w:spacing w:after="0" w:line="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Incentive Plan”</w:t>
      </w:r>
    </w:p>
    <w:p>
      <w:pPr>
        <w:spacing w:after="0" w:line="20" w:lineRule="exact"/>
        <w:rPr>
          <w:sz w:val="20"/>
          <w:szCs w:val="20"/>
          <w:color w:val="auto"/>
        </w:rPr>
      </w:pPr>
      <w:r>
        <w:rPr>
          <w:sz w:val="20"/>
          <w:szCs w:val="20"/>
          <w:color w:val="auto"/>
        </w:rPr>
        <w:br w:type="column"/>
      </w:r>
    </w:p>
    <w:p>
      <w:pPr>
        <w:ind w:right="279"/>
        <w:spacing w:after="0" w:line="242" w:lineRule="auto"/>
        <w:rPr>
          <w:sz w:val="20"/>
          <w:szCs w:val="20"/>
          <w:color w:val="auto"/>
        </w:rPr>
      </w:pPr>
      <w:r>
        <w:rPr>
          <w:rFonts w:ascii="Times New Roman" w:cs="Times New Roman" w:eastAsia="Times New Roman" w:hAnsi="Times New Roman"/>
          <w:sz w:val="14"/>
          <w:szCs w:val="14"/>
          <w:color w:val="auto"/>
        </w:rPr>
        <w:t>The Gentherm Incorporated 2013 Equity Incentive Plan and the Gentherm Incorporated 2023 Equity Incentive Plan, each as amended from time to time.</w:t>
      </w:r>
    </w:p>
    <w:p>
      <w:pPr>
        <w:spacing w:after="0" w:line="89" w:lineRule="exact"/>
        <w:rPr>
          <w:sz w:val="20"/>
          <w:szCs w:val="20"/>
          <w:color w:val="auto"/>
        </w:rPr>
      </w:pPr>
    </w:p>
    <w:p>
      <w:pPr>
        <w:sectPr>
          <w:pgSz w:w="11900" w:h="16838" w:orient="portrait"/>
          <w:cols w:equalWidth="0" w:num="2">
            <w:col w:w="2380" w:space="7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“Gentherm Group”</w:t>
      </w:r>
    </w:p>
    <w:p>
      <w:pPr>
        <w:spacing w:after="0" w:line="20" w:lineRule="exact"/>
        <w:rPr>
          <w:sz w:val="20"/>
          <w:szCs w:val="20"/>
          <w:color w:val="auto"/>
        </w:rPr>
      </w:pPr>
      <w:r>
        <w:rPr>
          <w:sz w:val="20"/>
          <w:szCs w:val="20"/>
          <w:color w:val="auto"/>
        </w:rPr>
        <w:br w:type="column"/>
      </w:r>
    </w:p>
    <w:p>
      <w:pPr>
        <w:ind w:right="319"/>
        <w:spacing w:after="0" w:line="283" w:lineRule="auto"/>
        <w:rPr>
          <w:sz w:val="20"/>
          <w:szCs w:val="20"/>
          <w:color w:val="auto"/>
        </w:rPr>
      </w:pPr>
      <w:r>
        <w:rPr>
          <w:rFonts w:ascii="Times New Roman" w:cs="Times New Roman" w:eastAsia="Times New Roman" w:hAnsi="Times New Roman"/>
          <w:sz w:val="14"/>
          <w:szCs w:val="14"/>
          <w:color w:val="auto"/>
        </w:rPr>
        <w:t>Gentherm and each Person that is or becomes a subsidiary of Gentherm (including, after the Effective Time, SpinCo and the members of the SpinCo Group).</w:t>
      </w:r>
    </w:p>
    <w:p>
      <w:pPr>
        <w:spacing w:after="0" w:line="62" w:lineRule="exact"/>
        <w:rPr>
          <w:sz w:val="20"/>
          <w:szCs w:val="20"/>
          <w:color w:val="auto"/>
        </w:rPr>
      </w:pPr>
    </w:p>
    <w:p>
      <w:pPr>
        <w:sectPr>
          <w:pgSz w:w="11900" w:h="16838" w:orient="portrait"/>
          <w:cols w:equalWidth="0" w:num="2">
            <w:col w:w="2440" w:space="6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Merger Tax</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Opinion”</w:t>
      </w:r>
    </w:p>
    <w:p>
      <w:pPr>
        <w:spacing w:after="0" w:line="20" w:lineRule="exact"/>
        <w:rPr>
          <w:sz w:val="20"/>
          <w:szCs w:val="20"/>
          <w:color w:val="auto"/>
        </w:rPr>
      </w:pPr>
      <w:r>
        <w:rPr>
          <w:sz w:val="20"/>
          <w:szCs w:val="20"/>
          <w:color w:val="auto"/>
        </w:rPr>
        <w:br w:type="column"/>
      </w:r>
    </w:p>
    <w:p>
      <w:pPr>
        <w:ind w:right="459"/>
        <w:spacing w:after="0" w:line="261" w:lineRule="auto"/>
        <w:rPr>
          <w:sz w:val="20"/>
          <w:szCs w:val="20"/>
          <w:color w:val="auto"/>
        </w:rPr>
      </w:pPr>
      <w:r>
        <w:rPr>
          <w:rFonts w:ascii="Times New Roman" w:cs="Times New Roman" w:eastAsia="Times New Roman" w:hAnsi="Times New Roman"/>
          <w:sz w:val="14"/>
          <w:szCs w:val="14"/>
          <w:color w:val="auto"/>
        </w:rPr>
        <w:t>A written opinion of Latham, reasonably satisfactory in form and substance to Gentherm, required as a condition to Gentherm’s obligation to complete the Transactions, to the effect that, on the basis of the facts, representations and assumptions set forth or referred to in such opinion, for U.S. federal income tax purposes, the Merger will qualify as a “reorganization” within the meaning of Section 368(a) of the Code.</w:t>
      </w:r>
    </w:p>
    <w:p>
      <w:pPr>
        <w:spacing w:after="0" w:line="78" w:lineRule="exact"/>
        <w:rPr>
          <w:sz w:val="20"/>
          <w:szCs w:val="20"/>
          <w:color w:val="auto"/>
        </w:rPr>
      </w:pPr>
    </w:p>
    <w:p>
      <w:pPr>
        <w:sectPr>
          <w:pgSz w:w="11900" w:h="16838" w:orient="portrait"/>
          <w:cols w:equalWidth="0" w:num="2">
            <w:col w:w="2660" w:space="4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PSU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restricted stock unit award subject to performance-vesting conditions granted under a Gentherm Equity Incentive Plan.</w:t>
      </w:r>
    </w:p>
    <w:p>
      <w:pPr>
        <w:spacing w:after="0" w:line="112" w:lineRule="exact"/>
        <w:rPr>
          <w:sz w:val="20"/>
          <w:szCs w:val="20"/>
          <w:color w:val="auto"/>
        </w:rPr>
      </w:pPr>
    </w:p>
    <w:p>
      <w:pPr>
        <w:sectPr>
          <w:pgSz w:w="11900" w:h="16838" w:orient="portrait"/>
          <w:cols w:equalWidth="0" w:num="2">
            <w:col w:w="2740" w:space="3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Restricted</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restricted stock award granted under a Gentherm Equity Incentive Plan.</w:t>
      </w:r>
    </w:p>
    <w:p>
      <w:pPr>
        <w:spacing w:after="0" w:line="280" w:lineRule="exact"/>
        <w:rPr>
          <w:sz w:val="20"/>
          <w:szCs w:val="20"/>
          <w:color w:val="auto"/>
        </w:rPr>
      </w:pPr>
    </w:p>
    <w:p>
      <w:pPr>
        <w:sectPr>
          <w:pgSz w:w="11900" w:h="16838" w:orient="portrait"/>
          <w:cols w:equalWidth="0" w:num="2">
            <w:col w:w="2580" w:space="5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Revolving</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Credit Facility”</w:t>
      </w:r>
    </w:p>
    <w:p>
      <w:pPr>
        <w:spacing w:after="0" w:line="20" w:lineRule="exact"/>
        <w:rPr>
          <w:sz w:val="20"/>
          <w:szCs w:val="20"/>
          <w:color w:val="auto"/>
        </w:rPr>
      </w:pPr>
      <w:r>
        <w:rPr>
          <w:sz w:val="20"/>
          <w:szCs w:val="20"/>
          <w:color w:val="auto"/>
        </w:rPr>
        <w:br w:type="column"/>
      </w:r>
    </w:p>
    <w:p>
      <w:pPr>
        <w:ind w:right="219"/>
        <w:spacing w:after="0" w:line="261" w:lineRule="auto"/>
        <w:rPr>
          <w:sz w:val="20"/>
          <w:szCs w:val="20"/>
          <w:color w:val="auto"/>
        </w:rPr>
      </w:pPr>
      <w:r>
        <w:rPr>
          <w:rFonts w:ascii="Times New Roman" w:cs="Times New Roman" w:eastAsia="Times New Roman" w:hAnsi="Times New Roman"/>
          <w:sz w:val="14"/>
          <w:szCs w:val="14"/>
          <w:color w:val="auto"/>
        </w:rPr>
        <w:t>The revolving commitments made available pursuant to that certain Third Amended and Restated Credit Agreement, dated as of June 29, 2026, by and among Gentherm, the other borrower parties from time to time party thereto, the lenders from time to time party thereto and Bank of America, N.A., as administrative agent, as amended, restated, amended and restated, supplemented or otherwise modified from time to time.</w:t>
      </w:r>
    </w:p>
    <w:p>
      <w:pPr>
        <w:spacing w:after="0" w:line="78" w:lineRule="exact"/>
        <w:rPr>
          <w:sz w:val="20"/>
          <w:szCs w:val="20"/>
          <w:color w:val="auto"/>
        </w:rPr>
      </w:pPr>
    </w:p>
    <w:p>
      <w:pPr>
        <w:sectPr>
          <w:pgSz w:w="11900" w:h="16838" w:orient="portrait"/>
          <w:cols w:equalWidth="0" w:num="2">
            <w:col w:w="2600" w:space="4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RSU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 restricted stock unit award granted under a Gentherm Equity Incentive Plan that is not a Gentherm PSU Award.</w:t>
      </w:r>
    </w:p>
    <w:p>
      <w:pPr>
        <w:spacing w:after="0" w:line="124" w:lineRule="exact"/>
        <w:rPr>
          <w:sz w:val="20"/>
          <w:szCs w:val="20"/>
          <w:color w:val="auto"/>
        </w:rPr>
      </w:pPr>
    </w:p>
    <w:p>
      <w:pPr>
        <w:sectPr>
          <w:pgSz w:w="11900" w:h="16838" w:orient="portrait"/>
          <w:cols w:equalWidth="0" w:num="2">
            <w:col w:w="2760" w:space="3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“Gentherm Share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issuance of the shares of Gentherm Common Stock in the Merger.</w:t>
      </w:r>
    </w:p>
    <w:p>
      <w:pPr>
        <w:spacing w:after="0" w:line="29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holders of Gentherm Common Stock.</w:t>
      </w:r>
    </w:p>
    <w:p>
      <w:pPr>
        <w:spacing w:after="0" w:line="112" w:lineRule="exact"/>
        <w:rPr>
          <w:sz w:val="20"/>
          <w:szCs w:val="20"/>
          <w:color w:val="auto"/>
        </w:rPr>
      </w:pPr>
    </w:p>
    <w:p>
      <w:pPr>
        <w:sectPr>
          <w:pgSz w:w="11900" w:h="16838" w:orient="portrait"/>
          <w:cols w:equalWidth="0" w:num="2">
            <w:col w:w="2780" w:space="3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Shareholder</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Approval”</w:t>
      </w:r>
    </w:p>
    <w:p>
      <w:pPr>
        <w:spacing w:after="0" w:line="20" w:lineRule="exact"/>
        <w:rPr>
          <w:sz w:val="20"/>
          <w:szCs w:val="20"/>
          <w:color w:val="auto"/>
        </w:rPr>
      </w:pPr>
      <w:r>
        <w:rPr>
          <w:sz w:val="20"/>
          <w:szCs w:val="20"/>
          <w:color w:val="auto"/>
        </w:rPr>
        <w:br w:type="column"/>
      </w:r>
    </w:p>
    <w:p>
      <w:pPr>
        <w:ind w:right="439"/>
        <w:spacing w:after="0" w:line="283" w:lineRule="auto"/>
        <w:rPr>
          <w:sz w:val="20"/>
          <w:szCs w:val="20"/>
          <w:color w:val="auto"/>
        </w:rPr>
      </w:pPr>
      <w:r>
        <w:rPr>
          <w:rFonts w:ascii="Times New Roman" w:cs="Times New Roman" w:eastAsia="Times New Roman" w:hAnsi="Times New Roman"/>
          <w:sz w:val="14"/>
          <w:szCs w:val="14"/>
          <w:color w:val="auto"/>
        </w:rPr>
        <w:t>The approval by Gentherm shareholders of the Gentherm Share Issuance and the Gentherm Charter Amendment at the Special Meeting.</w:t>
      </w:r>
    </w:p>
    <w:p>
      <w:pPr>
        <w:spacing w:after="0" w:line="62" w:lineRule="exact"/>
        <w:rPr>
          <w:sz w:val="20"/>
          <w:szCs w:val="20"/>
          <w:color w:val="auto"/>
        </w:rPr>
      </w:pPr>
    </w:p>
    <w:p>
      <w:pPr>
        <w:sectPr>
          <w:pgSz w:w="11900" w:h="16838" w:orient="portrait"/>
          <w:cols w:equalWidth="0" w:num="2">
            <w:col w:w="2680" w:space="4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“Gentherm Special</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Dividend”</w:t>
      </w:r>
    </w:p>
    <w:p>
      <w:pPr>
        <w:spacing w:after="0" w:line="20" w:lineRule="exact"/>
        <w:rPr>
          <w:sz w:val="20"/>
          <w:szCs w:val="20"/>
          <w:color w:val="auto"/>
        </w:rPr>
      </w:pPr>
      <w:r>
        <w:rPr>
          <w:sz w:val="20"/>
          <w:szCs w:val="20"/>
          <w:color w:val="auto"/>
        </w:rPr>
        <w:br w:type="column"/>
      </w:r>
    </w:p>
    <w:p>
      <w:pPr>
        <w:ind w:right="539"/>
        <w:spacing w:after="0" w:line="283" w:lineRule="auto"/>
        <w:rPr>
          <w:sz w:val="20"/>
          <w:szCs w:val="20"/>
          <w:color w:val="auto"/>
        </w:rPr>
      </w:pPr>
      <w:r>
        <w:rPr>
          <w:rFonts w:ascii="Times New Roman" w:cs="Times New Roman" w:eastAsia="Times New Roman" w:hAnsi="Times New Roman"/>
          <w:sz w:val="14"/>
          <w:szCs w:val="14"/>
          <w:color w:val="auto"/>
        </w:rPr>
        <w:t>A special dividend to be declared by the Gentherm Board pro rata to the holders of Gentherm Common Stock as of a record date prior to the Closing Date, if applicable.</w:t>
      </w:r>
    </w:p>
    <w:p>
      <w:pPr>
        <w:spacing w:after="0" w:line="62" w:lineRule="exact"/>
        <w:rPr>
          <w:sz w:val="20"/>
          <w:szCs w:val="20"/>
          <w:color w:val="auto"/>
        </w:rPr>
      </w:pPr>
    </w:p>
    <w:p>
      <w:pPr>
        <w:sectPr>
          <w:pgSz w:w="11900" w:h="16838" w:orient="portrait"/>
          <w:cols w:equalWidth="0" w:num="2">
            <w:col w:w="2420" w:space="6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“Gibson Dunn”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Gibson, Dunn &amp; Crutcher LLP, counsel to Modine.</w:t>
      </w:r>
    </w:p>
    <w:p>
      <w:pPr>
        <w:spacing w:after="0" w:line="123"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“Governmental Authority”</w:t>
      </w:r>
    </w:p>
    <w:p>
      <w:pPr>
        <w:spacing w:after="0" w:line="20" w:lineRule="exact"/>
        <w:rPr>
          <w:sz w:val="20"/>
          <w:szCs w:val="20"/>
          <w:color w:val="auto"/>
        </w:rPr>
      </w:pPr>
      <w:r>
        <w:rPr>
          <w:sz w:val="20"/>
          <w:szCs w:val="20"/>
          <w:color w:val="auto"/>
        </w:rPr>
        <w:br w:type="column"/>
      </w:r>
    </w:p>
    <w:p>
      <w:pPr>
        <w:ind w:right="419"/>
        <w:spacing w:after="0" w:line="261" w:lineRule="auto"/>
        <w:rPr>
          <w:sz w:val="20"/>
          <w:szCs w:val="20"/>
          <w:color w:val="auto"/>
        </w:rPr>
      </w:pPr>
      <w:r>
        <w:rPr>
          <w:rFonts w:ascii="Times New Roman" w:cs="Times New Roman" w:eastAsia="Times New Roman" w:hAnsi="Times New Roman"/>
          <w:sz w:val="14"/>
          <w:szCs w:val="14"/>
          <w:color w:val="auto"/>
        </w:rPr>
        <w:t>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w:t>
      </w:r>
    </w:p>
    <w:p>
      <w:pPr>
        <w:spacing w:after="0" w:line="78" w:lineRule="exact"/>
        <w:rPr>
          <w:sz w:val="20"/>
          <w:szCs w:val="20"/>
          <w:color w:val="auto"/>
        </w:rPr>
      </w:pPr>
    </w:p>
    <w:p>
      <w:pPr>
        <w:sectPr>
          <w:pgSz w:w="11900" w:h="16838" w:orient="portrait"/>
          <w:cols w:equalWidth="0" w:num="2">
            <w:col w:w="2860" w:space="2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“Honigman”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Honigman LLP, counsel to Gentherm.</w:t>
      </w:r>
    </w:p>
    <w:p>
      <w:pPr>
        <w:spacing w:after="0" w:line="123"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“HSR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Hart-Scott-Rodino Antitrust Improvements Act of 1976, as amended.</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“Initial Adjustment</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w:t>
      </w:r>
    </w:p>
    <w:p>
      <w:pPr>
        <w:spacing w:after="0" w:line="20" w:lineRule="exact"/>
        <w:rPr>
          <w:sz w:val="20"/>
          <w:szCs w:val="20"/>
          <w:color w:val="auto"/>
        </w:rPr>
      </w:pPr>
      <w:r>
        <w:rPr>
          <w:sz w:val="20"/>
          <w:szCs w:val="20"/>
          <w:color w:val="auto"/>
        </w:rPr>
        <w:br w:type="column"/>
      </w:r>
    </w:p>
    <w:p>
      <w:pPr>
        <w:ind w:right="559"/>
        <w:spacing w:after="0" w:line="283" w:lineRule="auto"/>
        <w:rPr>
          <w:sz w:val="20"/>
          <w:szCs w:val="20"/>
          <w:color w:val="auto"/>
        </w:rPr>
      </w:pPr>
      <w:r>
        <w:rPr>
          <w:rFonts w:ascii="Times New Roman" w:cs="Times New Roman" w:eastAsia="Times New Roman" w:hAnsi="Times New Roman"/>
          <w:sz w:val="14"/>
          <w:szCs w:val="14"/>
          <w:color w:val="auto"/>
        </w:rPr>
        <w:t>The lesser of (x) the Aggregate Adjustment Amount and (y) the Initial Adjustment Cap (or, if clauses (x) and (y) are equal, such amount).</w:t>
      </w:r>
    </w:p>
    <w:p>
      <w:pPr>
        <w:spacing w:after="0" w:line="62" w:lineRule="exact"/>
        <w:rPr>
          <w:sz w:val="20"/>
          <w:szCs w:val="20"/>
          <w:color w:val="auto"/>
        </w:rPr>
      </w:pPr>
    </w:p>
    <w:p>
      <w:pPr>
        <w:sectPr>
          <w:pgSz w:w="11900" w:h="16838" w:orient="portrait"/>
          <w:cols w:equalWidth="0" w:num="2">
            <w:col w:w="2440" w:space="6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“Initial Adjustment Cap”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$35,000,000.</w:t>
      </w:r>
    </w:p>
    <w:p>
      <w:pPr>
        <w:spacing w:after="0" w:line="200" w:lineRule="exact"/>
        <w:rPr>
          <w:sz w:val="20"/>
          <w:szCs w:val="20"/>
          <w:color w:val="auto"/>
        </w:rPr>
      </w:pPr>
    </w:p>
    <w:p>
      <w:pPr>
        <w:sectPr>
          <w:pgSz w:w="11900" w:h="16838" w:orient="portrait"/>
          <w:cols w:equalWidth="0" w:num="2">
            <w:col w:w="2760" w:space="320"/>
            <w:col w:w="7079"/>
          </w:cols>
          <w:pgMar w:left="300" w:top="386" w:right="1440" w:bottom="1440" w:gutter="0" w:footer="0" w:header="0"/>
          <w:type w:val="continuous"/>
        </w:sectPr>
      </w:pPr>
    </w:p>
    <w:p>
      <w:pPr>
        <w:spacing w:after="0" w:line="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1"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“Intellectual Property</w:t>
      </w:r>
    </w:p>
    <w:p>
      <w:pPr>
        <w:spacing w:after="0" w:line="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Matters Agreement”</w:t>
      </w:r>
    </w:p>
    <w:p>
      <w:pPr>
        <w:spacing w:after="0" w:line="20" w:lineRule="exact"/>
        <w:rPr>
          <w:sz w:val="20"/>
          <w:szCs w:val="20"/>
          <w:color w:val="auto"/>
        </w:rPr>
      </w:pPr>
      <w:r>
        <w:rPr>
          <w:sz w:val="20"/>
          <w:szCs w:val="20"/>
          <w:color w:val="auto"/>
        </w:rPr>
        <w:br w:type="column"/>
      </w:r>
    </w:p>
    <w:p>
      <w:pPr>
        <w:ind w:right="239"/>
        <w:spacing w:after="0" w:line="242" w:lineRule="auto"/>
        <w:rPr>
          <w:sz w:val="20"/>
          <w:szCs w:val="20"/>
          <w:color w:val="auto"/>
        </w:rPr>
      </w:pPr>
      <w:r>
        <w:rPr>
          <w:rFonts w:ascii="Times New Roman" w:cs="Times New Roman" w:eastAsia="Times New Roman" w:hAnsi="Times New Roman"/>
          <w:sz w:val="14"/>
          <w:szCs w:val="14"/>
          <w:color w:val="auto"/>
        </w:rPr>
        <w:t>The Intellectual Property Matters Agreement to be entered into prior to or at the Effective Time, by and among Gentherm, SpinCo and Modine.</w:t>
      </w:r>
    </w:p>
    <w:p>
      <w:pPr>
        <w:spacing w:after="0" w:line="89" w:lineRule="exact"/>
        <w:rPr>
          <w:sz w:val="20"/>
          <w:szCs w:val="20"/>
          <w:color w:val="auto"/>
        </w:rPr>
      </w:pPr>
    </w:p>
    <w:p>
      <w:pPr>
        <w:sectPr>
          <w:pgSz w:w="11900" w:h="16838" w:orient="portrait"/>
          <w:cols w:equalWidth="0" w:num="2">
            <w:col w:w="2560" w:space="5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“Intermediate Adjustment</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Amount”</w:t>
      </w:r>
    </w:p>
    <w:p>
      <w:pPr>
        <w:spacing w:after="0" w:line="20" w:lineRule="exact"/>
        <w:rPr>
          <w:sz w:val="20"/>
          <w:szCs w:val="20"/>
          <w:color w:val="auto"/>
        </w:rPr>
      </w:pPr>
      <w:r>
        <w:rPr>
          <w:sz w:val="20"/>
          <w:szCs w:val="20"/>
          <w:color w:val="auto"/>
        </w:rPr>
        <w:br w:type="column"/>
      </w:r>
    </w:p>
    <w:p>
      <w:pPr>
        <w:ind w:right="859"/>
        <w:spacing w:after="0" w:line="283" w:lineRule="auto"/>
        <w:rPr>
          <w:sz w:val="20"/>
          <w:szCs w:val="20"/>
          <w:color w:val="auto"/>
        </w:rPr>
      </w:pPr>
      <w:r>
        <w:rPr>
          <w:rFonts w:ascii="Times New Roman" w:cs="Times New Roman" w:eastAsia="Times New Roman" w:hAnsi="Times New Roman"/>
          <w:sz w:val="14"/>
          <w:szCs w:val="14"/>
          <w:color w:val="auto"/>
        </w:rPr>
        <w:t>The lesser of (x) the Aggregate Adjustment Amount minus the Initial Adjustment Cap and (y) the Intermediate Adjustment Cap minus the Initial Adjustment Cap (or, if clauses (x) and (y) are equal, such amount).</w:t>
      </w:r>
    </w:p>
    <w:p>
      <w:pPr>
        <w:spacing w:after="0" w:line="62" w:lineRule="exact"/>
        <w:rPr>
          <w:sz w:val="20"/>
          <w:szCs w:val="20"/>
          <w:color w:val="auto"/>
        </w:rPr>
      </w:pPr>
    </w:p>
    <w:p>
      <w:pPr>
        <w:sectPr>
          <w:pgSz w:w="11900" w:h="16838" w:orient="portrait"/>
          <w:cols w:equalWidth="0" w:num="2">
            <w:col w:w="2820" w:space="2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“Intermediate Adjustment</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$70,000,000.00.</w:t>
      </w:r>
    </w:p>
    <w:p>
      <w:pPr>
        <w:spacing w:after="0" w:line="292" w:lineRule="exact"/>
        <w:rPr>
          <w:sz w:val="20"/>
          <w:szCs w:val="20"/>
          <w:color w:val="auto"/>
        </w:rPr>
      </w:pPr>
    </w:p>
    <w:p>
      <w:pPr>
        <w:sectPr>
          <w:pgSz w:w="11900" w:h="16838" w:orient="portrait"/>
          <w:cols w:equalWidth="0" w:num="2">
            <w:col w:w="2820" w:space="260"/>
            <w:col w:w="7079"/>
          </w:cols>
          <w:pgMar w:left="300" w:top="386" w:right="1440" w:bottom="1440" w:gutter="0" w:footer="0" w:header="0"/>
          <w:type w:val="continuous"/>
        </w:sectPr>
      </w:pPr>
    </w:p>
    <w:p>
      <w:pPr>
        <w:jc w:val="center"/>
        <w:ind w:left="700"/>
        <w:spacing w:after="0"/>
        <w:rPr>
          <w:sz w:val="20"/>
          <w:szCs w:val="20"/>
          <w:color w:val="auto"/>
        </w:rPr>
      </w:pPr>
      <w:r>
        <w:rPr>
          <w:rFonts w:ascii="Times New Roman" w:cs="Times New Roman" w:eastAsia="Times New Roman" w:hAnsi="Times New Roman"/>
          <w:sz w:val="13"/>
          <w:szCs w:val="13"/>
          <w:color w:val="auto"/>
        </w:rPr>
        <w:t>“IRS”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U.S. Internal Revenue Service.</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“IRS Ruling”</w:t>
      </w:r>
    </w:p>
    <w:p>
      <w:pPr>
        <w:spacing w:after="0" w:line="20" w:lineRule="exact"/>
        <w:rPr>
          <w:sz w:val="20"/>
          <w:szCs w:val="20"/>
          <w:color w:val="auto"/>
        </w:rPr>
      </w:pPr>
      <w:r>
        <w:rPr>
          <w:sz w:val="20"/>
          <w:szCs w:val="20"/>
          <w:color w:val="auto"/>
        </w:rPr>
        <w:br w:type="column"/>
      </w:r>
    </w:p>
    <w:p>
      <w:pPr>
        <w:ind w:right="399"/>
        <w:spacing w:after="0" w:line="267" w:lineRule="auto"/>
        <w:rPr>
          <w:sz w:val="20"/>
          <w:szCs w:val="20"/>
          <w:color w:val="auto"/>
        </w:rPr>
      </w:pPr>
      <w:r>
        <w:rPr>
          <w:rFonts w:ascii="Times New Roman" w:cs="Times New Roman" w:eastAsia="Times New Roman" w:hAnsi="Times New Roman"/>
          <w:sz w:val="14"/>
          <w:szCs w:val="14"/>
          <w:color w:val="auto"/>
        </w:rPr>
        <w:t>A private letter ruling from the IRS received by Modine regarding such matters germane to the U.S. federal income tax consequences of the Separation, Contribution, Distribution and Merger and any related transactions as Modine and Gentherm may determine in accordance with the Merger Agreement.</w:t>
      </w:r>
    </w:p>
    <w:p>
      <w:pPr>
        <w:spacing w:after="0" w:line="7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“Latham”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Latham &amp; Watkins LLP, counsel to Gentherm.</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“MBCA”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Michigan Business Corporation Act.</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“Merger”</w:t>
      </w:r>
    </w:p>
    <w:p>
      <w:pPr>
        <w:spacing w:after="0" w:line="20" w:lineRule="exact"/>
        <w:rPr>
          <w:sz w:val="20"/>
          <w:szCs w:val="20"/>
          <w:color w:val="auto"/>
        </w:rPr>
      </w:pPr>
      <w:r>
        <w:rPr>
          <w:sz w:val="20"/>
          <w:szCs w:val="20"/>
          <w:color w:val="auto"/>
        </w:rPr>
        <w:br w:type="column"/>
      </w:r>
    </w:p>
    <w:p>
      <w:pPr>
        <w:ind w:right="379"/>
        <w:spacing w:after="0" w:line="283" w:lineRule="auto"/>
        <w:rPr>
          <w:sz w:val="20"/>
          <w:szCs w:val="20"/>
          <w:color w:val="auto"/>
        </w:rPr>
      </w:pPr>
      <w:r>
        <w:rPr>
          <w:rFonts w:ascii="Times New Roman" w:cs="Times New Roman" w:eastAsia="Times New Roman" w:hAnsi="Times New Roman"/>
          <w:sz w:val="14"/>
          <w:szCs w:val="14"/>
          <w:color w:val="auto"/>
        </w:rPr>
        <w:t>The merger of Merger Sub with and into SpinCo, with SpinCo surviving as a wholly owned subsidiary of Gentherm, as contemplated by the Merger Agreement.</w:t>
      </w:r>
    </w:p>
    <w:p>
      <w:pPr>
        <w:spacing w:after="0" w:line="6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“Merger Agreement”</w:t>
      </w:r>
    </w:p>
    <w:p>
      <w:pPr>
        <w:spacing w:after="0" w:line="20" w:lineRule="exact"/>
        <w:rPr>
          <w:sz w:val="20"/>
          <w:szCs w:val="20"/>
          <w:color w:val="auto"/>
        </w:rPr>
      </w:pPr>
      <w:r>
        <w:rPr>
          <w:sz w:val="20"/>
          <w:szCs w:val="20"/>
          <w:color w:val="auto"/>
        </w:rPr>
        <w:br w:type="column"/>
      </w:r>
    </w:p>
    <w:p>
      <w:pPr>
        <w:ind w:right="279"/>
        <w:spacing w:after="0" w:line="283" w:lineRule="auto"/>
        <w:rPr>
          <w:sz w:val="20"/>
          <w:szCs w:val="20"/>
          <w:color w:val="auto"/>
        </w:rPr>
      </w:pPr>
      <w:r>
        <w:rPr>
          <w:rFonts w:ascii="Times New Roman" w:cs="Times New Roman" w:eastAsia="Times New Roman" w:hAnsi="Times New Roman"/>
          <w:sz w:val="14"/>
          <w:szCs w:val="14"/>
          <w:color w:val="auto"/>
        </w:rPr>
        <w:t>The Agreement and Plan of Merger, dated as of January 29, 2026, by and among Modine, SpinCo, Gentherm and Merger Sub, as may be amended from time to time.</w:t>
      </w:r>
    </w:p>
    <w:p>
      <w:pPr>
        <w:spacing w:after="0" w:line="62" w:lineRule="exact"/>
        <w:rPr>
          <w:sz w:val="20"/>
          <w:szCs w:val="20"/>
          <w:color w:val="auto"/>
        </w:rPr>
      </w:pPr>
    </w:p>
    <w:p>
      <w:pPr>
        <w:sectPr>
          <w:pgSz w:w="11900" w:h="16838" w:orient="portrait"/>
          <w:cols w:equalWidth="0" w:num="2">
            <w:col w:w="2540" w:space="5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“Merger Consideration”</w:t>
      </w:r>
    </w:p>
    <w:p>
      <w:pPr>
        <w:spacing w:after="0" w:line="20" w:lineRule="exact"/>
        <w:rPr>
          <w:sz w:val="20"/>
          <w:szCs w:val="20"/>
          <w:color w:val="auto"/>
        </w:rPr>
      </w:pPr>
      <w:r>
        <w:rPr>
          <w:sz w:val="20"/>
          <w:szCs w:val="20"/>
          <w:color w:val="auto"/>
        </w:rPr>
        <w:br w:type="column"/>
      </w:r>
    </w:p>
    <w:p>
      <w:pPr>
        <w:ind w:right="279"/>
        <w:spacing w:after="0" w:line="274" w:lineRule="auto"/>
        <w:rPr>
          <w:sz w:val="20"/>
          <w:szCs w:val="20"/>
          <w:color w:val="auto"/>
        </w:rPr>
      </w:pPr>
      <w:r>
        <w:rPr>
          <w:rFonts w:ascii="Times New Roman" w:cs="Times New Roman" w:eastAsia="Times New Roman" w:hAnsi="Times New Roman"/>
          <w:sz w:val="13"/>
          <w:szCs w:val="13"/>
          <w:color w:val="auto"/>
        </w:rPr>
        <w:t>With respect to each share of SpinCo Common Stock issued and outstanding immediately prior to the Effective Time (other than shares canceled in accordance with the Merger Agreement), the right to receive a number of fully paid and nonassessable shares of Gentherm Common Stock equal to the Exchange Ratio, which is subject to adjustment as set forth in the Merger Agreement, together with cash paid in lieu of fractional shares (if applicable). Assuming June 18, 2026 was the Determination Time, based on 30,998,122 Fully Diluted Gentherm Shares as of June 18, 2026 and the 40%/60% ownership split of the issued and outstanding shares of Gentherm Common Stock on a fully diluted basis immediately following the Merger by the former holders of SpinCo Common Stock immediately prior to the Effective Time (in their capacity as such) and the Gentherm shareholders immediately prior to the Effective Time (in their capacity as such) contemplated by the Exchange Ratio (prior to any adjustment), the estimated aggregate Merger Consideration would consist of 20,665,617 shares of Gentherm Common Stock with an estimated aggregate fair value of approximately $742.5 million (based on the closing price per share of Gentherm Common Stock of $35.93 on June 18, 2026), plus cash in lieu of any fractional shares. The actual aggregate Merger Consideration will vary based on (i) the number of Fully Diluted Gentherm Shares at the Determination Time, (ii) whether the Exchange Ratio is adjusted as described in this proxy statement/prospectus, and (iii) the market price of Gentherm Common Stock at the time of the Merger.</w:t>
      </w:r>
    </w:p>
    <w:p>
      <w:pPr>
        <w:spacing w:after="0" w:line="200" w:lineRule="exact"/>
        <w:rPr>
          <w:sz w:val="20"/>
          <w:szCs w:val="20"/>
          <w:color w:val="auto"/>
        </w:rPr>
      </w:pPr>
    </w:p>
    <w:p>
      <w:pPr>
        <w:sectPr>
          <w:pgSz w:w="11900" w:h="16838" w:orient="portrait"/>
          <w:cols w:equalWidth="0" w:num="2">
            <w:col w:w="2720" w:space="360"/>
            <w:col w:w="7079"/>
          </w:cols>
          <w:pgMar w:left="300" w:top="386" w:right="1440" w:bottom="1440" w:gutter="0" w:footer="0" w:header="0"/>
          <w:type w:val="continuous"/>
        </w:sectPr>
      </w:pPr>
    </w:p>
    <w:p>
      <w:pPr>
        <w:spacing w:after="0" w:line="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“Merger Sub”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Platinum Gold Merger Sub Inc., a Delaware corporation and wholly owned subsidiary of Gentherm.</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“Modine”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Modine Manufacturing Co., a Wisconsin corporation.</w:t>
      </w:r>
    </w:p>
    <w:p>
      <w:pPr>
        <w:spacing w:after="0" w:line="123"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Assets”</w:t>
      </w:r>
    </w:p>
    <w:p>
      <w:pPr>
        <w:spacing w:after="0" w:line="20" w:lineRule="exact"/>
        <w:rPr>
          <w:sz w:val="20"/>
          <w:szCs w:val="20"/>
          <w:color w:val="auto"/>
        </w:rPr>
      </w:pPr>
      <w:r>
        <w:rPr>
          <w:sz w:val="20"/>
          <w:szCs w:val="20"/>
          <w:color w:val="auto"/>
        </w:rPr>
        <w:br w:type="column"/>
      </w:r>
    </w:p>
    <w:p>
      <w:pPr>
        <w:ind w:right="359"/>
        <w:spacing w:after="0" w:line="283" w:lineRule="auto"/>
        <w:rPr>
          <w:sz w:val="20"/>
          <w:szCs w:val="20"/>
          <w:color w:val="auto"/>
        </w:rPr>
      </w:pPr>
      <w:r>
        <w:rPr>
          <w:rFonts w:ascii="Times New Roman" w:cs="Times New Roman" w:eastAsia="Times New Roman" w:hAnsi="Times New Roman"/>
          <w:sz w:val="14"/>
          <w:szCs w:val="14"/>
          <w:color w:val="auto"/>
        </w:rPr>
        <w:t>All Assets of either Modine or SpinCo or the members of the Modine Group or the SpinCo Group as of the Distribution Time, other than SpinCo Assets.</w:t>
      </w:r>
    </w:p>
    <w:p>
      <w:pPr>
        <w:spacing w:after="0" w:line="177"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1"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Awards”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Modine Option Awards, Modine RSU Awards and Modine PS Awards, collectively.</w:t>
      </w:r>
    </w:p>
    <w:p>
      <w:pPr>
        <w:spacing w:after="0" w:line="96" w:lineRule="exact"/>
        <w:rPr>
          <w:sz w:val="20"/>
          <w:szCs w:val="20"/>
          <w:color w:val="auto"/>
        </w:rPr>
      </w:pPr>
    </w:p>
    <w:p>
      <w:pPr>
        <w:sectPr>
          <w:pgSz w:w="11900" w:h="16838" w:orient="portrait"/>
          <w:cols w:equalWidth="0" w:num="2">
            <w:col w:w="2380" w:space="7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Benefit Plan”</w:t>
      </w:r>
    </w:p>
    <w:p>
      <w:pPr>
        <w:spacing w:after="0" w:line="20" w:lineRule="exact"/>
        <w:rPr>
          <w:sz w:val="20"/>
          <w:szCs w:val="20"/>
          <w:color w:val="auto"/>
        </w:rPr>
      </w:pPr>
      <w:r>
        <w:rPr>
          <w:sz w:val="20"/>
          <w:szCs w:val="20"/>
          <w:color w:val="auto"/>
        </w:rPr>
        <w:br w:type="column"/>
      </w:r>
    </w:p>
    <w:p>
      <w:pPr>
        <w:ind w:right="299"/>
        <w:spacing w:after="0" w:line="258" w:lineRule="auto"/>
        <w:rPr>
          <w:sz w:val="20"/>
          <w:szCs w:val="20"/>
          <w:color w:val="auto"/>
        </w:rPr>
      </w:pPr>
      <w:r>
        <w:rPr>
          <w:rFonts w:ascii="Times New Roman" w:cs="Times New Roman" w:eastAsia="Times New Roman" w:hAnsi="Times New Roman"/>
          <w:sz w:val="14"/>
          <w:szCs w:val="14"/>
          <w:color w:val="auto"/>
        </w:rPr>
        <w:t>Each Benefit Plan (a) that is maintained, sponsored, contributed to or entered into by Modine or any of its affiliates (including SpinCo and its subsidiaries) or to which Modine or any of its affiliates (including SpinCo and its subsidiaries) is required to contribute, in each case, for the benefit of any SpinCo Employee or any other current or former director, officer, consultant, employee or other individual service provider of the Performance Technologies Business or (b) under or with respect to which SpinCo has any liability.</w:t>
      </w:r>
    </w:p>
    <w:p>
      <w:pPr>
        <w:spacing w:after="0" w:line="81" w:lineRule="exact"/>
        <w:rPr>
          <w:sz w:val="20"/>
          <w:szCs w:val="20"/>
          <w:color w:val="auto"/>
        </w:rPr>
      </w:pPr>
    </w:p>
    <w:p>
      <w:pPr>
        <w:sectPr>
          <w:pgSz w:w="11900" w:h="16838" w:orient="portrait"/>
          <w:cols w:equalWidth="0" w:num="2">
            <w:col w:w="2640" w:space="4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“Modine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Board of Directors of Modine.</w:t>
      </w:r>
    </w:p>
    <w:p>
      <w:pPr>
        <w:spacing w:after="0" w:line="123"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Business”</w:t>
      </w:r>
    </w:p>
    <w:p>
      <w:pPr>
        <w:spacing w:after="0" w:line="20" w:lineRule="exact"/>
        <w:rPr>
          <w:sz w:val="20"/>
          <w:szCs w:val="20"/>
          <w:color w:val="auto"/>
        </w:rPr>
      </w:pPr>
      <w:r>
        <w:rPr>
          <w:sz w:val="20"/>
          <w:szCs w:val="20"/>
          <w:color w:val="auto"/>
        </w:rPr>
        <w:br w:type="column"/>
      </w:r>
    </w:p>
    <w:p>
      <w:pPr>
        <w:ind w:right="279"/>
        <w:spacing w:after="0" w:line="267" w:lineRule="auto"/>
        <w:rPr>
          <w:sz w:val="20"/>
          <w:szCs w:val="20"/>
          <w:color w:val="auto"/>
        </w:rPr>
      </w:pPr>
      <w:r>
        <w:rPr>
          <w:rFonts w:ascii="Times New Roman" w:cs="Times New Roman" w:eastAsia="Times New Roman" w:hAnsi="Times New Roman"/>
          <w:sz w:val="14"/>
          <w:szCs w:val="14"/>
          <w:color w:val="auto"/>
        </w:rPr>
        <w:t>All businesses, operations and activities (whether or not such businesses, operations or activities are or have been terminated, divested or discontinued) conducted at any time prior to the Distribution Time by either Modine or SpinCo or any member of the Modine Group or the SpinCo Group (other than the Performance Technologies Business).</w:t>
      </w:r>
    </w:p>
    <w:p>
      <w:pPr>
        <w:spacing w:after="0" w:line="72" w:lineRule="exact"/>
        <w:rPr>
          <w:sz w:val="20"/>
          <w:szCs w:val="20"/>
          <w:color w:val="auto"/>
        </w:rPr>
      </w:pPr>
    </w:p>
    <w:p>
      <w:pPr>
        <w:sectPr>
          <w:pgSz w:w="11900" w:h="16838" w:orient="portrait"/>
          <w:cols w:equalWidth="0" w:num="2">
            <w:col w:w="2440" w:space="6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common stock, par value $0.625 per share, of Modine.</w:t>
      </w:r>
    </w:p>
    <w:p>
      <w:pPr>
        <w:spacing w:after="0" w:line="112" w:lineRule="exact"/>
        <w:rPr>
          <w:sz w:val="20"/>
          <w:szCs w:val="20"/>
          <w:color w:val="auto"/>
        </w:rPr>
      </w:pPr>
    </w:p>
    <w:p>
      <w:pPr>
        <w:sectPr>
          <w:pgSz w:w="11900" w:h="16838" w:orient="portrait"/>
          <w:cols w:equalWidth="0" w:num="2">
            <w:col w:w="2820" w:space="2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Distribution Tax</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Opinion”</w:t>
      </w:r>
    </w:p>
    <w:p>
      <w:pPr>
        <w:spacing w:after="0" w:line="20" w:lineRule="exact"/>
        <w:rPr>
          <w:sz w:val="20"/>
          <w:szCs w:val="20"/>
          <w:color w:val="auto"/>
        </w:rPr>
      </w:pPr>
      <w:r>
        <w:rPr>
          <w:sz w:val="20"/>
          <w:szCs w:val="20"/>
          <w:color w:val="auto"/>
        </w:rPr>
        <w:br w:type="column"/>
      </w:r>
    </w:p>
    <w:p>
      <w:pPr>
        <w:ind w:right="419"/>
        <w:spacing w:after="0" w:line="267" w:lineRule="auto"/>
        <w:rPr>
          <w:sz w:val="20"/>
          <w:szCs w:val="20"/>
          <w:color w:val="auto"/>
        </w:rPr>
      </w:pPr>
      <w:r>
        <w:rPr>
          <w:rFonts w:ascii="Times New Roman" w:cs="Times New Roman" w:eastAsia="Times New Roman" w:hAnsi="Times New Roman"/>
          <w:sz w:val="14"/>
          <w:szCs w:val="14"/>
          <w:color w:val="auto"/>
        </w:rPr>
        <w:t>A written opinion of Gibson Dunn, reasonably satisfactory in form and substance to Modine, required as a condition to Modine and SpinCo’s obligation to complete the Transactions, regarding the U.S. federal income tax treatment of the Contribution and Distribution.</w:t>
      </w:r>
    </w:p>
    <w:p>
      <w:pPr>
        <w:spacing w:after="0" w:line="72" w:lineRule="exact"/>
        <w:rPr>
          <w:sz w:val="20"/>
          <w:szCs w:val="20"/>
          <w:color w:val="auto"/>
        </w:rPr>
      </w:pPr>
    </w:p>
    <w:p>
      <w:pPr>
        <w:sectPr>
          <w:pgSz w:w="11900" w:h="16838" w:orient="portrait"/>
          <w:cols w:equalWidth="0" w:num="2">
            <w:col w:w="2800" w:space="2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Each employee of the Modine Group as of immediately prior to the Distribution Time who is not a SpinCo Employee.</w:t>
      </w:r>
    </w:p>
    <w:p>
      <w:pPr>
        <w:spacing w:after="0" w:line="124" w:lineRule="exact"/>
        <w:rPr>
          <w:sz w:val="20"/>
          <w:szCs w:val="20"/>
          <w:color w:val="auto"/>
        </w:rPr>
      </w:pPr>
    </w:p>
    <w:p>
      <w:pPr>
        <w:sectPr>
          <w:pgSz w:w="11900" w:h="16838" w:orient="portrait"/>
          <w:cols w:equalWidth="0" w:num="2">
            <w:col w:w="2520" w:space="5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Modine and each Person that is a subsidiary of Modine (other than SpinCo and any other member of the SpinCo Group).</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“Modine Incentive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Compensation Plan”</w:t>
      </w:r>
    </w:p>
    <w:p>
      <w:pPr>
        <w:spacing w:after="0" w:line="20" w:lineRule="exact"/>
        <w:rPr>
          <w:sz w:val="20"/>
          <w:szCs w:val="20"/>
          <w:color w:val="auto"/>
        </w:rPr>
      </w:pPr>
      <w:r>
        <w:rPr>
          <w:sz w:val="20"/>
          <w:szCs w:val="20"/>
          <w:color w:val="auto"/>
        </w:rPr>
        <w:br w:type="column"/>
      </w:r>
    </w:p>
    <w:p>
      <w:pPr>
        <w:ind w:right="479"/>
        <w:spacing w:after="0" w:line="267" w:lineRule="auto"/>
        <w:rPr>
          <w:sz w:val="20"/>
          <w:szCs w:val="20"/>
          <w:color w:val="auto"/>
        </w:rPr>
      </w:pPr>
      <w:r>
        <w:rPr>
          <w:rFonts w:ascii="Times New Roman" w:cs="Times New Roman" w:eastAsia="Times New Roman" w:hAnsi="Times New Roman"/>
          <w:sz w:val="14"/>
          <w:szCs w:val="14"/>
          <w:color w:val="auto"/>
        </w:rPr>
        <w:t>The Modine Manufacturing Company Amended and Restated 2008 Incentive Compensation Plan, the Modine Manufacturing Company 2017 Incentive Compensation Plan and the Modine Manufacturing Company Amended and Restated 2020 Incentive Compensation Plan, each as amended from time to time.</w:t>
      </w:r>
    </w:p>
    <w:p>
      <w:pPr>
        <w:spacing w:after="0" w:line="72" w:lineRule="exact"/>
        <w:rPr>
          <w:sz w:val="20"/>
          <w:szCs w:val="20"/>
          <w:color w:val="auto"/>
        </w:rPr>
      </w:pPr>
    </w:p>
    <w:p>
      <w:pPr>
        <w:sectPr>
          <w:pgSz w:w="11900" w:h="16838" w:orient="portrait"/>
          <w:cols w:equalWidth="0" w:num="2">
            <w:col w:w="2520" w:space="5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Merger Tax</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Opinion”</w:t>
      </w:r>
    </w:p>
    <w:p>
      <w:pPr>
        <w:spacing w:after="0" w:line="20" w:lineRule="exact"/>
        <w:rPr>
          <w:sz w:val="20"/>
          <w:szCs w:val="20"/>
          <w:color w:val="auto"/>
        </w:rPr>
      </w:pPr>
      <w:r>
        <w:rPr>
          <w:sz w:val="20"/>
          <w:szCs w:val="20"/>
          <w:color w:val="auto"/>
        </w:rPr>
        <w:br w:type="column"/>
      </w:r>
    </w:p>
    <w:p>
      <w:pPr>
        <w:ind w:right="239"/>
        <w:spacing w:after="0" w:line="261" w:lineRule="auto"/>
        <w:rPr>
          <w:sz w:val="20"/>
          <w:szCs w:val="20"/>
          <w:color w:val="auto"/>
        </w:rPr>
      </w:pPr>
      <w:r>
        <w:rPr>
          <w:rFonts w:ascii="Times New Roman" w:cs="Times New Roman" w:eastAsia="Times New Roman" w:hAnsi="Times New Roman"/>
          <w:sz w:val="14"/>
          <w:szCs w:val="14"/>
          <w:color w:val="auto"/>
        </w:rPr>
        <w:t>A written opinion of Gibson Dunn, reasonably satisfactory in form and substance to Modine, required as a condition to Modine and SpinCo’s obligation to complete the Transactions, to the effect that, on the basis of the facts, representations and assumptions set forth or referred to in such opinion, for U.S. federal income tax purposes, the Merger will qualify as a “reorganization” within the meaning of Section 368(a) of the Code.</w:t>
      </w:r>
    </w:p>
    <w:p>
      <w:pPr>
        <w:spacing w:after="0" w:line="78" w:lineRule="exact"/>
        <w:rPr>
          <w:sz w:val="20"/>
          <w:szCs w:val="20"/>
          <w:color w:val="auto"/>
        </w:rPr>
      </w:pPr>
    </w:p>
    <w:p>
      <w:pPr>
        <w:sectPr>
          <w:pgSz w:w="11900" w:h="16838" w:orient="portrait"/>
          <w:cols w:equalWidth="0" w:num="2">
            <w:col w:w="2540" w:space="5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Option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stock option award granted under a Modine Incentive Compensation Plan.</w:t>
      </w:r>
    </w:p>
    <w:p>
      <w:pPr>
        <w:spacing w:after="0" w:line="112" w:lineRule="exact"/>
        <w:rPr>
          <w:sz w:val="20"/>
          <w:szCs w:val="20"/>
          <w:color w:val="auto"/>
        </w:rPr>
      </w:pPr>
    </w:p>
    <w:p>
      <w:pPr>
        <w:sectPr>
          <w:pgSz w:w="11900" w:h="16838" w:orient="portrait"/>
          <w:cols w:equalWidth="0" w:num="2">
            <w:col w:w="2740" w:space="3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PS Award”</w:t>
      </w:r>
    </w:p>
    <w:p>
      <w:pPr>
        <w:spacing w:after="0" w:line="20" w:lineRule="exact"/>
        <w:rPr>
          <w:sz w:val="20"/>
          <w:szCs w:val="20"/>
          <w:color w:val="auto"/>
        </w:rPr>
      </w:pPr>
      <w:r>
        <w:rPr>
          <w:sz w:val="20"/>
          <w:szCs w:val="20"/>
          <w:color w:val="auto"/>
        </w:rPr>
        <w:br w:type="column"/>
      </w:r>
    </w:p>
    <w:p>
      <w:pPr>
        <w:ind w:right="359"/>
        <w:spacing w:after="0" w:line="283" w:lineRule="auto"/>
        <w:rPr>
          <w:sz w:val="20"/>
          <w:szCs w:val="20"/>
          <w:color w:val="auto"/>
        </w:rPr>
      </w:pPr>
      <w:r>
        <w:rPr>
          <w:rFonts w:ascii="Times New Roman" w:cs="Times New Roman" w:eastAsia="Times New Roman" w:hAnsi="Times New Roman"/>
          <w:sz w:val="14"/>
          <w:szCs w:val="14"/>
          <w:color w:val="auto"/>
        </w:rPr>
        <w:t>A performance stock award subject to performance-vesting conditions granted under a Modine Incentive Compensation Plan.</w:t>
      </w:r>
    </w:p>
    <w:p>
      <w:pPr>
        <w:spacing w:after="0" w:line="62" w:lineRule="exact"/>
        <w:rPr>
          <w:sz w:val="20"/>
          <w:szCs w:val="20"/>
          <w:color w:val="auto"/>
        </w:rPr>
      </w:pPr>
    </w:p>
    <w:p>
      <w:pPr>
        <w:sectPr>
          <w:pgSz w:w="11900" w:h="16838" w:orient="portrait"/>
          <w:cols w:equalWidth="0" w:num="2">
            <w:col w:w="2500" w:space="5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“Modine Reimbursement</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Account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flexible reimbursement account plan of Modine and its affiliates.</w:t>
      </w:r>
    </w:p>
    <w:p>
      <w:pPr>
        <w:spacing w:after="0" w:line="292" w:lineRule="exact"/>
        <w:rPr>
          <w:sz w:val="20"/>
          <w:szCs w:val="20"/>
          <w:color w:val="auto"/>
        </w:rPr>
      </w:pPr>
    </w:p>
    <w:p>
      <w:pPr>
        <w:sectPr>
          <w:pgSz w:w="11900" w:h="16838" w:orient="portrait"/>
          <w:cols w:equalWidth="0" w:num="2">
            <w:col w:w="2780" w:space="3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RSU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 restricted stock unit award granted under a Modine Incentive Compensation Plan.</w:t>
      </w:r>
    </w:p>
    <w:p>
      <w:pPr>
        <w:spacing w:after="0" w:line="112" w:lineRule="exact"/>
        <w:rPr>
          <w:sz w:val="20"/>
          <w:szCs w:val="20"/>
          <w:color w:val="auto"/>
        </w:rPr>
      </w:pPr>
    </w:p>
    <w:p>
      <w:pPr>
        <w:sectPr>
          <w:pgSz w:w="11900" w:h="16838" w:orient="portrait"/>
          <w:cols w:equalWidth="0" w:num="2">
            <w:col w:w="2620" w:space="4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“Modine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holders of Modine Common Stock.</w:t>
      </w:r>
    </w:p>
    <w:p>
      <w:pPr>
        <w:spacing w:after="0" w:line="112" w:lineRule="exact"/>
        <w:rPr>
          <w:sz w:val="20"/>
          <w:szCs w:val="20"/>
          <w:color w:val="auto"/>
        </w:rPr>
      </w:pPr>
    </w:p>
    <w:p>
      <w:pPr>
        <w:sectPr>
          <w:pgSz w:w="11900" w:h="16838" w:orient="portrait"/>
          <w:cols w:equalWidth="0" w:num="2">
            <w:col w:w="2660" w:space="4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“Nasdaq”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Nasdaq Global Market.</w:t>
      </w:r>
    </w:p>
    <w:p>
      <w:pPr>
        <w:spacing w:after="0" w:line="200"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spacing w:after="0" w:line="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1"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“Net Working Capital”</w:t>
      </w:r>
    </w:p>
    <w:p>
      <w:pPr>
        <w:spacing w:after="0" w:line="20" w:lineRule="exact"/>
        <w:rPr>
          <w:sz w:val="20"/>
          <w:szCs w:val="20"/>
          <w:color w:val="auto"/>
        </w:rPr>
      </w:pPr>
      <w:r>
        <w:rPr>
          <w:sz w:val="20"/>
          <w:szCs w:val="20"/>
          <w:color w:val="auto"/>
        </w:rPr>
        <w:br w:type="column"/>
      </w:r>
    </w:p>
    <w:p>
      <w:pPr>
        <w:ind w:right="239"/>
        <w:spacing w:after="0" w:line="250" w:lineRule="auto"/>
        <w:rPr>
          <w:sz w:val="20"/>
          <w:szCs w:val="20"/>
          <w:color w:val="auto"/>
        </w:rPr>
      </w:pPr>
      <w:r>
        <w:rPr>
          <w:rFonts w:ascii="Times New Roman" w:cs="Times New Roman" w:eastAsia="Times New Roman" w:hAnsi="Times New Roman"/>
          <w:sz w:val="14"/>
          <w:szCs w:val="14"/>
          <w:color w:val="auto"/>
        </w:rPr>
        <w:t>As of the Cut-Off Time, and without duplication, an amount (which may be a positive or negative number) equal to (i) the current assets of the Performance Technologies Business, minus (ii) the current liabilities of the Performance Technologies Business, in each case, which are included in specific line item categories agreed between Modine and Gentherm, but excluding (A) any deferred tax assets, deferred tax liabilities, income tax assets, and income tax liabilities, (B) all receivables and payables between any existing Modine entity to be transferred to SpinCo and another existing Modine entity to be transferred to SpinCo, (C) amounts outstanding pursuant to intercompany accounts, arrangements, understandings or contracts to be settled or eliminated in connection with the Closing pursuant to the Separation Agreement, (D) the Bridge Financing and/or the Permanent SpinCo Financing and any proceeds thereof, (E) the SpinCo Expense Reimbursement (including certain reimbursement obligations relating to the Bridge Financing and/or the Permanent SpinCo Financing), (F) the Modine Assets and the Modine Liabilities, (G) any amounts to the extent included and reflected in the calculation of SpinCo Indebtedness and SpinCo Cash, (H) operating lease balances, (I) pay-to-play assets and (J) Mexican statutory GAAP accounts. The Net Working Capital will be determined in accordance with and calculated on a basis consistent with accounting principles agreed between Gentherm and Modine.</w:t>
      </w:r>
    </w:p>
    <w:p>
      <w:pPr>
        <w:spacing w:after="0" w:line="84" w:lineRule="exact"/>
        <w:rPr>
          <w:sz w:val="20"/>
          <w:szCs w:val="20"/>
          <w:color w:val="auto"/>
        </w:rPr>
      </w:pPr>
    </w:p>
    <w:p>
      <w:pPr>
        <w:sectPr>
          <w:pgSz w:w="11900" w:h="16838" w:orient="portrait"/>
          <w:cols w:equalWidth="0" w:num="2">
            <w:col w:w="2640" w:space="440"/>
            <w:col w:w="7079"/>
          </w:cols>
          <w:pgMar w:left="300" w:top="386" w:right="1440" w:bottom="1440" w:gutter="0" w:footer="0" w:header="0"/>
          <w:type w:val="continuous"/>
        </w:sectPr>
      </w:pPr>
    </w:p>
    <w:p>
      <w:pPr>
        <w:jc w:val="center"/>
        <w:ind w:left="840"/>
        <w:spacing w:after="0"/>
        <w:rPr>
          <w:sz w:val="20"/>
          <w:szCs w:val="20"/>
          <w:color w:val="auto"/>
        </w:rPr>
      </w:pPr>
      <w:r>
        <w:rPr>
          <w:rFonts w:ascii="Times New Roman" w:cs="Times New Roman" w:eastAsia="Times New Roman" w:hAnsi="Times New Roman"/>
          <w:sz w:val="13"/>
          <w:szCs w:val="13"/>
          <w:color w:val="auto"/>
        </w:rPr>
        <w:t>“NYSE”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New York Stock Exchange.</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“Overlap Shareholders”</w:t>
      </w:r>
    </w:p>
    <w:p>
      <w:pPr>
        <w:spacing w:after="0" w:line="20" w:lineRule="exact"/>
        <w:rPr>
          <w:sz w:val="20"/>
          <w:szCs w:val="20"/>
          <w:color w:val="auto"/>
        </w:rPr>
      </w:pPr>
      <w:r>
        <w:rPr>
          <w:sz w:val="20"/>
          <w:szCs w:val="20"/>
          <w:color w:val="auto"/>
        </w:rPr>
        <w:br w:type="column"/>
      </w:r>
    </w:p>
    <w:p>
      <w:pPr>
        <w:jc w:val="both"/>
        <w:ind w:right="459"/>
        <w:spacing w:after="0" w:line="267" w:lineRule="auto"/>
        <w:rPr>
          <w:sz w:val="20"/>
          <w:szCs w:val="20"/>
          <w:color w:val="auto"/>
        </w:rPr>
      </w:pPr>
      <w:r>
        <w:rPr>
          <w:rFonts w:ascii="Times New Roman" w:cs="Times New Roman" w:eastAsia="Times New Roman" w:hAnsi="Times New Roman"/>
          <w:sz w:val="14"/>
          <w:szCs w:val="14"/>
          <w:color w:val="auto"/>
        </w:rPr>
        <w:t>Investors who are both Modine shareholders and Gentherm shareholders immediately prior to the Distribution and the consummation of the Merger, as more fully described under “Material U.S. Federal Income Tax Considerations of the Distribution and the Merger.”</w:t>
      </w:r>
    </w:p>
    <w:p>
      <w:pPr>
        <w:spacing w:after="0" w:line="72" w:lineRule="exact"/>
        <w:rPr>
          <w:sz w:val="20"/>
          <w:szCs w:val="20"/>
          <w:color w:val="auto"/>
        </w:rPr>
      </w:pPr>
    </w:p>
    <w:p>
      <w:pPr>
        <w:sectPr>
          <w:pgSz w:w="11900" w:h="16838" w:orient="portrait"/>
          <w:cols w:equalWidth="0" w:num="2">
            <w:col w:w="2700" w:space="3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“Overlap Shares”</w:t>
      </w:r>
    </w:p>
    <w:p>
      <w:pPr>
        <w:spacing w:after="0" w:line="20" w:lineRule="exact"/>
        <w:rPr>
          <w:sz w:val="20"/>
          <w:szCs w:val="20"/>
          <w:color w:val="auto"/>
        </w:rPr>
      </w:pPr>
      <w:r>
        <w:rPr>
          <w:sz w:val="20"/>
          <w:szCs w:val="20"/>
          <w:color w:val="auto"/>
        </w:rPr>
        <w:br w:type="column"/>
      </w:r>
    </w:p>
    <w:p>
      <w:pPr>
        <w:ind w:right="239"/>
        <w:spacing w:after="0" w:line="261" w:lineRule="auto"/>
        <w:rPr>
          <w:sz w:val="20"/>
          <w:szCs w:val="20"/>
          <w:color w:val="auto"/>
        </w:rPr>
      </w:pPr>
      <w:r>
        <w:rPr>
          <w:rFonts w:ascii="Times New Roman" w:cs="Times New Roman" w:eastAsia="Times New Roman" w:hAnsi="Times New Roman"/>
          <w:sz w:val="14"/>
          <w:szCs w:val="14"/>
          <w:color w:val="auto"/>
        </w:rPr>
        <w:t>The shares of Gentherm Common Stock, with respect to each Overlap Shareholder, that can be taken into account in the determination of the number of shares of Gentherm Common Stock that Modine shareholders must receive to not result in gain imposed under Section 355(e) of the Code with respect to the Distribution, as determined in accordance with the provisions of the Merger Agreement.</w:t>
      </w:r>
    </w:p>
    <w:p>
      <w:pPr>
        <w:spacing w:after="0" w:line="78"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“Performance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Technologies Business”</w:t>
      </w:r>
    </w:p>
    <w:p>
      <w:pPr>
        <w:spacing w:after="0" w:line="20" w:lineRule="exact"/>
        <w:rPr>
          <w:sz w:val="20"/>
          <w:szCs w:val="20"/>
          <w:color w:val="auto"/>
        </w:rPr>
      </w:pPr>
      <w:r>
        <w:rPr>
          <w:sz w:val="20"/>
          <w:szCs w:val="20"/>
          <w:color w:val="auto"/>
        </w:rPr>
        <w:br w:type="column"/>
      </w:r>
    </w:p>
    <w:p>
      <w:pPr>
        <w:ind w:right="239"/>
        <w:spacing w:after="0" w:line="253" w:lineRule="auto"/>
        <w:rPr>
          <w:sz w:val="20"/>
          <w:szCs w:val="20"/>
          <w:color w:val="auto"/>
        </w:rPr>
      </w:pPr>
      <w:r>
        <w:rPr>
          <w:rFonts w:ascii="Times New Roman" w:cs="Times New Roman" w:eastAsia="Times New Roman" w:hAnsi="Times New Roman"/>
          <w:sz w:val="14"/>
          <w:szCs w:val="14"/>
          <w:color w:val="auto"/>
        </w:rPr>
        <w:t>The business, operations and activities that constitute Modine’s Performance Technologies business segment as narratively described in Modine’s Annual Report on Form 10-K for the period ending March 31, 2025 (and the portions of the business currently included in the Performance Technologies segment that may have been otherwise classified in the past), (a) (i) as such business, operations and activities have been conducted since January 29, 2021, and (ii) as such business, operations and activities are conducted from January 29, 2026 until immediately prior to the Distribution Date by any member of the Modine Group or the SpinCo Group (or any of their respective predecessors), (b) together with the (i) other businesses, operations and activities that were terminated or discontinued during the periods described in clauses (a)(i) and (ii) (and with respect to clause (a)(ii), solely to the extent such termination or discontinuation is permitted under the Merger Agreement) that, at the time of termination or discontinuation, were primarily related to the business, operations or activities described in clause (a), and (ii) divested businesses specifically agreed by Modine and Gentherm, but (c) excluding the business, operations and activities that constitute the Modine’s Climate Solutions segment; provided that the Performance Technologies Business shall not include the Modine Assets or the Modine Business.</w:t>
      </w:r>
    </w:p>
    <w:p>
      <w:pPr>
        <w:spacing w:after="0" w:line="87" w:lineRule="exact"/>
        <w:rPr>
          <w:sz w:val="20"/>
          <w:szCs w:val="20"/>
          <w:color w:val="auto"/>
        </w:rPr>
      </w:pPr>
    </w:p>
    <w:p>
      <w:pPr>
        <w:sectPr>
          <w:pgSz w:w="11900" w:h="16838" w:orient="portrait"/>
          <w:cols w:equalWidth="0" w:num="2">
            <w:col w:w="2700" w:space="3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“Permanent SpinCo</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Financing”</w:t>
      </w:r>
    </w:p>
    <w:p>
      <w:pPr>
        <w:spacing w:after="0" w:line="20" w:lineRule="exact"/>
        <w:rPr>
          <w:sz w:val="20"/>
          <w:szCs w:val="20"/>
          <w:color w:val="auto"/>
        </w:rPr>
      </w:pPr>
      <w:r>
        <w:rPr>
          <w:sz w:val="20"/>
          <w:szCs w:val="20"/>
          <w:color w:val="auto"/>
        </w:rPr>
        <w:br w:type="column"/>
      </w:r>
    </w:p>
    <w:p>
      <w:pPr>
        <w:ind w:right="239"/>
        <w:spacing w:after="0" w:line="267" w:lineRule="auto"/>
        <w:rPr>
          <w:sz w:val="20"/>
          <w:szCs w:val="20"/>
          <w:color w:val="auto"/>
        </w:rPr>
      </w:pPr>
      <w:r>
        <w:rPr>
          <w:rFonts w:ascii="Times New Roman" w:cs="Times New Roman" w:eastAsia="Times New Roman" w:hAnsi="Times New Roman"/>
          <w:sz w:val="14"/>
          <w:szCs w:val="14"/>
          <w:color w:val="auto"/>
        </w:rPr>
        <w:t>The commitments for delayed draw term loans pursuant to that certain Credit Agreement, dated as of June 29, 2026 (as amended, restated, amended and restated, supplemented or otherwise modified from time to time), by and among SpinCo, the guarantors and lenders from time to time party thereto and Bank of America, N.A., as administrative agent.</w:t>
      </w:r>
    </w:p>
    <w:p>
      <w:pPr>
        <w:spacing w:after="0" w:line="188" w:lineRule="exact"/>
        <w:rPr>
          <w:sz w:val="20"/>
          <w:szCs w:val="20"/>
          <w:color w:val="auto"/>
        </w:rPr>
      </w:pPr>
    </w:p>
    <w:p>
      <w:pPr>
        <w:sectPr>
          <w:pgSz w:w="11900" w:h="16838" w:orient="portrait"/>
          <w:cols w:equalWidth="0" w:num="2">
            <w:col w:w="2480" w:space="600"/>
            <w:col w:w="7079"/>
          </w:cols>
          <w:pgMar w:left="300" w:top="386" w:right="1440"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1"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jc w:val="center"/>
        <w:ind w:left="860"/>
        <w:spacing w:after="0"/>
        <w:rPr>
          <w:sz w:val="20"/>
          <w:szCs w:val="20"/>
          <w:color w:val="auto"/>
        </w:rPr>
      </w:pPr>
      <w:r>
        <w:rPr>
          <w:rFonts w:ascii="Times New Roman" w:cs="Times New Roman" w:eastAsia="Times New Roman" w:hAnsi="Times New Roman"/>
          <w:sz w:val="13"/>
          <w:szCs w:val="13"/>
          <w:color w:val="auto"/>
        </w:rPr>
        <w:t>“Person”</w:t>
      </w:r>
    </w:p>
    <w:p>
      <w:pPr>
        <w:spacing w:after="0" w:line="20" w:lineRule="exact"/>
        <w:rPr>
          <w:sz w:val="20"/>
          <w:szCs w:val="20"/>
          <w:color w:val="auto"/>
        </w:rPr>
      </w:pPr>
      <w:r>
        <w:rPr>
          <w:sz w:val="20"/>
          <w:szCs w:val="20"/>
          <w:color w:val="auto"/>
        </w:rPr>
        <w:br w:type="column"/>
      </w:r>
    </w:p>
    <w:p>
      <w:pPr>
        <w:ind w:right="419"/>
        <w:spacing w:after="0" w:line="242" w:lineRule="auto"/>
        <w:rPr>
          <w:sz w:val="20"/>
          <w:szCs w:val="20"/>
          <w:color w:val="auto"/>
        </w:rPr>
      </w:pPr>
      <w:r>
        <w:rPr>
          <w:rFonts w:ascii="Times New Roman" w:cs="Times New Roman" w:eastAsia="Times New Roman" w:hAnsi="Times New Roman"/>
          <w:sz w:val="14"/>
          <w:szCs w:val="14"/>
          <w:color w:val="auto"/>
        </w:rPr>
        <w:t>An individual, a general or limited partnership, a corporation, a trust, a joint venture, an unincorporated organization, a limited liability entity, any other entity and any Governmental Authority.</w:t>
      </w:r>
    </w:p>
    <w:p>
      <w:pPr>
        <w:spacing w:after="0" w:line="89"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13"/>
          <w:szCs w:val="13"/>
          <w:color w:val="auto"/>
        </w:rPr>
        <w:t>“RMT”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Reverse Morris Trust.</w:t>
      </w:r>
    </w:p>
    <w:p>
      <w:pPr>
        <w:spacing w:after="0" w:line="124"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jc w:val="center"/>
        <w:ind w:left="740"/>
        <w:spacing w:after="0"/>
        <w:rPr>
          <w:sz w:val="20"/>
          <w:szCs w:val="20"/>
          <w:color w:val="auto"/>
        </w:rPr>
      </w:pPr>
      <w:r>
        <w:rPr>
          <w:rFonts w:ascii="Times New Roman" w:cs="Times New Roman" w:eastAsia="Times New Roman" w:hAnsi="Times New Roman"/>
          <w:sz w:val="13"/>
          <w:szCs w:val="13"/>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U.S. Securities and Exchange Commission.</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“Securities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Securities Act of 1933, as amended.</w:t>
      </w:r>
    </w:p>
    <w:p>
      <w:pPr>
        <w:spacing w:after="0" w:line="11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“Separation”</w:t>
      </w:r>
    </w:p>
    <w:p>
      <w:pPr>
        <w:spacing w:after="0" w:line="20" w:lineRule="exact"/>
        <w:rPr>
          <w:sz w:val="20"/>
          <w:szCs w:val="20"/>
          <w:color w:val="auto"/>
        </w:rPr>
      </w:pPr>
      <w:r>
        <w:rPr>
          <w:sz w:val="20"/>
          <w:szCs w:val="20"/>
          <w:color w:val="auto"/>
        </w:rPr>
        <w:br w:type="column"/>
      </w:r>
    </w:p>
    <w:p>
      <w:pPr>
        <w:ind w:right="519"/>
        <w:spacing w:after="0" w:line="283" w:lineRule="auto"/>
        <w:rPr>
          <w:sz w:val="20"/>
          <w:szCs w:val="20"/>
          <w:color w:val="auto"/>
        </w:rPr>
      </w:pPr>
      <w:r>
        <w:rPr>
          <w:rFonts w:ascii="Times New Roman" w:cs="Times New Roman" w:eastAsia="Times New Roman" w:hAnsi="Times New Roman"/>
          <w:sz w:val="14"/>
          <w:szCs w:val="14"/>
          <w:color w:val="auto"/>
        </w:rPr>
        <w:t>The transactions to effect the separation of the Performance Technologies Business from the Modine Business, as set forth in the Separation Agreement, the Merger Agreement and the other applicable Transaction Documents.</w:t>
      </w:r>
    </w:p>
    <w:p>
      <w:pPr>
        <w:spacing w:after="0" w:line="6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“Separation Agreement”</w:t>
      </w:r>
    </w:p>
    <w:p>
      <w:pPr>
        <w:spacing w:after="0" w:line="20" w:lineRule="exact"/>
        <w:rPr>
          <w:sz w:val="20"/>
          <w:szCs w:val="20"/>
          <w:color w:val="auto"/>
        </w:rPr>
      </w:pPr>
      <w:r>
        <w:rPr>
          <w:sz w:val="20"/>
          <w:szCs w:val="20"/>
          <w:color w:val="auto"/>
        </w:rPr>
        <w:br w:type="column"/>
      </w:r>
    </w:p>
    <w:p>
      <w:pPr>
        <w:ind w:right="619"/>
        <w:spacing w:after="0" w:line="283" w:lineRule="auto"/>
        <w:rPr>
          <w:sz w:val="20"/>
          <w:szCs w:val="20"/>
          <w:color w:val="auto"/>
        </w:rPr>
      </w:pPr>
      <w:r>
        <w:rPr>
          <w:rFonts w:ascii="Times New Roman" w:cs="Times New Roman" w:eastAsia="Times New Roman" w:hAnsi="Times New Roman"/>
          <w:sz w:val="14"/>
          <w:szCs w:val="14"/>
          <w:color w:val="auto"/>
        </w:rPr>
        <w:t>The Separation Agreement, dated as of January 29, 2026, by and among Gentherm, SpinCo and Modine, as may be amended from time to time.</w:t>
      </w:r>
    </w:p>
    <w:p>
      <w:pPr>
        <w:spacing w:after="0" w:line="62" w:lineRule="exact"/>
        <w:rPr>
          <w:sz w:val="20"/>
          <w:szCs w:val="20"/>
          <w:color w:val="auto"/>
        </w:rPr>
      </w:pPr>
    </w:p>
    <w:p>
      <w:pPr>
        <w:sectPr>
          <w:pgSz w:w="11900" w:h="16838" w:orient="portrait"/>
          <w:cols w:equalWidth="0" w:num="2">
            <w:col w:w="2740" w:space="3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“Share Issuance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 proposal to approve the issuance of shares of Gentherm Common Stock pursuant to the Merger Agreement.</w:t>
      </w:r>
    </w:p>
    <w:p>
      <w:pPr>
        <w:spacing w:after="0" w:line="124" w:lineRule="exact"/>
        <w:rPr>
          <w:sz w:val="20"/>
          <w:szCs w:val="20"/>
          <w:color w:val="auto"/>
        </w:rPr>
      </w:pPr>
    </w:p>
    <w:p>
      <w:pPr>
        <w:sectPr>
          <w:pgSz w:w="11900" w:h="16838" w:orient="portrait"/>
          <w:cols w:equalWidth="0" w:num="2">
            <w:col w:w="2840" w:space="2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“Special Meeting”</w:t>
      </w:r>
    </w:p>
    <w:p>
      <w:pPr>
        <w:spacing w:after="0" w:line="20" w:lineRule="exact"/>
        <w:rPr>
          <w:sz w:val="20"/>
          <w:szCs w:val="20"/>
          <w:color w:val="auto"/>
        </w:rPr>
      </w:pPr>
      <w:r>
        <w:rPr>
          <w:sz w:val="20"/>
          <w:szCs w:val="20"/>
          <w:color w:val="auto"/>
        </w:rPr>
        <w:br w:type="column"/>
      </w:r>
    </w:p>
    <w:p>
      <w:pPr>
        <w:ind w:right="459"/>
        <w:spacing w:after="0" w:line="283" w:lineRule="auto"/>
        <w:rPr>
          <w:sz w:val="20"/>
          <w:szCs w:val="20"/>
          <w:color w:val="auto"/>
        </w:rPr>
      </w:pPr>
      <w:r>
        <w:rPr>
          <w:rFonts w:ascii="Times New Roman" w:cs="Times New Roman" w:eastAsia="Times New Roman" w:hAnsi="Times New Roman"/>
          <w:sz w:val="14"/>
          <w:szCs w:val="14"/>
          <w:color w:val="auto"/>
        </w:rPr>
        <w:t>A special meeting of the Gentherm shareholders to be held to vote on the proposals necessary to complete the Merger, and any adjournment or postponement thereof.</w:t>
      </w:r>
    </w:p>
    <w:p>
      <w:pPr>
        <w:spacing w:after="0" w:line="62" w:lineRule="exact"/>
        <w:rPr>
          <w:sz w:val="20"/>
          <w:szCs w:val="20"/>
          <w:color w:val="auto"/>
        </w:rPr>
      </w:pPr>
    </w:p>
    <w:p>
      <w:pPr>
        <w:sectPr>
          <w:pgSz w:w="11900" w:h="16838" w:orient="portrait"/>
          <w:cols w:equalWidth="0" w:num="2">
            <w:col w:w="2400" w:space="6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“SpinCo”</w:t>
      </w:r>
    </w:p>
    <w:p>
      <w:pPr>
        <w:spacing w:after="0" w:line="20" w:lineRule="exact"/>
        <w:rPr>
          <w:sz w:val="20"/>
          <w:szCs w:val="20"/>
          <w:color w:val="auto"/>
        </w:rPr>
      </w:pPr>
      <w:r>
        <w:rPr>
          <w:sz w:val="20"/>
          <w:szCs w:val="20"/>
          <w:color w:val="auto"/>
        </w:rPr>
        <w:br w:type="column"/>
      </w:r>
    </w:p>
    <w:p>
      <w:pPr>
        <w:ind w:right="299"/>
        <w:spacing w:after="0" w:line="267" w:lineRule="auto"/>
        <w:rPr>
          <w:sz w:val="20"/>
          <w:szCs w:val="20"/>
          <w:color w:val="auto"/>
        </w:rPr>
      </w:pPr>
      <w:r>
        <w:rPr>
          <w:rFonts w:ascii="Times New Roman" w:cs="Times New Roman" w:eastAsia="Times New Roman" w:hAnsi="Times New Roman"/>
          <w:sz w:val="14"/>
          <w:szCs w:val="14"/>
          <w:color w:val="auto"/>
        </w:rPr>
        <w:t>Platinum SpinCo Inc., a Delaware corporation and wholly owned indirect subsidiary of Modine. Following the Separation, SpinCo and its subsidiaries will own the Performance Technologies Business. Following the Merger, SpinCo will be a wholly owned subsidiary of Gentherm.</w:t>
      </w:r>
    </w:p>
    <w:p>
      <w:pPr>
        <w:spacing w:after="0" w:line="7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“SpinCo Benefit Plan”</w:t>
      </w:r>
    </w:p>
    <w:p>
      <w:pPr>
        <w:spacing w:after="0" w:line="20" w:lineRule="exact"/>
        <w:rPr>
          <w:sz w:val="20"/>
          <w:szCs w:val="20"/>
          <w:color w:val="auto"/>
        </w:rPr>
      </w:pPr>
      <w:r>
        <w:rPr>
          <w:sz w:val="20"/>
          <w:szCs w:val="20"/>
          <w:color w:val="auto"/>
        </w:rPr>
        <w:br w:type="column"/>
      </w:r>
    </w:p>
    <w:p>
      <w:pPr>
        <w:ind w:right="319"/>
        <w:spacing w:after="0" w:line="283" w:lineRule="auto"/>
        <w:rPr>
          <w:sz w:val="20"/>
          <w:szCs w:val="20"/>
          <w:color w:val="auto"/>
        </w:rPr>
      </w:pPr>
      <w:r>
        <w:rPr>
          <w:rFonts w:ascii="Times New Roman" w:cs="Times New Roman" w:eastAsia="Times New Roman" w:hAnsi="Times New Roman"/>
          <w:sz w:val="13"/>
          <w:szCs w:val="13"/>
          <w:color w:val="auto"/>
        </w:rPr>
        <w:t>Each Modine Benefit Plan that is (a) maintained, sponsored, contributed to or entered into solely by SpinCo or a subsidiary thereof, or to which SpinCo or a subsidiary thereof (and none of Modine or any of its other subsidiaries) is required to contribute, or to which SpinCo or any of its subsidiaries (and none of Modine or any of its other subsidiaries) is a party, or (b) an individual offer letter, employment agreement, change in control employment agreement, or consulting agreement between Modine or one of its affiliates (other than the SpinCo Group) and a SpinCo Employee.</w:t>
      </w:r>
    </w:p>
    <w:p>
      <w:pPr>
        <w:spacing w:after="0" w:line="65" w:lineRule="exact"/>
        <w:rPr>
          <w:sz w:val="20"/>
          <w:szCs w:val="20"/>
          <w:color w:val="auto"/>
        </w:rPr>
      </w:pPr>
    </w:p>
    <w:p>
      <w:pPr>
        <w:sectPr>
          <w:pgSz w:w="11900" w:h="16838" w:orient="portrait"/>
          <w:cols w:equalWidth="0" w:num="2">
            <w:col w:w="2640" w:space="44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“SpinCo Cash</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Distribution”</w:t>
      </w:r>
    </w:p>
    <w:p>
      <w:pPr>
        <w:spacing w:after="0" w:line="20" w:lineRule="exact"/>
        <w:rPr>
          <w:sz w:val="20"/>
          <w:szCs w:val="20"/>
          <w:color w:val="auto"/>
        </w:rPr>
      </w:pPr>
      <w:r>
        <w:rPr>
          <w:sz w:val="20"/>
          <w:szCs w:val="20"/>
          <w:color w:val="auto"/>
        </w:rPr>
        <w:br w:type="column"/>
      </w:r>
    </w:p>
    <w:p>
      <w:pPr>
        <w:ind w:right="479"/>
        <w:spacing w:after="0" w:line="323" w:lineRule="auto"/>
        <w:rPr>
          <w:sz w:val="20"/>
          <w:szCs w:val="20"/>
          <w:color w:val="auto"/>
        </w:rPr>
      </w:pPr>
      <w:r>
        <w:rPr>
          <w:rFonts w:ascii="Times New Roman" w:cs="Times New Roman" w:eastAsia="Times New Roman" w:hAnsi="Times New Roman"/>
          <w:sz w:val="13"/>
          <w:szCs w:val="13"/>
          <w:color w:val="auto"/>
        </w:rPr>
        <w:t>The cash distribution by SpinCo to Modine occurring immediately prior to the Distribution pursuant to the Separation Agreement in an amount equal to $210.0 million, subject to adjustment as set forth in the Merger Agreement.</w:t>
      </w:r>
    </w:p>
    <w:p>
      <w:pPr>
        <w:spacing w:after="0" w:line="39"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“SpinCo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The common stock, par value $0.001 per share, of SpinCo.</w:t>
      </w:r>
    </w:p>
    <w:p>
      <w:pPr>
        <w:spacing w:after="0" w:line="123" w:lineRule="exact"/>
        <w:rPr>
          <w:sz w:val="20"/>
          <w:szCs w:val="20"/>
          <w:color w:val="auto"/>
        </w:rPr>
      </w:pPr>
    </w:p>
    <w:p>
      <w:pPr>
        <w:sectPr>
          <w:pgSz w:w="11900" w:h="16838" w:orient="portrait"/>
          <w:cols w:equalWidth="0" w:num="2">
            <w:col w:w="2820" w:space="2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“SpinCo Employee”</w:t>
      </w:r>
    </w:p>
    <w:p>
      <w:pPr>
        <w:spacing w:after="0" w:line="20" w:lineRule="exact"/>
        <w:rPr>
          <w:sz w:val="20"/>
          <w:szCs w:val="20"/>
          <w:color w:val="auto"/>
        </w:rPr>
      </w:pPr>
      <w:r>
        <w:rPr>
          <w:sz w:val="20"/>
          <w:szCs w:val="20"/>
          <w:color w:val="auto"/>
        </w:rPr>
        <w:br w:type="column"/>
      </w:r>
    </w:p>
    <w:p>
      <w:pPr>
        <w:ind w:right="219"/>
        <w:spacing w:after="0" w:line="257" w:lineRule="auto"/>
        <w:rPr>
          <w:sz w:val="20"/>
          <w:szCs w:val="20"/>
          <w:color w:val="auto"/>
        </w:rPr>
      </w:pPr>
      <w:r>
        <w:rPr>
          <w:rFonts w:ascii="Times New Roman" w:cs="Times New Roman" w:eastAsia="Times New Roman" w:hAnsi="Times New Roman"/>
          <w:sz w:val="14"/>
          <w:szCs w:val="14"/>
          <w:color w:val="auto"/>
        </w:rPr>
        <w:t>Any employee of the SpinCo Group or the Modine Group, who has been identified on the employee roster of the SpinCo Group or who is hired by the Modine Group subsequent to the execution of the Merger Agreement and whose services are primarily dedicated to the Performance Technologies Business (in all cases, including any individual who is on short-term or long-term disability under a Modine Benefit Plan); provided, however, that any individual whose consent is required to transfer such individual’s employment to the SpinCo Group and who objects to, or does not provide consent to, such transfer shall not be a SpinCo Employee.</w:t>
      </w:r>
    </w:p>
    <w:p>
      <w:pPr>
        <w:spacing w:after="0" w:line="80" w:lineRule="exact"/>
        <w:rPr>
          <w:sz w:val="20"/>
          <w:szCs w:val="20"/>
          <w:color w:val="auto"/>
        </w:rPr>
      </w:pPr>
    </w:p>
    <w:p>
      <w:pPr>
        <w:sectPr>
          <w:pgSz w:w="11900" w:h="16838" w:orient="portrait"/>
          <w:cols w:equalWidth="0" w:num="2">
            <w:col w:w="2500" w:space="5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“SpinCo Expense</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Reimbursement”</w:t>
      </w:r>
    </w:p>
    <w:p>
      <w:pPr>
        <w:spacing w:after="0" w:line="20" w:lineRule="exact"/>
        <w:rPr>
          <w:sz w:val="20"/>
          <w:szCs w:val="20"/>
          <w:color w:val="auto"/>
        </w:rPr>
      </w:pPr>
      <w:r>
        <w:rPr>
          <w:sz w:val="20"/>
          <w:szCs w:val="20"/>
          <w:color w:val="auto"/>
        </w:rPr>
        <w:br w:type="column"/>
      </w:r>
    </w:p>
    <w:p>
      <w:pPr>
        <w:ind w:right="459"/>
        <w:spacing w:after="0" w:line="283" w:lineRule="auto"/>
        <w:rPr>
          <w:sz w:val="20"/>
          <w:szCs w:val="20"/>
          <w:color w:val="auto"/>
        </w:rPr>
      </w:pPr>
      <w:r>
        <w:rPr>
          <w:rFonts w:ascii="Times New Roman" w:cs="Times New Roman" w:eastAsia="Times New Roman" w:hAnsi="Times New Roman"/>
          <w:sz w:val="14"/>
          <w:szCs w:val="14"/>
          <w:color w:val="auto"/>
        </w:rPr>
        <w:t>Certain transaction fees, costs and expenses incurred, paid or payable by any member of the Modine Group or paid by any member of the SpinCo Group prior to the Closing.</w:t>
      </w:r>
    </w:p>
    <w:p>
      <w:pPr>
        <w:spacing w:after="0" w:line="177"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16"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“SpinCo Group”</w:t>
      </w:r>
    </w:p>
    <w:p>
      <w:pPr>
        <w:spacing w:after="0" w:line="20" w:lineRule="exact"/>
        <w:rPr>
          <w:sz w:val="20"/>
          <w:szCs w:val="20"/>
          <w:color w:val="auto"/>
        </w:rPr>
      </w:pPr>
      <w:r>
        <w:rPr>
          <w:sz w:val="20"/>
          <w:szCs w:val="20"/>
          <w:color w:val="auto"/>
        </w:rPr>
        <w:br w:type="column"/>
      </w:r>
    </w:p>
    <w:p>
      <w:pPr>
        <w:ind w:right="259"/>
        <w:spacing w:after="0" w:line="247" w:lineRule="auto"/>
        <w:rPr>
          <w:sz w:val="20"/>
          <w:szCs w:val="20"/>
          <w:color w:val="auto"/>
        </w:rPr>
      </w:pPr>
      <w:r>
        <w:rPr>
          <w:rFonts w:ascii="Times New Roman" w:cs="Times New Roman" w:eastAsia="Times New Roman" w:hAnsi="Times New Roman"/>
          <w:sz w:val="14"/>
          <w:szCs w:val="14"/>
          <w:color w:val="auto"/>
        </w:rPr>
        <w:t>(a) Prior to the Distribution Time, SpinCo and each Person that will be a subsidiary of SpinCo as of immediately after the Distribution Time, even if, prior to the Distribution Time, such Person is not a subsidiary of SpinCo; and (b) on and after the Distribution Time, SpinCo and each person that is a subsidiary of SpinCo immediately after the Distribution Time, and each other Person that becomes a subsidiary of SpinCo.</w:t>
      </w:r>
    </w:p>
    <w:p>
      <w:pPr>
        <w:spacing w:after="0" w:line="88"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“SpinCo Indebtedness”</w:t>
      </w:r>
    </w:p>
    <w:p>
      <w:pPr>
        <w:spacing w:after="0" w:line="20" w:lineRule="exact"/>
        <w:rPr>
          <w:sz w:val="20"/>
          <w:szCs w:val="20"/>
          <w:color w:val="auto"/>
        </w:rPr>
      </w:pPr>
      <w:r>
        <w:rPr>
          <w:sz w:val="20"/>
          <w:szCs w:val="20"/>
          <w:color w:val="auto"/>
        </w:rPr>
        <w:br w:type="column"/>
      </w:r>
    </w:p>
    <w:p>
      <w:pPr>
        <w:ind w:right="219"/>
        <w:spacing w:after="0" w:line="251" w:lineRule="auto"/>
        <w:rPr>
          <w:sz w:val="20"/>
          <w:szCs w:val="20"/>
          <w:color w:val="auto"/>
        </w:rPr>
      </w:pPr>
      <w:r>
        <w:rPr>
          <w:rFonts w:ascii="Times New Roman" w:cs="Times New Roman" w:eastAsia="Times New Roman" w:hAnsi="Times New Roman"/>
          <w:sz w:val="14"/>
          <w:szCs w:val="14"/>
          <w:color w:val="auto"/>
        </w:rPr>
        <w:t>Without duplication, in each case calculated in accordance with accounting principles agreed between Gentherm and Modine, the aggregate amount outstanding with respect to any of the following of any member of the SpinCo Group as of the Cut-Off Time: (a) the outstanding principal amount of any indebtedness for borrowed money, including any related accrued and unpaid interest, and, to the extent actually due and payable in connection with the payment of such indebtedness at the Distribution, prepayment fees, premiums or penalties; (b) all obligations under letters of credit, bankers’ acceptances, performance bonds, sureties and similar instruments issued for the account of such Person, in each case, only to the extent drawn; (c) all Liabilities arising out of interest rate and currency swap arrangements and any other arrangements designed to provide protection against fluctuations in interest or currency rates, to the extent such arrangements are required to be unwound or terminated, in accordance with their terms, as a result of the consummation of the Distribution or Merger, calculated, as of the Cut-Off Time, as the amount of any payments that would be required to be paid by such Person to the counterparty banks in the event of an early unwind or early termination of such arrangements at the Cut-Off Time less any amount payable to such Person in connection with such unwind or termination; (d) the amount of any deferred purchase price Liabilities related to past acquisitions for equity, property, assets, goods or services (including holdback amounts or similar items including any contingent obligations to pay a deferred purchase price (including contingent earn-outs but excluding any indemnification or similar non-purchase price obligations) and similar performance-based payment obligations); (e) all obligations under a lease agreement required by GAAP to be recorded as finance lease obligations, but excluding any breakage costs, prepayment penalties or fees or other similar amounts payable in connection with any capitalized leases unless such breakage costs, prepayment penalties, fees or other similar amounts are due and will be paid at the Distribution; (f) (1) any severance obligations with respect to former SpinCo Employees (or current SpinCo Employees with respect to which notice of termination has been provided, other than with respect to terminations at the direction of Gentherm) that are outstanding and unpaid as of the Cut-Off Time; (2) all obligations in respect of unpaid and unfunded nonqualified deferred compensation plan liabilities that are transferred to or assumed by any member of the SpinCo Group pursuant to the Employee Matters Agreement, measured as of the Cut-Off Time and determined on an aggregated basis; (3) all cash dividend equivalent rights in respect of any outstanding Modine Award held by a SpinCo Employee with respect to the portion of the vesting period elapsed on or prior to the Distribution Time; (4) all unfunded or underfunded liabilities under any defined benefit pension, retirement or similar plans or arrangements (including pension service awards, termination indemnitees, jubilee payments, seniority or gratuity payments, and any penalty payments related thereto) that are transferred to or assumed by any member of the SpinCo Group pursuant to the Employee Matters Agreement, measured as of the most recent practicable date prior to the Distribution Time and determined on a projected benefit obligation basis; (5) any liabilities assumed by the SpinCo Group with respect to the Modine Deferred Compensation Plan (as such term is used in the Employee Matters Agreement); (6) the portion of any retention or transaction bonuses payable in connection with the Separation, Distribution or Merger that are or become payable by the SpinCo Group as of the Distribution Time (excluding any liabilities or obligations (A) arising in</w:t>
      </w:r>
    </w:p>
    <w:p>
      <w:pPr>
        <w:spacing w:after="0" w:line="110" w:lineRule="exact"/>
        <w:rPr>
          <w:sz w:val="20"/>
          <w:szCs w:val="20"/>
          <w:color w:val="auto"/>
        </w:rPr>
      </w:pPr>
    </w:p>
    <w:p>
      <w:pPr>
        <w:sectPr>
          <w:pgSz w:w="11900" w:h="16838" w:orient="portrait"/>
          <w:cols w:equalWidth="0" w:num="2">
            <w:col w:w="2660" w:space="420"/>
            <w:col w:w="7079"/>
          </w:cols>
          <w:pgMar w:left="300" w:top="386" w:right="1440" w:bottom="1440" w:gutter="0" w:footer="0" w:header="0"/>
          <w:type w:val="continuous"/>
        </w:sect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16"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3080"/>
        <w:spacing w:after="0"/>
        <w:rPr>
          <w:sz w:val="20"/>
          <w:szCs w:val="20"/>
          <w:color w:val="auto"/>
        </w:rPr>
      </w:pPr>
      <w:r>
        <w:rPr>
          <w:rFonts w:ascii="Times New Roman" w:cs="Times New Roman" w:eastAsia="Times New Roman" w:hAnsi="Times New Roman"/>
          <w:sz w:val="14"/>
          <w:szCs w:val="14"/>
          <w:color w:val="auto"/>
        </w:rPr>
        <w:t>connection with any arrangements entered into at the direction of Gentherm or any member of Gentherm Group,</w:t>
      </w:r>
    </w:p>
    <w:p>
      <w:pPr>
        <w:ind w:left="3080"/>
        <w:spacing w:after="0"/>
        <w:rPr>
          <w:sz w:val="20"/>
          <w:szCs w:val="20"/>
          <w:color w:val="auto"/>
        </w:rPr>
      </w:pPr>
      <w:r>
        <w:rPr>
          <w:rFonts w:ascii="Times New Roman" w:cs="Times New Roman" w:eastAsia="Times New Roman" w:hAnsi="Times New Roman"/>
          <w:sz w:val="14"/>
          <w:szCs w:val="14"/>
          <w:color w:val="auto"/>
        </w:rPr>
        <w:t>(B) pursuant to plans, agreements, arrangements or contracts approved by Modine in writing that require more than 60</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days of continued service following the Distribution Time or (C) arising as a result of both the Reorganization,</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Distribution or Merger and a termination of employment or continued service following the consummation of the</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Separation, Distribution or Merger); and (7) the employer portion of any taxes payable by any member of the SpinCo</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Group with respect to any amounts set forth in the preceding clauses (1) through (6) and calculated as if all such amounts</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were paid on the Closing Date; (g) one hundred percent (100%) of all deferred revenue and customer advances / deposits</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associated with contracts that are SpinCo contracts (other than with respect to customer owned tooling, which shall be</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included in the calculation of Net Working Capital); (h) all accrued and unpaid bonuses (including profit-sharing) as of</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the Cut-Off Time payable to SpinCo Employees, (i) the amount of any unpaid Modine taxes that will be payable by</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SpinCo or a member of the SpinCo Group; (j) all outstanding factored accounts receivable; (k) any unpaid capital</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expenditures in accounts payable; (l) any unpaid liabilities related to the items set forth on the applicable schedule to the</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Separation Agreement; and (m) guaranties of any obligations of the types described in the preceding clauses (a) through</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3"/>
          <w:szCs w:val="13"/>
          <w:color w:val="auto"/>
        </w:rPr>
        <w:t>(l), inclusive, of any other Person; provided, that if, after the Cut-Off Time but prior to the Distribution, any SpinCo Cash</w:t>
      </w:r>
    </w:p>
    <w:p>
      <w:pPr>
        <w:spacing w:after="0" w:line="1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is distributed to Modine or used to pay any SpinCo Designated Transaction Expenses (as such term is used in the</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Separation Agreement), or SpinCo Indebtedness, such amounts shall not be included in the calculation of Estimated</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SpinCo Cash or Final SpinCo Cash. Notwithstanding the foregoing, “SpinCo Indebtedness” does not include the</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aggregate amount outstanding with respect to any of the following of any member of the SpinCo Group as of the Cut-Off</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Time: (a) any operating or other lease obligations not required to be recorded as finance lease obligations between or</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among SpinCo and any other member of the SpinCo Group; (b) intercompany obligations between or among SpinCo and</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any other member of the SpinCo Group to the extent such obligations are not terminated as of the Closing; (c) any</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obligations under any undrawn letters of credit, banker’s acceptances, performance bonds or similar obligations; (d) any</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SpinCo Indebtedness incurred by or at the direction of Gentherm and/or any of its Affiliates, including any SpinCo</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Indebtedness incurred by any such Persons in connection with the Distribution or the transactions contemplated by the</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Merger Agreement, including indebtedness incurred pursuant to the Bridge Financing and/or the Permanent SpinCo</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Financing or (e) any amounts included in the definition or calculation of Net Working Capital or SpinCo Designated</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Transaction Expenses.</w:t>
      </w:r>
    </w:p>
    <w:p>
      <w:pPr>
        <w:sectPr>
          <w:pgSz w:w="11900" w:h="16838" w:orient="portrait"/>
          <w:cols w:equalWidth="0" w:num="1">
            <w:col w:w="10159"/>
          </w:cols>
          <w:pgMar w:left="300" w:top="386" w:right="1440" w:bottom="1440" w:gutter="0" w:footer="0" w:header="0"/>
          <w:type w:val="continuous"/>
        </w:sectPr>
      </w:pPr>
    </w:p>
    <w:p>
      <w:pPr>
        <w:spacing w:after="0" w:line="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“SpinCo Indemnitees”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359"/>
        <w:spacing w:after="0" w:line="267" w:lineRule="auto"/>
        <w:rPr>
          <w:sz w:val="20"/>
          <w:szCs w:val="20"/>
          <w:color w:val="auto"/>
        </w:rPr>
      </w:pPr>
      <w:r>
        <w:rPr>
          <w:rFonts w:ascii="Times New Roman" w:cs="Times New Roman" w:eastAsia="Times New Roman" w:hAnsi="Times New Roman"/>
          <w:sz w:val="14"/>
          <w:szCs w:val="14"/>
          <w:color w:val="auto"/>
        </w:rPr>
        <w:t>SpinCo, each member of the SpinCo Group and SpinCo’s Affiliates and each of their respective past, present and future directors, officers, employees or agents, in each case in their respective capacities as such, and each of the heirs, executors, successors and assigns of any of the foregoing.</w:t>
      </w:r>
    </w:p>
    <w:p>
      <w:pPr>
        <w:spacing w:after="0" w:line="72" w:lineRule="exact"/>
        <w:rPr>
          <w:sz w:val="20"/>
          <w:szCs w:val="20"/>
          <w:color w:val="auto"/>
        </w:rPr>
      </w:pPr>
    </w:p>
    <w:p>
      <w:pPr>
        <w:sectPr>
          <w:pgSz w:w="11900" w:h="16838" w:orient="portrait"/>
          <w:cols w:equalWidth="0" w:num="2">
            <w:col w:w="2620" w:space="4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“SpinCo Make Whole</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Awards”</w:t>
      </w:r>
    </w:p>
    <w:p>
      <w:pPr>
        <w:spacing w:after="0" w:line="20" w:lineRule="exact"/>
        <w:rPr>
          <w:sz w:val="20"/>
          <w:szCs w:val="20"/>
          <w:color w:val="auto"/>
        </w:rPr>
      </w:pPr>
      <w:r>
        <w:rPr>
          <w:sz w:val="20"/>
          <w:szCs w:val="20"/>
          <w:color w:val="auto"/>
        </w:rPr>
        <w:br w:type="column"/>
      </w:r>
    </w:p>
    <w:p>
      <w:pPr>
        <w:ind w:right="259"/>
        <w:spacing w:after="0" w:line="267" w:lineRule="auto"/>
        <w:rPr>
          <w:sz w:val="20"/>
          <w:szCs w:val="20"/>
          <w:color w:val="auto"/>
        </w:rPr>
      </w:pPr>
      <w:r>
        <w:rPr>
          <w:rFonts w:ascii="Times New Roman" w:cs="Times New Roman" w:eastAsia="Times New Roman" w:hAnsi="Times New Roman"/>
          <w:sz w:val="14"/>
          <w:szCs w:val="14"/>
          <w:color w:val="auto"/>
        </w:rPr>
        <w:t>The number of shares of Gentherm Common Stock underlying the Gentherm Equity Awards that would be awarded in respect of Modine Awards pursuant to the Employee Matters Agreement, based on Modine Awards outstanding as of, and otherwise calculated as of, the Determination Time.</w:t>
      </w:r>
    </w:p>
    <w:p>
      <w:pPr>
        <w:spacing w:after="0" w:line="72" w:lineRule="exact"/>
        <w:rPr>
          <w:sz w:val="20"/>
          <w:szCs w:val="20"/>
          <w:color w:val="auto"/>
        </w:rPr>
      </w:pPr>
    </w:p>
    <w:p>
      <w:pPr>
        <w:sectPr>
          <w:pgSz w:w="11900" w:h="16838" w:orient="portrait"/>
          <w:cols w:equalWidth="0" w:num="2">
            <w:col w:w="2600" w:space="4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“SpinCo Transferred</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Employee”</w:t>
      </w:r>
    </w:p>
    <w:p>
      <w:pPr>
        <w:spacing w:after="0" w:line="20" w:lineRule="exact"/>
        <w:rPr>
          <w:sz w:val="20"/>
          <w:szCs w:val="20"/>
          <w:color w:val="auto"/>
        </w:rPr>
      </w:pPr>
      <w:r>
        <w:rPr>
          <w:sz w:val="20"/>
          <w:szCs w:val="20"/>
          <w:color w:val="auto"/>
        </w:rPr>
        <w:br w:type="column"/>
      </w:r>
    </w:p>
    <w:p>
      <w:pPr>
        <w:ind w:right="419"/>
        <w:spacing w:after="0" w:line="283" w:lineRule="auto"/>
        <w:rPr>
          <w:sz w:val="20"/>
          <w:szCs w:val="20"/>
          <w:color w:val="auto"/>
        </w:rPr>
      </w:pPr>
      <w:r>
        <w:rPr>
          <w:rFonts w:ascii="Times New Roman" w:cs="Times New Roman" w:eastAsia="Times New Roman" w:hAnsi="Times New Roman"/>
          <w:sz w:val="14"/>
          <w:szCs w:val="14"/>
          <w:color w:val="auto"/>
        </w:rPr>
        <w:t>Each SpinCo Employee who remains employed by a member of the SpinCo Group at the time of the Closing or whose employment transfers to a member of the SpinCo Group as of or following the Closing.</w:t>
      </w:r>
    </w:p>
    <w:p>
      <w:pPr>
        <w:spacing w:after="0" w:line="177" w:lineRule="exact"/>
        <w:rPr>
          <w:sz w:val="20"/>
          <w:szCs w:val="20"/>
          <w:color w:val="auto"/>
        </w:rPr>
      </w:pPr>
    </w:p>
    <w:p>
      <w:pPr>
        <w:sectPr>
          <w:pgSz w:w="11900" w:h="16838" w:orient="portrait"/>
          <w:cols w:equalWidth="0" w:num="2">
            <w:col w:w="2520" w:space="560"/>
            <w:col w:w="7079"/>
          </w:cols>
          <w:pgMar w:left="300" w:top="386" w:right="1440" w:bottom="1440" w:gutter="0" w:footer="0" w:header="0"/>
          <w:type w:val="continuous"/>
        </w:sect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b w:val="1"/>
          <w:bCs w:val="1"/>
          <w:color w:val="auto"/>
        </w:rPr>
        <w:t>Abbreviation/Term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1"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“Target Net Working</w:t>
      </w:r>
    </w:p>
    <w:p>
      <w:pPr>
        <w:spacing w:after="0" w:line="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Capital”</w:t>
      </w:r>
    </w:p>
    <w:p>
      <w:pPr>
        <w:spacing w:after="0" w:line="20" w:lineRule="exact"/>
        <w:rPr>
          <w:sz w:val="20"/>
          <w:szCs w:val="20"/>
          <w:color w:val="auto"/>
        </w:rPr>
      </w:pPr>
      <w:r>
        <w:rPr>
          <w:sz w:val="20"/>
          <w:szCs w:val="20"/>
          <w:color w:val="auto"/>
        </w:rPr>
        <w:br w:type="column"/>
      </w:r>
    </w:p>
    <w:p>
      <w:pPr>
        <w:ind w:right="259"/>
        <w:spacing w:after="0" w:line="249" w:lineRule="auto"/>
        <w:rPr>
          <w:sz w:val="20"/>
          <w:szCs w:val="20"/>
          <w:color w:val="auto"/>
        </w:rPr>
      </w:pPr>
      <w:r>
        <w:rPr>
          <w:rFonts w:ascii="Times New Roman" w:cs="Times New Roman" w:eastAsia="Times New Roman" w:hAnsi="Times New Roman"/>
          <w:sz w:val="14"/>
          <w:szCs w:val="14"/>
          <w:color w:val="auto"/>
        </w:rPr>
        <w:t>The sum of (i) $227,238,000, plus (ii) 20.2% of the amount (if any) by which revenue of the Performance Technologies Business for the twelve (12)-month period ended on the last day of the calendar month ended prior to the Closing Date exceeds the revenue of the Performance Technologies Business for the twelve-month period ended on November 30, 2025 ($1,123,542,585); provided, that in no event shall the Target Net Working Capital exceed $232,589,000. For the avoidance of doubt, if the calculation described in clause (ii) results in a negative amount, the Target Net Working Capital shall be $227,238,000.</w:t>
      </w:r>
    </w:p>
    <w:p>
      <w:pPr>
        <w:spacing w:after="0" w:line="84" w:lineRule="exact"/>
        <w:rPr>
          <w:sz w:val="20"/>
          <w:szCs w:val="20"/>
          <w:color w:val="auto"/>
        </w:rPr>
      </w:pPr>
    </w:p>
    <w:p>
      <w:pPr>
        <w:sectPr>
          <w:pgSz w:w="11900" w:h="16838" w:orient="portrait"/>
          <w:cols w:equalWidth="0" w:num="2">
            <w:col w:w="2520" w:space="56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“Tax Matters Agreement”</w:t>
      </w:r>
    </w:p>
    <w:p>
      <w:pPr>
        <w:spacing w:after="0" w:line="20" w:lineRule="exact"/>
        <w:rPr>
          <w:sz w:val="20"/>
          <w:szCs w:val="20"/>
          <w:color w:val="auto"/>
        </w:rPr>
      </w:pPr>
      <w:r>
        <w:rPr>
          <w:sz w:val="20"/>
          <w:szCs w:val="20"/>
          <w:color w:val="auto"/>
        </w:rPr>
        <w:br w:type="column"/>
      </w:r>
    </w:p>
    <w:p>
      <w:pPr>
        <w:ind w:right="479"/>
        <w:spacing w:after="0" w:line="283" w:lineRule="auto"/>
        <w:rPr>
          <w:sz w:val="20"/>
          <w:szCs w:val="20"/>
          <w:color w:val="auto"/>
        </w:rPr>
      </w:pPr>
      <w:r>
        <w:rPr>
          <w:rFonts w:ascii="Times New Roman" w:cs="Times New Roman" w:eastAsia="Times New Roman" w:hAnsi="Times New Roman"/>
          <w:sz w:val="14"/>
          <w:szCs w:val="14"/>
          <w:color w:val="auto"/>
        </w:rPr>
        <w:t>The Tax Matters Agreement to be entered into prior to or at the Effective Time, by and among Gentherm, SpinCo and Modine.</w:t>
      </w:r>
    </w:p>
    <w:p>
      <w:pPr>
        <w:spacing w:after="0" w:line="62" w:lineRule="exact"/>
        <w:rPr>
          <w:sz w:val="20"/>
          <w:szCs w:val="20"/>
          <w:color w:val="auto"/>
        </w:rPr>
      </w:pPr>
    </w:p>
    <w:p>
      <w:pPr>
        <w:sectPr>
          <w:pgSz w:w="11900" w:h="16838" w:orient="portrait"/>
          <w:cols w:equalWidth="0" w:num="2">
            <w:col w:w="2800" w:space="2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“Termination Fee”</w:t>
      </w:r>
    </w:p>
    <w:p>
      <w:pPr>
        <w:spacing w:after="0" w:line="20" w:lineRule="exact"/>
        <w:rPr>
          <w:sz w:val="20"/>
          <w:szCs w:val="20"/>
          <w:color w:val="auto"/>
        </w:rPr>
      </w:pPr>
      <w:r>
        <w:rPr>
          <w:sz w:val="20"/>
          <w:szCs w:val="20"/>
          <w:color w:val="auto"/>
        </w:rPr>
        <w:br w:type="column"/>
      </w:r>
    </w:p>
    <w:p>
      <w:pPr>
        <w:ind w:right="259"/>
        <w:spacing w:after="0" w:line="283" w:lineRule="auto"/>
        <w:rPr>
          <w:sz w:val="20"/>
          <w:szCs w:val="20"/>
          <w:color w:val="auto"/>
        </w:rPr>
      </w:pPr>
      <w:r>
        <w:rPr>
          <w:rFonts w:ascii="Times New Roman" w:cs="Times New Roman" w:eastAsia="Times New Roman" w:hAnsi="Times New Roman"/>
          <w:sz w:val="14"/>
          <w:szCs w:val="14"/>
          <w:color w:val="auto"/>
        </w:rPr>
        <w:t>A termination fee equal to $45.0 million that Gentherm may be required to pay to Modine in the event of a termination of the Merger Agreement under certain circumstances.</w:t>
      </w:r>
    </w:p>
    <w:p>
      <w:pPr>
        <w:spacing w:after="0" w:line="62" w:lineRule="exact"/>
        <w:rPr>
          <w:sz w:val="20"/>
          <w:szCs w:val="20"/>
          <w:color w:val="auto"/>
        </w:rPr>
      </w:pPr>
    </w:p>
    <w:p>
      <w:pPr>
        <w:sectPr>
          <w:pgSz w:w="11900" w:h="16838" w:orient="portrait"/>
          <w:cols w:equalWidth="0" w:num="2">
            <w:col w:w="2400" w:space="6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“Threshold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50.5%.</w:t>
      </w:r>
    </w:p>
    <w:p>
      <w:pPr>
        <w:spacing w:after="0" w:line="112" w:lineRule="exact"/>
        <w:rPr>
          <w:sz w:val="20"/>
          <w:szCs w:val="20"/>
          <w:color w:val="auto"/>
        </w:rPr>
      </w:pPr>
    </w:p>
    <w:p>
      <w:pPr>
        <w:sectPr>
          <w:pgSz w:w="11900" w:h="16838" w:orient="portrait"/>
          <w:cols w:equalWidth="0" w:num="2">
            <w:col w:w="2700" w:space="3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“Transaction Documents”</w:t>
      </w:r>
    </w:p>
    <w:p>
      <w:pPr>
        <w:spacing w:after="0" w:line="20" w:lineRule="exact"/>
        <w:rPr>
          <w:sz w:val="20"/>
          <w:szCs w:val="20"/>
          <w:color w:val="auto"/>
        </w:rPr>
      </w:pPr>
      <w:r>
        <w:rPr>
          <w:sz w:val="20"/>
          <w:szCs w:val="20"/>
          <w:color w:val="auto"/>
        </w:rPr>
        <w:br w:type="column"/>
      </w:r>
    </w:p>
    <w:p>
      <w:pPr>
        <w:ind w:right="259"/>
        <w:spacing w:after="0" w:line="258" w:lineRule="auto"/>
        <w:rPr>
          <w:sz w:val="20"/>
          <w:szCs w:val="20"/>
          <w:color w:val="auto"/>
        </w:rPr>
      </w:pPr>
      <w:r>
        <w:rPr>
          <w:rFonts w:ascii="Times New Roman" w:cs="Times New Roman" w:eastAsia="Times New Roman" w:hAnsi="Times New Roman"/>
          <w:sz w:val="14"/>
          <w:szCs w:val="14"/>
          <w:color w:val="auto"/>
        </w:rPr>
        <w:t>Collectively, the Merger Agreement, the Separation Agreement, the Employee Matters Agreement, the Tax Matters Agreement, the Technical Services Agreements, the Lease Agreement, the Transition Services Agreement, the Trademark Matters Agreement, and the Intellectual Property Matters Agreement and including all annexes, Exhibits, Schedules, attachments and appendices thereto, and any certificate or other instruments delivered by any of the parties thereto to any other party pursuant to the terms thereof.</w:t>
      </w:r>
    </w:p>
    <w:p>
      <w:pPr>
        <w:spacing w:after="0" w:line="81" w:lineRule="exact"/>
        <w:rPr>
          <w:sz w:val="20"/>
          <w:szCs w:val="20"/>
          <w:color w:val="auto"/>
        </w:rPr>
      </w:pPr>
    </w:p>
    <w:p>
      <w:pPr>
        <w:sectPr>
          <w:pgSz w:w="11900" w:h="16838" w:orient="portrait"/>
          <w:cols w:equalWidth="0" w:num="2">
            <w:col w:w="2800" w:space="2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“Transactions”</w:t>
      </w:r>
    </w:p>
    <w:p>
      <w:pPr>
        <w:spacing w:after="0" w:line="20" w:lineRule="exact"/>
        <w:rPr>
          <w:sz w:val="20"/>
          <w:szCs w:val="20"/>
          <w:color w:val="auto"/>
        </w:rPr>
      </w:pPr>
      <w:r>
        <w:rPr>
          <w:sz w:val="20"/>
          <w:szCs w:val="20"/>
          <w:color w:val="auto"/>
        </w:rPr>
        <w:br w:type="column"/>
      </w:r>
    </w:p>
    <w:p>
      <w:pPr>
        <w:ind w:right="859"/>
        <w:spacing w:after="0" w:line="283" w:lineRule="auto"/>
        <w:rPr>
          <w:sz w:val="20"/>
          <w:szCs w:val="20"/>
          <w:color w:val="auto"/>
        </w:rPr>
      </w:pPr>
      <w:r>
        <w:rPr>
          <w:rFonts w:ascii="Times New Roman" w:cs="Times New Roman" w:eastAsia="Times New Roman" w:hAnsi="Times New Roman"/>
          <w:sz w:val="14"/>
          <w:szCs w:val="14"/>
          <w:color w:val="auto"/>
        </w:rPr>
        <w:t>The Merger, the Separation, the Distribution, the Gentherm Special Dividend, if any, and the other transactions contemplated by the Transaction Documents.</w:t>
      </w:r>
    </w:p>
    <w:p>
      <w:pPr>
        <w:spacing w:after="0" w:line="6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“Transition Services</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Agreement”</w:t>
      </w:r>
    </w:p>
    <w:p>
      <w:pPr>
        <w:spacing w:after="0" w:line="20" w:lineRule="exact"/>
        <w:rPr>
          <w:sz w:val="20"/>
          <w:szCs w:val="20"/>
          <w:color w:val="auto"/>
        </w:rPr>
      </w:pPr>
      <w:r>
        <w:rPr>
          <w:sz w:val="20"/>
          <w:szCs w:val="20"/>
          <w:color w:val="auto"/>
        </w:rPr>
        <w:br w:type="column"/>
      </w:r>
    </w:p>
    <w:p>
      <w:pPr>
        <w:ind w:right="599"/>
        <w:spacing w:after="0" w:line="283" w:lineRule="auto"/>
        <w:rPr>
          <w:sz w:val="20"/>
          <w:szCs w:val="20"/>
          <w:color w:val="auto"/>
        </w:rPr>
      </w:pPr>
      <w:r>
        <w:rPr>
          <w:rFonts w:ascii="Times New Roman" w:cs="Times New Roman" w:eastAsia="Times New Roman" w:hAnsi="Times New Roman"/>
          <w:sz w:val="14"/>
          <w:szCs w:val="14"/>
          <w:color w:val="auto"/>
        </w:rPr>
        <w:t>The Transition Services Agreement to be entered into prior to or at the Effective Time, by and between Modine and SpinCo.</w:t>
      </w:r>
    </w:p>
    <w:p>
      <w:pPr>
        <w:spacing w:after="0" w:line="62" w:lineRule="exact"/>
        <w:rPr>
          <w:sz w:val="20"/>
          <w:szCs w:val="20"/>
          <w:color w:val="auto"/>
        </w:rPr>
      </w:pPr>
    </w:p>
    <w:p>
      <w:pPr>
        <w:sectPr>
          <w:pgSz w:w="11900" w:h="16838" w:orient="portrait"/>
          <w:cols w:equalWidth="0" w:num="2">
            <w:col w:w="2500" w:space="58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“Treasury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Regulations promulgated by the United States Department of the Treasury.</w:t>
      </w:r>
    </w:p>
    <w:p>
      <w:pPr>
        <w:spacing w:after="0" w:line="124" w:lineRule="exact"/>
        <w:rPr>
          <w:sz w:val="20"/>
          <w:szCs w:val="20"/>
          <w:color w:val="auto"/>
        </w:rPr>
      </w:pPr>
    </w:p>
    <w:p>
      <w:pPr>
        <w:sectPr>
          <w:pgSz w:w="11900" w:h="16838" w:orient="portrait"/>
          <w:cols w:equalWidth="0" w:num="2">
            <w:col w:w="2680" w:space="40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4"/>
          <w:szCs w:val="14"/>
          <w:color w:val="auto"/>
        </w:rPr>
        <w:t>“U.S. Holder”</w:t>
      </w:r>
    </w:p>
    <w:p>
      <w:pPr>
        <w:spacing w:after="0" w:line="20" w:lineRule="exact"/>
        <w:rPr>
          <w:sz w:val="20"/>
          <w:szCs w:val="20"/>
          <w:color w:val="auto"/>
        </w:rPr>
      </w:pPr>
      <w:r>
        <w:rPr>
          <w:sz w:val="20"/>
          <w:szCs w:val="20"/>
          <w:color w:val="auto"/>
        </w:rPr>
        <w:br w:type="column"/>
      </w:r>
    </w:p>
    <w:p>
      <w:pPr>
        <w:ind w:right="579"/>
        <w:spacing w:after="0" w:line="283" w:lineRule="auto"/>
        <w:rPr>
          <w:sz w:val="20"/>
          <w:szCs w:val="20"/>
          <w:color w:val="auto"/>
        </w:rPr>
      </w:pPr>
      <w:r>
        <w:rPr>
          <w:rFonts w:ascii="Times New Roman" w:cs="Times New Roman" w:eastAsia="Times New Roman" w:hAnsi="Times New Roman"/>
          <w:sz w:val="14"/>
          <w:szCs w:val="14"/>
          <w:color w:val="auto"/>
        </w:rPr>
        <w:t>Has the meaning given in the section of this proxy statement/prospectus entitled “Material U.S. Federal Income Tax Considerations of the Distribution and the Merger.”</w:t>
      </w:r>
    </w:p>
    <w:p>
      <w:pPr>
        <w:spacing w:after="0" w:line="62"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3"/>
          <w:szCs w:val="13"/>
          <w:color w:val="auto"/>
        </w:rPr>
        <w:t>“WBCL”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Wisconsin Business Corporation Law.</w:t>
      </w:r>
    </w:p>
    <w:p>
      <w:pPr>
        <w:spacing w:after="0" w:line="200" w:lineRule="exact"/>
        <w:rPr>
          <w:sz w:val="20"/>
          <w:szCs w:val="20"/>
          <w:color w:val="auto"/>
        </w:rPr>
      </w:pPr>
    </w:p>
    <w:p>
      <w:pPr>
        <w:sectPr>
          <w:pgSz w:w="11900" w:h="16838" w:orient="portrait"/>
          <w:cols w:equalWidth="0" w:num="2">
            <w:col w:w="2360" w:space="720"/>
            <w:col w:w="7079"/>
          </w:cols>
          <w:pgMar w:left="300" w:top="386" w:right="1440" w:bottom="1440" w:gutter="0" w:footer="0" w:header="0"/>
          <w:type w:val="continuous"/>
        </w:sectPr>
      </w:pP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QUESTIONS AND ANSWERS</w:t>
      </w:r>
    </w:p>
    <w:p>
      <w:pPr>
        <w:spacing w:after="0" w:line="175"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are brief answers to certain questions that you, as a Gentherm shareholder, may have regarding the Transactions and the matters being considered at the Special Meeting. You are urged to carefully read this proxy statement/prospectus and the other documents referred to in this proxy statement/prospectus in their entirety because this section may not provide all the information that is important to you regarding these matters. See the section entitled “Summary” for a summary of important information regarding the Merger Agreement and the Transactions. Additional important information is also contained in the annexes to, and the documents incorporated by reference into, this proxy statement/prospectus. You may obtain the information incorporated by reference into this proxy statement/prospectus, without charge, by following the instructions under the section entitled “Where You Can Find More Information; Incorporation by Reference.”</w:t>
      </w:r>
    </w:p>
    <w:p>
      <w:pPr>
        <w:spacing w:after="0" w:line="259" w:lineRule="exact"/>
        <w:rPr>
          <w:sz w:val="20"/>
          <w:szCs w:val="20"/>
          <w:color w:val="auto"/>
        </w:rPr>
      </w:pPr>
    </w:p>
    <w:p>
      <w:pPr>
        <w:ind w:left="1700" w:hanging="345"/>
        <w:spacing w:after="0"/>
        <w:tabs>
          <w:tab w:leader="none" w:pos="170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Why am I receiving this proxy statement/prospectus?</w:t>
      </w:r>
    </w:p>
    <w:p>
      <w:pPr>
        <w:spacing w:after="0" w:line="104" w:lineRule="exact"/>
        <w:rPr>
          <w:sz w:val="20"/>
          <w:szCs w:val="20"/>
          <w:color w:val="auto"/>
        </w:rPr>
      </w:pPr>
    </w:p>
    <w:p>
      <w:pPr>
        <w:ind w:left="1700" w:right="279" w:hanging="345"/>
        <w:spacing w:after="0" w:line="255" w:lineRule="auto"/>
        <w:tabs>
          <w:tab w:leader="none" w:pos="1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are receiving this proxy statement/prospectus because the parties have agreed that Gentherm will acquire the Performance Technologies Business through the separation of the Performance Technologies Business from Modine into SpinCo pursuant to the Separation, the spin-off and Distribution of SpinCo to Modine shareholders, and the merger of Merger Sub with and into SpinCo, with SpinCo continuing as the surviving corporation in the Merger and becoming a wholly owned subsidiary of Gentherm. The Merger Agreement, which governs the terms and conditions of the Merger, is attached as Annex A to this proxy statement/prospectus. The Separation Agreement, which governs the Separation and the Distribution, is attached as Annex B to this proxy statement/prospectus. The vote of Gentherm shareholders is required in connection with the Transactions. Gentherm is sending these materials to its shareholders to help you decide how to vote your shares with respect to the Share Issuance Proposal, the Charter Amendment Proposal and other important matters.</w:t>
      </w:r>
    </w:p>
    <w:p>
      <w:pPr>
        <w:spacing w:after="0" w:line="259" w:lineRule="exact"/>
        <w:rPr>
          <w:sz w:val="20"/>
          <w:szCs w:val="20"/>
          <w:color w:val="auto"/>
        </w:rPr>
      </w:pPr>
    </w:p>
    <w:p>
      <w:pPr>
        <w:ind w:left="1700" w:hanging="345"/>
        <w:spacing w:after="0"/>
        <w:tabs>
          <w:tab w:leader="none" w:pos="170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matters am I being asked to vote on?</w:t>
      </w:r>
    </w:p>
    <w:p>
      <w:pPr>
        <w:spacing w:after="0" w:line="104" w:lineRule="exact"/>
        <w:rPr>
          <w:sz w:val="20"/>
          <w:szCs w:val="20"/>
          <w:color w:val="auto"/>
        </w:rPr>
      </w:pPr>
    </w:p>
    <w:p>
      <w:pPr>
        <w:ind w:left="1700" w:right="239" w:hanging="345"/>
        <w:spacing w:after="0" w:line="254" w:lineRule="auto"/>
        <w:tabs>
          <w:tab w:leader="none" w:pos="17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implement the Merger, Gentherm shareholders are being asked to consider and vote upon two proposals, including approval of the issuance of shares of Gentherm Common Stock pursuant to the Merger Agreement and approval of an amendment to the Gentherm Charter to effect an increase in the number of authorized shares to facilitate such issuance of shares. Gentherm shareholders are also being asked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w:t>
      </w:r>
    </w:p>
    <w:p>
      <w:pPr>
        <w:spacing w:after="0" w:line="64" w:lineRule="exact"/>
        <w:rPr>
          <w:rFonts w:ascii="Times New Roman" w:cs="Times New Roman" w:eastAsia="Times New Roman" w:hAnsi="Times New Roman"/>
          <w:sz w:val="14"/>
          <w:szCs w:val="14"/>
          <w:color w:val="auto"/>
        </w:rPr>
      </w:pPr>
    </w:p>
    <w:p>
      <w:pPr>
        <w:ind w:left="1700" w:right="29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approvals of the Share Issuance Proposal and the Charter Amendment Proposal are the only approvals of Gentherm shareholders required for completion of the transactions contemplated by the Merger Agreement.</w:t>
      </w:r>
    </w:p>
    <w:p>
      <w:pPr>
        <w:spacing w:after="0" w:line="239" w:lineRule="exact"/>
        <w:rPr>
          <w:sz w:val="20"/>
          <w:szCs w:val="20"/>
          <w:color w:val="auto"/>
        </w:rPr>
      </w:pPr>
    </w:p>
    <w:p>
      <w:pPr>
        <w:ind w:left="1700" w:hanging="345"/>
        <w:spacing w:after="0"/>
        <w:tabs>
          <w:tab w:leader="none" w:pos="170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and where will the Special Meeting take place?</w:t>
      </w:r>
    </w:p>
    <w:p>
      <w:pPr>
        <w:spacing w:after="0" w:line="104" w:lineRule="exact"/>
        <w:rPr>
          <w:sz w:val="20"/>
          <w:szCs w:val="20"/>
          <w:color w:val="auto"/>
        </w:rPr>
      </w:pPr>
    </w:p>
    <w:p>
      <w:pPr>
        <w:jc w:val="center"/>
        <w:ind w:right="-60"/>
        <w:spacing w:after="0"/>
        <w:tabs>
          <w:tab w:leader="none" w:pos="180" w:val="left"/>
          <w:tab w:leader="none" w:pos="120" w:val="left"/>
        </w:tabs>
        <w:rPr>
          <w:sz w:val="20"/>
          <w:szCs w:val="20"/>
          <w:color w:val="auto"/>
        </w:rPr>
      </w:pPr>
      <w:r>
        <w:rPr>
          <w:rFonts w:ascii="Times New Roman" w:cs="Times New Roman" w:eastAsia="Times New Roman" w:hAnsi="Times New Roman"/>
          <w:sz w:val="14"/>
          <w:szCs w:val="14"/>
          <w:color w:val="auto"/>
        </w:rPr>
        <w:t>A:</w:t>
        <w:tab/>
        <w:t xml:space="preserve">The Special Meeting will be held on           </w:t>
        <w:tab/>
        <w:t>at            [a.m. / p.m.], Eastern Time, exclusively via the Internet at            .</w:t>
      </w:r>
    </w:p>
    <w:p>
      <w:pPr>
        <w:spacing w:after="0" w:line="91" w:lineRule="exact"/>
        <w:rPr>
          <w:sz w:val="20"/>
          <w:szCs w:val="20"/>
          <w:color w:val="auto"/>
        </w:rPr>
      </w:pPr>
    </w:p>
    <w:p>
      <w:pPr>
        <w:ind w:left="1700" w:right="359"/>
        <w:spacing w:after="0" w:line="323" w:lineRule="auto"/>
        <w:rPr>
          <w:sz w:val="20"/>
          <w:szCs w:val="20"/>
          <w:color w:val="auto"/>
        </w:rPr>
      </w:pPr>
      <w:r>
        <w:rPr>
          <w:rFonts w:ascii="Times New Roman" w:cs="Times New Roman" w:eastAsia="Times New Roman" w:hAnsi="Times New Roman"/>
          <w:sz w:val="13"/>
          <w:szCs w:val="13"/>
          <w:color w:val="auto"/>
        </w:rPr>
        <w:t>To attend the Special Meeting, you must be a registered Gentherm shareholder as of the Record Date, or, if your shares are held through a bank, broker or other nominee, you must obtain a legal proxy from such holder and follow the instructions set forth in this proxy statement/prospectus.</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hanging="345"/>
        <w:spacing w:after="0"/>
        <w:tabs>
          <w:tab w:leader="none" w:pos="170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constitutes a quorum at the Special Meeting?</w:t>
      </w:r>
    </w:p>
    <w:p>
      <w:pPr>
        <w:spacing w:after="0" w:line="104" w:lineRule="exact"/>
        <w:rPr>
          <w:sz w:val="20"/>
          <w:szCs w:val="20"/>
          <w:color w:val="auto"/>
        </w:rPr>
      </w:pPr>
    </w:p>
    <w:p>
      <w:pPr>
        <w:ind w:left="1700" w:right="239" w:hanging="345"/>
        <w:spacing w:after="0" w:line="254" w:lineRule="auto"/>
        <w:tabs>
          <w:tab w:leader="none" w:pos="17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conduct the Special Meeting, the holders of a majority of the outstanding shares of Gentherm Common Stock entitled to vote at the Special Meeting must be present in person via the Internet or by proxy. This is referred to as a “quorum.” If a Gentherm shareholder submits a properly executed proxy card or votes via the Internet or by telephone, then such Gentherm shareholder will be considered present at the Special Meeting for purposes of determining the presence of a quorum. Abstentions and any broker “non-votes” will be counted as present for purposes of determining the presence of a quorum. A broker “non-vote” occurs when a bank, broker or other nominee who holds shares for another person (such shares are referred to as “street name” shares) has not received voting instructions from the beneficial owner of the shares with respect to the approval of a non-routine matter and does not have discretionary authority to vote on a proposal. The Share Issuance Proposal, the Charter Amendment Proposal and the Adjournment Proposal are not routine matters. As a result, absent specific instructions from the beneficial owner, banks, brokers and other nominee record holders do not have discretionary authority to vote those “street name” shares in connection with any of the proposals.</w:t>
      </w:r>
    </w:p>
    <w:p>
      <w:pPr>
        <w:spacing w:after="0" w:line="260" w:lineRule="exact"/>
        <w:rPr>
          <w:sz w:val="20"/>
          <w:szCs w:val="20"/>
          <w:color w:val="auto"/>
        </w:rPr>
      </w:pPr>
    </w:p>
    <w:p>
      <w:pPr>
        <w:ind w:left="1700" w:hanging="345"/>
        <w:spacing w:after="0"/>
        <w:tabs>
          <w:tab w:leader="none" w:pos="170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can vote at the Special Meeting?</w:t>
      </w:r>
    </w:p>
    <w:p>
      <w:pPr>
        <w:spacing w:after="0" w:line="104" w:lineRule="exact"/>
        <w:rPr>
          <w:sz w:val="20"/>
          <w:szCs w:val="20"/>
          <w:color w:val="auto"/>
        </w:rPr>
      </w:pPr>
    </w:p>
    <w:p>
      <w:pPr>
        <w:ind w:left="1700" w:right="259" w:hanging="339"/>
        <w:spacing w:after="0" w:line="261" w:lineRule="auto"/>
        <w:tabs>
          <w:tab w:leader="none" w:pos="1680" w:val="left"/>
        </w:tabs>
        <w:rPr>
          <w:sz w:val="20"/>
          <w:szCs w:val="20"/>
          <w:color w:val="auto"/>
        </w:rPr>
      </w:pPr>
      <w:r>
        <w:rPr>
          <w:rFonts w:ascii="Times New Roman" w:cs="Times New Roman" w:eastAsia="Times New Roman" w:hAnsi="Times New Roman"/>
          <w:sz w:val="14"/>
          <w:szCs w:val="14"/>
          <w:color w:val="auto"/>
        </w:rPr>
        <w:t>A:</w:t>
        <w:tab/>
        <w:t>The Gentherm Board has fixed the close of business on        as the record date for the Special Meeting (the “Record Date”). Only shareholders of record at the close of business on the Record Date are entitled to receive notice of, and to vote at, the Special Meeting or any adjournment or postponement thereof. As of the Record Date, there were        shares of Gentherm Common Stock issued and outstanding and entitled to vote at the Special Meeting.</w:t>
      </w:r>
    </w:p>
    <w:p>
      <w:pPr>
        <w:spacing w:after="0" w:line="254" w:lineRule="exact"/>
        <w:rPr>
          <w:sz w:val="20"/>
          <w:szCs w:val="20"/>
          <w:color w:val="auto"/>
        </w:rPr>
      </w:pPr>
    </w:p>
    <w:p>
      <w:pPr>
        <w:ind w:left="1700" w:hanging="345"/>
        <w:spacing w:after="0"/>
        <w:tabs>
          <w:tab w:leader="none" w:pos="170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vote is required to approve each proposal?</w:t>
      </w:r>
    </w:p>
    <w:p>
      <w:pPr>
        <w:spacing w:after="0" w:line="104" w:lineRule="exact"/>
        <w:rPr>
          <w:sz w:val="20"/>
          <w:szCs w:val="20"/>
          <w:color w:val="auto"/>
        </w:rPr>
      </w:pPr>
    </w:p>
    <w:p>
      <w:pPr>
        <w:jc w:val="both"/>
        <w:ind w:left="1700" w:right="239" w:hanging="345"/>
        <w:spacing w:after="0" w:line="261" w:lineRule="auto"/>
        <w:tabs>
          <w:tab w:leader="none" w:pos="1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 quorum is present, the affirmative vote of a majority of the votes cast in person via the Internet or by proxy by the shareholders entitled to vote thereon at the Special Meeting is required to approve each of the Share Issuance Proposal and the Adjournment Proposal. Where a quorum is present, the affirmative vote of a majority of the outstanding shares entitled to vote on the Charter Amendment Proposal is required to approve the Charter Amendment Proposal.</w:t>
      </w:r>
    </w:p>
    <w:p>
      <w:pPr>
        <w:spacing w:after="0" w:line="56" w:lineRule="exact"/>
        <w:rPr>
          <w:rFonts w:ascii="Times New Roman" w:cs="Times New Roman" w:eastAsia="Times New Roman" w:hAnsi="Times New Roman"/>
          <w:sz w:val="14"/>
          <w:szCs w:val="14"/>
          <w:color w:val="auto"/>
        </w:rPr>
      </w:pPr>
    </w:p>
    <w:p>
      <w:pPr>
        <w:ind w:left="1700" w:right="299"/>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one proposal is not conditioned on the approval of the other proposals. However, the issuance of shares of Gentherm Common Stock pursuant to the Share Issuance Proposal and the amendment of the Gentherm Charter pursuant to the Charter Amendment Proposal will not be implemented if the Charter Amendment Proposal is not approved or if the Merger is not consummated.</w:t>
      </w:r>
    </w:p>
    <w:p>
      <w:pPr>
        <w:spacing w:after="0" w:line="51" w:lineRule="exact"/>
        <w:rPr>
          <w:rFonts w:ascii="Times New Roman" w:cs="Times New Roman" w:eastAsia="Times New Roman" w:hAnsi="Times New Roman"/>
          <w:sz w:val="14"/>
          <w:szCs w:val="14"/>
          <w:color w:val="auto"/>
        </w:rPr>
      </w:pPr>
    </w:p>
    <w:p>
      <w:pPr>
        <w:ind w:left="1700" w:right="33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“What if a holder does not vote or abstains from voting?” below for information regarding the treatment of abstentions and broker non-votes with respect to the approval of each proposal, as well as for the impact of not voting on a specific proposal.</w:t>
      </w:r>
    </w:p>
    <w:p>
      <w:pPr>
        <w:spacing w:after="0" w:line="239" w:lineRule="exact"/>
        <w:rPr>
          <w:sz w:val="20"/>
          <w:szCs w:val="20"/>
          <w:color w:val="auto"/>
        </w:rPr>
      </w:pPr>
    </w:p>
    <w:p>
      <w:pPr>
        <w:ind w:left="1700" w:hanging="345"/>
        <w:spacing w:after="0"/>
        <w:tabs>
          <w:tab w:leader="none" w:pos="170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 holders of record vote?</w:t>
      </w:r>
    </w:p>
    <w:p>
      <w:pPr>
        <w:spacing w:after="0" w:line="104" w:lineRule="exact"/>
        <w:rPr>
          <w:sz w:val="20"/>
          <w:szCs w:val="20"/>
          <w:color w:val="auto"/>
        </w:rPr>
      </w:pPr>
    </w:p>
    <w:p>
      <w:pPr>
        <w:ind w:left="1700" w:right="319" w:hanging="345"/>
        <w:spacing w:after="0" w:line="258" w:lineRule="auto"/>
        <w:tabs>
          <w:tab w:leader="none" w:pos="1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Shareholders have three options for submitting their votes: (1) via the Internet (by accessing the website listed on their proxy card), (2) by telephone (by calling the toll-free number listed on their proxy card) or (3) by mail using a paper proxy card. Submitting a proxy via the Internet or by telephone provides the same authority to vote shares as returning a paper proxy card by mail. If you participate in the Special Meeting via the Internet, you may vote your shares electronically during the Special Meeting even if you previously voted via the Internet, by telephone or by mail using a paper proxy card.</w:t>
      </w:r>
    </w:p>
    <w:p>
      <w:pPr>
        <w:spacing w:after="0" w:line="258" w:lineRule="exact"/>
        <w:rPr>
          <w:sz w:val="20"/>
          <w:szCs w:val="20"/>
          <w:color w:val="auto"/>
        </w:rPr>
      </w:pPr>
    </w:p>
    <w:p>
      <w:pPr>
        <w:ind w:left="1700" w:hanging="345"/>
        <w:spacing w:after="0"/>
        <w:tabs>
          <w:tab w:leader="none" w:pos="170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 beneficial holders vote?</w:t>
      </w:r>
    </w:p>
    <w:p>
      <w:pPr>
        <w:spacing w:after="0" w:line="104" w:lineRule="exact"/>
        <w:rPr>
          <w:sz w:val="20"/>
          <w:szCs w:val="20"/>
          <w:color w:val="auto"/>
        </w:rPr>
      </w:pPr>
    </w:p>
    <w:p>
      <w:pPr>
        <w:ind w:left="1700" w:right="339" w:hanging="345"/>
        <w:spacing w:after="0" w:line="323" w:lineRule="auto"/>
        <w:tabs>
          <w:tab w:leader="none" w:pos="17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Beneficial shareholders who hold Gentherm shares in “street name” through a bank, broker or other nominee must give instructions to that nominee to vote on their behalf. Please follow the instructions on the voting form from the broker, bank or other nominee who holds your shares.</w:t>
      </w:r>
    </w:p>
    <w:p>
      <w:pPr>
        <w:spacing w:after="0" w:line="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hanging="345"/>
        <w:spacing w:after="0"/>
        <w:tabs>
          <w:tab w:leader="none" w:pos="170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a holder’s shares are held in “street name” through a broker, bank or other nominee, will the broker vote the shares for the holder?</w:t>
      </w:r>
    </w:p>
    <w:p>
      <w:pPr>
        <w:spacing w:after="0" w:line="104" w:lineRule="exact"/>
        <w:rPr>
          <w:sz w:val="20"/>
          <w:szCs w:val="20"/>
          <w:color w:val="auto"/>
        </w:rPr>
      </w:pPr>
    </w:p>
    <w:p>
      <w:pPr>
        <w:ind w:left="1700" w:right="359" w:hanging="345"/>
        <w:spacing w:after="0" w:line="258" w:lineRule="auto"/>
        <w:tabs>
          <w:tab w:leader="none" w:pos="1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brokers and other nominee record holders holding shares in “street name” have the authority to vote on routine proposals when they have not received instructions from beneficial owners. However, banks, brokers and other nominee record holders are precluded from exercising their voting discretion with respect to the approval of non-routine matters. Because each of the Share Issuance Proposal, the Charter Amendment Proposal and the Adjournment Proposal are non-routine matters, absent specific instructions from the beneficial owner, banks, brokers and other nominee record holders are not empowered to vote those “street name” shares in connection with such proposals.</w:t>
      </w:r>
    </w:p>
    <w:p>
      <w:pPr>
        <w:spacing w:after="0" w:line="258" w:lineRule="exact"/>
        <w:rPr>
          <w:sz w:val="20"/>
          <w:szCs w:val="20"/>
          <w:color w:val="auto"/>
        </w:rPr>
      </w:pPr>
    </w:p>
    <w:p>
      <w:pPr>
        <w:ind w:left="1700" w:hanging="345"/>
        <w:spacing w:after="0"/>
        <w:tabs>
          <w:tab w:leader="none" w:pos="170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Can holders change their vote?</w:t>
      </w:r>
    </w:p>
    <w:p>
      <w:pPr>
        <w:spacing w:after="0" w:line="104" w:lineRule="exact"/>
        <w:rPr>
          <w:sz w:val="20"/>
          <w:szCs w:val="20"/>
          <w:color w:val="auto"/>
        </w:rPr>
      </w:pPr>
    </w:p>
    <w:p>
      <w:pPr>
        <w:ind w:left="1700" w:right="659" w:hanging="345"/>
        <w:spacing w:after="0" w:line="283" w:lineRule="auto"/>
        <w:tabs>
          <w:tab w:leader="none" w:pos="1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Holders of record of Gentherm Common Stock who have properly completed and submitted their proxy card or proxy via the Internet, telephone or mail can change their vote or revoke their proxy in any of the following ways:</w:t>
      </w:r>
    </w:p>
    <w:p>
      <w:pPr>
        <w:spacing w:after="0" w:line="51" w:lineRule="exact"/>
        <w:rPr>
          <w:sz w:val="20"/>
          <w:szCs w:val="20"/>
          <w:color w:val="auto"/>
        </w:rPr>
      </w:pPr>
    </w:p>
    <w:p>
      <w:pPr>
        <w:ind w:left="2120" w:right="23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notifying Gentherm’s Corporate Secretary in writing (at Gentherm’s address set forth in this proxy statement/prospectus, which notification must be received prior to the proxy’s exercise of the proxy at the Special Meeting);</w:t>
      </w:r>
    </w:p>
    <w:p>
      <w:pPr>
        <w:spacing w:after="0" w:line="51" w:lineRule="exact"/>
        <w:rPr>
          <w:sz w:val="20"/>
          <w:szCs w:val="20"/>
          <w:color w:val="auto"/>
        </w:rPr>
      </w:pPr>
    </w:p>
    <w:p>
      <w:pPr>
        <w:ind w:left="1780"/>
        <w:spacing w:after="0"/>
        <w:tabs>
          <w:tab w:leader="none" w:pos="21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voting again via the Internet or by telephone (prior to 11:59 p.m., Eastern Time, on            ), since only the latest vote will be counted; or</w:t>
      </w:r>
    </w:p>
    <w:p>
      <w:pPr>
        <w:spacing w:after="0" w:line="102" w:lineRule="exact"/>
        <w:rPr>
          <w:sz w:val="20"/>
          <w:szCs w:val="20"/>
          <w:color w:val="auto"/>
        </w:rPr>
      </w:pPr>
    </w:p>
    <w:p>
      <w:pPr>
        <w:ind w:left="2120" w:right="37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signing and returning, prior to the prior proxy’s exercise at the Special Meeting, another proxy card that is dated after the date of the first proxy card.</w:t>
      </w:r>
    </w:p>
    <w:p>
      <w:pPr>
        <w:spacing w:after="0" w:line="41" w:lineRule="exact"/>
        <w:rPr>
          <w:sz w:val="20"/>
          <w:szCs w:val="20"/>
          <w:color w:val="auto"/>
        </w:rPr>
      </w:pPr>
    </w:p>
    <w:p>
      <w:pPr>
        <w:ind w:left="1700" w:right="819"/>
        <w:spacing w:after="0" w:line="283" w:lineRule="auto"/>
        <w:rPr>
          <w:sz w:val="20"/>
          <w:szCs w:val="20"/>
          <w:color w:val="auto"/>
        </w:rPr>
      </w:pPr>
      <w:r>
        <w:rPr>
          <w:rFonts w:ascii="Times New Roman" w:cs="Times New Roman" w:eastAsia="Times New Roman" w:hAnsi="Times New Roman"/>
          <w:sz w:val="14"/>
          <w:szCs w:val="14"/>
          <w:color w:val="auto"/>
        </w:rPr>
        <w:t>Beneficial holders of Gentherm Common Stock who hold shares in “street name” should contact their bank, broker or other nominee for instructions on how to revoke their proxies. Simply attending the Special Meeting will not revoke a proxy.</w:t>
      </w:r>
    </w:p>
    <w:p>
      <w:pPr>
        <w:spacing w:after="0" w:line="239" w:lineRule="exact"/>
        <w:rPr>
          <w:sz w:val="20"/>
          <w:szCs w:val="20"/>
          <w:color w:val="auto"/>
        </w:rPr>
      </w:pPr>
    </w:p>
    <w:p>
      <w:pPr>
        <w:ind w:left="1700" w:hanging="345"/>
        <w:spacing w:after="0"/>
        <w:tabs>
          <w:tab w:leader="none" w:pos="170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if a holder does not vote or abstains from voting?</w:t>
      </w:r>
    </w:p>
    <w:p>
      <w:pPr>
        <w:spacing w:after="0" w:line="104" w:lineRule="exact"/>
        <w:rPr>
          <w:sz w:val="20"/>
          <w:szCs w:val="20"/>
          <w:color w:val="auto"/>
        </w:rPr>
      </w:pPr>
    </w:p>
    <w:p>
      <w:pPr>
        <w:ind w:left="1700" w:right="319" w:hanging="345"/>
        <w:spacing w:after="0" w:line="261" w:lineRule="auto"/>
        <w:tabs>
          <w:tab w:leader="none" w:pos="1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record on the Record Date may vote “FOR,” “AGAINST” or “ABSTAIN” with respect to each proposal. Abstentions and broker “non-votes” will not be treated as votes cast with respect to each of the Share Issuance Proposal and the Adjournment Proposal and therefore will not have an effect on the determination of whether such proposals have been approved. With respect to the Charter Amendment Proposal, abstentions and broker non-votes, if applicable, will have the same effect as votes against.</w:t>
      </w:r>
    </w:p>
    <w:p>
      <w:pPr>
        <w:spacing w:after="0" w:line="56" w:lineRule="exact"/>
        <w:rPr>
          <w:rFonts w:ascii="Times New Roman" w:cs="Times New Roman" w:eastAsia="Times New Roman" w:hAnsi="Times New Roman"/>
          <w:sz w:val="14"/>
          <w:szCs w:val="14"/>
          <w:color w:val="auto"/>
        </w:rPr>
      </w:pPr>
    </w:p>
    <w:p>
      <w:pPr>
        <w:ind w:left="1700" w:right="279"/>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Shares represented by proxy will be voted in accordance with your instructions. You may specify how you want your shares to be voted by voting via the Internet, by telephone or by marking the appropriate box on the proxy card that you return via mail. If your proxy card is signed and returned without specifying how you want your shares to be voted, your shares will be voted as recommended by the Gentherm Board. Therefore, such shares will be voted “FOR” the Share Issuance Proposal, “FOR” the Charter Amendment Proposal and “FOR” the Adjournment Proposal.</w:t>
      </w:r>
    </w:p>
    <w:p>
      <w:pPr>
        <w:spacing w:after="0" w:line="240" w:lineRule="exact"/>
        <w:rPr>
          <w:sz w:val="20"/>
          <w:szCs w:val="20"/>
          <w:color w:val="auto"/>
        </w:rPr>
      </w:pPr>
    </w:p>
    <w:p>
      <w:pPr>
        <w:ind w:left="1700" w:hanging="345"/>
        <w:spacing w:after="0"/>
        <w:tabs>
          <w:tab w:leader="none" w:pos="170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Does the Gentherm Board support the Merger?</w:t>
      </w:r>
    </w:p>
    <w:p>
      <w:pPr>
        <w:spacing w:after="0" w:line="104" w:lineRule="exact"/>
        <w:rPr>
          <w:sz w:val="20"/>
          <w:szCs w:val="20"/>
          <w:color w:val="auto"/>
        </w:rPr>
      </w:pPr>
    </w:p>
    <w:p>
      <w:pPr>
        <w:ind w:left="1700" w:right="419" w:hanging="345"/>
        <w:spacing w:after="0" w:line="283" w:lineRule="auto"/>
        <w:tabs>
          <w:tab w:leader="none" w:pos="1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The Gentherm Board has unanimously approved the Merger Agreement and the Merger and recommends that Gentherm shareholders vote “FOR” the Share Issuance Proposal, “FOR” the Charter Amendment Proposal and “FOR” the Adjournment Proposal.</w:t>
      </w:r>
    </w:p>
    <w:p>
      <w:pPr>
        <w:spacing w:after="0" w:line="239" w:lineRule="exact"/>
        <w:rPr>
          <w:sz w:val="20"/>
          <w:szCs w:val="20"/>
          <w:color w:val="auto"/>
        </w:rPr>
      </w:pPr>
    </w:p>
    <w:p>
      <w:pPr>
        <w:ind w:left="1700" w:hanging="345"/>
        <w:spacing w:after="0"/>
        <w:tabs>
          <w:tab w:leader="none" w:pos="170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should holders of Gentherm Common Stock do now?</w:t>
      </w:r>
    </w:p>
    <w:p>
      <w:pPr>
        <w:spacing w:after="0" w:line="104" w:lineRule="exact"/>
        <w:rPr>
          <w:sz w:val="20"/>
          <w:szCs w:val="20"/>
          <w:color w:val="auto"/>
        </w:rPr>
      </w:pPr>
    </w:p>
    <w:p>
      <w:pPr>
        <w:ind w:left="1700" w:right="279" w:hanging="345"/>
        <w:spacing w:after="0" w:line="283" w:lineRule="auto"/>
        <w:tabs>
          <w:tab w:leader="none" w:pos="1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carefully reading and considering the information contained in this proxy statement/prospectus, holders of Gentherm Common Stock should submit a proxy by mail, via the website or by telephone to vote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59"/>
        <w:spacing w:after="0" w:line="267" w:lineRule="auto"/>
        <w:rPr>
          <w:sz w:val="20"/>
          <w:szCs w:val="20"/>
          <w:color w:val="auto"/>
        </w:rPr>
      </w:pPr>
      <w:r>
        <w:rPr>
          <w:rFonts w:ascii="Times New Roman" w:cs="Times New Roman" w:eastAsia="Times New Roman" w:hAnsi="Times New Roman"/>
          <w:sz w:val="14"/>
          <w:szCs w:val="14"/>
          <w:color w:val="auto"/>
        </w:rPr>
        <w:t>their shares as soon as possible so that their shares will be represented and voted at the Special Meeting. Holders should follow the instructions set forth on the enclosed proxy card or on the voting instruction form provided by the record holder if their shares are held in the name of a bank, broker or other nominee.</w:t>
      </w:r>
    </w:p>
    <w:p>
      <w:pPr>
        <w:spacing w:after="0" w:line="249" w:lineRule="exact"/>
        <w:rPr>
          <w:sz w:val="20"/>
          <w:szCs w:val="20"/>
          <w:color w:val="auto"/>
        </w:rPr>
      </w:pPr>
    </w:p>
    <w:p>
      <w:pPr>
        <w:ind w:left="1700" w:hanging="345"/>
        <w:spacing w:after="0"/>
        <w:tabs>
          <w:tab w:leader="none" w:pos="170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Transactions described in this proxy statement/prospectus?</w:t>
      </w:r>
    </w:p>
    <w:p>
      <w:pPr>
        <w:spacing w:after="0" w:line="104" w:lineRule="exact"/>
        <w:rPr>
          <w:sz w:val="20"/>
          <w:szCs w:val="20"/>
          <w:color w:val="auto"/>
        </w:rPr>
      </w:pPr>
    </w:p>
    <w:p>
      <w:pPr>
        <w:ind w:left="1700" w:right="299" w:hanging="345"/>
        <w:spacing w:after="0" w:line="261" w:lineRule="auto"/>
        <w:tabs>
          <w:tab w:leader="none" w:pos="1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Transactions are designed to effect the acquisition of the Performance Technologies Business by Gentherm. References to the “Transactions” are to the Separation, the Distribution, the Gentherm Special Dividend, the Merger and the related transactions contemplated by the Merger Agreement, the Separation Agreement and the other Transaction Documents, as described under “The Transactions” and elsewhere in this proxy statement/prospectus.</w:t>
      </w:r>
    </w:p>
    <w:p>
      <w:pPr>
        <w:spacing w:after="0" w:line="254" w:lineRule="exact"/>
        <w:rPr>
          <w:sz w:val="20"/>
          <w:szCs w:val="20"/>
          <w:color w:val="auto"/>
        </w:rPr>
      </w:pPr>
    </w:p>
    <w:p>
      <w:pPr>
        <w:ind w:left="1700" w:hanging="345"/>
        <w:spacing w:after="0"/>
        <w:tabs>
          <w:tab w:leader="none" w:pos="170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happen in the Separation?</w:t>
      </w:r>
    </w:p>
    <w:p>
      <w:pPr>
        <w:spacing w:after="0" w:line="104" w:lineRule="exact"/>
        <w:rPr>
          <w:sz w:val="20"/>
          <w:szCs w:val="20"/>
          <w:color w:val="auto"/>
        </w:rPr>
      </w:pPr>
    </w:p>
    <w:p>
      <w:pPr>
        <w:ind w:left="1700" w:right="599" w:hanging="345"/>
        <w:spacing w:after="0" w:line="296" w:lineRule="auto"/>
        <w:tabs>
          <w:tab w:leader="none" w:pos="17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See the section entitled “The Transactions-Overview” and “The Transaction Agreements-The Separation Agreement.”</w:t>
      </w:r>
    </w:p>
    <w:p>
      <w:pPr>
        <w:spacing w:after="0" w:line="233" w:lineRule="exact"/>
        <w:rPr>
          <w:sz w:val="20"/>
          <w:szCs w:val="20"/>
          <w:color w:val="auto"/>
        </w:rPr>
      </w:pPr>
    </w:p>
    <w:p>
      <w:pPr>
        <w:ind w:left="1700" w:hanging="345"/>
        <w:spacing w:after="0"/>
        <w:tabs>
          <w:tab w:leader="none" w:pos="170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happen in the SpinCo Cash Distribution?</w:t>
      </w:r>
    </w:p>
    <w:p>
      <w:pPr>
        <w:spacing w:after="0" w:line="104" w:lineRule="exact"/>
        <w:rPr>
          <w:sz w:val="20"/>
          <w:szCs w:val="20"/>
          <w:color w:val="auto"/>
        </w:rPr>
      </w:pPr>
    </w:p>
    <w:p>
      <w:pPr>
        <w:ind w:left="1700" w:right="279" w:hanging="345"/>
        <w:spacing w:after="0" w:line="261" w:lineRule="auto"/>
        <w:tabs>
          <w:tab w:leader="none" w:pos="1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Separation, SpinCo will make a cash distribution to Modine equal to $210.0 million, subject to adjustment as set forth in the Merger Agreement. See the section entitled “The Transaction Agreements-The Separation Agreement-Contribution” and “The Transaction Agreements-The Separation Agreement-Post-Closing Adjustments” for further details of adjustments to the SpinCo Cash Distribution. In addition to the SpinCo Cash Distribution, Modine will be entitled to receive the Cash Transfer, if the Cash Transfer Amount is a positive number.</w:t>
      </w:r>
    </w:p>
    <w:p>
      <w:pPr>
        <w:spacing w:after="0" w:line="254" w:lineRule="exact"/>
        <w:rPr>
          <w:sz w:val="20"/>
          <w:szCs w:val="20"/>
          <w:color w:val="auto"/>
        </w:rPr>
      </w:pPr>
    </w:p>
    <w:p>
      <w:pPr>
        <w:ind w:left="1700" w:hanging="345"/>
        <w:spacing w:after="0"/>
        <w:tabs>
          <w:tab w:leader="none" w:pos="170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happen in the Distribution that occurs prior to the Merger?</w:t>
      </w:r>
    </w:p>
    <w:p>
      <w:pPr>
        <w:spacing w:after="0" w:line="104" w:lineRule="exact"/>
        <w:rPr>
          <w:sz w:val="20"/>
          <w:szCs w:val="20"/>
          <w:color w:val="auto"/>
        </w:rPr>
      </w:pPr>
    </w:p>
    <w:p>
      <w:pPr>
        <w:ind w:left="1700" w:right="439" w:hanging="345"/>
        <w:spacing w:after="0" w:line="283" w:lineRule="auto"/>
        <w:tabs>
          <w:tab w:leader="none" w:pos="1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SpinCo Cash Distribution, Modine will distribute to its shareholders all of the issued and outstanding shares of SpinCo Common Stock held by Modine by way of a pro rata distribution and for no consideration.</w:t>
      </w:r>
    </w:p>
    <w:p>
      <w:pPr>
        <w:spacing w:after="0" w:line="239" w:lineRule="exact"/>
        <w:rPr>
          <w:sz w:val="20"/>
          <w:szCs w:val="20"/>
          <w:color w:val="auto"/>
        </w:rPr>
      </w:pPr>
    </w:p>
    <w:p>
      <w:pPr>
        <w:ind w:left="1700" w:hanging="345"/>
        <w:spacing w:after="0"/>
        <w:tabs>
          <w:tab w:leader="none" w:pos="1700"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happen in the Merger?</w:t>
      </w:r>
    </w:p>
    <w:p>
      <w:pPr>
        <w:spacing w:after="0" w:line="104" w:lineRule="exact"/>
        <w:rPr>
          <w:sz w:val="20"/>
          <w:szCs w:val="20"/>
          <w:color w:val="auto"/>
        </w:rPr>
      </w:pPr>
    </w:p>
    <w:p>
      <w:pPr>
        <w:ind w:left="1700" w:right="399" w:hanging="345"/>
        <w:spacing w:after="0" w:line="257" w:lineRule="auto"/>
        <w:tabs>
          <w:tab w:leader="none" w:pos="1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Merger Sub will be merged with and into SpinCo, with SpinCo continuing as the surviving entity, and all shares of SpinCo Common Stock (other than shares held by Modine, SpinCo, Gentherm, Merger Sub or their respective subsidiaries, if any, which shares will be cancelled) will be converted into the right to receive shares of Gentherm Common Stock based on the Exchange Ratio, as calculated and subject to adjustment as set forth in the Merger Agreement. When the Merger is completed, SpinCo will become a wholly owned subsidiary of Gentherm. See the section entitled “The Transactions-Calculation and Adjustments to the Exchange Ratio; Amount of Gentherm Special Dividend.”</w:t>
      </w:r>
    </w:p>
    <w:p>
      <w:pPr>
        <w:spacing w:after="0" w:line="257" w:lineRule="exact"/>
        <w:rPr>
          <w:sz w:val="20"/>
          <w:szCs w:val="20"/>
          <w:color w:val="auto"/>
        </w:rPr>
      </w:pPr>
    </w:p>
    <w:p>
      <w:pPr>
        <w:ind w:left="1700" w:hanging="345"/>
        <w:spacing w:after="0"/>
        <w:tabs>
          <w:tab w:leader="none" w:pos="170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the Distribution and Merger occur on the same day?</w:t>
      </w:r>
    </w:p>
    <w:p>
      <w:pPr>
        <w:spacing w:after="0" w:line="104" w:lineRule="exact"/>
        <w:rPr>
          <w:sz w:val="20"/>
          <w:szCs w:val="20"/>
          <w:color w:val="auto"/>
        </w:rPr>
      </w:pPr>
    </w:p>
    <w:p>
      <w:pPr>
        <w:ind w:left="1700" w:hanging="345"/>
        <w:spacing w:after="0"/>
        <w:tabs>
          <w:tab w:leader="none" w:pos="17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The Merger will occur immediately after the completion of the Distribution.</w:t>
      </w:r>
    </w:p>
    <w:p>
      <w:pPr>
        <w:spacing w:after="0" w:line="289" w:lineRule="exact"/>
        <w:rPr>
          <w:sz w:val="20"/>
          <w:szCs w:val="20"/>
          <w:color w:val="auto"/>
        </w:rPr>
      </w:pPr>
    </w:p>
    <w:p>
      <w:pPr>
        <w:ind w:left="1700" w:hanging="345"/>
        <w:spacing w:after="0"/>
        <w:tabs>
          <w:tab w:leader="none" w:pos="1700"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How will the post-Merger ownership of Gentherm between Modine shareholders and pre-Merger Gentherm shareholders be determined?</w:t>
      </w:r>
    </w:p>
    <w:p>
      <w:pPr>
        <w:spacing w:after="0" w:line="115" w:lineRule="exact"/>
        <w:rPr>
          <w:sz w:val="20"/>
          <w:szCs w:val="20"/>
          <w:color w:val="auto"/>
        </w:rPr>
      </w:pPr>
    </w:p>
    <w:p>
      <w:pPr>
        <w:ind w:left="1700" w:right="399" w:hanging="345"/>
        <w:spacing w:after="0" w:line="283" w:lineRule="auto"/>
        <w:tabs>
          <w:tab w:leader="none" w:pos="1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post-Merger ownership of Gentherm will result from a negotiated value exchange between Modine and Gentherm, which was based upon a number of factors, including (i) each party’s independent valuations of</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19"/>
        <w:spacing w:after="0" w:line="267" w:lineRule="auto"/>
        <w:rPr>
          <w:sz w:val="20"/>
          <w:szCs w:val="20"/>
          <w:color w:val="auto"/>
        </w:rPr>
      </w:pPr>
      <w:r>
        <w:rPr>
          <w:rFonts w:ascii="Times New Roman" w:cs="Times New Roman" w:eastAsia="Times New Roman" w:hAnsi="Times New Roman"/>
          <w:sz w:val="14"/>
          <w:szCs w:val="14"/>
          <w:color w:val="auto"/>
        </w:rPr>
        <w:t>pre-Merger Gentherm and the Performance Technologies Business, (ii) the SpinCo Cash Distribution, subject to adjustment pursuant to the terms of the Merger Agreement, and debt incurred in connection therewith, (iii) the Gentherm Special Dividend paid by Gentherm to its pre-Merger shareholders, if applicable, and (iv) certain tax requirements for a Reverse Morris Trust transaction structure.</w:t>
      </w:r>
    </w:p>
    <w:p>
      <w:pPr>
        <w:spacing w:after="0" w:line="51" w:lineRule="exact"/>
        <w:rPr>
          <w:sz w:val="20"/>
          <w:szCs w:val="20"/>
          <w:color w:val="auto"/>
        </w:rPr>
      </w:pPr>
    </w:p>
    <w:p>
      <w:pPr>
        <w:ind w:left="1700" w:right="239"/>
        <w:spacing w:after="0" w:line="258" w:lineRule="auto"/>
        <w:rPr>
          <w:sz w:val="20"/>
          <w:szCs w:val="20"/>
          <w:color w:val="auto"/>
        </w:rPr>
      </w:pPr>
      <w:r>
        <w:rPr>
          <w:rFonts w:ascii="Times New Roman" w:cs="Times New Roman" w:eastAsia="Times New Roman" w:hAnsi="Times New Roman"/>
          <w:sz w:val="14"/>
          <w:szCs w:val="14"/>
          <w:color w:val="auto"/>
        </w:rPr>
        <w:t>Prior to any adjustments as described in more detail under “The Transactions-Calculation and Adjustments to the Exchange Ratio; Amount of Gentherm Special Dividend,” the Exchange Ratio is designed to result in the issued and outstanding shares of Gentherm Common Stock on a fully diluted basis immediately following the Effective Time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w:t>
      </w:r>
    </w:p>
    <w:p>
      <w:pPr>
        <w:spacing w:after="0" w:line="258" w:lineRule="exact"/>
        <w:rPr>
          <w:sz w:val="20"/>
          <w:szCs w:val="20"/>
          <w:color w:val="auto"/>
        </w:rPr>
      </w:pPr>
    </w:p>
    <w:p>
      <w:pPr>
        <w:ind w:left="1700" w:hanging="345"/>
        <w:spacing w:after="0"/>
        <w:tabs>
          <w:tab w:leader="none" w:pos="170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will the pre-Merger Gentherm shareholders’ ownership of Gentherm be affected by the Merger?</w:t>
      </w:r>
    </w:p>
    <w:p>
      <w:pPr>
        <w:spacing w:after="0" w:line="104" w:lineRule="exact"/>
        <w:rPr>
          <w:sz w:val="20"/>
          <w:szCs w:val="20"/>
          <w:color w:val="auto"/>
        </w:rPr>
      </w:pPr>
    </w:p>
    <w:p>
      <w:pPr>
        <w:ind w:left="1700" w:right="239" w:hanging="345"/>
        <w:spacing w:after="0" w:line="254" w:lineRule="auto"/>
        <w:tabs>
          <w:tab w:leader="none" w:pos="17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is that, immediately after consummation of the Merger, Gentherm shareholders will own shares of Gentherm Common Stock representing approximately 60% of the outstanding shares of Gentherm Common Stock on a fully diluted basis, without taking into account any overlapping shareholder ownership, assuming no adjustments are required to the Exchange Ratio pursuant to the Merger Agreement. In the unlikely event that an Exchange Ratio adjustment is required as provided in the Merger Agreement, additional shares of Gentherm Common Stock will be issued in the Merger to the former holders of SpinCo Common Stock immediately prior to the Effective Time. In addition, the SpinCo Cash Distribution will be decreased and, under certain circumstances, the Gentherm Board will declare the Gentherm Special Dividend, each of which will economically offset the dilution of the ownership interests of Gentherm’s current shareholders that would result from the additional issuance of Gentherm Common Stock in connection with such Exchange Ratio adjustment. See the section entitled “The Transactions-Calculation and Adjustments to the Exchange Ratio; Amount of Gentherm Special Dividend” and “Risk Factors.”</w:t>
      </w:r>
    </w:p>
    <w:p>
      <w:pPr>
        <w:spacing w:after="0" w:line="262" w:lineRule="exact"/>
        <w:rPr>
          <w:sz w:val="20"/>
          <w:szCs w:val="20"/>
          <w:color w:val="auto"/>
        </w:rPr>
      </w:pPr>
    </w:p>
    <w:p>
      <w:pPr>
        <w:ind w:left="1700" w:hanging="345"/>
        <w:spacing w:after="0"/>
        <w:tabs>
          <w:tab w:leader="none" w:pos="170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the IRS Ruling and what does that process entail?</w:t>
      </w:r>
    </w:p>
    <w:p>
      <w:pPr>
        <w:spacing w:after="0" w:line="104" w:lineRule="exact"/>
        <w:rPr>
          <w:sz w:val="20"/>
          <w:szCs w:val="20"/>
          <w:color w:val="auto"/>
        </w:rPr>
      </w:pPr>
    </w:p>
    <w:p>
      <w:pPr>
        <w:ind w:left="1700" w:right="239" w:hanging="345"/>
        <w:spacing w:after="0" w:line="252" w:lineRule="auto"/>
        <w:tabs>
          <w:tab w:leader="none" w:pos="17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its request for the IRS Ruling, Modine has requested rulings regarding the U.S. federal income taxation of certain aspects of the Separation, Contribution and Distribution, including matters relating to the nature and extent of shareholders who may be counted as Overlap Shareholders for purposes of determining the Exchange Ratio in the Merger. For purposes of determining whether one or more persons will acquire, directly or indirectly, equity representing a 50% or greater interest in Modine or SpinCo for purposes of Section 355(e) of the Code, which, if applicable because such an acquisition occurred, could cause the Distribution to be taxable to Modine, Section 355(e) of the Code provides that an acquisition of interests in SpinCo is not taken into account as an acquisition of interests for these purposes to the extent that any Overlap Shareholder’s ownership percentage does not decrease as a result of the Merger. However, no formal guidance exists regarding the manner in which the Overlap Shareholders may be identified or how such Overlap Shareholders’ ownership percentages may be determined for these purposes. Absent receipt of the IRS Ruling, Modine and Gentherm will not be able to make the assumptions about beneficial ownership needed to treat specified investors as Overlap Shareholders (or to determine the amount of overlapping shareholdings). In addition to a ruling on Overlap Shareholders, the IRS Ruling, if granted, is expected to provide rulings on a variety of U.S. federal income taxation consequences of the Transactions, including consequences relating to basis, holding periods and nonrecognition of gain or loss. The Merger Agreement provides that, unless the parties otherwise agree, the Closing will not occur earlier than the third business day following the date on which the applicable closing conditions set forth in the Merger Agreement have been met. One such condition to Closing is that Modine has received the IRS Ruling in form and in substance reasonably satisfactory to Modine and that the IRS Ruling continues to be valid and in full force and effect at the Closing. Furthermore, the IRS Ruling, if received, will only describe the time, manner and methodology for measuring Overlap Shareholders and may be subject to varying interpretations. The actual</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79"/>
        <w:spacing w:after="0" w:line="256" w:lineRule="auto"/>
        <w:rPr>
          <w:sz w:val="20"/>
          <w:szCs w:val="20"/>
          <w:color w:val="auto"/>
        </w:rPr>
      </w:pPr>
      <w:r>
        <w:rPr>
          <w:rFonts w:ascii="Times New Roman" w:cs="Times New Roman" w:eastAsia="Times New Roman" w:hAnsi="Times New Roman"/>
          <w:sz w:val="14"/>
          <w:szCs w:val="14"/>
          <w:color w:val="auto"/>
        </w:rPr>
        <w:t>determination and calculation of Overlap Shareholders will be made by Gentherm, Modine and their respective advisors based on the IRS Ruling, but no assurance can be given that the IRS will agree with these determinations or calculations. If the IRS were to determine that the Merger, as a result of an error in the determination of Overlap Shareholders, or other transactions, either before or after the Merger, resulted in one or more persons acquiring directly or indirectly a 50% or greater interest in Modine Common Stock or SpinCo Common Stock and were part of a plan or series of related transactions that included the Distribution, such determination could result in significant tax to Modine, and Gentherm and SpinCo may be obligated to indemnify Modine for all of or a portion of such taxes imposed on Modine. For more information, see the section entitled “Material U.S. Federal Income Tax Considerations of the Distribution and the Merger” and “Risk Factors.”</w:t>
      </w:r>
    </w:p>
    <w:p>
      <w:pPr>
        <w:spacing w:after="0" w:line="257" w:lineRule="exact"/>
        <w:rPr>
          <w:sz w:val="20"/>
          <w:szCs w:val="20"/>
          <w:color w:val="auto"/>
        </w:rPr>
      </w:pPr>
    </w:p>
    <w:p>
      <w:pPr>
        <w:ind w:left="1700" w:hanging="345"/>
        <w:spacing w:after="0"/>
        <w:tabs>
          <w:tab w:leader="none" w:pos="170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the Gentherm Special Dividend?</w:t>
      </w:r>
    </w:p>
    <w:p>
      <w:pPr>
        <w:spacing w:after="0" w:line="104" w:lineRule="exact"/>
        <w:rPr>
          <w:sz w:val="20"/>
          <w:szCs w:val="20"/>
          <w:color w:val="auto"/>
        </w:rPr>
      </w:pPr>
    </w:p>
    <w:p>
      <w:pPr>
        <w:ind w:left="1700" w:right="239" w:hanging="345"/>
        <w:spacing w:after="0" w:line="258" w:lineRule="auto"/>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additional shares of Gentherm Common Stock are required to be issued to holders of SpinCo Common Stock as a result of an increase to the Exchange Ratio pursuant to the mechanism set forth in the Merger Agreement and described in this proxy statement/prospectus, the Merger Agreement provides that, if the Aggregate Adjustment Amount exceeds the Initial Adjustment Cap, prior to the Closing, the Gentherm</w:t>
      </w:r>
    </w:p>
    <w:p>
      <w:pPr>
        <w:ind w:left="1700" w:right="239"/>
        <w:spacing w:after="0" w:line="251" w:lineRule="auto"/>
        <w:rPr>
          <w:sz w:val="20"/>
          <w:szCs w:val="20"/>
          <w:color w:val="auto"/>
        </w:rPr>
      </w:pPr>
      <w:r>
        <w:rPr>
          <w:rFonts w:ascii="Times New Roman" w:cs="Times New Roman" w:eastAsia="Times New Roman" w:hAnsi="Times New Roman"/>
          <w:sz w:val="14"/>
          <w:szCs w:val="14"/>
          <w:color w:val="auto"/>
        </w:rPr>
        <w:t>Board will declare a special dividend pro rata to the holders of Gentherm Common Stock as of a record date prior to the Closing Date. The amount of the Gentherm Special Dividend will depend in part on the number of shares of Gentherm Common Stock to be issued to Modine shareholders as a result of the adjustment to the Exchange Ratio. The number of shares of Gentherm Common Stock to be issued to Modine shareholders in turn depends on, among other factors, the amount of Overlap Shares. The extent of the Overlap Shares that may be counted in determining the Exchange Ratio will depend on the contents of the IRS Ruling. As such, the amount of the Gentherm Special Dividend will not be known at the time of the Special Meeting, as described in more detail under “The Transactions-Calculation and Adjustments to the Exchange Ratio; Amount of Gentherm Special Dividend;” based on assumptions described therein, the Gentherm Special Dividend, if declared could range from $0.01 per share to approximately $        per share of Gentherm Common Stock (based on the number of shares of Gentherm Common Stock issued and outstanding as of                ). Modine shareholders who receive Gentherm Common Stock in the Merger will not be entitled to the Gentherm Special Dividend since the record date for the Gentherm Special Dividend will be prior to the Effective Time. The receipt of the Gentherm Special Dividend will generally be taxable to Gentherm shareholders for U.S. federal income tax purposes. For information related to the material U.S. federal income tax considerations of the Gentherm Special Dividend to holders of Gentherm Common Stock, see the section entitled “Material U.S. Federal Income Tax Considerations of the Distribution and the Merger-Material U.S. Federal Income Tax Considerations of the Gentherm Special Dividend.” For more information on the Gentherm Special Dividend, see the section of this document entitled “The Transaction Agreements-The Merger Agreement-Merger Consideration; Gentherm Special Dividend.” Based on the existing level of shareholder overlap (and assuming the overlap methodology applies substantially as requested in the IRS Ruling request), such adjustments to the Exchange Ratio pursuant to the mechanism set forth in the Merger Agreement and described in this proxy statement/prospectus are not expected to be triggered and the Gentherm Special Dividend is not anticipated to be declared or to be paid.</w:t>
      </w:r>
    </w:p>
    <w:p>
      <w:pPr>
        <w:spacing w:after="0" w:line="264" w:lineRule="exact"/>
        <w:rPr>
          <w:sz w:val="20"/>
          <w:szCs w:val="20"/>
          <w:color w:val="auto"/>
        </w:rPr>
      </w:pPr>
    </w:p>
    <w:p>
      <w:pPr>
        <w:ind w:left="1700" w:hanging="345"/>
        <w:spacing w:after="0"/>
        <w:tabs>
          <w:tab w:leader="none" w:pos="170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parties’ reasons for the Transactions?</w:t>
      </w:r>
    </w:p>
    <w:p>
      <w:pPr>
        <w:spacing w:after="0" w:line="102" w:lineRule="exact"/>
        <w:rPr>
          <w:sz w:val="20"/>
          <w:szCs w:val="20"/>
          <w:color w:val="auto"/>
        </w:rPr>
      </w:pPr>
    </w:p>
    <w:p>
      <w:pPr>
        <w:ind w:left="1700" w:right="319" w:hanging="345"/>
        <w:spacing w:after="0" w:line="268" w:lineRule="auto"/>
        <w:tabs>
          <w:tab w:leader="none" w:pos="17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Gentherm</w:t>
      </w:r>
      <w:r>
        <w:rPr>
          <w:rFonts w:ascii="Times New Roman" w:cs="Times New Roman" w:eastAsia="Times New Roman" w:hAnsi="Times New Roman"/>
          <w:sz w:val="14"/>
          <w:szCs w:val="14"/>
          <w:color w:val="auto"/>
        </w:rPr>
        <w:t>: In reaching a decision to proceed with the Transactions, the Gentherm Board considered a number of factors and risks associated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Transactions, as described in the section entitled “The Transactions-Gentherm’s Reasons for the Merger; Recommendation of Gentherm’s Board of Directors.”</w:t>
      </w:r>
    </w:p>
    <w:p>
      <w:pPr>
        <w:spacing w:after="0" w:line="49" w:lineRule="exact"/>
        <w:rPr>
          <w:rFonts w:ascii="Times New Roman" w:cs="Times New Roman" w:eastAsia="Times New Roman" w:hAnsi="Times New Roman"/>
          <w:sz w:val="14"/>
          <w:szCs w:val="14"/>
          <w:color w:val="auto"/>
        </w:rPr>
      </w:pPr>
    </w:p>
    <w:p>
      <w:pPr>
        <w:ind w:left="1700" w:right="379"/>
        <w:spacing w:after="0" w:line="3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i w:val="1"/>
          <w:iCs w:val="1"/>
          <w:color w:val="auto"/>
        </w:rPr>
        <w:t>Modine</w:t>
      </w:r>
      <w:r>
        <w:rPr>
          <w:rFonts w:ascii="Times New Roman" w:cs="Times New Roman" w:eastAsia="Times New Roman" w:hAnsi="Times New Roman"/>
          <w:sz w:val="13"/>
          <w:szCs w:val="13"/>
          <w:color w:val="auto"/>
        </w:rPr>
        <w:t>: In reaching a decision to proceed with the Transactions, the Modine Board considered a number of factors and risks associated with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Transactions, as described in the section entitled “The Transactions-Modine’s Reasons for the Merger; Recommendation of Modine’s Board.”</w:t>
      </w:r>
    </w:p>
    <w:p>
      <w:pPr>
        <w:spacing w:after="0" w:line="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hanging="345"/>
        <w:spacing w:after="0"/>
        <w:tabs>
          <w:tab w:leader="none" w:pos="170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Why did the parties decide to structure the Transactions as a Reverse Morris Trust?</w:t>
      </w:r>
    </w:p>
    <w:p>
      <w:pPr>
        <w:spacing w:after="0" w:line="104" w:lineRule="exact"/>
        <w:rPr>
          <w:sz w:val="20"/>
          <w:szCs w:val="20"/>
          <w:color w:val="auto"/>
        </w:rPr>
      </w:pPr>
    </w:p>
    <w:p>
      <w:pPr>
        <w:ind w:left="1700" w:right="319" w:hanging="345"/>
        <w:spacing w:after="0" w:line="255" w:lineRule="auto"/>
        <w:tabs>
          <w:tab w:leader="none" w:pos="17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determined to proceed with the Reverse Morris Trust structure for the Transactions because, among other things, it offers a tax-efficient method of separating the Performance Technologies Business from Modine that is not provided by other structures, thereby making the Reverse Morris Trust structure economically more appealing than alternative transaction structures. Further, the parties determined that a Reverse Morris Trust transaction that counts Overlap Shares for purposes of Section 355(e) of the Code and determining how many shares would be received in the Merger by the former shareholders of SpinCo Common Stock immediately prior to the Effective Time, was preferable because it is expected to permit Gentherm to issue fewer shares of its common stock in the Merger. For more information about Gentherm and Modine’s reasons for the Transactions, see the section entitled “The Transactions-Gentherm’s Reasons for the Merger; Recommendation of Gentherm’s Board of Directors” and “The Transactions-Modine’s Reasons for the Merger; Recommendation of Modine’s Board.”</w:t>
      </w:r>
    </w:p>
    <w:p>
      <w:pPr>
        <w:spacing w:after="0" w:line="259" w:lineRule="exact"/>
        <w:rPr>
          <w:sz w:val="20"/>
          <w:szCs w:val="20"/>
          <w:color w:val="auto"/>
        </w:rPr>
      </w:pPr>
    </w:p>
    <w:p>
      <w:pPr>
        <w:ind w:left="1700" w:hanging="345"/>
        <w:spacing w:after="0"/>
        <w:tabs>
          <w:tab w:leader="none" w:pos="1700"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a Reverse Morris Trust?</w:t>
      </w:r>
    </w:p>
    <w:p>
      <w:pPr>
        <w:spacing w:after="0" w:line="104" w:lineRule="exact"/>
        <w:rPr>
          <w:sz w:val="20"/>
          <w:szCs w:val="20"/>
          <w:color w:val="auto"/>
        </w:rPr>
      </w:pPr>
    </w:p>
    <w:p>
      <w:pPr>
        <w:ind w:left="1700" w:right="259" w:hanging="345"/>
        <w:spacing w:after="0" w:line="256" w:lineRule="auto"/>
        <w:tabs>
          <w:tab w:leader="none" w:pos="17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Reverse Morris Trust transaction structure allows a parent company (in this case, Modine) to divest a subsidiary (in this case, SpinCo) in a tax-efficient manner. The first step of such a transaction is a distribution (a “spin-off”) of the subsidiary’s stock to the parent company stockholders in a transaction that is generally tax-free under Section 355 of the Code. The distributed subsidiary then merges with an acquiring third party (in this case, Gentherm) in a reorganization that is generally tax-free under Section 368 of the Code. Such a transaction can qualify as generally tax-free for U.S. federal income tax purposes for the parent company, its stockholders and the stockholders of the acquiring third party if the transaction structure meets all applicable requirements, including that the parent company stockholders own more than 50% of the stock of the combined entity immediately after the merger.</w:t>
      </w:r>
    </w:p>
    <w:p>
      <w:pPr>
        <w:spacing w:after="0" w:line="257" w:lineRule="exact"/>
        <w:rPr>
          <w:sz w:val="20"/>
          <w:szCs w:val="20"/>
          <w:color w:val="auto"/>
        </w:rPr>
      </w:pPr>
    </w:p>
    <w:p>
      <w:pPr>
        <w:ind w:left="1700" w:hanging="345"/>
        <w:spacing w:after="0"/>
        <w:tabs>
          <w:tab w:leader="none" w:pos="1700"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Gentherm shareholders receive in the Merger?</w:t>
      </w:r>
    </w:p>
    <w:p>
      <w:pPr>
        <w:spacing w:after="0" w:line="104" w:lineRule="exact"/>
        <w:rPr>
          <w:sz w:val="20"/>
          <w:szCs w:val="20"/>
          <w:color w:val="auto"/>
        </w:rPr>
      </w:pPr>
    </w:p>
    <w:p>
      <w:pPr>
        <w:ind w:left="1700" w:right="219" w:hanging="345"/>
        <w:spacing w:after="0" w:line="257" w:lineRule="auto"/>
        <w:tabs>
          <w:tab w:leader="none" w:pos="17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the consummation of the Merger, Gentherm shareholders will continue to own shares in Gentherm, which will then include the Performance Technologies Business. In the event that additional shares of Gentherm Common Stock are required to be issued to the former shareholders of SpinCo Common Stock as a result of the Exchange Ratio adjustment mechanism and the Aggregate Adjustment Amount exceeds the Initial Adjustment Cap, the Merger Agreement provides that, prior to the Closing, the Gentherm Board will declare the Gentherm Special Dividend. See the section entitled “The Transactions-Calculation and Adjustments to the Exchange Ratio; Amount of Gentherm Special Dividend” and “Risk Factors.”</w:t>
      </w:r>
    </w:p>
    <w:p>
      <w:pPr>
        <w:spacing w:after="0" w:line="257" w:lineRule="exact"/>
        <w:rPr>
          <w:sz w:val="20"/>
          <w:szCs w:val="20"/>
          <w:color w:val="auto"/>
        </w:rPr>
      </w:pPr>
    </w:p>
    <w:p>
      <w:pPr>
        <w:ind w:left="1700" w:hanging="345"/>
        <w:spacing w:after="0"/>
        <w:tabs>
          <w:tab w:leader="none" w:pos="1700"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Modine shareholders receive in the Transactions?</w:t>
      </w:r>
    </w:p>
    <w:p>
      <w:pPr>
        <w:spacing w:after="0" w:line="104" w:lineRule="exact"/>
        <w:rPr>
          <w:sz w:val="20"/>
          <w:szCs w:val="20"/>
          <w:color w:val="auto"/>
        </w:rPr>
      </w:pPr>
    </w:p>
    <w:p>
      <w:pPr>
        <w:ind w:left="1700" w:right="219" w:hanging="345"/>
        <w:spacing w:after="0" w:line="254" w:lineRule="auto"/>
        <w:tabs>
          <w:tab w:leader="none" w:pos="1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Merger, each Modine shareholder will ultimately receive shares of Gentherm Common Stock and, if applicable, cash in lieu of fractional shares of Gentherm Common Stock. Modine shareholders will not be required to pay for the shares of SpinCo Common Stock distributed in the Distribution or the shares of Gentherm Common Stock issued in the Merger. Modine shareholders will receive cash in lieu of any fractional shares of Gentherm Common Stock to which such shareholders would otherwise be entitled. The shares of SpinCo Common Stock issued in the Distribution will be converted into the right to receive approximately 40% of the outstanding shares of Gentherm Common Stock on a fully diluted basis, without taking into account any overlapping shareholder ownership, immediately following the consummation of the Merger, depending on the Exchange Ratio and any adjustments thereto as provided in the Merger Agreement. Modine shareholders who receive Gentherm Common Stock in the Merger will not be entitled to the Gentherm Special Dividend since the record date for the Gentherm Special Dividend will be prior to the Effective Time. See the section entitled “The Transactions-Calculation and Adjustments to the Exchange Ratio; Amount of Gentherm Special Dividend.”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right="379" w:hanging="345"/>
        <w:spacing w:after="0" w:line="326" w:lineRule="auto"/>
        <w:tabs>
          <w:tab w:leader="none" w:pos="1700" w:val="left"/>
        </w:tabs>
        <w:numPr>
          <w:ilvl w:val="0"/>
          <w:numId w:val="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Will Modine shareholders who sell their shares of Modine Common Stock shortly before the completion of the Distribution and Merger still be entitled to receive shares of Gentherm Common Stock with respect to the shares of Modine Common Stock that were sold?</w:t>
      </w:r>
    </w:p>
    <w:p>
      <w:pPr>
        <w:spacing w:after="0" w:line="27" w:lineRule="exact"/>
        <w:rPr>
          <w:sz w:val="20"/>
          <w:szCs w:val="20"/>
          <w:color w:val="auto"/>
        </w:rPr>
      </w:pPr>
    </w:p>
    <w:p>
      <w:pPr>
        <w:ind w:left="1700" w:hanging="345"/>
        <w:spacing w:after="0"/>
        <w:tabs>
          <w:tab w:leader="none" w:pos="17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Modine Common Stock is currently listed on the NYSE under the ticker symbol “MOD.” It is currently expected that beginning not earlier</w:t>
      </w:r>
    </w:p>
    <w:p>
      <w:pPr>
        <w:spacing w:after="0" w:line="22" w:lineRule="exact"/>
        <w:rPr>
          <w:sz w:val="20"/>
          <w:szCs w:val="20"/>
          <w:color w:val="auto"/>
        </w:rPr>
      </w:pPr>
    </w:p>
    <w:p>
      <w:pPr>
        <w:ind w:left="1700" w:right="359"/>
        <w:spacing w:after="0" w:line="261" w:lineRule="auto"/>
        <w:rPr>
          <w:sz w:val="20"/>
          <w:szCs w:val="20"/>
          <w:color w:val="auto"/>
        </w:rPr>
      </w:pPr>
      <w:r>
        <w:rPr>
          <w:rFonts w:ascii="Times New Roman" w:cs="Times New Roman" w:eastAsia="Times New Roman" w:hAnsi="Times New Roman"/>
          <w:sz w:val="14"/>
          <w:szCs w:val="14"/>
          <w:color w:val="auto"/>
        </w:rPr>
        <w:t>than        business days before the Distribution Record Date to be established for the Distribution, and continuing through the Closing, there will be two markets in Modine Common Stock on the NYSE: a “regular way” market and an “ex-distribution” market.</w:t>
      </w:r>
    </w:p>
    <w:p>
      <w:pPr>
        <w:spacing w:after="0" w:line="56" w:lineRule="exact"/>
        <w:rPr>
          <w:sz w:val="20"/>
          <w:szCs w:val="20"/>
          <w:color w:val="auto"/>
        </w:rPr>
      </w:pPr>
    </w:p>
    <w:p>
      <w:pPr>
        <w:ind w:left="1700" w:right="239"/>
        <w:spacing w:after="0" w:line="258" w:lineRule="auto"/>
        <w:rPr>
          <w:sz w:val="20"/>
          <w:szCs w:val="20"/>
          <w:color w:val="auto"/>
        </w:rPr>
      </w:pPr>
      <w:r>
        <w:rPr>
          <w:rFonts w:ascii="Times New Roman" w:cs="Times New Roman" w:eastAsia="Times New Roman" w:hAnsi="Times New Roman"/>
          <w:sz w:val="14"/>
          <w:szCs w:val="14"/>
          <w:color w:val="auto"/>
        </w:rPr>
        <w:t>If a Modine shareholder sells Modine Common Stock in the “regular way” market under the symbol “MOD” during this time period, such Modine shareholder will sell both their Modine Common Stock and the right to receive shares of SpinCo Common Stock in the Distribution that will be converted into the right to receive shares of Gentherm Common Stock, and cash in lieu of fractional shares (if any), at the Closing. Modine shareholders should consult their brokers before selling their Modine Common Stock in the “regular way” market during this time period to be sure they understand the effect of the NYSE “due-bill” procedures.</w:t>
      </w:r>
    </w:p>
    <w:p>
      <w:pPr>
        <w:spacing w:after="0" w:line="60" w:lineRule="exact"/>
        <w:rPr>
          <w:sz w:val="20"/>
          <w:szCs w:val="20"/>
          <w:color w:val="auto"/>
        </w:rPr>
      </w:pPr>
    </w:p>
    <w:p>
      <w:pPr>
        <w:ind w:left="1700" w:right="299"/>
        <w:spacing w:after="0" w:line="256" w:lineRule="auto"/>
        <w:rPr>
          <w:sz w:val="20"/>
          <w:szCs w:val="20"/>
          <w:color w:val="auto"/>
        </w:rPr>
      </w:pPr>
      <w:r>
        <w:rPr>
          <w:rFonts w:ascii="Times New Roman" w:cs="Times New Roman" w:eastAsia="Times New Roman" w:hAnsi="Times New Roman"/>
          <w:sz w:val="14"/>
          <w:szCs w:val="14"/>
          <w:color w:val="auto"/>
        </w:rPr>
        <w:t>If a Modine shareholder sells Modine Common Stock in the “ex-distribution” market during this time period, such Modine shareholder will be selling only his or her Modine Common Stock and will retain the right to receive shares of SpinCo Common Stock in the Distribution that will be converted into the right to receive shares of Gentherm Common Stock, and cash in lieu of fractional shares (if any), at the Closing. After the Closing, the Modine Common Stock will no longer trade in the “ex-distribution” market, and any shares of Modine Common Stock that is sold in the “regular way” market will no longer reflect the right to receive shares of SpinCo Common Stock that will be converted into shares of Gentherm Common Stock, and cash in lieu of fractional shares (if any), at the Closing. See the section entitled “The Transactions-Trading Markets.”</w:t>
      </w:r>
    </w:p>
    <w:p>
      <w:pPr>
        <w:spacing w:after="0" w:line="257" w:lineRule="exact"/>
        <w:rPr>
          <w:sz w:val="20"/>
          <w:szCs w:val="20"/>
          <w:color w:val="auto"/>
        </w:rPr>
      </w:pPr>
    </w:p>
    <w:p>
      <w:pPr>
        <w:ind w:left="1700" w:hanging="345"/>
        <w:spacing w:after="0"/>
        <w:tabs>
          <w:tab w:leader="none" w:pos="1700" w:val="left"/>
        </w:tabs>
        <w:numPr>
          <w:ilvl w:val="0"/>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Following the Transaction, in what ways will being a shareholder of both Modine and Gentherm differ from being a Modine shareholder?</w:t>
      </w:r>
    </w:p>
    <w:p>
      <w:pPr>
        <w:spacing w:after="0" w:line="115" w:lineRule="exact"/>
        <w:rPr>
          <w:sz w:val="20"/>
          <w:szCs w:val="20"/>
          <w:color w:val="auto"/>
        </w:rPr>
      </w:pPr>
    </w:p>
    <w:p>
      <w:pPr>
        <w:ind w:left="1700" w:right="379" w:hanging="345"/>
        <w:spacing w:after="0" w:line="258" w:lineRule="auto"/>
        <w:tabs>
          <w:tab w:leader="none" w:pos="17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Transactions, Modine shareholders will continue to own all of their shares of Modine Common Stock. Their rights as Modine shareholders will not change, except that their shares of Modine Common Stock will represent an interest in Modine that no longer includes the Performance Technologies Business. Modine shareholders will also separately own shares of Gentherm Common Stock, which will include the Performance Technologies Business and the pre-Merger Gentherm business. The rights of Modine shareholders and Gentherm shareholders will be different. See the section entitled “Comparison of Shareholders’ Rights.”</w:t>
      </w:r>
    </w:p>
    <w:p>
      <w:pPr>
        <w:spacing w:after="0" w:line="258" w:lineRule="exact"/>
        <w:rPr>
          <w:sz w:val="20"/>
          <w:szCs w:val="20"/>
          <w:color w:val="auto"/>
        </w:rPr>
      </w:pPr>
    </w:p>
    <w:p>
      <w:pPr>
        <w:ind w:left="1700" w:hanging="345"/>
        <w:spacing w:after="0"/>
        <w:tabs>
          <w:tab w:leader="none" w:pos="170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the Separation, Distribution or Merger affect employees and former employees of Modine who hold Modine equity-based awards?</w:t>
      </w:r>
    </w:p>
    <w:p>
      <w:pPr>
        <w:spacing w:after="0" w:line="104" w:lineRule="exact"/>
        <w:rPr>
          <w:sz w:val="20"/>
          <w:szCs w:val="20"/>
          <w:color w:val="auto"/>
        </w:rPr>
      </w:pPr>
    </w:p>
    <w:p>
      <w:pPr>
        <w:ind w:left="1700" w:right="299" w:hanging="345"/>
        <w:spacing w:after="0" w:line="267" w:lineRule="auto"/>
        <w:tabs>
          <w:tab w:leader="none" w:pos="17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The Merger will affect the equity awards that may be settled in, or whose value is otherwise determined by reference to the value of, Modine Common Stock held by employees, former employees and non-employee directors of Modine who hold Modine equity-based awards. The treatment of such awards in connection with the Separation, Distribution and Merger is summarized below.</w:t>
      </w:r>
    </w:p>
    <w:p>
      <w:pPr>
        <w:spacing w:after="0" w:line="49" w:lineRule="exact"/>
        <w:rPr>
          <w:rFonts w:ascii="Times New Roman" w:cs="Times New Roman" w:eastAsia="Times New Roman" w:hAnsi="Times New Roman"/>
          <w:sz w:val="14"/>
          <w:szCs w:val="14"/>
          <w:color w:val="auto"/>
        </w:rPr>
      </w:pPr>
    </w:p>
    <w:p>
      <w:pPr>
        <w:ind w:left="1700" w:right="239"/>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Equity Awards Held by Individuals Other Than SpinCo Transferred Employees</w:t>
      </w:r>
      <w:r>
        <w:rPr>
          <w:rFonts w:ascii="Times New Roman" w:cs="Times New Roman" w:eastAsia="Times New Roman" w:hAnsi="Times New Roman"/>
          <w:sz w:val="14"/>
          <w:szCs w:val="14"/>
          <w:color w:val="auto"/>
        </w:rPr>
        <w:t>. The equity awards held by employees or former employees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Modine who are not SpinCo Transferred Employees or by non-employee directors of Modine will not be converted into or substituted with awards relating to Gentherm Common Stock. Instead, those awards will remain outstanding as awards in respect of shares of Modine Common Stock, subject to adjustment to reflect the Transactions in such manner as determined by the Modine Board or its compensation committee in its sole discretion and in accordance with the applicable Modine equity plans and agreements underlying such equity awards. The Transactions will not automatically result in the accelerated vesting of any of these awards.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right="2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Awards Held by SpinCo Transferred Employees. </w:t>
      </w:r>
      <w:r>
        <w:rPr>
          <w:rFonts w:ascii="Times New Roman" w:cs="Times New Roman" w:eastAsia="Times New Roman" w:hAnsi="Times New Roman"/>
          <w:sz w:val="14"/>
          <w:szCs w:val="14"/>
          <w:color w:val="auto"/>
        </w:rPr>
        <w:t>Pursuant to the Employee Matters Agreement, at the Effective Time, each outstanding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Modine Option Award, Modine RSU Award and Modine PS Award held by a SpinCo Transferred Employee will be converted into, or substituted with, a corresponding award with respect to Gentherm Common Stock, as follows:</w:t>
      </w:r>
    </w:p>
    <w:p>
      <w:pPr>
        <w:spacing w:after="0" w:line="60" w:lineRule="exact"/>
        <w:rPr>
          <w:sz w:val="20"/>
          <w:szCs w:val="20"/>
          <w:color w:val="auto"/>
        </w:rPr>
      </w:pPr>
    </w:p>
    <w:p>
      <w:pPr>
        <w:ind w:left="2120" w:right="299" w:hanging="345"/>
        <w:spacing w:after="0" w:line="273" w:lineRule="auto"/>
        <w:tabs>
          <w:tab w:leader="none" w:pos="212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Modine Option Award</w:t>
      </w:r>
      <w:r>
        <w:rPr>
          <w:rFonts w:ascii="Times New Roman" w:cs="Times New Roman" w:eastAsia="Times New Roman" w:hAnsi="Times New Roman"/>
          <w:sz w:val="13"/>
          <w:szCs w:val="13"/>
          <w:color w:val="auto"/>
        </w:rPr>
        <w:t>: Each outstanding Modine Option Award (whether vested or unvested) held by a SpinCo Transferred Employee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immediately prior to the Distribution Time will be converted, as of the Effective Time, into a Gentherm stock option award (“Gentherm Option Award”), subject to the same terms and conditions (including with respect to vesting and expiration) as were applicable to the Modine Option Awards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w:t>
      </w:r>
    </w:p>
    <w:p>
      <w:pPr>
        <w:spacing w:after="0" w:line="2" w:lineRule="exact"/>
        <w:rPr>
          <w:sz w:val="20"/>
          <w:szCs w:val="20"/>
          <w:color w:val="auto"/>
        </w:rPr>
      </w:pPr>
    </w:p>
    <w:p>
      <w:pPr>
        <w:ind w:left="2120" w:right="319"/>
        <w:spacing w:after="0" w:line="300" w:lineRule="auto"/>
        <w:rPr>
          <w:sz w:val="20"/>
          <w:szCs w:val="20"/>
          <w:color w:val="auto"/>
        </w:rPr>
      </w:pPr>
      <w:r>
        <w:rPr>
          <w:rFonts w:ascii="Times New Roman" w:cs="Times New Roman" w:eastAsia="Times New Roman" w:hAnsi="Times New Roman"/>
          <w:sz w:val="13"/>
          <w:szCs w:val="13"/>
          <w:color w:val="auto"/>
        </w:rPr>
        <w:t>per-share exercise price of the corresponding Modine Option Award immediately prior to the Distribution Time, divided by (y) the Equity Award Exchange Ratio, in each case, determined in a manner consistent with the requirements of Sections 424 and 409A of the Code.</w:t>
      </w:r>
    </w:p>
    <w:p>
      <w:pPr>
        <w:spacing w:after="0" w:line="41" w:lineRule="exact"/>
        <w:rPr>
          <w:sz w:val="20"/>
          <w:szCs w:val="20"/>
          <w:color w:val="auto"/>
        </w:rPr>
      </w:pPr>
    </w:p>
    <w:p>
      <w:pPr>
        <w:ind w:left="2120" w:right="259" w:hanging="345"/>
        <w:spacing w:after="0" w:line="256" w:lineRule="auto"/>
        <w:tabs>
          <w:tab w:leader="none" w:pos="21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Modine RSU Award</w:t>
      </w:r>
      <w:r>
        <w:rPr>
          <w:rFonts w:ascii="Times New Roman" w:cs="Times New Roman" w:eastAsia="Times New Roman" w:hAnsi="Times New Roman"/>
          <w:sz w:val="14"/>
          <w:szCs w:val="14"/>
          <w:color w:val="auto"/>
        </w:rPr>
        <w:t>: Each Modine RSU Award held by a SpinCo Transferred Employee immediately prior to the Distribution Time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converted, as of the Effective Time, into a Gentherm restricted stock unit award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w:t>
      </w:r>
    </w:p>
    <w:p>
      <w:pPr>
        <w:spacing w:after="0" w:line="69" w:lineRule="exact"/>
        <w:rPr>
          <w:rFonts w:ascii="Times New Roman" w:cs="Times New Roman" w:eastAsia="Times New Roman" w:hAnsi="Times New Roman"/>
          <w:sz w:val="14"/>
          <w:szCs w:val="14"/>
          <w:color w:val="auto"/>
        </w:rPr>
      </w:pPr>
    </w:p>
    <w:p>
      <w:pPr>
        <w:ind w:left="2120" w:right="359" w:hanging="345"/>
        <w:spacing w:after="0" w:line="255" w:lineRule="auto"/>
        <w:tabs>
          <w:tab w:leader="none" w:pos="21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Modine PS Award</w:t>
      </w:r>
      <w:r>
        <w:rPr>
          <w:rFonts w:ascii="Times New Roman" w:cs="Times New Roman" w:eastAsia="Times New Roman" w:hAnsi="Times New Roman"/>
          <w:sz w:val="14"/>
          <w:szCs w:val="14"/>
          <w:color w:val="auto"/>
        </w:rPr>
        <w:t>: Each Modine PS Award held by a SpinCo Transferred Employee immediately prior to the Distribution Time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converted, as of the Effective Time, into a Gentherm RSU Award, subject to the same terms and conditions after the Effective Time as were applicable to such Modine PS Award immediately prior to the Distribution Time (including terms and conditions with respect to settlement and vesting, except that performance conditions will no longer apply).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w:t>
      </w:r>
    </w:p>
    <w:p>
      <w:pPr>
        <w:spacing w:after="0" w:line="63" w:lineRule="exact"/>
        <w:rPr>
          <w:sz w:val="20"/>
          <w:szCs w:val="20"/>
          <w:color w:val="auto"/>
        </w:rPr>
      </w:pPr>
    </w:p>
    <w:p>
      <w:pPr>
        <w:ind w:left="1700" w:right="239"/>
        <w:spacing w:after="0" w:line="257" w:lineRule="auto"/>
        <w:rPr>
          <w:sz w:val="20"/>
          <w:szCs w:val="20"/>
          <w:color w:val="auto"/>
        </w:rPr>
      </w:pPr>
      <w:r>
        <w:rPr>
          <w:rFonts w:ascii="Times New Roman" w:cs="Times New Roman" w:eastAsia="Times New Roman" w:hAnsi="Times New Roman"/>
          <w:sz w:val="14"/>
          <w:szCs w:val="14"/>
          <w:color w:val="auto"/>
        </w:rPr>
        <w:t>The Employee Matters Agreement provides that, with respect to each SpinCo Transferred Employee who received a Modine PS Award in 2025 (or would have been eligible to receive such award if such SpinCo Transferred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Transferred Employee in connection with the conversion of their outstanding Modine Awards that would be eligible to vest in the 12 month period following such termination will vest and, for Gentherm Option Awards, become exercisable, as of such termination.</w:t>
      </w:r>
    </w:p>
    <w:p>
      <w:pPr>
        <w:spacing w:after="0" w:line="59" w:lineRule="exact"/>
        <w:rPr>
          <w:sz w:val="20"/>
          <w:szCs w:val="20"/>
          <w:color w:val="auto"/>
        </w:rPr>
      </w:pPr>
    </w:p>
    <w:p>
      <w:pPr>
        <w:ind w:left="1700" w:right="479"/>
        <w:spacing w:after="0" w:line="283" w:lineRule="auto"/>
        <w:rPr>
          <w:sz w:val="20"/>
          <w:szCs w:val="20"/>
          <w:color w:val="auto"/>
        </w:rPr>
      </w:pPr>
      <w:r>
        <w:rPr>
          <w:rFonts w:ascii="Times New Roman" w:cs="Times New Roman" w:eastAsia="Times New Roman" w:hAnsi="Times New Roman"/>
          <w:sz w:val="14"/>
          <w:szCs w:val="14"/>
          <w:color w:val="auto"/>
        </w:rPr>
        <w:t>Any shares of Modine Common Stock held by current or former Modine employees as a result of the previous settlement or exercise of vested awards will be treated the same as any other holders of shares of</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739"/>
        <w:spacing w:after="0" w:line="283" w:lineRule="auto"/>
        <w:rPr>
          <w:sz w:val="20"/>
          <w:szCs w:val="20"/>
          <w:color w:val="auto"/>
        </w:rPr>
      </w:pPr>
      <w:r>
        <w:rPr>
          <w:rFonts w:ascii="Times New Roman" w:cs="Times New Roman" w:eastAsia="Times New Roman" w:hAnsi="Times New Roman"/>
          <w:sz w:val="14"/>
          <w:szCs w:val="14"/>
          <w:color w:val="auto"/>
        </w:rPr>
        <w:t>Modine Common Stock. See the disclosure under the question “What will Modine shareholders receive in the transaction?” for additional information.</w:t>
      </w:r>
    </w:p>
    <w:p>
      <w:pPr>
        <w:spacing w:after="0" w:line="239" w:lineRule="exact"/>
        <w:rPr>
          <w:sz w:val="20"/>
          <w:szCs w:val="20"/>
          <w:color w:val="auto"/>
        </w:rPr>
      </w:pPr>
    </w:p>
    <w:p>
      <w:pPr>
        <w:ind w:left="1700" w:hanging="345"/>
        <w:spacing w:after="0"/>
        <w:tabs>
          <w:tab w:leader="none" w:pos="1700"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Has Modine set a record date for the Distribution?</w:t>
      </w:r>
    </w:p>
    <w:p>
      <w:pPr>
        <w:spacing w:after="0" w:line="104" w:lineRule="exact"/>
        <w:rPr>
          <w:sz w:val="20"/>
          <w:szCs w:val="20"/>
          <w:color w:val="auto"/>
        </w:rPr>
      </w:pPr>
    </w:p>
    <w:p>
      <w:pPr>
        <w:ind w:left="1700" w:right="479" w:hanging="345"/>
        <w:spacing w:after="0" w:line="283" w:lineRule="auto"/>
        <w:tabs>
          <w:tab w:leader="none" w:pos="17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Modine will publicly announce the Distribution Record Date for the Distribution when the Distribution Record Date has been determined. This announcement will be made prior to the completion of the Distribution and the Merger.</w:t>
      </w:r>
    </w:p>
    <w:p>
      <w:pPr>
        <w:spacing w:after="0" w:line="239" w:lineRule="exact"/>
        <w:rPr>
          <w:sz w:val="20"/>
          <w:szCs w:val="20"/>
          <w:color w:val="auto"/>
        </w:rPr>
      </w:pPr>
    </w:p>
    <w:p>
      <w:pPr>
        <w:ind w:left="1700" w:right="479" w:hanging="345"/>
        <w:spacing w:after="0" w:line="286" w:lineRule="auto"/>
        <w:tabs>
          <w:tab w:leader="none" w:pos="1700"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U.S. federal income tax considerations for Gentherm shareholders and Modine shareholders resulting from the Distribution and Merger?</w:t>
      </w:r>
    </w:p>
    <w:p>
      <w:pPr>
        <w:spacing w:after="0" w:line="49" w:lineRule="exact"/>
        <w:rPr>
          <w:sz w:val="20"/>
          <w:szCs w:val="20"/>
          <w:color w:val="auto"/>
        </w:rPr>
      </w:pPr>
    </w:p>
    <w:p>
      <w:pPr>
        <w:ind w:left="1700" w:right="239" w:hanging="345"/>
        <w:spacing w:after="0" w:line="253" w:lineRule="auto"/>
        <w:tabs>
          <w:tab w:leader="none" w:pos="17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Modine shareholders who are U.S. Holders (as defined in “Material U.S. Federal Income Tax Considerations of the Distribution and the Merger”), assuming the Contribution and Distribution qualify as a reorganization under Sections 355 and 368(a)(1)(D) of the Code, no gain or loss will be recognized upon receipt of SpinCo Common Stock in the Distribution, and the aggregate tax basis in their Modine Common Stock and SpinCo Common Stock will be the same as their Modine Common Stock basis before the Distribution, allocated proportionately based on relative fair market values. The holding period for SpinCo Common Stock will include the holding period of the Modine Common Stock. In the Merger, assuming it qualifies as a reorganization under Section 368(a) of the Code, U.S. Holders of SpinCo Common Stock will not recognize gain or loss upon exchanging SpinCo Common Stock for Gentherm Common Stock, except for any gain or loss on cash received in lieu of a fractional share, which generally will be treated as capital gain or loss. The tax basis in the Gentherm Common Stock received will equal the basis in the surrendered SpinCo Common Stock, and the holding period will include the holding period of the SpinCo Common Stock. Gentherm shareholders will not receive any stock or other consideration in respect of their shares of Gentherm Common Stock (other than any Gentherm Special Dividend, as described in “The Transactions-Calculation and Adjustments to the Exchange Ratio; Amount of Gentherm Special Dividend-Overview”), and accordingly, are not expected to recognize gain or loss in respect of their shares of Gentherm Common Stock. The receipt of any Gentherm Special Dividend may result in taxable income to Gentherm shareholders. Payments for fractional shares and for any Gentherm Special Dividend may be subject to information reporting and backup withholding unless exemptions apply.</w:t>
      </w:r>
    </w:p>
    <w:p>
      <w:pPr>
        <w:spacing w:after="0" w:line="62"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see the section entitled “Material U.S. Federal Income Tax Considerations of the Distribution and the Merger.”</w:t>
      </w:r>
    </w:p>
    <w:p>
      <w:pPr>
        <w:spacing w:after="0" w:line="289" w:lineRule="exact"/>
        <w:rPr>
          <w:sz w:val="20"/>
          <w:szCs w:val="20"/>
          <w:color w:val="auto"/>
        </w:rPr>
      </w:pPr>
    </w:p>
    <w:p>
      <w:pPr>
        <w:ind w:left="1700" w:hanging="345"/>
        <w:spacing w:after="0"/>
        <w:tabs>
          <w:tab w:leader="none" w:pos="1700"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there risks associated with the pendency of the Merger and the Closing?</w:t>
      </w:r>
    </w:p>
    <w:p>
      <w:pPr>
        <w:spacing w:after="0" w:line="104" w:lineRule="exact"/>
        <w:rPr>
          <w:sz w:val="20"/>
          <w:szCs w:val="20"/>
          <w:color w:val="auto"/>
        </w:rPr>
      </w:pPr>
    </w:p>
    <w:p>
      <w:pPr>
        <w:ind w:left="1700" w:right="419" w:hanging="345"/>
        <w:spacing w:after="0" w:line="261" w:lineRule="auto"/>
        <w:tabs>
          <w:tab w:leader="none" w:pos="17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Gentherm may not realize the expected benefits of the Merger because of the risks and uncertainties discussed in the section entitled “Risk Factors” and the section entitled “Cautionary Statement Concerning Forward-Looking Statements.” Those risks include, among others, risks relating to the uncertainty that the Merger will close and the uncertainty that Gentherm will be able to integrate the Performance Technologies Business successfully.</w:t>
      </w:r>
    </w:p>
    <w:p>
      <w:pPr>
        <w:spacing w:after="0" w:line="254" w:lineRule="exact"/>
        <w:rPr>
          <w:sz w:val="20"/>
          <w:szCs w:val="20"/>
          <w:color w:val="auto"/>
        </w:rPr>
      </w:pPr>
    </w:p>
    <w:p>
      <w:pPr>
        <w:ind w:left="1700" w:right="399" w:hanging="345"/>
        <w:spacing w:after="0" w:line="326" w:lineRule="auto"/>
        <w:tabs>
          <w:tab w:leader="none" w:pos="1700" w:val="left"/>
        </w:tabs>
        <w:numPr>
          <w:ilvl w:val="0"/>
          <w:numId w:val="7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Will the instruments that govern the rights of Gentherm shareholders and Modine shareholders with respect to their shares of the combined company’s common stock after the Merger be different from those that govern the rights of current Gentherm shareholders?</w:t>
      </w:r>
    </w:p>
    <w:p>
      <w:pPr>
        <w:spacing w:after="0" w:line="27" w:lineRule="exact"/>
        <w:rPr>
          <w:sz w:val="20"/>
          <w:szCs w:val="20"/>
          <w:color w:val="auto"/>
        </w:rPr>
      </w:pPr>
    </w:p>
    <w:p>
      <w:pPr>
        <w:ind w:left="1700" w:right="579" w:hanging="345"/>
        <w:spacing w:after="0" w:line="283" w:lineRule="auto"/>
        <w:tabs>
          <w:tab w:leader="none" w:pos="17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The rights of the shareholders of the combined company with respect to their shares of the combined company’s common stock after the Merger will continue to be governed by applicable laws and Gentherm’s then existing governing documents.</w:t>
      </w:r>
    </w:p>
    <w:p>
      <w:pPr>
        <w:spacing w:after="0" w:line="239" w:lineRule="exact"/>
        <w:rPr>
          <w:sz w:val="20"/>
          <w:szCs w:val="20"/>
          <w:color w:val="auto"/>
        </w:rPr>
      </w:pPr>
    </w:p>
    <w:p>
      <w:pPr>
        <w:ind w:left="1700" w:hanging="345"/>
        <w:spacing w:after="0"/>
        <w:tabs>
          <w:tab w:leader="none" w:pos="170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will serve on the Gentherm Board following completion of the Merger?</w:t>
      </w:r>
    </w:p>
    <w:p>
      <w:pPr>
        <w:spacing w:after="0" w:line="104" w:lineRule="exact"/>
        <w:rPr>
          <w:sz w:val="20"/>
          <w:szCs w:val="20"/>
          <w:color w:val="auto"/>
        </w:rPr>
      </w:pPr>
    </w:p>
    <w:p>
      <w:pPr>
        <w:ind w:left="1700" w:right="759" w:hanging="345"/>
        <w:spacing w:after="0" w:line="283" w:lineRule="auto"/>
        <w:tabs>
          <w:tab w:leader="none" w:pos="17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the Merger, the Gentherm Board will consist of eleven members, including nine directors who are members of the Gentherm Board then in-office immediately prior to the Merger, and two</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83" w:lineRule="auto"/>
        <w:rPr>
          <w:sz w:val="20"/>
          <w:szCs w:val="20"/>
          <w:color w:val="auto"/>
        </w:rPr>
      </w:pPr>
      <w:r>
        <w:rPr>
          <w:rFonts w:ascii="Times New Roman" w:cs="Times New Roman" w:eastAsia="Times New Roman" w:hAnsi="Times New Roman"/>
          <w:sz w:val="14"/>
          <w:szCs w:val="14"/>
          <w:color w:val="auto"/>
        </w:rPr>
        <w:t>directors selected by Modine after good faith consultation with Gentherm. Ron Hundzinski is expected to continue as chair of the Gentherm Board following the Merger.</w:t>
      </w:r>
    </w:p>
    <w:p>
      <w:pPr>
        <w:spacing w:after="0" w:line="239" w:lineRule="exact"/>
        <w:rPr>
          <w:sz w:val="20"/>
          <w:szCs w:val="20"/>
          <w:color w:val="auto"/>
        </w:rPr>
      </w:pPr>
    </w:p>
    <w:p>
      <w:pPr>
        <w:ind w:left="1700" w:hanging="345"/>
        <w:spacing w:after="0"/>
        <w:tabs>
          <w:tab w:leader="none" w:pos="1700"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will manage the business of the combined company after the Transactions?</w:t>
      </w:r>
    </w:p>
    <w:p>
      <w:pPr>
        <w:spacing w:after="0" w:line="104" w:lineRule="exact"/>
        <w:rPr>
          <w:sz w:val="20"/>
          <w:szCs w:val="20"/>
          <w:color w:val="auto"/>
        </w:rPr>
      </w:pPr>
    </w:p>
    <w:p>
      <w:pPr>
        <w:ind w:left="1700" w:hanging="345"/>
        <w:spacing w:after="0"/>
        <w:tabs>
          <w:tab w:leader="none" w:pos="17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Merger, management of the combined company is expected to be led by Gentherm’s existing Chief Executive Officer, Bill Presley.</w:t>
      </w:r>
    </w:p>
    <w:p>
      <w:pPr>
        <w:spacing w:after="0" w:line="91" w:lineRule="exact"/>
        <w:rPr>
          <w:rFonts w:ascii="Times New Roman" w:cs="Times New Roman" w:eastAsia="Times New Roman" w:hAnsi="Times New Roman"/>
          <w:sz w:val="14"/>
          <w:szCs w:val="14"/>
          <w:color w:val="auto"/>
        </w:rPr>
      </w:pPr>
    </w:p>
    <w:p>
      <w:pPr>
        <w:ind w:left="1700" w:right="639"/>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more information about the expected executive officers, see the section entitled “Information About Gentherm-Directors and Executive Officers of Gentherm.”</w:t>
      </w:r>
    </w:p>
    <w:p>
      <w:pPr>
        <w:spacing w:after="0" w:line="239" w:lineRule="exact"/>
        <w:rPr>
          <w:sz w:val="20"/>
          <w:szCs w:val="20"/>
          <w:color w:val="auto"/>
        </w:rPr>
      </w:pPr>
    </w:p>
    <w:p>
      <w:pPr>
        <w:ind w:left="1700" w:hanging="345"/>
        <w:spacing w:after="0"/>
        <w:tabs>
          <w:tab w:leader="none" w:pos="1700"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Does Gentherm have to pay anything to Modine if the Merger Agreement is terminated?</w:t>
      </w:r>
    </w:p>
    <w:p>
      <w:pPr>
        <w:spacing w:after="0" w:line="104" w:lineRule="exact"/>
        <w:rPr>
          <w:sz w:val="20"/>
          <w:szCs w:val="20"/>
          <w:color w:val="auto"/>
        </w:rPr>
      </w:pPr>
    </w:p>
    <w:p>
      <w:pPr>
        <w:ind w:left="1700" w:hanging="345"/>
        <w:spacing w:after="0"/>
        <w:tabs>
          <w:tab w:leader="none" w:pos="17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Depending on the reasons for termination of the Merger Agreement, Gentherm may be required to pay Modine a termination fee equal to</w:t>
      </w:r>
    </w:p>
    <w:p>
      <w:pPr>
        <w:spacing w:after="0" w:line="21" w:lineRule="exact"/>
        <w:rPr>
          <w:rFonts w:ascii="Times New Roman" w:cs="Times New Roman" w:eastAsia="Times New Roman" w:hAnsi="Times New Roman"/>
          <w:sz w:val="14"/>
          <w:szCs w:val="14"/>
          <w:color w:val="auto"/>
        </w:rPr>
      </w:pPr>
    </w:p>
    <w:p>
      <w:pPr>
        <w:ind w:left="1700" w:right="25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$45.0 million in specified limited circumstances. Modine is not required to pay a termination fee under the Merger Agreement. For a discussion of the circumstances under which the Termination Fee would be payable, see the section entitled “The Transaction Agreements-The Merger Agreement.”</w:t>
      </w:r>
    </w:p>
    <w:p>
      <w:pPr>
        <w:spacing w:after="0" w:line="257" w:lineRule="exact"/>
        <w:rPr>
          <w:sz w:val="20"/>
          <w:szCs w:val="20"/>
          <w:color w:val="auto"/>
        </w:rPr>
      </w:pPr>
    </w:p>
    <w:p>
      <w:pPr>
        <w:ind w:left="1700" w:hanging="345"/>
        <w:spacing w:after="0"/>
        <w:tabs>
          <w:tab w:leader="none" w:pos="170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Can Gentherm shareholders demand appraisal rights of their shares?</w:t>
      </w:r>
    </w:p>
    <w:p>
      <w:pPr>
        <w:spacing w:after="0" w:line="104" w:lineRule="exact"/>
        <w:rPr>
          <w:sz w:val="20"/>
          <w:szCs w:val="20"/>
          <w:color w:val="auto"/>
        </w:rPr>
      </w:pPr>
    </w:p>
    <w:p>
      <w:pPr>
        <w:ind w:left="1700" w:right="499" w:hanging="345"/>
        <w:spacing w:after="0" w:line="283" w:lineRule="auto"/>
        <w:tabs>
          <w:tab w:leader="none" w:pos="17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Gentherm’s shareholders will not be entitled to exercise appraisal or dissenters’ rights under the MBCA in connection with the Separation, the Distribution or the Merger.</w:t>
      </w:r>
    </w:p>
    <w:p>
      <w:pPr>
        <w:spacing w:after="0" w:line="239" w:lineRule="exact"/>
        <w:rPr>
          <w:sz w:val="20"/>
          <w:szCs w:val="20"/>
          <w:color w:val="auto"/>
        </w:rPr>
      </w:pPr>
    </w:p>
    <w:p>
      <w:pPr>
        <w:ind w:left="1700" w:hanging="345"/>
        <w:spacing w:after="0"/>
        <w:tabs>
          <w:tab w:leader="none" w:pos="170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the current relationship between SpinCo and Gentherm?</w:t>
      </w:r>
    </w:p>
    <w:p>
      <w:pPr>
        <w:spacing w:after="0" w:line="104" w:lineRule="exact"/>
        <w:rPr>
          <w:sz w:val="20"/>
          <w:szCs w:val="20"/>
          <w:color w:val="auto"/>
        </w:rPr>
      </w:pPr>
    </w:p>
    <w:p>
      <w:pPr>
        <w:ind w:left="1700" w:right="499" w:hanging="345"/>
        <w:spacing w:after="0" w:line="267" w:lineRule="auto"/>
        <w:tabs>
          <w:tab w:leader="none" w:pos="17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is currently a wholly owned subsidiary of Modine and was incorporated as a Delaware corporation in January 2026 to effectuate the Separation, the Contribution, the Distribution and the Merger. Other than in connection with the Transactions, there is no relationship between SpinCo and Gentherm.</w:t>
      </w:r>
    </w:p>
    <w:p>
      <w:pPr>
        <w:spacing w:after="0" w:line="249" w:lineRule="exact"/>
        <w:rPr>
          <w:sz w:val="20"/>
          <w:szCs w:val="20"/>
          <w:color w:val="auto"/>
        </w:rPr>
      </w:pPr>
    </w:p>
    <w:p>
      <w:pPr>
        <w:ind w:left="1700" w:hanging="345"/>
        <w:spacing w:after="0"/>
        <w:tabs>
          <w:tab w:leader="none" w:pos="170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will the Merger be completed?</w:t>
      </w:r>
    </w:p>
    <w:p>
      <w:pPr>
        <w:spacing w:after="0" w:line="104" w:lineRule="exact"/>
        <w:rPr>
          <w:sz w:val="20"/>
          <w:szCs w:val="20"/>
          <w:color w:val="auto"/>
        </w:rPr>
      </w:pPr>
    </w:p>
    <w:p>
      <w:pPr>
        <w:ind w:left="1700" w:right="319" w:hanging="345"/>
        <w:spacing w:after="0" w:line="254" w:lineRule="auto"/>
        <w:tabs>
          <w:tab w:leader="none" w:pos="17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is expected to close in the fourth quarter of calendar year 2026, subject to the completion or waiver of certain specified closing conditions described in this proxy statement/prospectus. Assuming that the Share Issuance Proposal and the Charter Amendment Proposal are approved by the requisite Gentherm shareholders at the Special Meeting, other important conditions to the Closing exist, including, among other things, the consummation of the Separation and the Distribution. However, it is possible that factors outside Gentherm’s and Modine’s control could require Modine to complete the Separation and Distribution and Gentherm and Modine to complete the Merger at a later time or not complete them at all. In addition, the Merger Agreement provides that consummation of the Merger is conditioned on, among other things, the receipt of the IRS Ruling in form and substance reasonably satisfactory to Modine, which shall continue to be valid and in full force and effect as of the Closing, as well as the receipt of other regulatory approvals. For a discussion of the conditions to the Merger, see the sections entitled “The Transactions-Regulatory Approvals,” “The Transaction Agreements-The Merger Agreement-Conditions to the Merger” and “The Transaction Agreements-The Separation Agreement-Conditions to the Distribution.”</w:t>
      </w:r>
    </w:p>
    <w:p>
      <w:pPr>
        <w:spacing w:after="0" w:line="260" w:lineRule="exact"/>
        <w:rPr>
          <w:sz w:val="20"/>
          <w:szCs w:val="20"/>
          <w:color w:val="auto"/>
        </w:rPr>
      </w:pPr>
    </w:p>
    <w:p>
      <w:pPr>
        <w:ind w:left="1700" w:hanging="345"/>
        <w:spacing w:after="0"/>
        <w:tabs>
          <w:tab w:leader="none" w:pos="1700"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will bear the cost of soliciting votes for the Special Meeting?</w:t>
      </w:r>
    </w:p>
    <w:p>
      <w:pPr>
        <w:spacing w:after="0" w:line="104" w:lineRule="exact"/>
        <w:rPr>
          <w:sz w:val="20"/>
          <w:szCs w:val="20"/>
          <w:color w:val="auto"/>
        </w:rPr>
      </w:pPr>
    </w:p>
    <w:p>
      <w:pPr>
        <w:ind w:left="1700" w:right="679" w:hanging="345"/>
        <w:spacing w:after="0" w:line="261" w:lineRule="auto"/>
        <w:tabs>
          <w:tab w:leader="none" w:pos="17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 has engaged Innisfree M&amp;A Incorporated (“Innisfree”) to assist in the solicitation of proxies for the Special Meeting. Gentherm estimates that it will pay Innisfree $75,000, plus additional fees to be determined at the conclusion of the solicitation and reimbursement of reasonable expenses. Gentherm has agreed to indemnify Innisfree against various liabilities and expenses that relate to or arise out of its solicitation of proxies (subject to certain exceptions).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hanging="345"/>
        <w:spacing w:after="0"/>
        <w:tabs>
          <w:tab w:leader="none" w:pos="1700" w:val="left"/>
        </w:tabs>
        <w:numPr>
          <w:ilvl w:val="0"/>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can answer my questions?</w:t>
      </w:r>
    </w:p>
    <w:p>
      <w:pPr>
        <w:spacing w:after="0" w:line="104" w:lineRule="exact"/>
        <w:rPr>
          <w:sz w:val="20"/>
          <w:szCs w:val="20"/>
          <w:color w:val="auto"/>
        </w:rPr>
      </w:pPr>
    </w:p>
    <w:p>
      <w:pPr>
        <w:ind w:left="1700" w:hanging="345"/>
        <w:spacing w:after="0"/>
        <w:tabs>
          <w:tab w:leader="none" w:pos="17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have any questions about the Special Meeting or need to obtain proxy cards or other information, please contact:</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Innisfree M&amp;A Incorporated</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501 Madison Avenue</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(212) 750-5833</w:t>
      </w:r>
    </w:p>
    <w:p>
      <w:pPr>
        <w:spacing w:after="0" w:line="274" w:lineRule="exact"/>
        <w:rPr>
          <w:sz w:val="20"/>
          <w:szCs w:val="20"/>
          <w:color w:val="auto"/>
        </w:rPr>
      </w:pPr>
    </w:p>
    <w:p>
      <w:pPr>
        <w:ind w:left="1700" w:hanging="345"/>
        <w:spacing w:after="0"/>
        <w:tabs>
          <w:tab w:leader="none" w:pos="170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Where can I find more information about Gentherm, Modine, SpinCo and the Transactions?</w:t>
      </w:r>
    </w:p>
    <w:p>
      <w:pPr>
        <w:spacing w:after="0" w:line="104" w:lineRule="exact"/>
        <w:rPr>
          <w:sz w:val="20"/>
          <w:szCs w:val="20"/>
          <w:color w:val="auto"/>
        </w:rPr>
      </w:pPr>
    </w:p>
    <w:p>
      <w:pPr>
        <w:ind w:left="1700" w:right="399" w:hanging="345"/>
        <w:spacing w:after="0" w:line="283" w:lineRule="auto"/>
        <w:tabs>
          <w:tab w:leader="none" w:pos="17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 find out more information about Gentherm, Modine, SpinCo and the Transactions by reading this proxy statement/prospectus and, with respect to Gentherm, from various sources described in “Where You Can Find More Information; Incorporation by Reference.”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045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3380" cy="504571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5" w:lineRule="exact"/>
        <w:rPr>
          <w:sz w:val="20"/>
          <w:szCs w:val="20"/>
          <w:color w:val="auto"/>
        </w:rPr>
      </w:pPr>
    </w:p>
    <w:p>
      <w:pPr>
        <w:ind w:left="1500" w:right="479" w:firstLine="332"/>
        <w:spacing w:after="0" w:line="257" w:lineRule="auto"/>
        <w:rPr>
          <w:sz w:val="20"/>
          <w:szCs w:val="20"/>
          <w:color w:val="auto"/>
        </w:rPr>
      </w:pPr>
      <w:r>
        <w:rPr>
          <w:rFonts w:ascii="Times New Roman" w:cs="Times New Roman" w:eastAsia="Times New Roman" w:hAnsi="Times New Roman"/>
          <w:sz w:val="14"/>
          <w:szCs w:val="14"/>
          <w:i w:val="1"/>
          <w:iCs w:val="1"/>
          <w:color w:val="auto"/>
        </w:rPr>
        <w:t>This summary, together with the section titled “Questions and Answers” immediately preceding this summary, provides a summary of the material terms of the Separation, the Distribution and the Merger. These sections highlight selected information contained in this proxy statement/prospectus and may not include all the information that is important to you. To better understand the proposed Separation, Distribution and Merger, and the risks related to the Transactions, you should read this entire proxy statement/prospectus carefully, including the annexes, as well as those additional documents to which this proxy statement/prospectus refers you. See also “Where You Can Find More Information; Incorporation by Reference.”</w:t>
      </w:r>
    </w:p>
    <w:p>
      <w:pPr>
        <w:spacing w:after="0" w:line="2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Information about the Companies</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Gentherm Incorporated</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Gentherm Incorporated</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28875 Cabot Drive</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Novi, Michigan 48377</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(248) 504-0500</w:t>
      </w:r>
    </w:p>
    <w:p>
      <w:pPr>
        <w:spacing w:after="0" w:line="161" w:lineRule="exact"/>
        <w:rPr>
          <w:sz w:val="20"/>
          <w:szCs w:val="20"/>
          <w:color w:val="auto"/>
        </w:rPr>
      </w:pPr>
    </w:p>
    <w:p>
      <w:pPr>
        <w:ind w:left="1500" w:right="379" w:firstLine="332"/>
        <w:spacing w:after="0" w:line="236" w:lineRule="auto"/>
        <w:rPr>
          <w:sz w:val="20"/>
          <w:szCs w:val="20"/>
          <w:color w:val="auto"/>
        </w:rPr>
      </w:pPr>
      <w:r>
        <w:rPr>
          <w:rFonts w:ascii="Times New Roman" w:cs="Times New Roman" w:eastAsia="Times New Roman" w:hAnsi="Times New Roman"/>
          <w:sz w:val="14"/>
          <w:szCs w:val="14"/>
          <w:color w:val="auto"/>
        </w:rPr>
        <w:t>Gentherm Incorporated is a global market leader of innovative thermal management and pneumatic comfort technologies. Its automotive products include Climate Control Seats (CCS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Climate Control Interiors (CCI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Lumbar and Massage Comfort Solutions, Valve Systems, and Climate and Comfort Electronics. Gentherm operates in locations aligned with its major customers’ product strategies to provide locally enhanced design, integration and production capabilities. Its medical products include patient temperature management systems that can be found in hospitals throughout the world. Gentherm is also developing a number of new technologies and products that will help enable improvements to existing products and to create new product applications for existing and new markets. For more information on Gentherm, see the section entitled “Information About Gentherm.”</w:t>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Platinum Gold Merger Sub Inc.</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c/o Gentherm Incorporated</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28875 Cabot Drive</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Novi, Michigan 48377</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(248) 504-0500</w:t>
      </w:r>
    </w:p>
    <w:p>
      <w:pPr>
        <w:spacing w:after="0" w:line="161" w:lineRule="exact"/>
        <w:rPr>
          <w:sz w:val="20"/>
          <w:szCs w:val="20"/>
          <w:color w:val="auto"/>
        </w:rPr>
      </w:pPr>
    </w:p>
    <w:p>
      <w:pPr>
        <w:ind w:left="1500" w:right="619" w:firstLine="332"/>
        <w:spacing w:after="0" w:line="267" w:lineRule="auto"/>
        <w:rPr>
          <w:sz w:val="20"/>
          <w:szCs w:val="20"/>
          <w:color w:val="auto"/>
        </w:rPr>
      </w:pPr>
      <w:r>
        <w:rPr>
          <w:rFonts w:ascii="Times New Roman" w:cs="Times New Roman" w:eastAsia="Times New Roman" w:hAnsi="Times New Roman"/>
          <w:sz w:val="14"/>
          <w:szCs w:val="14"/>
          <w:color w:val="auto"/>
        </w:rPr>
        <w:t>Platinum Gold Merger Sub Inc. is a wholly owned subsidiary of Gentherm. Merger Sub was incorporated on January 23, 2026 for the purposes of merging with and into SpinCo in the Merger. Merger Sub has not carried on any activities other than in connection with the Merger Agreement and the Transactions and obtaining the approvals contemplated by the Merger Agreement.</w:t>
      </w:r>
    </w:p>
    <w:p>
      <w:pPr>
        <w:spacing w:after="0" w:line="13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Modine Manufacturing Company</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c/o Modine Manufacturing Company</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1500 DeKoven Avenue</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Racine, Wisconsin 53403</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(262) 636-1200</w:t>
      </w:r>
    </w:p>
    <w:p>
      <w:pPr>
        <w:spacing w:after="0" w:line="161" w:lineRule="exact"/>
        <w:rPr>
          <w:sz w:val="20"/>
          <w:szCs w:val="20"/>
          <w:color w:val="auto"/>
        </w:rPr>
      </w:pPr>
    </w:p>
    <w:p>
      <w:pPr>
        <w:ind w:left="1500" w:right="459" w:firstLine="332"/>
        <w:spacing w:after="0" w:line="267" w:lineRule="auto"/>
        <w:rPr>
          <w:sz w:val="20"/>
          <w:szCs w:val="20"/>
          <w:color w:val="auto"/>
        </w:rPr>
      </w:pPr>
      <w:r>
        <w:rPr>
          <w:rFonts w:ascii="Times New Roman" w:cs="Times New Roman" w:eastAsia="Times New Roman" w:hAnsi="Times New Roman"/>
          <w:sz w:val="14"/>
          <w:szCs w:val="14"/>
          <w:color w:val="auto"/>
        </w:rPr>
        <w:t>Modine Manufacturing Company was incorporated under the laws of the State of Wisconsin on June 23, 1916 by its founder, Arthur B. Modine. Modine’s executive offices are located at 1500 DeKoven Avenue, Racine, Wisconsin 53403, and its telephone number is (262) 636-1200. For more than 100 years, Modine has</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25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3380" cy="4725670"/>
                    </a:xfrm>
                    <a:prstGeom prst="rect">
                      <a:avLst/>
                    </a:prstGeom>
                    <a:noFill/>
                  </pic:spPr>
                </pic:pic>
              </a:graphicData>
            </a:graphic>
          </wp:anchor>
        </w:drawing>
      </w:r>
    </w:p>
    <w:p>
      <w:pPr>
        <w:spacing w:after="0" w:line="366" w:lineRule="exact"/>
        <w:rPr>
          <w:sz w:val="20"/>
          <w:szCs w:val="20"/>
          <w:color w:val="auto"/>
        </w:rPr>
      </w:pPr>
    </w:p>
    <w:p>
      <w:pPr>
        <w:ind w:left="1500" w:right="379"/>
        <w:spacing w:after="0" w:line="228" w:lineRule="auto"/>
        <w:rPr>
          <w:sz w:val="20"/>
          <w:szCs w:val="20"/>
          <w:color w:val="auto"/>
        </w:rPr>
      </w:pPr>
      <w:r>
        <w:rPr>
          <w:rFonts w:ascii="Times New Roman" w:cs="Times New Roman" w:eastAsia="Times New Roman" w:hAnsi="Times New Roman"/>
          <w:sz w:val="14"/>
          <w:szCs w:val="14"/>
          <w:color w:val="auto"/>
        </w:rPr>
        <w:t xml:space="preserve">solved the toughest thermal management challenges for mission-critical applications. Its purpose of </w:t>
      </w:r>
      <w:r>
        <w:rPr>
          <w:rFonts w:ascii="Times New Roman" w:cs="Times New Roman" w:eastAsia="Times New Roman" w:hAnsi="Times New Roman"/>
          <w:sz w:val="14"/>
          <w:szCs w:val="14"/>
          <w:b w:val="1"/>
          <w:bCs w:val="1"/>
          <w:i w:val="1"/>
          <w:iCs w:val="1"/>
          <w:color w:val="auto"/>
        </w:rPr>
        <w:t>Engineering a Cleaner, Healthier World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means it is always evolving its portfolio of technologies to provide the latest heating, cooling, and ventilation solutions. Its technologies advance its purpose with systems that improve air quality, reduce energy and water consumption, lower harmful emissions, and enable the transition to a more sustainable future.</w:t>
      </w:r>
    </w:p>
    <w:p>
      <w:pPr>
        <w:spacing w:after="0" w:line="155" w:lineRule="exact"/>
        <w:rPr>
          <w:sz w:val="20"/>
          <w:szCs w:val="20"/>
          <w:color w:val="auto"/>
        </w:rPr>
      </w:pPr>
    </w:p>
    <w:p>
      <w:pPr>
        <w:ind w:left="1500" w:right="499" w:firstLine="332"/>
        <w:spacing w:after="0" w:line="283" w:lineRule="auto"/>
        <w:rPr>
          <w:sz w:val="20"/>
          <w:szCs w:val="20"/>
          <w:color w:val="auto"/>
        </w:rPr>
      </w:pPr>
      <w:r>
        <w:rPr>
          <w:rFonts w:ascii="Times New Roman" w:cs="Times New Roman" w:eastAsia="Times New Roman" w:hAnsi="Times New Roman"/>
          <w:sz w:val="14"/>
          <w:szCs w:val="14"/>
          <w:color w:val="auto"/>
        </w:rPr>
        <w:t>For more information on Modine and on the Performance Technologies Business, respectively, see the sections entitled “Information About Modine” and “Information About the Performance Technologies Business.”</w:t>
      </w:r>
    </w:p>
    <w:p>
      <w:pPr>
        <w:spacing w:after="0" w:line="1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Platinum SpinCo Inc.</w:t>
      </w:r>
    </w:p>
    <w:p>
      <w:pPr>
        <w:spacing w:after="0" w:line="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c/o Modine Manufacturing Company</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1500 DeKoven Avenue</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Racine, Wisconsin 53403</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(262) 636-1200</w:t>
      </w:r>
    </w:p>
    <w:p>
      <w:pPr>
        <w:spacing w:after="0" w:line="161" w:lineRule="exact"/>
        <w:rPr>
          <w:sz w:val="20"/>
          <w:szCs w:val="20"/>
          <w:color w:val="auto"/>
        </w:rPr>
      </w:pPr>
    </w:p>
    <w:p>
      <w:pPr>
        <w:jc w:val="both"/>
        <w:ind w:left="1500" w:right="399" w:firstLine="332"/>
        <w:spacing w:after="0" w:line="267" w:lineRule="auto"/>
        <w:rPr>
          <w:sz w:val="20"/>
          <w:szCs w:val="20"/>
          <w:color w:val="auto"/>
        </w:rPr>
      </w:pPr>
      <w:r>
        <w:rPr>
          <w:rFonts w:ascii="Times New Roman" w:cs="Times New Roman" w:eastAsia="Times New Roman" w:hAnsi="Times New Roman"/>
          <w:sz w:val="14"/>
          <w:szCs w:val="14"/>
          <w:color w:val="auto"/>
        </w:rPr>
        <w:t>Platinum SpinCo Inc. was incorporated on January 23, 2026 and is currently a wholly owned direct subsidiary of Modine. In connection with the Separation and Distribution, Modine will cause specified assets and liabilities used in the Performance Technologies Business to be transferred to SpinCo, after which time all of the shares of SpinCo Common Stock will be distributed to Modine shareholders.</w:t>
      </w:r>
    </w:p>
    <w:p>
      <w:pPr>
        <w:spacing w:after="0" w:line="136" w:lineRule="exact"/>
        <w:rPr>
          <w:sz w:val="20"/>
          <w:szCs w:val="20"/>
          <w:color w:val="auto"/>
        </w:rPr>
      </w:pPr>
    </w:p>
    <w:p>
      <w:pPr>
        <w:jc w:val="both"/>
        <w:ind w:left="1500" w:right="479" w:firstLine="332"/>
        <w:spacing w:after="0" w:line="267" w:lineRule="auto"/>
        <w:rPr>
          <w:sz w:val="20"/>
          <w:szCs w:val="20"/>
          <w:color w:val="auto"/>
        </w:rPr>
      </w:pPr>
      <w:r>
        <w:rPr>
          <w:rFonts w:ascii="Times New Roman" w:cs="Times New Roman" w:eastAsia="Times New Roman" w:hAnsi="Times New Roman"/>
          <w:sz w:val="14"/>
          <w:szCs w:val="14"/>
          <w:color w:val="auto"/>
        </w:rPr>
        <w:t>The Performance Technologies Business consists of Modine’s Performance Technologies segment. The Performance Technologies Business is a leading provider of highly engineered, mission-critical thermal management solutions across the vehicular and power generation end markets. Its operating segments include Heavy-Duty Equipment, Commercial Vehicle and Automotive.</w:t>
      </w:r>
    </w:p>
    <w:p>
      <w:pPr>
        <w:spacing w:after="0" w:line="136" w:lineRule="exact"/>
        <w:rPr>
          <w:sz w:val="20"/>
          <w:szCs w:val="20"/>
          <w:color w:val="auto"/>
        </w:rPr>
      </w:pPr>
    </w:p>
    <w:p>
      <w:pPr>
        <w:ind w:left="1500" w:right="519" w:firstLine="332"/>
        <w:spacing w:after="0" w:line="257" w:lineRule="auto"/>
        <w:rPr>
          <w:sz w:val="20"/>
          <w:szCs w:val="20"/>
          <w:color w:val="auto"/>
        </w:rPr>
      </w:pPr>
      <w:r>
        <w:rPr>
          <w:rFonts w:ascii="Times New Roman" w:cs="Times New Roman" w:eastAsia="Times New Roman" w:hAnsi="Times New Roman"/>
          <w:sz w:val="14"/>
          <w:szCs w:val="14"/>
          <w:color w:val="auto"/>
        </w:rPr>
        <w:t>The Heavy-Duty Equipment segment provides heat exchangers and cooling modules for off-highway markets, including agricultural and construction. In addition, the Heavy-Duty Equipment business sells cooling module generator sets that provide mission critical stationary power. The Commercial Vehicle and Automotive segments provide heat exchangers and cooling systems for commercial vehicle, automotive, and specialty vehicle customers. In addition to products for traditional powertrains, the Commercial Vehicle business provides products and solutions for zero-emission and hybrid vehicles, primarily for commercial vehicle, bus and specialty vehicles. For more information on the Performance Technologies Business, see the section entitled “Information About the Performance Technologies Business.”</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The Transactions </w:t>
      </w:r>
      <w:r>
        <w:rPr>
          <w:rFonts w:ascii="Times New Roman" w:cs="Times New Roman" w:eastAsia="Times New Roman" w:hAnsi="Times New Roman"/>
          <w:sz w:val="14"/>
          <w:szCs w:val="14"/>
          <w:color w:val="auto"/>
        </w:rPr>
        <w:t>(See “The Transactions”)</w:t>
      </w:r>
    </w:p>
    <w:p>
      <w:pPr>
        <w:spacing w:after="0" w:line="93" w:lineRule="exact"/>
        <w:rPr>
          <w:sz w:val="20"/>
          <w:szCs w:val="20"/>
          <w:color w:val="auto"/>
        </w:rPr>
      </w:pPr>
    </w:p>
    <w:p>
      <w:pPr>
        <w:ind w:left="1500" w:right="419" w:firstLine="332"/>
        <w:spacing w:after="0" w:line="254" w:lineRule="auto"/>
        <w:rPr>
          <w:sz w:val="20"/>
          <w:szCs w:val="20"/>
          <w:color w:val="auto"/>
        </w:rPr>
      </w:pPr>
      <w:r>
        <w:rPr>
          <w:rFonts w:ascii="Times New Roman" w:cs="Times New Roman" w:eastAsia="Times New Roman" w:hAnsi="Times New Roman"/>
          <w:sz w:val="14"/>
          <w:szCs w:val="14"/>
          <w:color w:val="auto"/>
        </w:rPr>
        <w:t>On January 29, 2026, Gentherm, Modine, Merger Sub and SpinCo, as applicable, entered into certain agreements to effect the transfer of the Performance Technologies Business to Gentherm. The transactions contemplated by the agreements provide for the separation of the Performance Technologies Business from Modine, the distribution of SpinCo Common Stock to Modine shareholders and the subsequent merger of Merger Sub with and into SpinCo, with SpinCo surviving as a wholly owned subsidiary of Gentherm. As a result of and immediately following these transactions, it is expected that the shares of SpinCo Common Stock will be converted into the right to receive approximately 40.0% of the outstanding shares of Gentherm Common Stock on a fully diluted basis immediately following the Merger, disregarding any shareholder overlap. However, in order to preserve the tax-free nature of the Distribution for U.S. federal income tax purposes, the Merger Agreement provides that the Exchange Ratio will be adjusted upwards if necessary in certain circumstances to ensure that former SpinCo stockholders (including Overlap Shareholders) own at least 50.5% of the outstanding shares of Gentherm Common Stock. In the event that the Exchange Ratio is adjusted upward, the SpinCo Cash Distribution will be decreased and, depending on the size of the adjustment of the Exchange Ratio, Gentherm may be required to pay the Gentherm Special Dividend, in each case, to account for the value of the additional</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992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3380" cy="4992370"/>
                    </a:xfrm>
                    <a:prstGeom prst="rect">
                      <a:avLst/>
                    </a:prstGeom>
                    <a:noFill/>
                  </pic:spPr>
                </pic:pic>
              </a:graphicData>
            </a:graphic>
          </wp:anchor>
        </w:drawing>
      </w:r>
    </w:p>
    <w:p>
      <w:pPr>
        <w:spacing w:after="0" w:line="368" w:lineRule="exact"/>
        <w:rPr>
          <w:sz w:val="20"/>
          <w:szCs w:val="20"/>
          <w:color w:val="auto"/>
        </w:rPr>
      </w:pPr>
    </w:p>
    <w:p>
      <w:pPr>
        <w:ind w:left="1500" w:right="379"/>
        <w:spacing w:after="0" w:line="261" w:lineRule="auto"/>
        <w:rPr>
          <w:sz w:val="20"/>
          <w:szCs w:val="20"/>
          <w:color w:val="auto"/>
        </w:rPr>
      </w:pPr>
      <w:r>
        <w:rPr>
          <w:rFonts w:ascii="Times New Roman" w:cs="Times New Roman" w:eastAsia="Times New Roman" w:hAnsi="Times New Roman"/>
          <w:sz w:val="14"/>
          <w:szCs w:val="14"/>
          <w:color w:val="auto"/>
        </w:rPr>
        <w:t>shares issued to SpinCo’s shareholders (as required pursuant to the Merger Agreement). Modine shareholders will retain their shares of Modine Common Stock. In order to effect the Transactions, Gentherm, Merger Sub, Modine and SpinCo entered into the Merger Agreement and Gentherm, Modine and SpinCo entered into the Separation Agreement. In addition, Gentherm, Modine, SpinCo or their respective affiliates will enter into a series of ancillary agreements in connection with the Transactions.</w:t>
      </w:r>
    </w:p>
    <w:p>
      <w:pPr>
        <w:spacing w:after="0" w:line="141" w:lineRule="exact"/>
        <w:rPr>
          <w:sz w:val="20"/>
          <w:szCs w:val="20"/>
          <w:color w:val="auto"/>
        </w:rPr>
      </w:pPr>
    </w:p>
    <w:p>
      <w:pPr>
        <w:ind w:left="1500" w:right="539" w:firstLine="332"/>
        <w:spacing w:after="0" w:line="267" w:lineRule="auto"/>
        <w:rPr>
          <w:sz w:val="20"/>
          <w:szCs w:val="20"/>
          <w:color w:val="auto"/>
        </w:rPr>
      </w:pPr>
      <w:r>
        <w:rPr>
          <w:rFonts w:ascii="Times New Roman" w:cs="Times New Roman" w:eastAsia="Times New Roman" w:hAnsi="Times New Roman"/>
          <w:sz w:val="14"/>
          <w:szCs w:val="14"/>
          <w:color w:val="auto"/>
        </w:rPr>
        <w:t>For a more complete discussion of the transaction agreements, see the section entitled “The Transaction Agreements-The Merger Agreement,” “The Transaction Agreements-The Separation Agreement,” and “Additional Agreements Related to the Separation, the Distribution and the Merger.”</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Transaction Sequence </w:t>
      </w:r>
      <w:r>
        <w:rPr>
          <w:rFonts w:ascii="Times New Roman" w:cs="Times New Roman" w:eastAsia="Times New Roman" w:hAnsi="Times New Roman"/>
          <w:sz w:val="14"/>
          <w:szCs w:val="14"/>
          <w:color w:val="auto"/>
        </w:rPr>
        <w:t>(See “The Transactions-Transaction Sequence”)</w:t>
      </w:r>
    </w:p>
    <w:p>
      <w:pPr>
        <w:spacing w:after="0" w:line="9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Below is a step-by-step list illustrating the material events relating to the Separation, Distribution and the Merger:</w:t>
      </w:r>
    </w:p>
    <w:p>
      <w:pPr>
        <w:spacing w:after="0" w:line="25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Step 1: Separation</w:t>
      </w:r>
    </w:p>
    <w:p>
      <w:pPr>
        <w:spacing w:after="0" w:line="93" w:lineRule="exact"/>
        <w:rPr>
          <w:sz w:val="20"/>
          <w:szCs w:val="20"/>
          <w:color w:val="auto"/>
        </w:rPr>
      </w:pPr>
    </w:p>
    <w:p>
      <w:pPr>
        <w:ind w:left="1500" w:right="459" w:firstLine="332"/>
        <w:spacing w:after="0" w:line="267" w:lineRule="auto"/>
        <w:rPr>
          <w:sz w:val="20"/>
          <w:szCs w:val="20"/>
          <w:color w:val="auto"/>
        </w:rPr>
      </w:pPr>
      <w:r>
        <w:rPr>
          <w:rFonts w:ascii="Times New Roman" w:cs="Times New Roman" w:eastAsia="Times New Roman" w:hAnsi="Times New Roman"/>
          <w:sz w:val="14"/>
          <w:szCs w:val="14"/>
          <w:color w:val="auto"/>
        </w:rPr>
        <w:t>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w:t>
      </w:r>
    </w:p>
    <w:p>
      <w:pPr>
        <w:spacing w:after="0" w:line="21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Step 2: Incurrence of the Permanent SpinCo Financing</w:t>
      </w:r>
    </w:p>
    <w:p>
      <w:pPr>
        <w:spacing w:after="0" w:line="93" w:lineRule="exact"/>
        <w:rPr>
          <w:sz w:val="20"/>
          <w:szCs w:val="20"/>
          <w:color w:val="auto"/>
        </w:rPr>
      </w:pPr>
    </w:p>
    <w:p>
      <w:pPr>
        <w:ind w:left="1500" w:right="719" w:firstLine="332"/>
        <w:spacing w:after="0" w:line="261" w:lineRule="auto"/>
        <w:rPr>
          <w:sz w:val="20"/>
          <w:szCs w:val="20"/>
          <w:color w:val="auto"/>
        </w:rPr>
      </w:pPr>
      <w:r>
        <w:rPr>
          <w:rFonts w:ascii="Times New Roman" w:cs="Times New Roman" w:eastAsia="Times New Roman" w:hAnsi="Times New Roman"/>
          <w:sz w:val="14"/>
          <w:szCs w:val="14"/>
          <w:color w:val="auto"/>
        </w:rPr>
        <w:t>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w:t>
      </w:r>
    </w:p>
    <w:p>
      <w:pPr>
        <w:spacing w:after="0" w:line="141" w:lineRule="exact"/>
        <w:rPr>
          <w:sz w:val="20"/>
          <w:szCs w:val="20"/>
          <w:color w:val="auto"/>
        </w:rPr>
      </w:pPr>
    </w:p>
    <w:p>
      <w:pPr>
        <w:ind w:left="1500" w:right="419" w:firstLine="332"/>
        <w:spacing w:after="0" w:line="267" w:lineRule="auto"/>
        <w:rPr>
          <w:sz w:val="20"/>
          <w:szCs w:val="20"/>
          <w:color w:val="auto"/>
        </w:rPr>
      </w:pPr>
      <w:r>
        <w:rPr>
          <w:rFonts w:ascii="Times New Roman" w:cs="Times New Roman" w:eastAsia="Times New Roman" w:hAnsi="Times New Roman"/>
          <w:sz w:val="14"/>
          <w:szCs w:val="14"/>
          <w:color w:val="auto"/>
        </w:rPr>
        <w:t>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w:t>
      </w:r>
    </w:p>
    <w:p>
      <w:pPr>
        <w:spacing w:after="0" w:line="136" w:lineRule="exact"/>
        <w:rPr>
          <w:sz w:val="20"/>
          <w:szCs w:val="20"/>
          <w:color w:val="auto"/>
        </w:rPr>
      </w:pPr>
    </w:p>
    <w:p>
      <w:pPr>
        <w:ind w:left="1500" w:right="399" w:firstLine="332"/>
        <w:spacing w:after="0" w:line="261" w:lineRule="auto"/>
        <w:rPr>
          <w:sz w:val="20"/>
          <w:szCs w:val="20"/>
          <w:color w:val="auto"/>
        </w:rPr>
      </w:pPr>
      <w:r>
        <w:rPr>
          <w:rFonts w:ascii="Times New Roman" w:cs="Times New Roman" w:eastAsia="Times New Roman" w:hAnsi="Times New Roman"/>
          <w:sz w:val="14"/>
          <w:szCs w:val="14"/>
          <w:color w:val="auto"/>
        </w:rPr>
        <w:t>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w:t>
      </w:r>
    </w:p>
    <w:p>
      <w:pPr>
        <w:spacing w:after="0" w:line="2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Step 3: SpinCo Cash Distribution</w:t>
      </w:r>
    </w:p>
    <w:p>
      <w:pPr>
        <w:spacing w:after="0" w:line="93" w:lineRule="exact"/>
        <w:rPr>
          <w:sz w:val="20"/>
          <w:szCs w:val="20"/>
          <w:color w:val="auto"/>
        </w:rPr>
      </w:pPr>
    </w:p>
    <w:p>
      <w:pPr>
        <w:jc w:val="both"/>
        <w:ind w:left="1500" w:right="659" w:firstLine="332"/>
        <w:spacing w:after="0" w:line="267" w:lineRule="auto"/>
        <w:rPr>
          <w:sz w:val="20"/>
          <w:szCs w:val="20"/>
          <w:color w:val="auto"/>
        </w:rPr>
      </w:pPr>
      <w:r>
        <w:rPr>
          <w:rFonts w:ascii="Times New Roman" w:cs="Times New Roman" w:eastAsia="Times New Roman" w:hAnsi="Times New Roman"/>
          <w:sz w:val="14"/>
          <w:szCs w:val="14"/>
          <w:color w:val="auto"/>
        </w:rPr>
        <w:t>Pursuant to the Separation Agreement, SpinCo will make a cash distribution to Modine of $210.0 million, subject to adjustment. See the section entitled “The Transaction Agreements-The Separation Agreement-Initial Adjustment Statement; Post-Closing Adjustments” for further description of potential adjustments to the SpinCo Cash Distribution.</w:t>
      </w:r>
    </w:p>
    <w:p>
      <w:pPr>
        <w:spacing w:after="0" w:line="21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Step 4: Distribution</w:t>
      </w:r>
    </w:p>
    <w:p>
      <w:pPr>
        <w:spacing w:after="0" w:line="93" w:lineRule="exact"/>
        <w:rPr>
          <w:sz w:val="20"/>
          <w:szCs w:val="20"/>
          <w:color w:val="auto"/>
        </w:rPr>
      </w:pPr>
    </w:p>
    <w:p>
      <w:pPr>
        <w:ind w:left="1500" w:right="859" w:firstLine="332"/>
        <w:spacing w:after="0" w:line="283" w:lineRule="auto"/>
        <w:rPr>
          <w:sz w:val="20"/>
          <w:szCs w:val="20"/>
          <w:color w:val="auto"/>
        </w:rPr>
      </w:pPr>
      <w:r>
        <w:rPr>
          <w:rFonts w:ascii="Times New Roman" w:cs="Times New Roman" w:eastAsia="Times New Roman" w:hAnsi="Times New Roman"/>
          <w:sz w:val="14"/>
          <w:szCs w:val="14"/>
          <w:color w:val="auto"/>
        </w:rPr>
        <w:t>Following the SpinCo Cash Distribution, Modine will distribute to its shareholders all of the issued and outstanding shares of SpinCo Common Stock held by Modine by way of a pro rata distribution and for no consideration.</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3870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3380" cy="3870960"/>
                    </a:xfrm>
                    <a:prstGeom prst="rect">
                      <a:avLst/>
                    </a:prstGeom>
                    <a:noFill/>
                  </pic:spPr>
                </pic:pic>
              </a:graphicData>
            </a:graphic>
          </wp:anchor>
        </w:drawing>
      </w:r>
    </w:p>
    <w:p>
      <w:pPr>
        <w:spacing w:after="0" w:line="3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Step 5: Merger</w:t>
      </w:r>
    </w:p>
    <w:p>
      <w:pPr>
        <w:spacing w:after="0" w:line="93" w:lineRule="exact"/>
        <w:rPr>
          <w:sz w:val="20"/>
          <w:szCs w:val="20"/>
          <w:color w:val="auto"/>
        </w:rPr>
      </w:pPr>
    </w:p>
    <w:p>
      <w:pPr>
        <w:ind w:left="1500" w:right="779" w:firstLine="332"/>
        <w:spacing w:after="0" w:line="283" w:lineRule="auto"/>
        <w:rPr>
          <w:sz w:val="20"/>
          <w:szCs w:val="20"/>
          <w:color w:val="auto"/>
        </w:rPr>
      </w:pPr>
      <w:r>
        <w:rPr>
          <w:rFonts w:ascii="Times New Roman" w:cs="Times New Roman" w:eastAsia="Times New Roman" w:hAnsi="Times New Roman"/>
          <w:sz w:val="14"/>
          <w:szCs w:val="14"/>
          <w:color w:val="auto"/>
        </w:rPr>
        <w:t>Following the Distribution, Merger Sub will be merged with and into SpinCo, with SpinCo as the surviving entity. When the Merger is completed, SpinCo will become a wholly owned subsidiary of Gentherm.</w:t>
      </w:r>
    </w:p>
    <w:p>
      <w:pPr>
        <w:spacing w:after="0" w:line="125" w:lineRule="exact"/>
        <w:rPr>
          <w:sz w:val="20"/>
          <w:szCs w:val="20"/>
          <w:color w:val="auto"/>
        </w:rPr>
      </w:pPr>
    </w:p>
    <w:p>
      <w:pPr>
        <w:ind w:left="1500" w:right="539" w:firstLine="332"/>
        <w:spacing w:after="0" w:line="258" w:lineRule="auto"/>
        <w:rPr>
          <w:sz w:val="20"/>
          <w:szCs w:val="20"/>
          <w:color w:val="auto"/>
        </w:rPr>
      </w:pPr>
      <w:r>
        <w:rPr>
          <w:rFonts w:ascii="Times New Roman" w:cs="Times New Roman" w:eastAsia="Times New Roman" w:hAnsi="Times New Roman"/>
          <w:sz w:val="14"/>
          <w:szCs w:val="14"/>
          <w:color w:val="auto"/>
        </w:rPr>
        <w:t>The total consideration to be received by Modine and the Modine shareholders in connection with the Transactions includes (1) Modine’s receipt of the SpinCo Cash Distribution, (2) Modine’s receipt of the Cash Transfer, if the Cash Transfer Amount is a positive number, and (3) the Modine shareholders’ receipt of all of the outstanding shares of SpinCo Common Stock in the Distribution, which shares will be automatically converted in the Merger into the right to receive shares of Gentherm Common Stock in accordance with the Exchange Ratio, plus cash in lieu of fractional shares.</w:t>
      </w:r>
    </w:p>
    <w:p>
      <w:pPr>
        <w:spacing w:after="0" w:line="144" w:lineRule="exact"/>
        <w:rPr>
          <w:sz w:val="20"/>
          <w:szCs w:val="20"/>
          <w:color w:val="auto"/>
        </w:rPr>
      </w:pPr>
    </w:p>
    <w:p>
      <w:pPr>
        <w:ind w:left="1500" w:right="399" w:firstLine="332"/>
        <w:spacing w:after="0" w:line="254" w:lineRule="auto"/>
        <w:rPr>
          <w:sz w:val="20"/>
          <w:szCs w:val="20"/>
          <w:color w:val="auto"/>
        </w:rPr>
      </w:pPr>
      <w:r>
        <w:rPr>
          <w:rFonts w:ascii="Times New Roman" w:cs="Times New Roman" w:eastAsia="Times New Roman" w:hAnsi="Times New Roman"/>
          <w:sz w:val="14"/>
          <w:szCs w:val="14"/>
          <w:color w:val="auto"/>
        </w:rPr>
        <w:t>Each share of SpinCo Common Stock issued and outstanding as of immediately prior to the Effective Time (other than any shares held by SpinCo as treasury stock or by Gentherm or Merger Sub, in each case, as of immediately prior to the Effective Time, all of which will be automatically canceled) will be automatically converted as of the Effective Time into the right to receive a number of shares of Gentherm Common Stock equal to the Exchange Ratio, which is subject to adjustment if necessary to satisfy the Threshold Percentage as described below, with cash paid in lieu of fractional shares of Gentherm Common Stock in accordance with the Merger Agreement. Prior to the adjustment described below, the Exchange Ratio is designed to result in the issued and outstanding shares of Gentherm Common Stock on a fully diluted basis immediately following the Merger,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w:t>
      </w:r>
    </w:p>
    <w:p>
      <w:pPr>
        <w:spacing w:after="0" w:line="149" w:lineRule="exact"/>
        <w:rPr>
          <w:sz w:val="20"/>
          <w:szCs w:val="20"/>
          <w:color w:val="auto"/>
        </w:rPr>
      </w:pPr>
    </w:p>
    <w:p>
      <w:pPr>
        <w:ind w:left="1500" w:right="379" w:firstLine="332"/>
        <w:spacing w:after="0" w:line="254" w:lineRule="auto"/>
        <w:rPr>
          <w:sz w:val="20"/>
          <w:szCs w:val="20"/>
          <w:color w:val="auto"/>
        </w:rPr>
      </w:pPr>
      <w:r>
        <w:rPr>
          <w:rFonts w:ascii="Times New Roman" w:cs="Times New Roman" w:eastAsia="Times New Roman" w:hAnsi="Times New Roman"/>
          <w:sz w:val="14"/>
          <w:szCs w:val="14"/>
          <w:color w:val="auto"/>
        </w:rPr>
        <w:t>However, in order to preserve the tax-free nature of the Distribution for U.S. federal income tax purposes, the Merger Agreement generally provides that, if the Exchange Ratio would result in the percentage of issued and outstanding shares of Gentherm Common Stock to be received in the Merger by former holders of SpinCo Common Stock immediately prior to the Effective Time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immediately prior to the Effective Time (including the Overlap Shareholders) being equal to the Threshold Percentage. The Merger Agreement further provides for certain customary adjustments of the Exchange Ratio in the event of stock splits, combinations of shares, reclassifications, recapitalizations or other similar transactions with respect to Gentherm Common Stock. For more information, see the section entitled “The Transactions-Transaction Sequence.”</w:t>
      </w:r>
    </w:p>
    <w:p>
      <w:pPr>
        <w:spacing w:after="0" w:line="146" w:lineRule="exact"/>
        <w:rPr>
          <w:sz w:val="20"/>
          <w:szCs w:val="20"/>
          <w:color w:val="auto"/>
        </w:rPr>
      </w:pPr>
    </w:p>
    <w:p>
      <w:pPr>
        <w:ind w:left="1500" w:right="479" w:firstLine="332"/>
        <w:spacing w:after="0" w:line="267" w:lineRule="auto"/>
        <w:rPr>
          <w:sz w:val="20"/>
          <w:szCs w:val="20"/>
          <w:color w:val="auto"/>
        </w:rPr>
      </w:pPr>
      <w:r>
        <w:rPr>
          <w:rFonts w:ascii="Times New Roman" w:cs="Times New Roman" w:eastAsia="Times New Roman" w:hAnsi="Times New Roman"/>
          <w:sz w:val="14"/>
          <w:szCs w:val="14"/>
          <w:color w:val="auto"/>
        </w:rPr>
        <w:t>Set forth below are diagrams that graphically illustrate, in simplified form, the existing corporate structure of the parties to the Transactions, the corporate structure of the parties immediately following the Separation and the Distribution, but before the Merger, and the final corporate structure immediately following the consummation of the Merger.</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144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3380" cy="4144645"/>
                    </a:xfrm>
                    <a:prstGeom prst="rect">
                      <a:avLst/>
                    </a:prstGeom>
                    <a:noFill/>
                  </pic:spPr>
                </pic:pic>
              </a:graphicData>
            </a:graphic>
          </wp:anchor>
        </w:drawing>
      </w:r>
    </w:p>
    <w:p>
      <w:pPr>
        <w:spacing w:after="0" w:line="3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Existing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4"/>
          <w:szCs w:val="14"/>
          <w:b w:val="1"/>
          <w:bCs w:val="1"/>
          <w:i w:val="1"/>
          <w:iCs w:val="1"/>
          <w:color w:val="auto"/>
        </w:rPr>
        <w:t>Structure Following the Separation and the Distribution, but before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246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3380" cy="5246370"/>
                    </a:xfrm>
                    <a:prstGeom prst="rect">
                      <a:avLst/>
                    </a:prstGeom>
                    <a:noFill/>
                  </pic:spPr>
                </pic:pic>
              </a:graphicData>
            </a:graphic>
          </wp:anchor>
        </w:drawing>
      </w:r>
    </w:p>
    <w:p>
      <w:pPr>
        <w:spacing w:after="0" w:line="3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Structure Following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The Separation and the Distribution </w:t>
      </w:r>
      <w:r>
        <w:rPr>
          <w:rFonts w:ascii="Times New Roman" w:cs="Times New Roman" w:eastAsia="Times New Roman" w:hAnsi="Times New Roman"/>
          <w:sz w:val="14"/>
          <w:szCs w:val="14"/>
          <w:color w:val="auto"/>
        </w:rPr>
        <w:t>(See “The Transaction Agreements-The Separation Agreement”)</w:t>
      </w:r>
    </w:p>
    <w:p>
      <w:pPr>
        <w:spacing w:after="0" w:line="177" w:lineRule="exact"/>
        <w:rPr>
          <w:sz w:val="20"/>
          <w:szCs w:val="20"/>
          <w:color w:val="auto"/>
        </w:rPr>
      </w:pPr>
    </w:p>
    <w:p>
      <w:pPr>
        <w:ind w:left="1500" w:right="459" w:firstLine="332"/>
        <w:spacing w:after="0" w:line="261" w:lineRule="auto"/>
        <w:rPr>
          <w:sz w:val="20"/>
          <w:szCs w:val="20"/>
          <w:color w:val="auto"/>
        </w:rPr>
      </w:pPr>
      <w:r>
        <w:rPr>
          <w:rFonts w:ascii="Times New Roman" w:cs="Times New Roman" w:eastAsia="Times New Roman" w:hAnsi="Times New Roman"/>
          <w:sz w:val="14"/>
          <w:szCs w:val="14"/>
          <w:color w:val="auto"/>
        </w:rPr>
        <w:t>Prior to the Distribution and the Merger, certain subsidiaries of Modine will undergo an internal restructuring to separate and consolidate the Performance Technologies Business under SpinCo pursuant to the Separation Agreement (the “Reorganization”). In the Separation, Modine will transfer (or cause to be transferred) and SpinCo will accept and assume (or cause to be accepted and assumed) all of the right, title and interest to and under certain assets and liabilities relating to the Performance Technologies Business.</w:t>
      </w:r>
    </w:p>
    <w:p>
      <w:pPr>
        <w:spacing w:after="0" w:line="141" w:lineRule="exact"/>
        <w:rPr>
          <w:sz w:val="20"/>
          <w:szCs w:val="20"/>
          <w:color w:val="auto"/>
        </w:rPr>
      </w:pPr>
    </w:p>
    <w:p>
      <w:pPr>
        <w:ind w:left="1500" w:right="559" w:firstLine="332"/>
        <w:spacing w:after="0" w:line="283" w:lineRule="auto"/>
        <w:rPr>
          <w:sz w:val="20"/>
          <w:szCs w:val="20"/>
          <w:color w:val="auto"/>
        </w:rPr>
      </w:pPr>
      <w:r>
        <w:rPr>
          <w:rFonts w:ascii="Times New Roman" w:cs="Times New Roman" w:eastAsia="Times New Roman" w:hAnsi="Times New Roman"/>
          <w:sz w:val="14"/>
          <w:szCs w:val="14"/>
          <w:color w:val="auto"/>
        </w:rPr>
        <w:t>Following the Separation, Modine will distribute to its shareholders all of the SpinCo Common Stock held by Modine by way of a pro rata distribution for no consideration.</w:t>
      </w:r>
    </w:p>
    <w:p>
      <w:pPr>
        <w:spacing w:after="0" w:line="1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Conditions to the Distribution </w:t>
      </w:r>
      <w:r>
        <w:rPr>
          <w:rFonts w:ascii="Times New Roman" w:cs="Times New Roman" w:eastAsia="Times New Roman" w:hAnsi="Times New Roman"/>
          <w:sz w:val="14"/>
          <w:szCs w:val="14"/>
          <w:color w:val="auto"/>
        </w:rPr>
        <w:t>(See “The Transaction Agreements-The Separation Agreement-Conditions to the Distribution”)</w:t>
      </w:r>
    </w:p>
    <w:p>
      <w:pPr>
        <w:spacing w:after="0" w:line="17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obligation of Modine to consummate the Distribution is subject to the following conditions:</w:t>
      </w:r>
    </w:p>
    <w:p>
      <w:pPr>
        <w:spacing w:after="0" w:line="102" w:lineRule="exact"/>
        <w:rPr>
          <w:sz w:val="20"/>
          <w:szCs w:val="20"/>
          <w:color w:val="auto"/>
        </w:rPr>
      </w:pPr>
    </w:p>
    <w:p>
      <w:pPr>
        <w:ind w:left="2220" w:hanging="313"/>
        <w:spacing w:after="0"/>
        <w:tabs>
          <w:tab w:leader="none" w:pos="22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Modine of the Modine Distribution Tax Opinion in form and substance reasonably satisfactory to Modine;</w:t>
      </w:r>
    </w:p>
    <w:p>
      <w:pPr>
        <w:spacing w:after="0" w:line="101" w:lineRule="exact"/>
        <w:rPr>
          <w:rFonts w:ascii="Times New Roman" w:cs="Times New Roman" w:eastAsia="Times New Roman" w:hAnsi="Times New Roman"/>
          <w:sz w:val="14"/>
          <w:szCs w:val="14"/>
          <w:color w:val="auto"/>
        </w:rPr>
      </w:pPr>
    </w:p>
    <w:p>
      <w:pPr>
        <w:ind w:left="2220" w:right="579" w:hanging="313"/>
        <w:spacing w:after="0" w:line="283" w:lineRule="auto"/>
        <w:tabs>
          <w:tab w:leader="none" w:pos="22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Modine of the IRS Ruling, in form and substance reasonably satisfactory to Modine, which shall continue to be valid and in full force and effect;</w:t>
      </w:r>
    </w:p>
    <w:p>
      <w:pPr>
        <w:spacing w:after="0" w:line="51" w:lineRule="exact"/>
        <w:rPr>
          <w:rFonts w:ascii="Times New Roman" w:cs="Times New Roman" w:eastAsia="Times New Roman" w:hAnsi="Times New Roman"/>
          <w:sz w:val="14"/>
          <w:szCs w:val="14"/>
          <w:color w:val="auto"/>
        </w:rPr>
      </w:pPr>
    </w:p>
    <w:p>
      <w:pPr>
        <w:ind w:left="2220" w:right="639" w:hanging="313"/>
        <w:spacing w:after="0" w:line="283" w:lineRule="auto"/>
        <w:tabs>
          <w:tab w:leader="none" w:pos="22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completion of the Reorganization substantially in accordance with the Reorganization step plan (other than those steps that are expressly contemplated to occur at or after the Distribution);</w:t>
      </w:r>
    </w:p>
    <w:p>
      <w:pPr>
        <w:spacing w:after="0" w:line="51" w:lineRule="exact"/>
        <w:rPr>
          <w:rFonts w:ascii="Times New Roman" w:cs="Times New Roman" w:eastAsia="Times New Roman" w:hAnsi="Times New Roman"/>
          <w:sz w:val="14"/>
          <w:szCs w:val="14"/>
          <w:color w:val="auto"/>
        </w:rPr>
      </w:pPr>
    </w:p>
    <w:p>
      <w:pPr>
        <w:ind w:left="2220" w:right="519" w:hanging="313"/>
        <w:spacing w:after="0" w:line="267" w:lineRule="auto"/>
        <w:tabs>
          <w:tab w:leader="none" w:pos="22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delivery by an independent firm mutually acceptable to Modine and Gentherm of an opinion, in form and substance reasonably acceptable to Modine, to the Modine Board confirming the solvency of Modine immediately prior to the Distribution and of Modine and SpinCo immediately after giving</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66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3380" cy="4866005"/>
                    </a:xfrm>
                    <a:prstGeom prst="rect">
                      <a:avLst/>
                    </a:prstGeom>
                    <a:noFill/>
                  </pic:spPr>
                </pic:pic>
              </a:graphicData>
            </a:graphic>
          </wp:anchor>
        </w:drawing>
      </w:r>
    </w:p>
    <w:p>
      <w:pPr>
        <w:spacing w:after="0" w:line="368" w:lineRule="exact"/>
        <w:rPr>
          <w:sz w:val="20"/>
          <w:szCs w:val="20"/>
          <w:color w:val="auto"/>
        </w:rPr>
      </w:pPr>
    </w:p>
    <w:p>
      <w:pPr>
        <w:ind w:left="2240" w:right="739"/>
        <w:spacing w:after="0" w:line="283" w:lineRule="auto"/>
        <w:rPr>
          <w:sz w:val="20"/>
          <w:szCs w:val="20"/>
          <w:color w:val="auto"/>
        </w:rPr>
      </w:pPr>
      <w:r>
        <w:rPr>
          <w:rFonts w:ascii="Times New Roman" w:cs="Times New Roman" w:eastAsia="Times New Roman" w:hAnsi="Times New Roman"/>
          <w:sz w:val="14"/>
          <w:szCs w:val="14"/>
          <w:color w:val="auto"/>
        </w:rPr>
        <w:t>effect to the Bridge Financing and/or the Permanent SpinCo Financing, the SpinCo Cash Distribution, the Cash Transfer and the Distribution;</w:t>
      </w:r>
    </w:p>
    <w:p>
      <w:pPr>
        <w:spacing w:after="0" w:line="51" w:lineRule="exact"/>
        <w:rPr>
          <w:sz w:val="20"/>
          <w:szCs w:val="20"/>
          <w:color w:val="auto"/>
        </w:rPr>
      </w:pPr>
    </w:p>
    <w:p>
      <w:pPr>
        <w:ind w:left="2220" w:right="639" w:hanging="313"/>
        <w:spacing w:after="0" w:line="283" w:lineRule="auto"/>
        <w:tabs>
          <w:tab w:leader="none" w:pos="2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the Bridge Financing and/or the Permanent SpinCo Financing and receipt by SpinCo of net cash proceeds in respect of such financing equal to or greater than the amount of the SpinCo Cash Distribution;</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or waiver of conditions to Modine’s, SpinCo’s, Gentherm’s and Merger Sub’s obligations to effect the Merger;</w:t>
      </w:r>
    </w:p>
    <w:p>
      <w:pPr>
        <w:spacing w:after="0" w:line="101" w:lineRule="exact"/>
        <w:rPr>
          <w:rFonts w:ascii="Times New Roman" w:cs="Times New Roman" w:eastAsia="Times New Roman" w:hAnsi="Times New Roman"/>
          <w:sz w:val="14"/>
          <w:szCs w:val="14"/>
          <w:color w:val="auto"/>
        </w:rPr>
      </w:pPr>
    </w:p>
    <w:p>
      <w:pPr>
        <w:ind w:left="2220" w:right="459" w:hanging="313"/>
        <w:spacing w:after="0" w:line="283" w:lineRule="auto"/>
        <w:tabs>
          <w:tab w:leader="none" w:pos="2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irrevocable confirmation by Gentherm that conditions to its and Merger Sub’s obligations to effect the Merger have been satisfied or waived by Gentherm;</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the SpinCo Cash Distribution; and</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the Cash Transfer prior to or concurrently with the Distribution.</w:t>
      </w:r>
    </w:p>
    <w:p>
      <w:pPr>
        <w:spacing w:after="0" w:line="175" w:lineRule="exact"/>
        <w:rPr>
          <w:sz w:val="20"/>
          <w:szCs w:val="20"/>
          <w:color w:val="auto"/>
        </w:rPr>
      </w:pPr>
    </w:p>
    <w:p>
      <w:pPr>
        <w:ind w:left="1500" w:right="379" w:firstLine="332"/>
        <w:spacing w:after="0" w:line="267" w:lineRule="auto"/>
        <w:rPr>
          <w:sz w:val="20"/>
          <w:szCs w:val="20"/>
          <w:color w:val="auto"/>
        </w:rPr>
      </w:pPr>
      <w:r>
        <w:rPr>
          <w:rFonts w:ascii="Times New Roman" w:cs="Times New Roman" w:eastAsia="Times New Roman" w:hAnsi="Times New Roman"/>
          <w:sz w:val="14"/>
          <w:szCs w:val="14"/>
          <w:color w:val="auto"/>
        </w:rPr>
        <w:t>In accordance with the Separation Agreement, Modine and SpinCo will cooperate and use their reasonable best efforts to cause the conditions to the Distribution to be satisfied as promptly as practicable, but in any event, prior to the Outside Date (as defined below). In addition, Modine is required to use its reasonable best efforts to obtain the opinions referenced in bullets one and four above to consummate the Distribution.</w:t>
      </w:r>
    </w:p>
    <w:p>
      <w:pPr>
        <w:spacing w:after="0" w:line="134" w:lineRule="exact"/>
        <w:rPr>
          <w:sz w:val="20"/>
          <w:szCs w:val="20"/>
          <w:color w:val="auto"/>
        </w:rPr>
      </w:pPr>
    </w:p>
    <w:p>
      <w:pPr>
        <w:ind w:left="1500" w:right="399" w:firstLine="332"/>
        <w:spacing w:after="0" w:line="326" w:lineRule="auto"/>
        <w:rPr>
          <w:sz w:val="20"/>
          <w:szCs w:val="20"/>
          <w:color w:val="auto"/>
        </w:rPr>
      </w:pPr>
      <w:r>
        <w:rPr>
          <w:rFonts w:ascii="Times New Roman" w:cs="Times New Roman" w:eastAsia="Times New Roman" w:hAnsi="Times New Roman"/>
          <w:sz w:val="13"/>
          <w:szCs w:val="13"/>
          <w:b w:val="1"/>
          <w:bCs w:val="1"/>
          <w:i w:val="1"/>
          <w:iCs w:val="1"/>
          <w:color w:val="auto"/>
        </w:rPr>
        <w:t xml:space="preserve">The Merger; Merger Consideration </w:t>
      </w:r>
      <w:r>
        <w:rPr>
          <w:rFonts w:ascii="Times New Roman" w:cs="Times New Roman" w:eastAsia="Times New Roman" w:hAnsi="Times New Roman"/>
          <w:sz w:val="13"/>
          <w:szCs w:val="13"/>
          <w:color w:val="auto"/>
        </w:rPr>
        <w:t>(See the sections entitled “The Transaction Agreements-The Merger Agreement-Merger Consideration;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Gentherm Special Dividend” and “The Transactions-Calculation and Adjustments to the Exchange Ratio; Amount of Gentherm Special Dividend”)</w:t>
      </w:r>
    </w:p>
    <w:p>
      <w:pPr>
        <w:spacing w:after="0" w:line="100"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In accordance with the Merger Agreement, immediately following the Distribution, Merger Sub will merge with and into SpinCo. As a result of the Merger, the separate corporate existence of Merger Sub will cease, and SpinCo will continue as the surviving corporation and a wholly owned subsidiary of Gentherm. Following the Merger, Gentherm will continue the combined business operations of Gentherm and SpinCo (the “combined company”).</w:t>
      </w:r>
    </w:p>
    <w:p>
      <w:pPr>
        <w:spacing w:after="0" w:line="141" w:lineRule="exact"/>
        <w:rPr>
          <w:sz w:val="20"/>
          <w:szCs w:val="20"/>
          <w:color w:val="auto"/>
        </w:rPr>
      </w:pPr>
    </w:p>
    <w:p>
      <w:pPr>
        <w:ind w:left="1500" w:right="379" w:firstLine="332"/>
        <w:spacing w:after="0" w:line="261" w:lineRule="auto"/>
        <w:rPr>
          <w:sz w:val="20"/>
          <w:szCs w:val="20"/>
          <w:color w:val="auto"/>
        </w:rPr>
      </w:pPr>
      <w:r>
        <w:rPr>
          <w:rFonts w:ascii="Times New Roman" w:cs="Times New Roman" w:eastAsia="Times New Roman" w:hAnsi="Times New Roman"/>
          <w:sz w:val="14"/>
          <w:szCs w:val="14"/>
          <w:color w:val="auto"/>
        </w:rPr>
        <w:t>The Merger Agreement provides that, at the Effective Time, each share of SpinCo Common Stock issued and outstanding (except for any such shares held by SpinCo as treasury stock or held by Gentherm or Merger Sub, if any, all of which shares will be canceled) will be automatically converted into the right to receive a number of shares of Gentherm Common Stock, in accordance with the Exchange Ratio (and subject to the adjustments) described below.</w:t>
      </w:r>
    </w:p>
    <w:p>
      <w:pPr>
        <w:spacing w:after="0" w:line="141" w:lineRule="exact"/>
        <w:rPr>
          <w:sz w:val="20"/>
          <w:szCs w:val="20"/>
          <w:color w:val="auto"/>
        </w:rPr>
      </w:pPr>
    </w:p>
    <w:p>
      <w:pPr>
        <w:ind w:left="1500" w:right="599" w:firstLine="332"/>
        <w:spacing w:after="0" w:line="267" w:lineRule="auto"/>
        <w:rPr>
          <w:sz w:val="20"/>
          <w:szCs w:val="20"/>
          <w:color w:val="auto"/>
        </w:rPr>
      </w:pPr>
      <w:r>
        <w:rPr>
          <w:rFonts w:ascii="Times New Roman" w:cs="Times New Roman" w:eastAsia="Times New Roman" w:hAnsi="Times New Roman"/>
          <w:sz w:val="14"/>
          <w:szCs w:val="14"/>
          <w:color w:val="auto"/>
        </w:rPr>
        <w:t xml:space="preserve">Prior to the adjustments provided in the Merger Agreement, the Merger Agreement provides that the Exchange Ratio is equal to a number obtained </w:t>
      </w:r>
      <w:r>
        <w:rPr>
          <w:rFonts w:ascii="Times New Roman" w:cs="Times New Roman" w:eastAsia="Times New Roman" w:hAnsi="Times New Roman"/>
          <w:sz w:val="14"/>
          <w:szCs w:val="14"/>
          <w:i w:val="1"/>
          <w:iCs w:val="1"/>
          <w:color w:val="auto"/>
        </w:rPr>
        <w:t>by dividing</w:t>
      </w:r>
      <w:r>
        <w:rPr>
          <w:rFonts w:ascii="Times New Roman" w:cs="Times New Roman" w:eastAsia="Times New Roman" w:hAnsi="Times New Roman"/>
          <w:sz w:val="14"/>
          <w:szCs w:val="14"/>
          <w:color w:val="auto"/>
        </w:rPr>
        <w:t xml:space="preserve"> (i) the Fully Diluted SpinCo Shares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SpinCo Make Whole Awards by (ii) the number of outstanding shares of SpinCo Common Stock issued immediately following the Distribution.</w:t>
      </w:r>
    </w:p>
    <w:p>
      <w:pPr>
        <w:spacing w:after="0" w:line="136" w:lineRule="exact"/>
        <w:rPr>
          <w:sz w:val="20"/>
          <w:szCs w:val="20"/>
          <w:color w:val="auto"/>
        </w:rPr>
      </w:pPr>
    </w:p>
    <w:p>
      <w:pPr>
        <w:ind w:left="1500" w:right="439" w:firstLine="332"/>
        <w:spacing w:after="0" w:line="254" w:lineRule="auto"/>
        <w:rPr>
          <w:sz w:val="20"/>
          <w:szCs w:val="20"/>
          <w:color w:val="auto"/>
        </w:rPr>
      </w:pPr>
      <w:r>
        <w:rPr>
          <w:rFonts w:ascii="Times New Roman" w:cs="Times New Roman" w:eastAsia="Times New Roman" w:hAnsi="Times New Roman"/>
          <w:sz w:val="14"/>
          <w:szCs w:val="14"/>
          <w:color w:val="auto"/>
        </w:rPr>
        <w:t>However, in order to preserve the tax-free nature of the Distribution for U.S. federal income tax purposes, the Merger Agreement generally provides that, if the Exchange Ratio would result in the percentage of issued and outstanding shares of Gentherm Common Stock to be received in the Merger by former holders of SpinCo Common Stock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being equal to the Threshold Percentage. The Merger Agreement further provides for certain customary adjustments of the Exchange Ratio in the event of stock splits, combinations of shares, reclassifications, recapitalizations or other similar transactions with respect to Gentherm Common Stock. For more information, see the section entitled “The Transactions-Transaction Sequence.”</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32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3380" cy="4732020"/>
                    </a:xfrm>
                    <a:prstGeom prst="rect">
                      <a:avLst/>
                    </a:prstGeom>
                    <a:noFill/>
                  </pic:spPr>
                </pic:pic>
              </a:graphicData>
            </a:graphic>
          </wp:anchor>
        </w:drawing>
      </w:r>
    </w:p>
    <w:p>
      <w:pPr>
        <w:spacing w:after="0" w:line="368" w:lineRule="exact"/>
        <w:rPr>
          <w:sz w:val="20"/>
          <w:szCs w:val="20"/>
          <w:color w:val="auto"/>
        </w:rPr>
      </w:pPr>
    </w:p>
    <w:p>
      <w:pPr>
        <w:ind w:left="1500" w:right="459" w:firstLine="332"/>
        <w:spacing w:after="0" w:line="261" w:lineRule="auto"/>
        <w:rPr>
          <w:sz w:val="20"/>
          <w:szCs w:val="20"/>
          <w:color w:val="auto"/>
        </w:rPr>
      </w:pPr>
      <w:r>
        <w:rPr>
          <w:rFonts w:ascii="Times New Roman" w:cs="Times New Roman" w:eastAsia="Times New Roman" w:hAnsi="Times New Roman"/>
          <w:sz w:val="14"/>
          <w:szCs w:val="14"/>
          <w:color w:val="auto"/>
        </w:rPr>
        <w:t>If additional shares of Gentherm Common Stock are required to be issued as a result of the Exchange Ratio adjustment, the Merger Agreement provides that, prior to the Merger, subject to applicable laws and the Merger Agreement, SpinCo will reduce the amount of the SpinCo Cash Distribution by an aggregate amount equal to the lesser of (x) the Aggregate Adjustment Amount and (y) $35.0 million (the “Initial Adjustment Cap”) (or, if clauses (x) and (y) are equal, such amount) (the “Initial Adjustment Amount”).</w:t>
      </w:r>
    </w:p>
    <w:p>
      <w:pPr>
        <w:spacing w:after="0" w:line="141" w:lineRule="exact"/>
        <w:rPr>
          <w:sz w:val="20"/>
          <w:szCs w:val="20"/>
          <w:color w:val="auto"/>
        </w:rPr>
      </w:pPr>
    </w:p>
    <w:p>
      <w:pPr>
        <w:ind w:left="1500" w:right="439" w:firstLine="332"/>
        <w:spacing w:after="0" w:line="258" w:lineRule="auto"/>
        <w:rPr>
          <w:sz w:val="20"/>
          <w:szCs w:val="20"/>
          <w:color w:val="auto"/>
        </w:rPr>
      </w:pPr>
      <w:r>
        <w:rPr>
          <w:rFonts w:ascii="Times New Roman" w:cs="Times New Roman" w:eastAsia="Times New Roman" w:hAnsi="Times New Roman"/>
          <w:sz w:val="14"/>
          <w:szCs w:val="14"/>
          <w:color w:val="auto"/>
        </w:rPr>
        <w:t>If the Aggregate Adjustment Amount exceeds the Initial Adjustment Cap, then, with respect to the incremental portion of the Aggregate Adjustment Amount that exceeds the Initial Adjustment Cap, Gentherm, subject to applicable law, will declare the Gentherm Special Dividend pro rata to the holders of Gentherm Common Stock as of a record date prior to the Closing Date in an aggregate amount equal to the lesser of (x) the Aggregate Adjustment Amount minus the Initial Adjustment Cap and (y) $70.0 million minus the Initial Adjustment Cap (or, if clauses (x) and (y) are equal, such amount) (the “Intermediate Adjustment Amount”).</w:t>
      </w:r>
    </w:p>
    <w:p>
      <w:pPr>
        <w:spacing w:after="0" w:line="144" w:lineRule="exact"/>
        <w:rPr>
          <w:sz w:val="20"/>
          <w:szCs w:val="20"/>
          <w:color w:val="auto"/>
        </w:rPr>
      </w:pPr>
    </w:p>
    <w:p>
      <w:pPr>
        <w:ind w:left="1500" w:right="379" w:firstLine="332"/>
        <w:spacing w:after="0" w:line="257" w:lineRule="auto"/>
        <w:rPr>
          <w:sz w:val="20"/>
          <w:szCs w:val="20"/>
          <w:color w:val="auto"/>
        </w:rPr>
      </w:pPr>
      <w:r>
        <w:rPr>
          <w:rFonts w:ascii="Times New Roman" w:cs="Times New Roman" w:eastAsia="Times New Roman" w:hAnsi="Times New Roman"/>
          <w:sz w:val="14"/>
          <w:szCs w:val="14"/>
          <w:color w:val="auto"/>
        </w:rPr>
        <w:t>If the Aggregate Adjustment Amount exceeds $70.0 million (the “Intermediate Adjustment Cap”), then, with respect to the incremental portion of the Aggregate Adjustment Amount that exceeds the Intermediate Adjustment Cap: (i) the amount of the SpinCo Cash Distribution will be further decreased by an amount equal to 40% of the Final Adjustment Amount, and (ii) the Gentherm Special Dividend will be increased by an amount equal to 60% of the Final Adjustment Amount. The “Final Adjustment Amount” means the lesser of (x) the Aggregate Adjustment Amount minus the Intermediate Adjustment Cap and (y) $200.0 million (the “Final Adjustment Cap”) minus the Intermediate Adjustment Cap (or, if clauses (x) and (y) are equal, such amount).</w:t>
      </w:r>
    </w:p>
    <w:p>
      <w:pPr>
        <w:spacing w:after="0" w:line="143" w:lineRule="exact"/>
        <w:rPr>
          <w:sz w:val="20"/>
          <w:szCs w:val="20"/>
          <w:color w:val="auto"/>
        </w:rPr>
      </w:pPr>
    </w:p>
    <w:p>
      <w:pPr>
        <w:ind w:left="1500" w:right="399" w:firstLine="332"/>
        <w:spacing w:after="0" w:line="255" w:lineRule="auto"/>
        <w:rPr>
          <w:sz w:val="20"/>
          <w:szCs w:val="20"/>
          <w:color w:val="auto"/>
        </w:rPr>
      </w:pPr>
      <w:r>
        <w:rPr>
          <w:rFonts w:ascii="Times New Roman" w:cs="Times New Roman" w:eastAsia="Times New Roman" w:hAnsi="Times New Roman"/>
          <w:sz w:val="14"/>
          <w:szCs w:val="14"/>
          <w:color w:val="auto"/>
        </w:rPr>
        <w:t>In the event that the Aggregate Adjustment Amount exceeds the Final Adjustment Cap (the amount by which the Aggregate Adjustment Amount exceeds the Final Adjustment Cap, the “Excess Adjustment Amount”), then (i) Modine will, in its sole discretion, be entitled to further decrease the amount of the SpinCo Cash Distribution up to the Excess Adjustment Amount and (ii) Gentherm will, in its sole discretion, be entitled to further increase the Gentherm Special Dividend up to the Excess Adjustment Amount. If the Aggregate Adjustment Amount exceeds the Final Adjustment Cap and the sum of (x) the absolute value of the decrease in the SpinCo Cash Distribution described in clause (i) of the prior sentence and (y) the increase in the Gentherm Special Dividend described in clause (ii) of the prior sentence is less than the Excess Adjustment Amount, then the Exchange Ratio will not be increased as contemplated, and neither Modine nor Gentherm will be obligated to consummate the transactions contemplated to occur at the Closing.</w:t>
      </w:r>
    </w:p>
    <w:p>
      <w:pPr>
        <w:spacing w:after="0" w:line="145" w:lineRule="exact"/>
        <w:rPr>
          <w:sz w:val="20"/>
          <w:szCs w:val="20"/>
          <w:color w:val="auto"/>
        </w:rPr>
      </w:pPr>
    </w:p>
    <w:p>
      <w:pPr>
        <w:ind w:left="1500" w:right="379" w:firstLine="332"/>
        <w:spacing w:after="0" w:line="257" w:lineRule="auto"/>
        <w:rPr>
          <w:sz w:val="20"/>
          <w:szCs w:val="20"/>
          <w:color w:val="auto"/>
        </w:rPr>
      </w:pPr>
      <w:r>
        <w:rPr>
          <w:rFonts w:ascii="Times New Roman" w:cs="Times New Roman" w:eastAsia="Times New Roman" w:hAnsi="Times New Roman"/>
          <w:sz w:val="14"/>
          <w:szCs w:val="14"/>
          <w:color w:val="auto"/>
        </w:rPr>
        <w:t>No fractional shares of Gentherm Common Stock or book-entry credit of the same will be issued pursuant to the Merger. All fractional shares of Gentherm Common Stock that a holder of SpinCo Common Stock would otherwise be entitled to receive as a result of the Merger will, in lieu of such fraction of a share, be aggregated by the Exchange Agent. The Exchange Agent will cause the whole shares obtained thereby to be sold on behalf of such holders that would otherwise have been entitled to receive a fractional share of Gentherm Common Stock pursuant to the Merger in the open market (or otherwise as reasonably directed by Gentherm), in each case, at then-prevailing market prices and in no case later than 10 business days after the Effective Time.</w:t>
      </w:r>
    </w:p>
    <w:p>
      <w:pPr>
        <w:spacing w:after="0" w:line="1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Conditions to the Merger </w:t>
      </w:r>
      <w:r>
        <w:rPr>
          <w:rFonts w:ascii="Times New Roman" w:cs="Times New Roman" w:eastAsia="Times New Roman" w:hAnsi="Times New Roman"/>
          <w:sz w:val="14"/>
          <w:szCs w:val="14"/>
          <w:color w:val="auto"/>
        </w:rPr>
        <w:t>(See “The Transaction Agreements-The Merger Agreement-Conditions to the Merger”)</w:t>
      </w:r>
    </w:p>
    <w:p>
      <w:pPr>
        <w:spacing w:after="0" w:line="26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Mutual Conditions</w:t>
      </w:r>
    </w:p>
    <w:p>
      <w:pPr>
        <w:spacing w:after="0" w:line="93" w:lineRule="exact"/>
        <w:rPr>
          <w:sz w:val="20"/>
          <w:szCs w:val="20"/>
          <w:color w:val="auto"/>
        </w:rPr>
      </w:pPr>
    </w:p>
    <w:p>
      <w:pPr>
        <w:ind w:left="1500" w:right="679" w:firstLine="332"/>
        <w:spacing w:after="0" w:line="283" w:lineRule="auto"/>
        <w:rPr>
          <w:sz w:val="20"/>
          <w:szCs w:val="20"/>
          <w:color w:val="auto"/>
        </w:rPr>
      </w:pPr>
      <w:r>
        <w:rPr>
          <w:rFonts w:ascii="Times New Roman" w:cs="Times New Roman" w:eastAsia="Times New Roman" w:hAnsi="Times New Roman"/>
          <w:sz w:val="14"/>
          <w:szCs w:val="14"/>
          <w:color w:val="auto"/>
        </w:rPr>
        <w:t>The obligations of each party to the Merger Agreement to consummate the Merger are subject to the fulfillment or waiver by each of the parties of the following conditions:</w:t>
      </w:r>
    </w:p>
    <w:p>
      <w:pPr>
        <w:spacing w:after="0" w:line="51" w:lineRule="exact"/>
        <w:rPr>
          <w:sz w:val="20"/>
          <w:szCs w:val="20"/>
          <w:color w:val="auto"/>
        </w:rPr>
      </w:pPr>
    </w:p>
    <w:p>
      <w:pPr>
        <w:ind w:left="2220" w:right="619" w:hanging="313"/>
        <w:spacing w:after="0" w:line="283" w:lineRule="auto"/>
        <w:tabs>
          <w:tab w:leader="none" w:pos="22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or termination of any applicable waiting period under the HSR Act with respect to the Merger and the receipt of any required consents, authorizations, approvals, orders, filings and</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012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3380" cy="5012690"/>
                    </a:xfrm>
                    <a:prstGeom prst="rect">
                      <a:avLst/>
                    </a:prstGeom>
                    <a:noFill/>
                  </pic:spPr>
                </pic:pic>
              </a:graphicData>
            </a:graphic>
          </wp:anchor>
        </w:drawing>
      </w:r>
    </w:p>
    <w:p>
      <w:pPr>
        <w:spacing w:after="0" w:line="368" w:lineRule="exact"/>
        <w:rPr>
          <w:sz w:val="20"/>
          <w:szCs w:val="20"/>
          <w:color w:val="auto"/>
        </w:rPr>
      </w:pPr>
    </w:p>
    <w:p>
      <w:pPr>
        <w:ind w:left="2240" w:right="419"/>
        <w:spacing w:after="0" w:line="267" w:lineRule="auto"/>
        <w:rPr>
          <w:sz w:val="20"/>
          <w:szCs w:val="20"/>
          <w:color w:val="auto"/>
        </w:rPr>
      </w:pPr>
      <w:r>
        <w:rPr>
          <w:rFonts w:ascii="Times New Roman" w:cs="Times New Roman" w:eastAsia="Times New Roman" w:hAnsi="Times New Roman"/>
          <w:sz w:val="14"/>
          <w:szCs w:val="14"/>
          <w:color w:val="auto"/>
        </w:rPr>
        <w:t>declarations required to be obtained prior to the Merger from certain Governmental Authorities under applicable laws (or any applicable waiting period thereunder shall have expired or been terminated), as applicable, without the imposition of any Burdensome Condition;</w:t>
      </w:r>
    </w:p>
    <w:p>
      <w:pPr>
        <w:spacing w:after="0" w:line="62" w:lineRule="exact"/>
        <w:rPr>
          <w:sz w:val="20"/>
          <w:szCs w:val="20"/>
          <w:color w:val="auto"/>
        </w:rPr>
      </w:pPr>
    </w:p>
    <w:p>
      <w:pPr>
        <w:ind w:left="2220" w:right="659" w:hanging="313"/>
        <w:spacing w:after="0" w:line="283" w:lineRule="auto"/>
        <w:tabs>
          <w:tab w:leader="none" w:pos="22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the Separation and the Distribution in accordance with the terms of the Separation Agreement in all material respects;</w:t>
      </w:r>
    </w:p>
    <w:p>
      <w:pPr>
        <w:spacing w:after="0" w:line="51" w:lineRule="exact"/>
        <w:rPr>
          <w:rFonts w:ascii="Times New Roman" w:cs="Times New Roman" w:eastAsia="Times New Roman" w:hAnsi="Times New Roman"/>
          <w:sz w:val="14"/>
          <w:szCs w:val="14"/>
          <w:color w:val="auto"/>
        </w:rPr>
      </w:pPr>
    </w:p>
    <w:p>
      <w:pPr>
        <w:ind w:left="2220" w:right="399" w:hanging="313"/>
        <w:spacing w:after="0" w:line="267" w:lineRule="auto"/>
        <w:tabs>
          <w:tab w:leader="none" w:pos="22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the Gentherm Registration Statement and the SpinCo Registration Statement in accordance with the Securities Act or the Exchange Act and the absence of any stop order by the SEC or actual or threatened proceedings by a Governmental Authority seeking such a stop order;</w:t>
      </w:r>
    </w:p>
    <w:p>
      <w:pPr>
        <w:spacing w:after="0" w:line="61" w:lineRule="exact"/>
        <w:rPr>
          <w:rFonts w:ascii="Times New Roman" w:cs="Times New Roman" w:eastAsia="Times New Roman" w:hAnsi="Times New Roman"/>
          <w:sz w:val="14"/>
          <w:szCs w:val="14"/>
          <w:color w:val="auto"/>
        </w:rPr>
      </w:pPr>
    </w:p>
    <w:p>
      <w:pPr>
        <w:ind w:left="2220" w:right="459" w:hanging="313"/>
        <w:spacing w:after="0" w:line="261" w:lineRule="auto"/>
        <w:tabs>
          <w:tab w:leader="none" w:pos="22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 Governmental Authority of competent jurisdiction in the United States, Czech Republic or Germany having enacted, issued or promulgated any law, statute, code, ordinance, rule or regulations, or having issued or granted any Order (as defined in the Merger Agreement), in each case, that remains in effect and that has the effect of restraining, enjoining or prohibiting the consummation of the Separation, the Distribution or the Merger;</w:t>
      </w:r>
    </w:p>
    <w:p>
      <w:pPr>
        <w:spacing w:after="0" w:line="67" w:lineRule="exact"/>
        <w:rPr>
          <w:rFonts w:ascii="Times New Roman" w:cs="Times New Roman" w:eastAsia="Times New Roman" w:hAnsi="Times New Roman"/>
          <w:sz w:val="14"/>
          <w:szCs w:val="14"/>
          <w:color w:val="auto"/>
        </w:rPr>
      </w:pPr>
    </w:p>
    <w:p>
      <w:pPr>
        <w:ind w:left="2220" w:right="439" w:hanging="313"/>
        <w:spacing w:after="0" w:line="283" w:lineRule="auto"/>
        <w:tabs>
          <w:tab w:leader="none" w:pos="22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by Gentherm shareholders of the Gentherm Share Issuance Proposal and the Charter Amendment Proposal at the Special Meeting; and</w:t>
      </w:r>
    </w:p>
    <w:p>
      <w:pPr>
        <w:spacing w:after="0" w:line="51" w:lineRule="exact"/>
        <w:rPr>
          <w:rFonts w:ascii="Times New Roman" w:cs="Times New Roman" w:eastAsia="Times New Roman" w:hAnsi="Times New Roman"/>
          <w:sz w:val="14"/>
          <w:szCs w:val="14"/>
          <w:color w:val="auto"/>
        </w:rPr>
      </w:pPr>
    </w:p>
    <w:p>
      <w:pPr>
        <w:ind w:left="2220" w:right="439" w:hanging="313"/>
        <w:spacing w:after="0" w:line="283" w:lineRule="auto"/>
        <w:tabs>
          <w:tab w:leader="none" w:pos="22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for listing (subject to official notice of issuance) on Nasdaq of the shares of Gentherm Common Stock to be issued to the holders of SpinCo Common Stock pursuant to the Merger.</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Modine’s and SpinCo’s Conditions</w:t>
      </w:r>
    </w:p>
    <w:p>
      <w:pPr>
        <w:spacing w:after="0" w:line="93" w:lineRule="exact"/>
        <w:rPr>
          <w:sz w:val="20"/>
          <w:szCs w:val="20"/>
          <w:color w:val="auto"/>
        </w:rPr>
      </w:pPr>
    </w:p>
    <w:p>
      <w:pPr>
        <w:ind w:left="1500" w:right="819" w:firstLine="332"/>
        <w:spacing w:after="0" w:line="283" w:lineRule="auto"/>
        <w:rPr>
          <w:sz w:val="20"/>
          <w:szCs w:val="20"/>
          <w:color w:val="auto"/>
        </w:rPr>
      </w:pPr>
      <w:r>
        <w:rPr>
          <w:rFonts w:ascii="Times New Roman" w:cs="Times New Roman" w:eastAsia="Times New Roman" w:hAnsi="Times New Roman"/>
          <w:sz w:val="14"/>
          <w:szCs w:val="14"/>
          <w:color w:val="auto"/>
        </w:rPr>
        <w:t>The obligations of Modine and SpinCo to consummate the Merger are subject to the fulfillment or waiver by Modine of the following additional conditions:</w:t>
      </w:r>
    </w:p>
    <w:p>
      <w:pPr>
        <w:spacing w:after="0" w:line="51" w:lineRule="exact"/>
        <w:rPr>
          <w:sz w:val="20"/>
          <w:szCs w:val="20"/>
          <w:color w:val="auto"/>
        </w:rPr>
      </w:pPr>
    </w:p>
    <w:p>
      <w:pPr>
        <w:ind w:left="2220" w:right="419" w:hanging="313"/>
        <w:spacing w:after="0" w:line="323" w:lineRule="auto"/>
        <w:tabs>
          <w:tab w:leader="none" w:pos="22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and compliance by Gentherm and Merger Sub in all material respects with the obligations, covenants and agreements required by the Merger Agreement to be performed or complied with by Gentherm and Merger Sub at or prior to the Closing Date;</w:t>
      </w:r>
    </w:p>
    <w:p>
      <w:pPr>
        <w:spacing w:after="0" w:line="28" w:lineRule="exact"/>
        <w:rPr>
          <w:rFonts w:ascii="Times New Roman" w:cs="Times New Roman" w:eastAsia="Times New Roman" w:hAnsi="Times New Roman"/>
          <w:sz w:val="13"/>
          <w:szCs w:val="13"/>
          <w:color w:val="auto"/>
        </w:rPr>
      </w:pPr>
    </w:p>
    <w:p>
      <w:pPr>
        <w:ind w:left="2220" w:right="799" w:hanging="313"/>
        <w:spacing w:after="0" w:line="283" w:lineRule="auto"/>
        <w:tabs>
          <w:tab w:leader="none" w:pos="22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of the representations and warranties of Gentherm and Merger Sub set forth in the Merger Agreement, generally both when made and as of the Closing Date, subject to certain specified materiality standards;</w:t>
      </w:r>
    </w:p>
    <w:p>
      <w:pPr>
        <w:spacing w:after="0" w:line="51" w:lineRule="exact"/>
        <w:rPr>
          <w:rFonts w:ascii="Times New Roman" w:cs="Times New Roman" w:eastAsia="Times New Roman" w:hAnsi="Times New Roman"/>
          <w:sz w:val="14"/>
          <w:szCs w:val="14"/>
          <w:color w:val="auto"/>
        </w:rPr>
      </w:pPr>
    </w:p>
    <w:p>
      <w:pPr>
        <w:ind w:left="2220" w:right="619" w:hanging="313"/>
        <w:spacing w:after="0" w:line="283" w:lineRule="auto"/>
        <w:tabs>
          <w:tab w:leader="none" w:pos="22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delivery by Gentherm and Merger Sub to Modine of a certificate dated as of the Closing Date signed by an executive officer of Gentherm and Merger Sub certifying the satisfaction of the conditions described in the preceding two bullet points;</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Modine of the Modine Merger Tax Opinion;</w:t>
      </w:r>
    </w:p>
    <w:p>
      <w:pPr>
        <w:spacing w:after="0" w:line="101" w:lineRule="exact"/>
        <w:rPr>
          <w:rFonts w:ascii="Times New Roman" w:cs="Times New Roman" w:eastAsia="Times New Roman" w:hAnsi="Times New Roman"/>
          <w:sz w:val="14"/>
          <w:szCs w:val="14"/>
          <w:color w:val="auto"/>
        </w:rPr>
      </w:pPr>
    </w:p>
    <w:p>
      <w:pPr>
        <w:jc w:val="both"/>
        <w:ind w:left="2220" w:right="399" w:hanging="313"/>
        <w:spacing w:after="0" w:line="323" w:lineRule="auto"/>
        <w:tabs>
          <w:tab w:leader="none" w:pos="22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by Modine of (i) the IRS Ruling, in form and substance reasonably satisfactory to Modine, which shall continue to be valid and in full force and effect and (ii) the Modine Distribution Tax Opinion in form and substance reasonably satisfactory to Modine; and</w:t>
      </w:r>
    </w:p>
    <w:p>
      <w:pPr>
        <w:spacing w:after="0" w:line="28" w:lineRule="exact"/>
        <w:rPr>
          <w:rFonts w:ascii="Times New Roman" w:cs="Times New Roman" w:eastAsia="Times New Roman" w:hAnsi="Times New Roman"/>
          <w:sz w:val="13"/>
          <w:szCs w:val="13"/>
          <w:color w:val="auto"/>
        </w:rPr>
      </w:pPr>
    </w:p>
    <w:p>
      <w:pPr>
        <w:ind w:left="2220" w:hanging="313"/>
        <w:spacing w:after="0"/>
        <w:tabs>
          <w:tab w:leader="none" w:pos="22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SpinCo Cash Distribution having occurred.</w:t>
      </w:r>
    </w:p>
    <w:p>
      <w:pPr>
        <w:spacing w:after="0" w:line="175" w:lineRule="exact"/>
        <w:rPr>
          <w:sz w:val="20"/>
          <w:szCs w:val="20"/>
          <w:color w:val="auto"/>
        </w:rPr>
      </w:pPr>
    </w:p>
    <w:p>
      <w:pPr>
        <w:ind w:left="1500" w:right="379" w:firstLine="332"/>
        <w:spacing w:after="0" w:line="256" w:lineRule="auto"/>
        <w:rPr>
          <w:sz w:val="20"/>
          <w:szCs w:val="20"/>
          <w:color w:val="auto"/>
        </w:rPr>
      </w:pPr>
      <w:r>
        <w:rPr>
          <w:rFonts w:ascii="Times New Roman" w:cs="Times New Roman" w:eastAsia="Times New Roman" w:hAnsi="Times New Roman"/>
          <w:sz w:val="14"/>
          <w:szCs w:val="14"/>
          <w:color w:val="auto"/>
        </w:rPr>
        <w:t>Each of these conditions may be waived by Modine. If the IRS Ruling condition is waived, Modine may not be permitted to take into account the number of shares of Modine Common Stock and Gentherm Common Stock owned by certain categories of investors who are both Modine shareholders and Gentherm shareholders in determining the number of shares of Gentherm Common Stock that Modine shareholders must receive to not result in gain imposed under Section 355(e) of the Code with respect to the Distribution. In the absence of the IRS Ruling, the adjustments to the Exchange Ratio pursuant to the mechanism set forth in the Merger Agreement and described in this proxy statement/prospectus and the Gentherm Special Dividend may be insufficient to prevent gain imposed under Section 355(e) of the Code with respect to, and there is significant risk that Modine</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990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3380" cy="4699000"/>
                    </a:xfrm>
                    <a:prstGeom prst="rect">
                      <a:avLst/>
                    </a:prstGeom>
                    <a:noFill/>
                  </pic:spPr>
                </pic:pic>
              </a:graphicData>
            </a:graphic>
          </wp:anchor>
        </w:drawing>
      </w:r>
    </w:p>
    <w:p>
      <w:pPr>
        <w:spacing w:after="0" w:line="368" w:lineRule="exact"/>
        <w:rPr>
          <w:sz w:val="20"/>
          <w:szCs w:val="20"/>
          <w:color w:val="auto"/>
        </w:rPr>
      </w:pPr>
    </w:p>
    <w:p>
      <w:pPr>
        <w:ind w:left="1500" w:right="399"/>
        <w:spacing w:after="0" w:line="261" w:lineRule="auto"/>
        <w:rPr>
          <w:sz w:val="20"/>
          <w:szCs w:val="20"/>
          <w:color w:val="auto"/>
        </w:rPr>
      </w:pPr>
      <w:r>
        <w:rPr>
          <w:rFonts w:ascii="Times New Roman" w:cs="Times New Roman" w:eastAsia="Times New Roman" w:hAnsi="Times New Roman"/>
          <w:sz w:val="14"/>
          <w:szCs w:val="14"/>
          <w:color w:val="auto"/>
        </w:rPr>
        <w:t>would recognize a material amount of taxable gain, on the Distribution. Gentherm will undertake to recirculate and resolicit shareholder approval if the IRS Ruling, Modine Distribution Tax Opinion or Modine Merger Tax Opinion condition is waived and the change in U.S. federal income tax considerations is material. For more information, see the section entitled “Material U.S. Federal Income Tax Considerations of the Distribution and the Merger,” and for a discussion of the IRS Ruling, see the section entitled “The Transactions-IRS Ruling.”</w:t>
      </w:r>
    </w:p>
    <w:p>
      <w:pPr>
        <w:spacing w:after="0" w:line="2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Gentherm’s and Merger Sub’s Conditions</w:t>
      </w:r>
    </w:p>
    <w:p>
      <w:pPr>
        <w:spacing w:after="0" w:line="93" w:lineRule="exact"/>
        <w:rPr>
          <w:sz w:val="20"/>
          <w:szCs w:val="20"/>
          <w:color w:val="auto"/>
        </w:rPr>
      </w:pPr>
    </w:p>
    <w:p>
      <w:pPr>
        <w:ind w:left="1500" w:right="919" w:firstLine="332"/>
        <w:spacing w:after="0" w:line="283" w:lineRule="auto"/>
        <w:rPr>
          <w:sz w:val="20"/>
          <w:szCs w:val="20"/>
          <w:color w:val="auto"/>
        </w:rPr>
      </w:pPr>
      <w:r>
        <w:rPr>
          <w:rFonts w:ascii="Times New Roman" w:cs="Times New Roman" w:eastAsia="Times New Roman" w:hAnsi="Times New Roman"/>
          <w:sz w:val="14"/>
          <w:szCs w:val="14"/>
          <w:color w:val="auto"/>
        </w:rPr>
        <w:t>The obligations of Gentherm and Merger Sub to consummate the Merger are subject to the fulfillment or waiver by Gentherm of the following additional conditions:</w:t>
      </w:r>
    </w:p>
    <w:p>
      <w:pPr>
        <w:spacing w:after="0" w:line="51" w:lineRule="exact"/>
        <w:rPr>
          <w:sz w:val="20"/>
          <w:szCs w:val="20"/>
          <w:color w:val="auto"/>
        </w:rPr>
      </w:pPr>
    </w:p>
    <w:p>
      <w:pPr>
        <w:ind w:left="2220" w:right="459" w:hanging="313"/>
        <w:spacing w:after="0" w:line="283" w:lineRule="auto"/>
        <w:tabs>
          <w:tab w:leader="none" w:pos="22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compliance by each of Modine and SpinCo in all material respects of the obligations, covenants and agreements required by the Merger Agreement to be performed or complied with by it at or prior to the Closing;</w:t>
      </w:r>
    </w:p>
    <w:p>
      <w:pPr>
        <w:spacing w:after="0" w:line="51" w:lineRule="exact"/>
        <w:rPr>
          <w:rFonts w:ascii="Times New Roman" w:cs="Times New Roman" w:eastAsia="Times New Roman" w:hAnsi="Times New Roman"/>
          <w:sz w:val="14"/>
          <w:szCs w:val="14"/>
          <w:color w:val="auto"/>
        </w:rPr>
      </w:pPr>
    </w:p>
    <w:p>
      <w:pPr>
        <w:ind w:left="2220" w:right="619" w:hanging="313"/>
        <w:spacing w:after="0" w:line="283" w:lineRule="auto"/>
        <w:tabs>
          <w:tab w:leader="none" w:pos="22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of the representations and warranties of Modine and SpinCo set forth in the Merger Agreement, generally both when made and as of the Closing Date, subject to certain specified materiality standards;</w:t>
      </w:r>
    </w:p>
    <w:p>
      <w:pPr>
        <w:spacing w:after="0" w:line="51" w:lineRule="exact"/>
        <w:rPr>
          <w:rFonts w:ascii="Times New Roman" w:cs="Times New Roman" w:eastAsia="Times New Roman" w:hAnsi="Times New Roman"/>
          <w:sz w:val="14"/>
          <w:szCs w:val="14"/>
          <w:color w:val="auto"/>
        </w:rPr>
      </w:pPr>
    </w:p>
    <w:p>
      <w:pPr>
        <w:ind w:left="2220" w:right="439" w:hanging="313"/>
        <w:spacing w:after="0" w:line="283" w:lineRule="auto"/>
        <w:tabs>
          <w:tab w:leader="none" w:pos="22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Gentherm and Merger Sub of a certificate executed by an executive officer of Modine confirming the satisfaction of the conditions described in the preceding two bullet points; and</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Gentherm of the Gentherm Merger Tax Opinion.</w:t>
      </w:r>
    </w:p>
    <w:p>
      <w:pPr>
        <w:spacing w:after="0" w:line="175" w:lineRule="exact"/>
        <w:rPr>
          <w:sz w:val="20"/>
          <w:szCs w:val="20"/>
          <w:color w:val="auto"/>
        </w:rPr>
      </w:pPr>
    </w:p>
    <w:p>
      <w:pPr>
        <w:ind w:left="1500" w:right="399" w:firstLine="332"/>
        <w:spacing w:after="0" w:line="267" w:lineRule="auto"/>
        <w:rPr>
          <w:sz w:val="20"/>
          <w:szCs w:val="20"/>
          <w:color w:val="auto"/>
        </w:rPr>
      </w:pPr>
      <w:r>
        <w:rPr>
          <w:rFonts w:ascii="Times New Roman" w:cs="Times New Roman" w:eastAsia="Times New Roman" w:hAnsi="Times New Roman"/>
          <w:sz w:val="14"/>
          <w:szCs w:val="14"/>
          <w:color w:val="auto"/>
        </w:rPr>
        <w:t>Each of these conditions may be waived by Gentherm. Gentherm will undertake to recirculate and resolicit shareholder approval if the Gentherm Merger Tax Opinion condition is waived and the change in U.S. federal income tax considerations is material. For more information, see the section entitled “Material U.S. Federal Income Tax Considerations of the Distribution and the Merger.”</w:t>
      </w:r>
    </w:p>
    <w:p>
      <w:pPr>
        <w:spacing w:after="0" w:line="13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Ancillary Documents </w:t>
      </w:r>
      <w:r>
        <w:rPr>
          <w:rFonts w:ascii="Times New Roman" w:cs="Times New Roman" w:eastAsia="Times New Roman" w:hAnsi="Times New Roman"/>
          <w:sz w:val="14"/>
          <w:szCs w:val="14"/>
          <w:color w:val="auto"/>
        </w:rPr>
        <w:t>(See “Additional Agreements Related to the Separation, The Distribution and the Merger”)</w:t>
      </w:r>
    </w:p>
    <w:p>
      <w:pPr>
        <w:spacing w:after="0" w:line="26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Employee Matters Agreement</w:t>
      </w:r>
    </w:p>
    <w:p>
      <w:pPr>
        <w:spacing w:after="0" w:line="93" w:lineRule="exact"/>
        <w:rPr>
          <w:sz w:val="20"/>
          <w:szCs w:val="20"/>
          <w:color w:val="auto"/>
        </w:rPr>
      </w:pPr>
    </w:p>
    <w:p>
      <w:pPr>
        <w:ind w:left="1500" w:right="499" w:firstLine="332"/>
        <w:spacing w:after="0" w:line="257" w:lineRule="auto"/>
        <w:rPr>
          <w:sz w:val="20"/>
          <w:szCs w:val="20"/>
          <w:color w:val="auto"/>
        </w:rPr>
      </w:pPr>
      <w:r>
        <w:rPr>
          <w:rFonts w:ascii="Times New Roman" w:cs="Times New Roman" w:eastAsia="Times New Roman" w:hAnsi="Times New Roman"/>
          <w:sz w:val="14"/>
          <w:szCs w:val="14"/>
          <w:color w:val="auto"/>
        </w:rPr>
        <w:t>Modine, SpinCo and Gentherm will enter into an Employee Matters Agreement with respect to the transfer of the employment of certain employees of the Modine Group and the SpinCo Group and related matters, including allocation among the parties of assets, liabilities and responsibilities with respect to terms of employment, benefit plan transition and coverage and other compensation and labor matters, as well as responsibility for employee and benefit plan liabilities for certain current and former employees of the Modine Group and the SpinCo Group. The material terms of the Employee Matters Agreement are described in more detail under “Additional Agreements Related to the Separation, the Distribution and the Merger-Employee Matters Agreement.”</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Tax Matters Agreement</w:t>
      </w:r>
    </w:p>
    <w:p>
      <w:pPr>
        <w:spacing w:after="0" w:line="93" w:lineRule="exact"/>
        <w:rPr>
          <w:sz w:val="20"/>
          <w:szCs w:val="20"/>
          <w:color w:val="auto"/>
        </w:rPr>
      </w:pPr>
    </w:p>
    <w:p>
      <w:pPr>
        <w:ind w:left="1500" w:right="399" w:firstLine="332"/>
        <w:spacing w:after="0" w:line="257" w:lineRule="auto"/>
        <w:rPr>
          <w:sz w:val="20"/>
          <w:szCs w:val="20"/>
          <w:color w:val="auto"/>
        </w:rPr>
      </w:pPr>
      <w:r>
        <w:rPr>
          <w:rFonts w:ascii="Times New Roman" w:cs="Times New Roman" w:eastAsia="Times New Roman" w:hAnsi="Times New Roman"/>
          <w:sz w:val="14"/>
          <w:szCs w:val="14"/>
          <w:color w:val="auto"/>
        </w:rPr>
        <w:t>SpinCo, Modine and Gentherm will enter into a Tax Matters Agreement that governs the parties’ respective rights, responsibilities and obligations with respect to taxes of SpinCo, Modine and their respective subsidiaries (including taxes arising in the ordinary course of business and taxes, if any, incurred as a result of any failure of the Separation or the Distribution to qualify for their intended tax treatment), tax benefits and attributes, the preparation and filing of tax returns, the control of audits and other tax proceedings, and assistance and cooperation in respect of tax matters. The material terms of the Tax Matters Agreement are described in more detail under “Additional Agreements Related to the Separation, the Distribution and the Merger-Tax Matters Agreement.”</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32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3380" cy="4832350"/>
                    </a:xfrm>
                    <a:prstGeom prst="rect">
                      <a:avLst/>
                    </a:prstGeom>
                    <a:noFill/>
                  </pic:spPr>
                </pic:pic>
              </a:graphicData>
            </a:graphic>
          </wp:anchor>
        </w:drawing>
      </w:r>
    </w:p>
    <w:p>
      <w:pPr>
        <w:spacing w:after="0" w:line="36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Intellectual Property Matters Agreement</w:t>
      </w:r>
    </w:p>
    <w:p>
      <w:pPr>
        <w:spacing w:after="0" w:line="93" w:lineRule="exact"/>
        <w:rPr>
          <w:sz w:val="20"/>
          <w:szCs w:val="20"/>
          <w:color w:val="auto"/>
        </w:rPr>
      </w:pPr>
    </w:p>
    <w:p>
      <w:pPr>
        <w:ind w:left="1500" w:right="379" w:firstLine="332"/>
        <w:spacing w:after="0" w:line="261" w:lineRule="auto"/>
        <w:rPr>
          <w:sz w:val="20"/>
          <w:szCs w:val="20"/>
          <w:color w:val="auto"/>
        </w:rPr>
      </w:pPr>
      <w:r>
        <w:rPr>
          <w:rFonts w:ascii="Times New Roman" w:cs="Times New Roman" w:eastAsia="Times New Roman" w:hAnsi="Times New Roman"/>
          <w:sz w:val="14"/>
          <w:szCs w:val="14"/>
          <w:color w:val="auto"/>
        </w:rPr>
        <w:t>Gentherm, Modine and SpinCo will enter into an Intellectual Property Matters Agreement, pursuant to which Modine and its subsidiaries will license to Gentherm and its subsidiaries, and SpinCo and its subsidiaries will license to Modine and its subsidiaries, certain intellectual property used in their respective businesses. The material terms of the Intellectual Property Matters Agreement are described in more detail under “Additional Agreements Related to the Separation, the Distribution and the Merger-Intellectual Property Matters Agreement.”</w:t>
      </w:r>
    </w:p>
    <w:p>
      <w:pPr>
        <w:spacing w:after="0" w:line="2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Transition Services Agreement</w:t>
      </w:r>
    </w:p>
    <w:p>
      <w:pPr>
        <w:spacing w:after="0" w:line="93" w:lineRule="exact"/>
        <w:rPr>
          <w:sz w:val="20"/>
          <w:szCs w:val="20"/>
          <w:color w:val="auto"/>
        </w:rPr>
      </w:pPr>
    </w:p>
    <w:p>
      <w:pPr>
        <w:ind w:left="1500" w:right="439" w:firstLine="332"/>
        <w:spacing w:after="0" w:line="258" w:lineRule="auto"/>
        <w:rPr>
          <w:sz w:val="20"/>
          <w:szCs w:val="20"/>
          <w:color w:val="auto"/>
        </w:rPr>
      </w:pPr>
      <w:r>
        <w:rPr>
          <w:rFonts w:ascii="Times New Roman" w:cs="Times New Roman" w:eastAsia="Times New Roman" w:hAnsi="Times New Roman"/>
          <w:sz w:val="14"/>
          <w:szCs w:val="14"/>
          <w:color w:val="auto"/>
        </w:rPr>
        <w:t>SpinCo and Modine will enter into a Transition Services Agreement, pursuant to which each party will provide services to the other party on a transitional basis. Modine will provide SpinCo various services (which may include HR, legal, supply chain, administrative, finance and accounting and IT) for durations anticipated to range from one to three months up to 12 months. SpinCo will provide to Modine various IT-related services for durations anticipated to range up to 12 months. The material terms of the Transition Services Agreement are described in more detail under “Additional Agreements Related to the Separation, the Distribution and the Merger-Transition Services Agreement.”</w:t>
      </w:r>
    </w:p>
    <w:p>
      <w:pPr>
        <w:spacing w:after="0" w:line="22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Technical Services Agreements</w:t>
      </w:r>
    </w:p>
    <w:p>
      <w:pPr>
        <w:spacing w:after="0" w:line="93" w:lineRule="exact"/>
        <w:rPr>
          <w:sz w:val="20"/>
          <w:szCs w:val="20"/>
          <w:color w:val="auto"/>
        </w:rPr>
      </w:pPr>
    </w:p>
    <w:p>
      <w:pPr>
        <w:ind w:left="1500" w:right="439" w:firstLine="332"/>
        <w:spacing w:after="0" w:line="261" w:lineRule="auto"/>
        <w:rPr>
          <w:sz w:val="20"/>
          <w:szCs w:val="20"/>
          <w:color w:val="auto"/>
        </w:rPr>
      </w:pPr>
      <w:r>
        <w:rPr>
          <w:rFonts w:ascii="Times New Roman" w:cs="Times New Roman" w:eastAsia="Times New Roman" w:hAnsi="Times New Roman"/>
          <w:sz w:val="14"/>
          <w:szCs w:val="14"/>
          <w:color w:val="auto"/>
        </w:rPr>
        <w:t>SpinCo and Modine will enter into a Technical Services Agreement, which will govern, among other things, Modine’s rights and obligations with respect to certain SpinCo test equipment and use of Spinco’s technical center. The material terms of the Technical Services Agreements are described in more detail under “Additional Agreements Related to the Separation, the Distribution and the Merger-Technical Services Agreements.”</w:t>
      </w:r>
    </w:p>
    <w:p>
      <w:pPr>
        <w:spacing w:after="0" w:line="2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Lease Agreement</w:t>
      </w:r>
    </w:p>
    <w:p>
      <w:pPr>
        <w:spacing w:after="0" w:line="93" w:lineRule="exact"/>
        <w:rPr>
          <w:sz w:val="20"/>
          <w:szCs w:val="20"/>
          <w:color w:val="auto"/>
        </w:rPr>
      </w:pPr>
    </w:p>
    <w:p>
      <w:pPr>
        <w:jc w:val="both"/>
        <w:ind w:left="1500" w:right="479" w:firstLine="332"/>
        <w:spacing w:after="0" w:line="267" w:lineRule="auto"/>
        <w:rPr>
          <w:sz w:val="20"/>
          <w:szCs w:val="20"/>
          <w:color w:val="auto"/>
        </w:rPr>
      </w:pPr>
      <w:r>
        <w:rPr>
          <w:rFonts w:ascii="Times New Roman" w:cs="Times New Roman" w:eastAsia="Times New Roman" w:hAnsi="Times New Roman"/>
          <w:sz w:val="14"/>
          <w:szCs w:val="14"/>
          <w:color w:val="auto"/>
        </w:rPr>
        <w:t>SpinCo and Modine will enter into a Lease Agreement pursuant to which certain property in Racine, Wisconsin transferred to SpinCo in the Separation will be leased back to Modine. The material terms of the Lease Agreement are described in more detail under “Additional Agreements Related to the Separation, the Distribution and the Merger-Lease Agreement.”</w:t>
      </w:r>
    </w:p>
    <w:p>
      <w:pPr>
        <w:spacing w:after="0" w:line="21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Trademark Matters Agreement</w:t>
      </w:r>
    </w:p>
    <w:p>
      <w:pPr>
        <w:spacing w:after="0" w:line="93"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Modine and SpinCo will enter into a Trademark Matters Agreement, which will govern, among other things, Modine’s rights and obligations with respect to the “Modine” trademark and certain other trademarks registered by SpinCo. The material terms of the Trademark Matters Agreement are described in more detail under “Additional Agreements Related to the Separation, the Distribution and the Merger-Trademark Matters Agreement.”</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Opinion of Gentherm’s Financial Advisor </w:t>
      </w:r>
      <w:r>
        <w:rPr>
          <w:rFonts w:ascii="Times New Roman" w:cs="Times New Roman" w:eastAsia="Times New Roman" w:hAnsi="Times New Roman"/>
          <w:sz w:val="14"/>
          <w:szCs w:val="14"/>
          <w:color w:val="auto"/>
        </w:rPr>
        <w:t>(See “The Transactions-Opinion of Barclays”)</w:t>
      </w:r>
    </w:p>
    <w:p>
      <w:pPr>
        <w:spacing w:after="0" w:line="93" w:lineRule="exact"/>
        <w:rPr>
          <w:sz w:val="20"/>
          <w:szCs w:val="20"/>
          <w:color w:val="auto"/>
        </w:rPr>
      </w:pPr>
    </w:p>
    <w:p>
      <w:pPr>
        <w:ind w:left="1500" w:right="379" w:firstLine="332"/>
        <w:spacing w:after="0" w:line="254" w:lineRule="auto"/>
        <w:rPr>
          <w:sz w:val="20"/>
          <w:szCs w:val="20"/>
          <w:color w:val="auto"/>
        </w:rPr>
      </w:pPr>
      <w:r>
        <w:rPr>
          <w:rFonts w:ascii="Times New Roman" w:cs="Times New Roman" w:eastAsia="Times New Roman" w:hAnsi="Times New Roman"/>
          <w:sz w:val="14"/>
          <w:szCs w:val="14"/>
          <w:color w:val="auto"/>
        </w:rPr>
        <w:t>Gentherm engaged Barclays to act as its financial advisor with respect to a potential combination of Gentherm and the Performance Technologies Business. On January 28, 2026, Barclays rendered its oral opinion (which was subsequently confirmed in writing) to the Gentherm Board that, as of such date and based upon and subject to the assumptions, qualifications and limitations stated in its opinion, the Exchange Ratio in the Merger was fair to Gentherm from a financial point of view. The full text of the written opinion of Barclays, dated January 29, 2026, which describes, among other things, the assumptions made, procedures followed, matters considered, qualifications and limitations on the scope of the review undertaken by Barclays, is attached as Annex C to this proxy statement/prospectus and is incorporated by reference herein in its entirety.</w:t>
      </w:r>
    </w:p>
    <w:p>
      <w:pPr>
        <w:spacing w:after="0" w:line="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Barclays’ opinion was rendered for the benefit of the Gentherm Board, in its capacity as such, and addressed only</w:t>
      </w:r>
    </w:p>
    <w:p>
      <w:pPr>
        <w:spacing w:after="0" w:line="2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992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3380" cy="4992370"/>
                    </a:xfrm>
                    <a:prstGeom prst="rect">
                      <a:avLst/>
                    </a:prstGeom>
                    <a:noFill/>
                  </pic:spPr>
                </pic:pic>
              </a:graphicData>
            </a:graphic>
          </wp:anchor>
        </w:drawing>
      </w:r>
    </w:p>
    <w:p>
      <w:pPr>
        <w:spacing w:after="0" w:line="366" w:lineRule="exact"/>
        <w:rPr>
          <w:sz w:val="20"/>
          <w:szCs w:val="20"/>
          <w:color w:val="auto"/>
        </w:rPr>
      </w:pPr>
    </w:p>
    <w:p>
      <w:pPr>
        <w:ind w:left="1500" w:right="399"/>
        <w:spacing w:after="0" w:line="257" w:lineRule="auto"/>
        <w:rPr>
          <w:sz w:val="20"/>
          <w:szCs w:val="20"/>
          <w:color w:val="auto"/>
        </w:rPr>
      </w:pPr>
      <w:r>
        <w:rPr>
          <w:rFonts w:ascii="Times New Roman" w:cs="Times New Roman" w:eastAsia="Times New Roman" w:hAnsi="Times New Roman"/>
          <w:sz w:val="14"/>
          <w:szCs w:val="14"/>
          <w:b w:val="1"/>
          <w:bCs w:val="1"/>
          <w:color w:val="auto"/>
        </w:rPr>
        <w:t>the fairness to Gentherm of the Exchange Ratio in the Merger as of the date of the opinion. Barclays’ opinion does not address any other aspect of the Merger or related Transactions and no opinion or view was expressed as to the relative merits of the Merger in comparison to other strategies or transactions that might be available to Gentherm or in which Gentherm might engage or as to the underlying business decision of Gentherm to proceed with or effect the Merger. Neither Barclays’ opinion nor the summary of its opinion and the related analyses set forth in this proxy statement/prospectus constitutes advice or a recommendation to any shareholder of Gentherm as to how such shareholder should act or vote with respect to the Transactions.</w:t>
      </w:r>
    </w:p>
    <w:p>
      <w:pPr>
        <w:spacing w:after="0" w:line="14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For more information see the section entitled “The Transactions-Opinion of Barclays.”</w:t>
      </w:r>
    </w:p>
    <w:p>
      <w:pPr>
        <w:spacing w:after="0" w:line="173" w:lineRule="exact"/>
        <w:rPr>
          <w:sz w:val="20"/>
          <w:szCs w:val="20"/>
          <w:color w:val="auto"/>
        </w:rPr>
      </w:pPr>
    </w:p>
    <w:p>
      <w:pPr>
        <w:ind w:left="1500" w:right="39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Board of Directors and Management of Gentherm Following the Merger </w:t>
      </w:r>
      <w:r>
        <w:rPr>
          <w:rFonts w:ascii="Times New Roman" w:cs="Times New Roman" w:eastAsia="Times New Roman" w:hAnsi="Times New Roman"/>
          <w:sz w:val="14"/>
          <w:szCs w:val="14"/>
          <w:color w:val="auto"/>
        </w:rPr>
        <w:t>(See “Information About Gentherm-Directors and Executive Officers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Gentherm”)</w:t>
      </w:r>
    </w:p>
    <w:p>
      <w:pPr>
        <w:spacing w:after="0" w:line="123" w:lineRule="exact"/>
        <w:rPr>
          <w:sz w:val="20"/>
          <w:szCs w:val="20"/>
          <w:color w:val="auto"/>
        </w:rPr>
      </w:pPr>
    </w:p>
    <w:p>
      <w:pPr>
        <w:ind w:left="1500" w:right="379" w:firstLine="332"/>
        <w:spacing w:after="0" w:line="261" w:lineRule="auto"/>
        <w:rPr>
          <w:sz w:val="20"/>
          <w:szCs w:val="20"/>
          <w:color w:val="auto"/>
        </w:rPr>
      </w:pPr>
      <w:r>
        <w:rPr>
          <w:rFonts w:ascii="Times New Roman" w:cs="Times New Roman" w:eastAsia="Times New Roman" w:hAnsi="Times New Roman"/>
          <w:sz w:val="14"/>
          <w:szCs w:val="14"/>
          <w:color w:val="auto"/>
        </w:rPr>
        <w:t>Following the Merger, the Gentherm Board will consist of eleven members (as mutually agreed between Gentherm and Modine prior to Closing), including nine directors who are members of the Gentherm Board then in-office immediately prior to the Merger, and two directors selected by Modine after good faith consultation with Gentherm. Ron Hundzinski is expected to continue as chair of the Gentherm Board following the Merger.</w:t>
      </w:r>
    </w:p>
    <w:p>
      <w:pPr>
        <w:spacing w:after="0" w:line="141" w:lineRule="exact"/>
        <w:rPr>
          <w:sz w:val="20"/>
          <w:szCs w:val="20"/>
          <w:color w:val="auto"/>
        </w:rPr>
      </w:pPr>
    </w:p>
    <w:p>
      <w:pPr>
        <w:ind w:left="1500" w:right="659" w:firstLine="332"/>
        <w:spacing w:after="0" w:line="283" w:lineRule="auto"/>
        <w:rPr>
          <w:sz w:val="20"/>
          <w:szCs w:val="20"/>
          <w:color w:val="auto"/>
        </w:rPr>
      </w:pPr>
      <w:r>
        <w:rPr>
          <w:rFonts w:ascii="Times New Roman" w:cs="Times New Roman" w:eastAsia="Times New Roman" w:hAnsi="Times New Roman"/>
          <w:sz w:val="14"/>
          <w:szCs w:val="14"/>
          <w:color w:val="auto"/>
        </w:rPr>
        <w:t>Following the Merger, management of the combined company is expected to be led by Gentherm’s existing Chief Executive Officer, Bill Presley.</w:t>
      </w:r>
    </w:p>
    <w:p>
      <w:pPr>
        <w:spacing w:after="0" w:line="123" w:lineRule="exact"/>
        <w:rPr>
          <w:sz w:val="20"/>
          <w:szCs w:val="20"/>
          <w:color w:val="auto"/>
        </w:rPr>
      </w:pPr>
    </w:p>
    <w:p>
      <w:pPr>
        <w:ind w:left="1500" w:right="89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Interests of Directors and Executive Officers in the Merger </w:t>
      </w:r>
      <w:r>
        <w:rPr>
          <w:rFonts w:ascii="Times New Roman" w:cs="Times New Roman" w:eastAsia="Times New Roman" w:hAnsi="Times New Roman"/>
          <w:sz w:val="14"/>
          <w:szCs w:val="14"/>
          <w:color w:val="auto"/>
        </w:rPr>
        <w:t>(See “The Transactions-Interests of Directors and Executive Officers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Merger”)</w:t>
      </w:r>
    </w:p>
    <w:p>
      <w:pPr>
        <w:spacing w:after="0" w:line="123" w:lineRule="exact"/>
        <w:rPr>
          <w:sz w:val="20"/>
          <w:szCs w:val="20"/>
          <w:color w:val="auto"/>
        </w:rPr>
      </w:pPr>
    </w:p>
    <w:p>
      <w:pPr>
        <w:ind w:left="1500" w:right="479" w:firstLine="332"/>
        <w:spacing w:after="0" w:line="283" w:lineRule="auto"/>
        <w:rPr>
          <w:sz w:val="20"/>
          <w:szCs w:val="20"/>
          <w:color w:val="auto"/>
        </w:rPr>
      </w:pPr>
      <w:r>
        <w:rPr>
          <w:rFonts w:ascii="Times New Roman" w:cs="Times New Roman" w:eastAsia="Times New Roman" w:hAnsi="Times New Roman"/>
          <w:sz w:val="14"/>
          <w:szCs w:val="14"/>
          <w:color w:val="auto"/>
        </w:rPr>
        <w:t>Certain of the executive officers of Gentherm and certain members of the Gentherm Board may have interests in the Transactions that differ from, or are in addition to, those of the Gentherm shareholders.</w:t>
      </w:r>
    </w:p>
    <w:p>
      <w:pPr>
        <w:spacing w:after="0" w:line="123" w:lineRule="exact"/>
        <w:rPr>
          <w:sz w:val="20"/>
          <w:szCs w:val="20"/>
          <w:color w:val="auto"/>
        </w:rPr>
      </w:pPr>
    </w:p>
    <w:p>
      <w:pPr>
        <w:ind w:left="1500" w:right="79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Effects of the Distribution and the Merger on Modine Equity Awards/Plans </w:t>
      </w:r>
      <w:r>
        <w:rPr>
          <w:rFonts w:ascii="Times New Roman" w:cs="Times New Roman" w:eastAsia="Times New Roman" w:hAnsi="Times New Roman"/>
          <w:sz w:val="14"/>
          <w:szCs w:val="14"/>
          <w:color w:val="auto"/>
        </w:rPr>
        <w:t>(See “Additional Agreements Related to the Separation,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and the Merger-Employee Matters Agreement-Treatment of Equity Incentive Awards”)</w:t>
      </w:r>
    </w:p>
    <w:p>
      <w:pPr>
        <w:spacing w:after="0" w:line="121" w:lineRule="exact"/>
        <w:rPr>
          <w:sz w:val="20"/>
          <w:szCs w:val="20"/>
          <w:color w:val="auto"/>
        </w:rPr>
      </w:pPr>
    </w:p>
    <w:p>
      <w:pPr>
        <w:ind w:left="1500" w:right="65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Regulatory Approvals </w:t>
      </w:r>
      <w:r>
        <w:rPr>
          <w:rFonts w:ascii="Times New Roman" w:cs="Times New Roman" w:eastAsia="Times New Roman" w:hAnsi="Times New Roman"/>
          <w:sz w:val="14"/>
          <w:szCs w:val="14"/>
          <w:color w:val="auto"/>
        </w:rPr>
        <w:t>(See “The Transactions-Regulatory Approvals” and “The Transaction Agreements-The Merger Agreement-Regulatory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Matters”)</w:t>
      </w:r>
    </w:p>
    <w:p>
      <w:pPr>
        <w:spacing w:after="0" w:line="123" w:lineRule="exact"/>
        <w:rPr>
          <w:sz w:val="20"/>
          <w:szCs w:val="20"/>
          <w:color w:val="auto"/>
        </w:rPr>
      </w:pPr>
    </w:p>
    <w:p>
      <w:pPr>
        <w:ind w:left="1500" w:right="399" w:firstLine="332"/>
        <w:spacing w:after="0" w:line="255" w:lineRule="auto"/>
        <w:rPr>
          <w:sz w:val="20"/>
          <w:szCs w:val="20"/>
          <w:color w:val="auto"/>
        </w:rPr>
      </w:pPr>
      <w:r>
        <w:rPr>
          <w:rFonts w:ascii="Times New Roman" w:cs="Times New Roman" w:eastAsia="Times New Roman" w:hAnsi="Times New Roman"/>
          <w:sz w:val="14"/>
          <w:szCs w:val="14"/>
          <w:color w:val="auto"/>
        </w:rPr>
        <w:t>As further described in this proxy statement/prospectus, to complete the Merger, Gentherm and Modine must obtain required authorizations, approvals and/or consents from a number of antitrust, competition and other regulatory authorities, including required approvals under the competition laws of certain jurisdictions and the expiration of the applicable waiting period under the HSR Act. Gentherm and Modine have agreed to use their respective reasonable best efforts to obtain such authorizations, approvals and/or consents. The obligation of Gentherm and Modine to consummate the Merger is conditioned upon, among other things, the expiration or early termination of the applicable waiting period under the HSR Act and the receipt of approvals under the antitrust laws of certain specified foreign jurisdictions. Gentherm and Modine have both filed their respective HSR Act notifications, and were granted early termination of the HSR waiting period as of 11:25 a.m., Eastern Time, on March 26, 2026.</w:t>
      </w:r>
    </w:p>
    <w:p>
      <w:pPr>
        <w:spacing w:after="0" w:line="1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No Dissenters’ Rights or Rights of Appraisal </w:t>
      </w:r>
      <w:r>
        <w:rPr>
          <w:rFonts w:ascii="Times New Roman" w:cs="Times New Roman" w:eastAsia="Times New Roman" w:hAnsi="Times New Roman"/>
          <w:sz w:val="14"/>
          <w:szCs w:val="14"/>
          <w:color w:val="auto"/>
        </w:rPr>
        <w:t>(See “The Transactions-No Dissenters’ Rights or Rights of Appraisal”)</w:t>
      </w:r>
    </w:p>
    <w:p>
      <w:pPr>
        <w:spacing w:after="0" w:line="177" w:lineRule="exact"/>
        <w:rPr>
          <w:sz w:val="20"/>
          <w:szCs w:val="20"/>
          <w:color w:val="auto"/>
        </w:rPr>
      </w:pPr>
    </w:p>
    <w:p>
      <w:pPr>
        <w:ind w:left="1500" w:right="559" w:firstLine="332"/>
        <w:spacing w:after="0" w:line="283" w:lineRule="auto"/>
        <w:rPr>
          <w:sz w:val="20"/>
          <w:szCs w:val="20"/>
          <w:color w:val="auto"/>
        </w:rPr>
      </w:pPr>
      <w:r>
        <w:rPr>
          <w:rFonts w:ascii="Times New Roman" w:cs="Times New Roman" w:eastAsia="Times New Roman" w:hAnsi="Times New Roman"/>
          <w:sz w:val="14"/>
          <w:szCs w:val="14"/>
          <w:color w:val="auto"/>
        </w:rPr>
        <w:t>Gentherm’s shareholders will not be entitled to exercise appraisal or dissenters’ rights under the MBCA in connection with the Separation, the Distribution or the Merger.</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12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3380" cy="481203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Debt Financing </w:t>
      </w:r>
      <w:r>
        <w:rPr>
          <w:rFonts w:ascii="Times New Roman" w:cs="Times New Roman" w:eastAsia="Times New Roman" w:hAnsi="Times New Roman"/>
          <w:sz w:val="14"/>
          <w:szCs w:val="14"/>
          <w:color w:val="auto"/>
        </w:rPr>
        <w:t>(See “The Transaction Agreements-Debt Financing”)</w:t>
      </w:r>
    </w:p>
    <w:p>
      <w:pPr>
        <w:spacing w:after="0" w:line="93"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Concurrently with the execution of the Merger Agreement, SpinCo and Gentherm entered into a commitment letter with certain financial institutions, which commitment letter was amended and restated as the Commitment Letter, pursuant to which the Commitment Parties committed to provide bridge loans under a 364-day senior secured bridge loan credit facility in an aggregate principal amount of up to $290 million, subject to the terms and conditions of the Commitment Letter.</w:t>
      </w:r>
    </w:p>
    <w:p>
      <w:pPr>
        <w:spacing w:after="0" w:line="141" w:lineRule="exact"/>
        <w:rPr>
          <w:sz w:val="20"/>
          <w:szCs w:val="20"/>
          <w:color w:val="auto"/>
        </w:rPr>
      </w:pPr>
    </w:p>
    <w:p>
      <w:pPr>
        <w:ind w:left="1500" w:right="399" w:firstLine="332"/>
        <w:spacing w:after="0" w:line="267" w:lineRule="auto"/>
        <w:rPr>
          <w:sz w:val="20"/>
          <w:szCs w:val="20"/>
          <w:color w:val="auto"/>
        </w:rPr>
      </w:pPr>
      <w:r>
        <w:rPr>
          <w:rFonts w:ascii="Times New Roman" w:cs="Times New Roman" w:eastAsia="Times New Roman" w:hAnsi="Times New Roman"/>
          <w:sz w:val="14"/>
          <w:szCs w:val="14"/>
          <w:color w:val="auto"/>
        </w:rPr>
        <w:t>On June 29, 2026, SpinCo entered into a credit agreement with Bank of America, N.A., as administrative agent, providing for a delayed draw term loan facility in an aggregate committed principal amount of $250.0 million, which, together with a portion of $40 million of the Gentherm Revolving Credit Facility, reduced the commitments under the Commitment Letter in full.</w:t>
      </w:r>
    </w:p>
    <w:p>
      <w:pPr>
        <w:spacing w:after="0" w:line="1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See “The Transaction Agreements-Debt Financing” for further information.</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Termination </w:t>
      </w:r>
      <w:r>
        <w:rPr>
          <w:rFonts w:ascii="Times New Roman" w:cs="Times New Roman" w:eastAsia="Times New Roman" w:hAnsi="Times New Roman"/>
          <w:sz w:val="14"/>
          <w:szCs w:val="14"/>
          <w:color w:val="auto"/>
        </w:rPr>
        <w:t>(See “The Transaction Agreements-The Merger Agreement-Termination”)</w:t>
      </w:r>
    </w:p>
    <w:p>
      <w:pPr>
        <w:spacing w:after="0" w:line="93" w:lineRule="exact"/>
        <w:rPr>
          <w:sz w:val="20"/>
          <w:szCs w:val="20"/>
          <w:color w:val="auto"/>
        </w:rPr>
      </w:pPr>
    </w:p>
    <w:p>
      <w:pPr>
        <w:ind w:left="1500" w:right="559" w:firstLine="332"/>
        <w:spacing w:after="0" w:line="267" w:lineRule="auto"/>
        <w:rPr>
          <w:sz w:val="20"/>
          <w:szCs w:val="20"/>
          <w:color w:val="auto"/>
        </w:rPr>
      </w:pPr>
      <w:r>
        <w:rPr>
          <w:rFonts w:ascii="Times New Roman" w:cs="Times New Roman" w:eastAsia="Times New Roman" w:hAnsi="Times New Roman"/>
          <w:sz w:val="14"/>
          <w:szCs w:val="14"/>
          <w:color w:val="auto"/>
        </w:rPr>
        <w:t>The Merger Agreement may be terminated at any time prior to the Effective Time by the mutual written consent of Gentherm and Modine. Also, subject to specified qualifications and exceptions, Gentherm or Modine may terminate the Merger Agreement if, at any time prior to the Effective Time:</w:t>
      </w:r>
    </w:p>
    <w:p>
      <w:pPr>
        <w:spacing w:after="0" w:line="62" w:lineRule="exact"/>
        <w:rPr>
          <w:sz w:val="20"/>
          <w:szCs w:val="20"/>
          <w:color w:val="auto"/>
        </w:rPr>
      </w:pPr>
    </w:p>
    <w:p>
      <w:pPr>
        <w:ind w:left="2220" w:right="459" w:hanging="313"/>
        <w:spacing w:after="0" w:line="267" w:lineRule="auto"/>
        <w:tabs>
          <w:tab w:leader="none" w:pos="2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has not been consummated on or prior to March 31, 2027 (the “Outside Date”), which date is subject to extension to June 30, 2027 in the event that conditions to Closing relating to outstanding regulatory approvals have not been received but all other conditions to Closing have been satisfied or waived, subject to the exceptions set forth in the Merger Agreement;</w:t>
      </w:r>
    </w:p>
    <w:p>
      <w:pPr>
        <w:spacing w:after="0" w:line="61" w:lineRule="exact"/>
        <w:rPr>
          <w:rFonts w:ascii="Times New Roman" w:cs="Times New Roman" w:eastAsia="Times New Roman" w:hAnsi="Times New Roman"/>
          <w:sz w:val="14"/>
          <w:szCs w:val="14"/>
          <w:color w:val="auto"/>
        </w:rPr>
      </w:pPr>
    </w:p>
    <w:p>
      <w:pPr>
        <w:ind w:left="2220" w:right="699" w:hanging="313"/>
        <w:spacing w:after="0" w:line="283" w:lineRule="auto"/>
        <w:tabs>
          <w:tab w:leader="none" w:pos="2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governmental order or other action permanently preventing or prohibiting the consummation of the Merger or the Separation becomes final and non-appealable;</w:t>
      </w:r>
    </w:p>
    <w:p>
      <w:pPr>
        <w:spacing w:after="0" w:line="51" w:lineRule="exact"/>
        <w:rPr>
          <w:rFonts w:ascii="Times New Roman" w:cs="Times New Roman" w:eastAsia="Times New Roman" w:hAnsi="Times New Roman"/>
          <w:sz w:val="14"/>
          <w:szCs w:val="14"/>
          <w:color w:val="auto"/>
        </w:rPr>
      </w:pPr>
    </w:p>
    <w:p>
      <w:pPr>
        <w:jc w:val="both"/>
        <w:ind w:left="2220" w:right="379" w:hanging="313"/>
        <w:spacing w:after="0" w:line="267" w:lineRule="auto"/>
        <w:tabs>
          <w:tab w:leader="none" w:pos="2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any representation, warranty, covenant or agreement on the part of the other party occurs, such that an applicable condition to closing would not be satisfied at the Closing, and such inaccuracy or breach is incapable of being cured prior to the Outside Date or, if curable, is not cured within the earlier of (i) 60 days after written notice thereof by the breaching party and (ii) the Outside Date; or</w:t>
      </w:r>
    </w:p>
    <w:p>
      <w:pPr>
        <w:spacing w:after="0" w:line="61" w:lineRule="exact"/>
        <w:rPr>
          <w:rFonts w:ascii="Times New Roman" w:cs="Times New Roman" w:eastAsia="Times New Roman" w:hAnsi="Times New Roman"/>
          <w:sz w:val="14"/>
          <w:szCs w:val="14"/>
          <w:color w:val="auto"/>
        </w:rPr>
      </w:pPr>
    </w:p>
    <w:p>
      <w:pPr>
        <w:ind w:left="2220" w:right="579" w:hanging="313"/>
        <w:spacing w:after="0" w:line="283" w:lineRule="auto"/>
        <w:tabs>
          <w:tab w:leader="none" w:pos="22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requisite Gentherm shareholders fail to approve the Gentherm Share Issuance Proposal and the Charter Amendment Proposal at the Special Meeting (including any adjournment or postponement thereof).</w:t>
      </w:r>
    </w:p>
    <w:p>
      <w:pPr>
        <w:spacing w:after="0" w:line="125" w:lineRule="exact"/>
        <w:rPr>
          <w:sz w:val="20"/>
          <w:szCs w:val="20"/>
          <w:color w:val="auto"/>
        </w:rPr>
      </w:pPr>
    </w:p>
    <w:p>
      <w:pPr>
        <w:ind w:left="1500" w:right="439"/>
        <w:spacing w:after="0" w:line="283" w:lineRule="auto"/>
        <w:rPr>
          <w:sz w:val="20"/>
          <w:szCs w:val="20"/>
          <w:color w:val="auto"/>
        </w:rPr>
      </w:pPr>
      <w:r>
        <w:rPr>
          <w:rFonts w:ascii="Times New Roman" w:cs="Times New Roman" w:eastAsia="Times New Roman" w:hAnsi="Times New Roman"/>
          <w:sz w:val="14"/>
          <w:szCs w:val="14"/>
          <w:color w:val="auto"/>
        </w:rPr>
        <w:t>Additionally, subject to specified qualifications and exceptions, Modine may terminate the Merger Agreement, if, at any time prior to the Effective Time:</w:t>
      </w:r>
    </w:p>
    <w:p>
      <w:pPr>
        <w:spacing w:after="0" w:line="51" w:lineRule="exact"/>
        <w:rPr>
          <w:sz w:val="20"/>
          <w:szCs w:val="20"/>
          <w:color w:val="auto"/>
        </w:rPr>
      </w:pPr>
    </w:p>
    <w:p>
      <w:pPr>
        <w:ind w:left="2220" w:right="399" w:hanging="313"/>
        <w:spacing w:after="0" w:line="254" w:lineRule="auto"/>
        <w:tabs>
          <w:tab w:leader="none" w:pos="22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Gentherm Board has either (i) adopted, authorized, approved, endorsed or recommended, or publicly proposed to adopt, authorize, approve, endorse or recommend, any Competing Proposal (as defined herein), (ii) withdrawn, changed, amended, modified or qualified, or publicly proposed to withdraw, change, amend, modify or qualify, in a manner adverse to Modine or SpinCo, the Gentherm Board Recommendation, (iii) if a Competing Proposal that is structured as a tender offer or exchange offer for the outstanding shares of Gentherm Common Stock is commenced pursuant to Rule 14d-12 under the Exchange Act, failed to recommend against any such Competing Proposal within 10 business days after such commencement (or, if earlier, by the second business day prior to the then-scheduled Special Meeting), (iv) failed to include the Gentherm Board Recommendation in this proxy statement/prospectus, (v) approves or authorizes, or caused or permitted Gentherm or any Gentherm subsidiary to enter into, any merger agreement, acquisition agreement, reorganization agreement, joint venture agreement, partnership agreement, letter of intent, memorandum of understanding, agreement in</w:t>
      </w: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19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3380" cy="4819015"/>
                    </a:xfrm>
                    <a:prstGeom prst="rect">
                      <a:avLst/>
                    </a:prstGeom>
                    <a:noFill/>
                  </pic:spPr>
                </pic:pic>
              </a:graphicData>
            </a:graphic>
          </wp:anchor>
        </w:drawing>
      </w:r>
    </w:p>
    <w:p>
      <w:pPr>
        <w:spacing w:after="0" w:line="368" w:lineRule="exact"/>
        <w:rPr>
          <w:sz w:val="20"/>
          <w:szCs w:val="20"/>
          <w:color w:val="auto"/>
        </w:rPr>
      </w:pPr>
    </w:p>
    <w:p>
      <w:pPr>
        <w:ind w:left="2240" w:right="699"/>
        <w:spacing w:after="0" w:line="283" w:lineRule="auto"/>
        <w:rPr>
          <w:sz w:val="20"/>
          <w:szCs w:val="20"/>
          <w:color w:val="auto"/>
        </w:rPr>
      </w:pPr>
      <w:r>
        <w:rPr>
          <w:rFonts w:ascii="Times New Roman" w:cs="Times New Roman" w:eastAsia="Times New Roman" w:hAnsi="Times New Roman"/>
          <w:sz w:val="14"/>
          <w:szCs w:val="14"/>
          <w:color w:val="auto"/>
        </w:rPr>
        <w:t>principle, or similar agreement with respect to any Competing Proposal (other than an Acceptable Confidentiality Agreement (as defined in the Merger Agreement)), or (vi) committed or agreed to do any of the foregoing.</w:t>
      </w:r>
    </w:p>
    <w:p>
      <w:pPr>
        <w:spacing w:after="0" w:line="125" w:lineRule="exact"/>
        <w:rPr>
          <w:sz w:val="20"/>
          <w:szCs w:val="20"/>
          <w:color w:val="auto"/>
        </w:rPr>
      </w:pPr>
    </w:p>
    <w:p>
      <w:pPr>
        <w:ind w:left="1500" w:right="399" w:firstLine="332"/>
        <w:spacing w:after="0" w:line="296" w:lineRule="auto"/>
        <w:rPr>
          <w:sz w:val="20"/>
          <w:szCs w:val="20"/>
          <w:color w:val="auto"/>
        </w:rPr>
      </w:pPr>
      <w:r>
        <w:rPr>
          <w:rFonts w:ascii="Times New Roman" w:cs="Times New Roman" w:eastAsia="Times New Roman" w:hAnsi="Times New Roman"/>
          <w:sz w:val="13"/>
          <w:szCs w:val="13"/>
          <w:color w:val="auto"/>
        </w:rPr>
        <w:t>In the event of termination of the Merger Agreement, the Merger Agreement will terminate without any liability on the part of any party, provided that such termination will not relieve any party from any liability for any fraud or willful breach of any covenant, obligation or agreement contained in the Merger Agreement except as described below under “The Merger Agreement-Termination Fee Payable in Certain Circumstances.”</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Termination Fee Payable in Certain Circumstances</w:t>
      </w:r>
    </w:p>
    <w:p>
      <w:pPr>
        <w:spacing w:after="0" w:line="93" w:lineRule="exact"/>
        <w:rPr>
          <w:sz w:val="20"/>
          <w:szCs w:val="20"/>
          <w:color w:val="auto"/>
        </w:rPr>
      </w:pPr>
    </w:p>
    <w:p>
      <w:pPr>
        <w:ind w:left="1500" w:right="539" w:firstLine="332"/>
        <w:spacing w:after="0" w:line="283" w:lineRule="auto"/>
        <w:rPr>
          <w:sz w:val="20"/>
          <w:szCs w:val="20"/>
          <w:color w:val="auto"/>
        </w:rPr>
      </w:pPr>
      <w:r>
        <w:rPr>
          <w:rFonts w:ascii="Times New Roman" w:cs="Times New Roman" w:eastAsia="Times New Roman" w:hAnsi="Times New Roman"/>
          <w:sz w:val="14"/>
          <w:szCs w:val="14"/>
          <w:color w:val="auto"/>
        </w:rPr>
        <w:t>The Merger Agreement provides that in the event of termination of the Merger Agreement prior to the Closing under certain circumstances described below, Gentherm may be required to pay a termination fee equal to $45.0 million to Modine.</w:t>
      </w:r>
    </w:p>
    <w:p>
      <w:pPr>
        <w:spacing w:after="0" w:line="1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Gentherm has agreed to pay the Termination Fee to Modine in the following circumstances, subject to certain specified conditions:</w:t>
      </w:r>
    </w:p>
    <w:p>
      <w:pPr>
        <w:spacing w:after="0" w:line="102" w:lineRule="exact"/>
        <w:rPr>
          <w:sz w:val="20"/>
          <w:szCs w:val="20"/>
          <w:color w:val="auto"/>
        </w:rPr>
      </w:pPr>
    </w:p>
    <w:p>
      <w:pPr>
        <w:ind w:left="2220" w:hanging="313"/>
        <w:spacing w:after="0"/>
        <w:tabs>
          <w:tab w:leader="none" w:pos="22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Modine terminates the Merger Agreement following a Gentherm Adverse Recommendation Change (as defined below); or</w:t>
      </w:r>
    </w:p>
    <w:p>
      <w:pPr>
        <w:spacing w:after="0" w:line="101" w:lineRule="exact"/>
        <w:rPr>
          <w:rFonts w:ascii="Times New Roman" w:cs="Times New Roman" w:eastAsia="Times New Roman" w:hAnsi="Times New Roman"/>
          <w:sz w:val="14"/>
          <w:szCs w:val="14"/>
          <w:color w:val="auto"/>
        </w:rPr>
      </w:pPr>
    </w:p>
    <w:p>
      <w:pPr>
        <w:ind w:left="2220" w:right="399" w:hanging="313"/>
        <w:spacing w:after="0" w:line="255" w:lineRule="auto"/>
        <w:tabs>
          <w:tab w:leader="none" w:pos="22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 a Competing Proposal with respect to Gentherm is publicly announced (or otherwise communicated to the Gentherm Board) at any time after the date of the Merger Agreement, and if made publicly, not publicly withdrawn at least five business days prior to the date of termination (or, if the Merger Agreement is terminated because the requisite Gentherm shareholders fail to approve the Charter Amendment Proposal and the Share Issuance Proposal at the Special Meeting, prior to the Special Meeting) and the Merger Agreement is terminated due to either (A) failure to close the Merger by the Outside Date, (B) Gentherm’s material and uncured breach of any representation, warranty or covenant or (C) failure to obtain the Gentherm Shareholder Approval, and (ii) within 12 months of termination of the Merger Agreement, Gentherm consummates, or enters into a definitive agreement in respect of, any Competing Proposal (substituting each reference to “20%” in the definition of “Competing Proposal” to “50%”).</w:t>
      </w:r>
    </w:p>
    <w:p>
      <w:pPr>
        <w:spacing w:after="0" w:line="1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In no event will Gentherm be required to pay the Termination Fee more than once.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Special Meeting </w:t>
      </w:r>
      <w:r>
        <w:rPr>
          <w:rFonts w:ascii="Times New Roman" w:cs="Times New Roman" w:eastAsia="Times New Roman" w:hAnsi="Times New Roman"/>
          <w:sz w:val="14"/>
          <w:szCs w:val="14"/>
          <w:color w:val="auto"/>
        </w:rPr>
        <w:t>(See “The Special Meeting”)</w:t>
      </w:r>
    </w:p>
    <w:p>
      <w:pPr>
        <w:spacing w:after="0" w:line="2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Proposals</w:t>
      </w:r>
    </w:p>
    <w:p>
      <w:pPr>
        <w:spacing w:after="0" w:line="9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purposes of the Special Meeting are as follows:</w:t>
      </w:r>
    </w:p>
    <w:p>
      <w:pPr>
        <w:spacing w:after="0" w:line="100" w:lineRule="exact"/>
        <w:rPr>
          <w:sz w:val="20"/>
          <w:szCs w:val="20"/>
          <w:color w:val="auto"/>
        </w:rPr>
      </w:pPr>
    </w:p>
    <w:p>
      <w:pPr>
        <w:ind w:left="1900" w:hanging="245"/>
        <w:spacing w:after="0"/>
        <w:tabs>
          <w:tab w:leader="none" w:pos="19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 Issuance Proposal</w:t>
      </w:r>
      <w:r>
        <w:rPr>
          <w:rFonts w:ascii="Times New Roman" w:cs="Times New Roman" w:eastAsia="Times New Roman" w:hAnsi="Times New Roman"/>
          <w:sz w:val="14"/>
          <w:szCs w:val="14"/>
          <w:color w:val="auto"/>
        </w:rPr>
        <w:t>-to consider and vote upon the Share Issuance Proposal;</w:t>
      </w:r>
    </w:p>
    <w:p>
      <w:pPr>
        <w:spacing w:after="0" w:line="101" w:lineRule="exact"/>
        <w:rPr>
          <w:rFonts w:ascii="Times New Roman" w:cs="Times New Roman" w:eastAsia="Times New Roman" w:hAnsi="Times New Roman"/>
          <w:sz w:val="14"/>
          <w:szCs w:val="14"/>
          <w:color w:val="auto"/>
        </w:rPr>
      </w:pPr>
    </w:p>
    <w:p>
      <w:pPr>
        <w:ind w:left="1900" w:hanging="245"/>
        <w:spacing w:after="0"/>
        <w:tabs>
          <w:tab w:leader="none" w:pos="19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Charter Amendment Proposal</w:t>
      </w:r>
      <w:r>
        <w:rPr>
          <w:rFonts w:ascii="Times New Roman" w:cs="Times New Roman" w:eastAsia="Times New Roman" w:hAnsi="Times New Roman"/>
          <w:sz w:val="14"/>
          <w:szCs w:val="14"/>
          <w:color w:val="auto"/>
        </w:rPr>
        <w:t>-to consider and vote upon the Charter Amendment Proposal;</w:t>
      </w:r>
      <w:r>
        <w:rPr>
          <w:rFonts w:ascii="Times New Roman" w:cs="Times New Roman" w:eastAsia="Times New Roman" w:hAnsi="Times New Roman"/>
          <w:sz w:val="14"/>
          <w:szCs w:val="14"/>
          <w:i w:val="1"/>
          <w:iCs w:val="1"/>
          <w:color w:val="auto"/>
        </w:rPr>
        <w:t xml:space="preserve"> and</w:t>
      </w:r>
    </w:p>
    <w:p>
      <w:pPr>
        <w:spacing w:after="0" w:line="101" w:lineRule="exact"/>
        <w:rPr>
          <w:rFonts w:ascii="Times New Roman" w:cs="Times New Roman" w:eastAsia="Times New Roman" w:hAnsi="Times New Roman"/>
          <w:sz w:val="14"/>
          <w:szCs w:val="14"/>
          <w:color w:val="auto"/>
        </w:rPr>
      </w:pPr>
    </w:p>
    <w:p>
      <w:pPr>
        <w:ind w:left="1900" w:hanging="245"/>
        <w:spacing w:after="0"/>
        <w:tabs>
          <w:tab w:leader="none" w:pos="19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Adjournment Proposal</w:t>
      </w:r>
      <w:r>
        <w:rPr>
          <w:rFonts w:ascii="Times New Roman" w:cs="Times New Roman" w:eastAsia="Times New Roman" w:hAnsi="Times New Roman"/>
          <w:sz w:val="14"/>
          <w:szCs w:val="14"/>
          <w:color w:val="auto"/>
        </w:rPr>
        <w:t>-to consider and vote upon the Adjournment Proposal.</w:t>
      </w:r>
    </w:p>
    <w:p>
      <w:pPr>
        <w:spacing w:after="0" w:line="175" w:lineRule="exact"/>
        <w:rPr>
          <w:sz w:val="20"/>
          <w:szCs w:val="20"/>
          <w:color w:val="auto"/>
        </w:rPr>
      </w:pPr>
    </w:p>
    <w:p>
      <w:pPr>
        <w:ind w:left="1500" w:right="759"/>
        <w:spacing w:after="0" w:line="286" w:lineRule="auto"/>
        <w:rPr>
          <w:sz w:val="20"/>
          <w:szCs w:val="20"/>
          <w:color w:val="auto"/>
        </w:rPr>
      </w:pPr>
      <w:r>
        <w:rPr>
          <w:rFonts w:ascii="Times New Roman" w:cs="Times New Roman" w:eastAsia="Times New Roman" w:hAnsi="Times New Roman"/>
          <w:sz w:val="14"/>
          <w:szCs w:val="14"/>
          <w:b w:val="1"/>
          <w:bCs w:val="1"/>
          <w:color w:val="auto"/>
        </w:rPr>
        <w:t>Completion of the Merger is conditioned on the approval by Gentherm shareholders of the Share Issuance Proposal and the Charter Amendment Proposal.</w:t>
      </w:r>
    </w:p>
    <w:p>
      <w:pPr>
        <w:spacing w:after="0" w:line="1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 xml:space="preserve">Required Vote </w:t>
      </w:r>
      <w:r>
        <w:rPr>
          <w:rFonts w:ascii="Times New Roman" w:cs="Times New Roman" w:eastAsia="Times New Roman" w:hAnsi="Times New Roman"/>
          <w:sz w:val="14"/>
          <w:szCs w:val="14"/>
          <w:color w:val="auto"/>
        </w:rPr>
        <w:t>(See “The Special Meeting-Required Vote”)</w:t>
      </w:r>
    </w:p>
    <w:p>
      <w:pPr>
        <w:spacing w:after="0" w:line="102" w:lineRule="exact"/>
        <w:rPr>
          <w:sz w:val="20"/>
          <w:szCs w:val="20"/>
          <w:color w:val="auto"/>
        </w:rPr>
      </w:pPr>
    </w:p>
    <w:p>
      <w:pPr>
        <w:ind w:left="1900" w:right="679" w:hanging="245"/>
        <w:spacing w:after="0" w:line="286" w:lineRule="auto"/>
        <w:tabs>
          <w:tab w:leader="none" w:pos="19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Share Issuance Proposal</w:t>
      </w:r>
      <w:r>
        <w:rPr>
          <w:rFonts w:ascii="Times New Roman" w:cs="Times New Roman" w:eastAsia="Times New Roman" w:hAnsi="Times New Roman"/>
          <w:sz w:val="14"/>
          <w:szCs w:val="14"/>
          <w:color w:val="auto"/>
        </w:rPr>
        <w:t>-Where a quorum is present, the affirmative vote of a majority of the votes cast in person via the Internet or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proxy by the shareholders entitled to vote thereon at the Special Meeting is</w:t>
      </w: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856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3380" cy="4685665"/>
                    </a:xfrm>
                    <a:prstGeom prst="rect">
                      <a:avLst/>
                    </a:prstGeom>
                    <a:noFill/>
                  </pic:spPr>
                </pic:pic>
              </a:graphicData>
            </a:graphic>
          </wp:anchor>
        </w:drawing>
      </w:r>
    </w:p>
    <w:p>
      <w:pPr>
        <w:spacing w:after="0" w:line="36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required to approve the Share Issuance Proposal. The Merger will not occur unless the Share Issuance Proposal is approved.</w:t>
      </w:r>
    </w:p>
    <w:p>
      <w:pPr>
        <w:spacing w:after="0" w:line="100" w:lineRule="exact"/>
        <w:rPr>
          <w:sz w:val="20"/>
          <w:szCs w:val="20"/>
          <w:color w:val="auto"/>
        </w:rPr>
      </w:pPr>
    </w:p>
    <w:p>
      <w:pPr>
        <w:jc w:val="both"/>
        <w:ind w:left="1900" w:right="579" w:hanging="245"/>
        <w:spacing w:after="0" w:line="268" w:lineRule="auto"/>
        <w:tabs>
          <w:tab w:leader="none" w:pos="19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Charter Amendment Proposal</w:t>
      </w:r>
      <w:r>
        <w:rPr>
          <w:rFonts w:ascii="Times New Roman" w:cs="Times New Roman" w:eastAsia="Times New Roman" w:hAnsi="Times New Roman"/>
          <w:sz w:val="14"/>
          <w:szCs w:val="14"/>
          <w:color w:val="auto"/>
        </w:rPr>
        <w:t>- Where a quorum is present, the affirmative vote of a majority of the outstanding shares entitled to vote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Charter Amendment Proposal is required to approve the Charter Amendment Proposal. The Merger will not occur unless the Charter Amendment Proposal is approved.</w:t>
      </w:r>
    </w:p>
    <w:p>
      <w:pPr>
        <w:spacing w:after="0" w:line="59" w:lineRule="exact"/>
        <w:rPr>
          <w:rFonts w:ascii="Times New Roman" w:cs="Times New Roman" w:eastAsia="Times New Roman" w:hAnsi="Times New Roman"/>
          <w:sz w:val="14"/>
          <w:szCs w:val="14"/>
          <w:color w:val="auto"/>
        </w:rPr>
      </w:pPr>
    </w:p>
    <w:p>
      <w:pPr>
        <w:ind w:left="1900" w:right="439" w:hanging="245"/>
        <w:spacing w:after="0" w:line="286" w:lineRule="auto"/>
        <w:tabs>
          <w:tab w:leader="none" w:pos="19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Adjournment Proposal</w:t>
      </w:r>
      <w:r>
        <w:rPr>
          <w:rFonts w:ascii="Times New Roman" w:cs="Times New Roman" w:eastAsia="Times New Roman" w:hAnsi="Times New Roman"/>
          <w:sz w:val="14"/>
          <w:szCs w:val="14"/>
          <w:color w:val="auto"/>
        </w:rPr>
        <w:t>-Where a quorum is present, the affirmative vote of a majority of the votes cast in person via the Internet or by proxy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the shareholders entitled to vote thereon at the Special Meeting is required to approve the Adjournment Proposal.</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Approval of each proposal is not conditioned on the approval of the other proposal.</w:t>
      </w:r>
    </w:p>
    <w:p>
      <w:pPr>
        <w:spacing w:after="0" w:line="9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 xml:space="preserve">Voting by Gentherm Directors and Executive Officers </w:t>
      </w:r>
      <w:r>
        <w:rPr>
          <w:rFonts w:ascii="Times New Roman" w:cs="Times New Roman" w:eastAsia="Times New Roman" w:hAnsi="Times New Roman"/>
          <w:sz w:val="14"/>
          <w:szCs w:val="14"/>
          <w:color w:val="auto"/>
        </w:rPr>
        <w:t>(See “The Special Meeting-Certain Ownership of Gentherm Common Stock”)</w:t>
      </w:r>
    </w:p>
    <w:p>
      <w:pPr>
        <w:spacing w:after="0" w:line="177" w:lineRule="exact"/>
        <w:rPr>
          <w:sz w:val="20"/>
          <w:szCs w:val="20"/>
          <w:color w:val="auto"/>
        </w:rPr>
      </w:pPr>
    </w:p>
    <w:p>
      <w:pPr>
        <w:ind w:left="1500" w:right="399" w:firstLine="332"/>
        <w:spacing w:after="0" w:line="261" w:lineRule="auto"/>
        <w:rPr>
          <w:sz w:val="20"/>
          <w:szCs w:val="20"/>
          <w:color w:val="auto"/>
        </w:rPr>
      </w:pPr>
      <w:r>
        <w:rPr>
          <w:rFonts w:ascii="Times New Roman" w:cs="Times New Roman" w:eastAsia="Times New Roman" w:hAnsi="Times New Roman"/>
          <w:sz w:val="14"/>
          <w:szCs w:val="14"/>
          <w:color w:val="auto"/>
        </w:rPr>
        <w:t>As of the Record Date, Gentherm’s executive officers and directors beneficially owned        shares of Gentherm Common Stock, representing approximately  % of the shares outstanding as of such date. Gentherm currently expects that each of its directors and executive officers will vote their shares of Gentherm Common Stock in favor of all proposals, although none of them has entered into an agreement requiring them to do so.</w:t>
      </w:r>
    </w:p>
    <w:p>
      <w:pPr>
        <w:spacing w:after="0" w:line="139" w:lineRule="exact"/>
        <w:rPr>
          <w:sz w:val="20"/>
          <w:szCs w:val="20"/>
          <w:color w:val="auto"/>
        </w:rPr>
      </w:pPr>
    </w:p>
    <w:p>
      <w:pPr>
        <w:ind w:left="1500" w:right="41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Material U.S. Federal Income Tax Considerations of the Distribution and the Merger </w:t>
      </w:r>
      <w:r>
        <w:rPr>
          <w:rFonts w:ascii="Times New Roman" w:cs="Times New Roman" w:eastAsia="Times New Roman" w:hAnsi="Times New Roman"/>
          <w:sz w:val="14"/>
          <w:szCs w:val="14"/>
          <w:color w:val="auto"/>
        </w:rPr>
        <w:t>(See “Material U.S. Federal Income Tax Considerations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Distribution and the Merger”)</w:t>
      </w:r>
    </w:p>
    <w:p>
      <w:pPr>
        <w:spacing w:after="0" w:line="123" w:lineRule="exact"/>
        <w:rPr>
          <w:sz w:val="20"/>
          <w:szCs w:val="20"/>
          <w:color w:val="auto"/>
        </w:rPr>
      </w:pPr>
    </w:p>
    <w:p>
      <w:pPr>
        <w:ind w:left="1500" w:right="379" w:firstLine="332"/>
        <w:spacing w:after="0" w:line="253" w:lineRule="auto"/>
        <w:rPr>
          <w:sz w:val="20"/>
          <w:szCs w:val="20"/>
          <w:color w:val="auto"/>
        </w:rPr>
      </w:pPr>
      <w:r>
        <w:rPr>
          <w:rFonts w:ascii="Times New Roman" w:cs="Times New Roman" w:eastAsia="Times New Roman" w:hAnsi="Times New Roman"/>
          <w:sz w:val="14"/>
          <w:szCs w:val="14"/>
          <w:color w:val="auto"/>
        </w:rPr>
        <w:t>For Modine shareholders who are U.S. Holders (as defined in “Material U.S. Federal Income Tax Considerations of the Distribution and the Merger”), assuming the Contribution and Distribution qualify as a reorganization under Sections 355 and 368(a)(1)(D) of the Code, no gain or loss will be recognized upon receipt of SpinCo Common Stock in the Distribution, and the aggregate tax basis in their Modine Common Stock and SpinCo Common Stock will be the same as their Modine Common Stock basis before the Distribution, allocated proportionately based on relative fair market values. The holding period for SpinCo Common Stock will include the holding period of the Modine Common Stock. In the Merger, assuming it qualifies as a reorganization under Section 368(a) of the Code, U.S. Holders of SpinCo Common Stock will not recognize gain or loss upon exchanging SpinCo Common Stock for Gentherm Common Stock, except for any gain or loss on cash received in lieu of a fractional share, which generally will be treated as capital gain or loss. The tax basis in the Gentherm Common Stock received will equal the basis in the surrendered SpinCo Common Stock, and the holding period will include the holding period of the SpinCo Common Stock. Gentherm shareholders will not receive any stock or other consideration in respect of their shares of Gentherm Common Stock (other than any Gentherm Special Dividend, as described in “The Transactions-Calculation and Adjustments to the Exchange Ratio; Amount of Gentherm Special Dividend-Overview”), and accordingly are not expected to recognize gain or loss in respect of their shares of Gentherm Common Stock. The receipt of any Gentherm Special Dividend may result in taxable income to Gentherm shareholders. Payments for fractional shares and of any Gentherm Special Dividend may be subject to information reporting and backup withholding unless exemptions apply.</w:t>
      </w:r>
    </w:p>
    <w:p>
      <w:pPr>
        <w:spacing w:after="0" w:line="14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For more information, see the section entitled “Material U.S. Federal Income Tax Considerations of the Distribution and the Merger.”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 xml:space="preserve">Risk Factors </w:t>
      </w:r>
      <w:r>
        <w:rPr>
          <w:rFonts w:ascii="Times New Roman" w:cs="Times New Roman" w:eastAsia="Times New Roman" w:hAnsi="Times New Roman"/>
          <w:sz w:val="14"/>
          <w:szCs w:val="14"/>
          <w:color w:val="auto"/>
        </w:rPr>
        <w:t>(See “Risk Factors”)</w:t>
      </w:r>
    </w:p>
    <w:p>
      <w:pPr>
        <w:spacing w:after="0" w:line="177" w:lineRule="exact"/>
        <w:rPr>
          <w:sz w:val="20"/>
          <w:szCs w:val="20"/>
          <w:color w:val="auto"/>
        </w:rPr>
      </w:pPr>
    </w:p>
    <w:p>
      <w:pPr>
        <w:ind w:left="1500" w:right="499" w:firstLine="332"/>
        <w:spacing w:after="0" w:line="267" w:lineRule="auto"/>
        <w:rPr>
          <w:sz w:val="20"/>
          <w:szCs w:val="20"/>
          <w:color w:val="auto"/>
        </w:rPr>
      </w:pPr>
      <w:r>
        <w:rPr>
          <w:rFonts w:ascii="Times New Roman" w:cs="Times New Roman" w:eastAsia="Times New Roman" w:hAnsi="Times New Roman"/>
          <w:sz w:val="14"/>
          <w:szCs w:val="14"/>
          <w:color w:val="auto"/>
        </w:rPr>
        <w:t>In evaluating the Transactions and the proposals to be considered at the Special Meeting, as applicable, Gentherm shareholders and Modine shareholders should carefully consider the matters addressed in the section entitled “Cautionary Statement Concerning Forward-Looking Statements” and the risk factors set forth in the</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58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3380" cy="4758690"/>
                    </a:xfrm>
                    <a:prstGeom prst="rect">
                      <a:avLst/>
                    </a:prstGeom>
                    <a:noFill/>
                  </pic:spPr>
                </pic:pic>
              </a:graphicData>
            </a:graphic>
          </wp:anchor>
        </w:drawing>
      </w:r>
    </w:p>
    <w:p>
      <w:pPr>
        <w:spacing w:after="0" w:line="368" w:lineRule="exact"/>
        <w:rPr>
          <w:sz w:val="20"/>
          <w:szCs w:val="20"/>
          <w:color w:val="auto"/>
        </w:rPr>
      </w:pPr>
    </w:p>
    <w:p>
      <w:pPr>
        <w:ind w:left="1500" w:right="439"/>
        <w:spacing w:after="0" w:line="283" w:lineRule="auto"/>
        <w:rPr>
          <w:sz w:val="20"/>
          <w:szCs w:val="20"/>
          <w:color w:val="auto"/>
        </w:rPr>
      </w:pPr>
      <w:r>
        <w:rPr>
          <w:rFonts w:ascii="Times New Roman" w:cs="Times New Roman" w:eastAsia="Times New Roman" w:hAnsi="Times New Roman"/>
          <w:sz w:val="14"/>
          <w:szCs w:val="14"/>
          <w:color w:val="auto"/>
        </w:rPr>
        <w:t>section entitled “Risk Factors,” as well as other information included or incorporated by reference in this proxy statement/prospectus and the other documents to which they have been referred. These risks include, without limitation, the following:</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Transactions</w:t>
      </w:r>
    </w:p>
    <w:p>
      <w:pPr>
        <w:spacing w:after="0" w:line="104" w:lineRule="exact"/>
        <w:rPr>
          <w:sz w:val="20"/>
          <w:szCs w:val="20"/>
          <w:color w:val="auto"/>
        </w:rPr>
      </w:pPr>
    </w:p>
    <w:p>
      <w:pPr>
        <w:ind w:left="2220" w:right="71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Transactions may not be completed on the terms or timeline currently contemplated, or at all, and the failure to complete the Transactions could adversely impact the market price of Gentherm Common Stock.</w:t>
      </w:r>
    </w:p>
    <w:p>
      <w:pPr>
        <w:spacing w:after="0" w:line="51" w:lineRule="exact"/>
        <w:rPr>
          <w:rFonts w:ascii="Times New Roman" w:cs="Times New Roman" w:eastAsia="Times New Roman" w:hAnsi="Times New Roman"/>
          <w:sz w:val="14"/>
          <w:szCs w:val="14"/>
          <w:color w:val="auto"/>
        </w:rPr>
      </w:pPr>
    </w:p>
    <w:p>
      <w:pPr>
        <w:ind w:left="2220" w:right="107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Transactions are completed, Gentherm may not realize the anticipated financial and other benefits, including growth opportunities, expected from the Transactions.</w:t>
      </w:r>
    </w:p>
    <w:p>
      <w:pPr>
        <w:spacing w:after="0" w:line="51" w:lineRule="exact"/>
        <w:rPr>
          <w:rFonts w:ascii="Times New Roman" w:cs="Times New Roman" w:eastAsia="Times New Roman" w:hAnsi="Times New Roman"/>
          <w:sz w:val="14"/>
          <w:szCs w:val="14"/>
          <w:color w:val="auto"/>
        </w:rPr>
      </w:pPr>
    </w:p>
    <w:p>
      <w:pPr>
        <w:ind w:left="2220" w:right="85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pendency of the Merger could have an adverse effect on Gentherm’s business, financial condition, results of operations or business prospects, as well as the price of Gentherm Common Stock.</w:t>
      </w:r>
    </w:p>
    <w:p>
      <w:pPr>
        <w:spacing w:after="0" w:line="51" w:lineRule="exact"/>
        <w:rPr>
          <w:rFonts w:ascii="Times New Roman" w:cs="Times New Roman" w:eastAsia="Times New Roman" w:hAnsi="Times New Roman"/>
          <w:sz w:val="14"/>
          <w:szCs w:val="14"/>
          <w:color w:val="auto"/>
        </w:rPr>
      </w:pPr>
    </w:p>
    <w:p>
      <w:pPr>
        <w:ind w:left="2220" w:right="53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 will incur significant costs related to the Transactions that could have a material adverse effect on its liquidity, cash flows and results of operations.</w:t>
      </w:r>
    </w:p>
    <w:p>
      <w:pPr>
        <w:spacing w:after="0" w:line="51" w:lineRule="exact"/>
        <w:rPr>
          <w:rFonts w:ascii="Times New Roman" w:cs="Times New Roman" w:eastAsia="Times New Roman" w:hAnsi="Times New Roman"/>
          <w:sz w:val="14"/>
          <w:szCs w:val="14"/>
          <w:color w:val="auto"/>
        </w:rPr>
      </w:pPr>
    </w:p>
    <w:p>
      <w:pPr>
        <w:ind w:left="2220" w:right="45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 will be responsible for all Performance Technologies Business liabilities following the completion of the Transactions, and is acquiring the SpinCo Assets on an “as is,” “where is” and “with all faults” basis.</w:t>
      </w:r>
    </w:p>
    <w:p>
      <w:pPr>
        <w:spacing w:after="0" w:line="51" w:lineRule="exact"/>
        <w:rPr>
          <w:rFonts w:ascii="Times New Roman" w:cs="Times New Roman" w:eastAsia="Times New Roman" w:hAnsi="Times New Roman"/>
          <w:sz w:val="14"/>
          <w:szCs w:val="14"/>
          <w:color w:val="auto"/>
        </w:rPr>
      </w:pPr>
    </w:p>
    <w:p>
      <w:pPr>
        <w:ind w:left="2220" w:right="45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 or Modine may waive one or more of the conditions to the consummation of the Merger, which could require the parties to consummate the Merger on terms materially less favorable to the combined company and its shareholders.</w:t>
      </w:r>
    </w:p>
    <w:p>
      <w:pPr>
        <w:spacing w:after="0" w:line="51" w:lineRule="exact"/>
        <w:rPr>
          <w:rFonts w:ascii="Times New Roman" w:cs="Times New Roman" w:eastAsia="Times New Roman" w:hAnsi="Times New Roman"/>
          <w:sz w:val="14"/>
          <w:szCs w:val="14"/>
          <w:color w:val="auto"/>
        </w:rPr>
      </w:pPr>
    </w:p>
    <w:p>
      <w:pPr>
        <w:ind w:left="2220" w:right="57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 is required to abide by potentially significant restrictions that could limit its ability to undertake certain corporate actions that otherwise could be advantageous.</w:t>
      </w:r>
    </w:p>
    <w:p>
      <w:pPr>
        <w:spacing w:after="0" w:line="51" w:lineRule="exact"/>
        <w:rPr>
          <w:rFonts w:ascii="Times New Roman" w:cs="Times New Roman" w:eastAsia="Times New Roman" w:hAnsi="Times New Roman"/>
          <w:sz w:val="14"/>
          <w:szCs w:val="14"/>
          <w:color w:val="auto"/>
        </w:rPr>
      </w:pPr>
    </w:p>
    <w:p>
      <w:pPr>
        <w:ind w:left="2220" w:right="499" w:hanging="313"/>
        <w:spacing w:after="0" w:line="261"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Contribution and the Distribution do not qualify under Sections 355 and 368(a) of the Code, including as a result of an error in the determination of Overlap Shareholders or subsequent acquisitions of Gentherm Common Stock or Modine Common Stock, then Modine and Modine shareholders could incur significant tax liabilities, and Gentherm and SpinCo may be obligated to indemnify Modine for such taxes imposed on Modine.</w:t>
      </w:r>
    </w:p>
    <w:p>
      <w:pPr>
        <w:spacing w:after="0" w:line="67" w:lineRule="exact"/>
        <w:rPr>
          <w:rFonts w:ascii="Times New Roman" w:cs="Times New Roman" w:eastAsia="Times New Roman" w:hAnsi="Times New Roman"/>
          <w:sz w:val="14"/>
          <w:szCs w:val="14"/>
          <w:color w:val="auto"/>
        </w:rPr>
      </w:pPr>
    </w:p>
    <w:p>
      <w:pPr>
        <w:ind w:left="2220" w:right="51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does not qualify as a reorganization under Section 368(a) of the Code, Modine shareholders could incur significant tax liabilities.</w:t>
      </w:r>
    </w:p>
    <w:p>
      <w:pPr>
        <w:spacing w:after="0" w:line="51" w:lineRule="exact"/>
        <w:rPr>
          <w:rFonts w:ascii="Times New Roman" w:cs="Times New Roman" w:eastAsia="Times New Roman" w:hAnsi="Times New Roman"/>
          <w:sz w:val="14"/>
          <w:szCs w:val="14"/>
          <w:color w:val="auto"/>
        </w:rPr>
      </w:pPr>
    </w:p>
    <w:p>
      <w:pPr>
        <w:ind w:left="2220" w:right="579" w:hanging="313"/>
        <w:spacing w:after="0" w:line="283"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Gentherm Special Dividend that Gentherm may pay, and the number of shares of Gentherm Common Stock that Gentherm may issue, in the Transactions are uncertain.</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Gentherm shareholders’ percentage ownership interest in Gentherm will be substantially diluted in the Merger.</w:t>
      </w:r>
    </w:p>
    <w:p>
      <w:pPr>
        <w:spacing w:after="0" w:line="21" w:lineRule="exact"/>
        <w:rPr>
          <w:rFonts w:ascii="Times New Roman" w:cs="Times New Roman" w:eastAsia="Times New Roman" w:hAnsi="Times New Roman"/>
          <w:sz w:val="14"/>
          <w:szCs w:val="14"/>
          <w:color w:val="auto"/>
        </w:rPr>
      </w:pPr>
    </w:p>
    <w:p>
      <w:pPr>
        <w:ind w:left="2220" w:right="759" w:hanging="313"/>
        <w:spacing w:after="0" w:line="261"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the number of shares of Gentherm Common Stock to be issued in the Merger will not be adjusted if there is a change in the value of the Performance Technologies Business or Gentherm before the Merger is completed.</w:t>
      </w:r>
    </w:p>
    <w:p>
      <w:pPr>
        <w:spacing w:after="0" w:line="66" w:lineRule="exact"/>
        <w:rPr>
          <w:rFonts w:ascii="Times New Roman" w:cs="Times New Roman" w:eastAsia="Times New Roman" w:hAnsi="Times New Roman"/>
          <w:sz w:val="14"/>
          <w:szCs w:val="14"/>
          <w:color w:val="auto"/>
        </w:rPr>
      </w:pPr>
    </w:p>
    <w:p>
      <w:pPr>
        <w:ind w:left="2220" w:right="399" w:hanging="313"/>
        <w:spacing w:after="0" w:line="267"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 may be negatively impacted if Gentherm is unable to provide benefits and services, or access to equivalent financial strength and resources, to the Performance Technologies Business that historically have been provided by Modine.</w:t>
      </w:r>
    </w:p>
    <w:p>
      <w:pPr>
        <w:spacing w:after="0" w:line="61" w:lineRule="exact"/>
        <w:rPr>
          <w:rFonts w:ascii="Times New Roman" w:cs="Times New Roman" w:eastAsia="Times New Roman" w:hAnsi="Times New Roman"/>
          <w:sz w:val="14"/>
          <w:szCs w:val="14"/>
          <w:color w:val="auto"/>
        </w:rPr>
      </w:pPr>
    </w:p>
    <w:p>
      <w:pPr>
        <w:ind w:left="2220" w:right="559" w:hanging="313"/>
        <w:spacing w:after="0" w:line="267" w:lineRule="auto"/>
        <w:tabs>
          <w:tab w:leader="none" w:pos="22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financial information of the Performance Technologies Business may not be representative of its results if it had been operated as a standalone business or as part of Gentherm, and as a result, may not be a reliable indicator of future results of the Performance Technologies Business.</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5586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3380" cy="4558665"/>
                    </a:xfrm>
                    <a:prstGeom prst="rect">
                      <a:avLst/>
                    </a:prstGeom>
                    <a:noFill/>
                  </pic:spPr>
                </pic:pic>
              </a:graphicData>
            </a:graphic>
          </wp:anchor>
        </w:drawing>
      </w:r>
    </w:p>
    <w:p>
      <w:pPr>
        <w:spacing w:after="0" w:line="368" w:lineRule="exact"/>
        <w:rPr>
          <w:sz w:val="20"/>
          <w:szCs w:val="20"/>
          <w:color w:val="auto"/>
        </w:rPr>
      </w:pPr>
    </w:p>
    <w:p>
      <w:pPr>
        <w:jc w:val="both"/>
        <w:ind w:left="2220" w:right="559" w:hanging="313"/>
        <w:spacing w:after="0" w:line="267" w:lineRule="auto"/>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 of Gentherm’s financial advisor does not reflect changes in circumstances between the date of delivery of such opinion and completion of the Merger and does not address the fairness of the Exchange Ratio from a financial point of view at the time the Transactions are completed.</w:t>
      </w:r>
    </w:p>
    <w:p>
      <w:pPr>
        <w:spacing w:after="0" w:line="61" w:lineRule="exact"/>
        <w:rPr>
          <w:rFonts w:ascii="Times New Roman" w:cs="Times New Roman" w:eastAsia="Times New Roman" w:hAnsi="Times New Roman"/>
          <w:sz w:val="14"/>
          <w:szCs w:val="14"/>
          <w:color w:val="auto"/>
        </w:rPr>
      </w:pPr>
    </w:p>
    <w:p>
      <w:pPr>
        <w:ind w:left="2220" w:right="579" w:hanging="313"/>
        <w:spacing w:after="0" w:line="283" w:lineRule="auto"/>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unaudited pro forma condensed combined financial statements of Gentherm are based in part on certain assumptions regarding the Transactions and may not be indicative of Gentherm’s future operating performance.</w:t>
      </w:r>
    </w:p>
    <w:p>
      <w:pPr>
        <w:spacing w:after="0" w:line="51" w:lineRule="exact"/>
        <w:rPr>
          <w:rFonts w:ascii="Times New Roman" w:cs="Times New Roman" w:eastAsia="Times New Roman" w:hAnsi="Times New Roman"/>
          <w:sz w:val="14"/>
          <w:szCs w:val="14"/>
          <w:color w:val="auto"/>
        </w:rPr>
      </w:pPr>
    </w:p>
    <w:p>
      <w:pPr>
        <w:ind w:left="2220" w:right="379" w:hanging="313"/>
        <w:spacing w:after="0" w:line="283" w:lineRule="auto"/>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Gentherm’s judgments and estimates related to the acquisition accounting models used to record the purchase price allocation could be inaccurate.</w:t>
      </w:r>
    </w:p>
    <w:p>
      <w:pPr>
        <w:spacing w:after="0" w:line="51" w:lineRule="exact"/>
        <w:rPr>
          <w:rFonts w:ascii="Times New Roman" w:cs="Times New Roman" w:eastAsia="Times New Roman" w:hAnsi="Times New Roman"/>
          <w:sz w:val="14"/>
          <w:szCs w:val="14"/>
          <w:color w:val="auto"/>
        </w:rPr>
      </w:pPr>
    </w:p>
    <w:p>
      <w:pPr>
        <w:ind w:left="2220" w:right="539" w:hanging="313"/>
        <w:spacing w:after="0" w:line="283" w:lineRule="auto"/>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 and the Performance Technologies Business may have difficulty attracting, motivating and retaining executives and other employees in light of the Transactions.</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prices of Gentherm Common Stock may not be an appropriate proxy for the prices of SpinCo common stock.</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Gentherm shareholders nor Modine shareholders will be entitled to appraisal rights in connection with the Transactions.</w:t>
      </w:r>
    </w:p>
    <w:p>
      <w:pPr>
        <w:spacing w:after="0" w:line="101" w:lineRule="exact"/>
        <w:rPr>
          <w:rFonts w:ascii="Times New Roman" w:cs="Times New Roman" w:eastAsia="Times New Roman" w:hAnsi="Times New Roman"/>
          <w:sz w:val="14"/>
          <w:szCs w:val="14"/>
          <w:color w:val="auto"/>
        </w:rPr>
      </w:pPr>
    </w:p>
    <w:p>
      <w:pPr>
        <w:ind w:left="2220" w:right="859" w:hanging="313"/>
        <w:spacing w:after="0" w:line="283" w:lineRule="auto"/>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litigation, if any, could prevent or delay the consummation of the Transactions or otherwise negatively impact the business and operations of Gentherm, Modine or the Performance Technologies Business.</w:t>
      </w:r>
    </w:p>
    <w:p>
      <w:pPr>
        <w:spacing w:after="0" w:line="51" w:lineRule="exact"/>
        <w:rPr>
          <w:rFonts w:ascii="Times New Roman" w:cs="Times New Roman" w:eastAsia="Times New Roman" w:hAnsi="Times New Roman"/>
          <w:sz w:val="14"/>
          <w:szCs w:val="14"/>
          <w:color w:val="auto"/>
        </w:rPr>
      </w:pPr>
    </w:p>
    <w:p>
      <w:pPr>
        <w:ind w:left="2220" w:right="419" w:hanging="313"/>
        <w:spacing w:after="0" w:line="283" w:lineRule="auto"/>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Gentherm Bylaws include exclusive forum provisions, which could limit shareholders’ ability to bring a claim in a judicial forum that they find favorable for disputes with Gentherm, the combined company or their respective directors, officers or employees.</w:t>
      </w:r>
    </w:p>
    <w:p>
      <w:pPr>
        <w:spacing w:after="0" w:line="51" w:lineRule="exact"/>
        <w:rPr>
          <w:rFonts w:ascii="Times New Roman" w:cs="Times New Roman" w:eastAsia="Times New Roman" w:hAnsi="Times New Roman"/>
          <w:sz w:val="14"/>
          <w:szCs w:val="14"/>
          <w:color w:val="auto"/>
        </w:rPr>
      </w:pPr>
    </w:p>
    <w:p>
      <w:pPr>
        <w:ind w:left="2220" w:right="839" w:hanging="313"/>
        <w:spacing w:after="0" w:line="283" w:lineRule="auto"/>
        <w:tabs>
          <w:tab w:leader="none" w:pos="22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Transactions could discourage other companies from trying to acquire Gentherm before, or for a period of time following, completion of the Transactions.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Risks Related to the Combined Company Following the Transactions</w:t>
      </w:r>
    </w:p>
    <w:p>
      <w:pPr>
        <w:spacing w:after="0" w:line="104" w:lineRule="exact"/>
        <w:rPr>
          <w:sz w:val="20"/>
          <w:szCs w:val="20"/>
          <w:color w:val="auto"/>
        </w:rPr>
      </w:pPr>
    </w:p>
    <w:p>
      <w:pPr>
        <w:ind w:left="2220" w:hanging="313"/>
        <w:spacing w:after="0"/>
        <w:tabs>
          <w:tab w:leader="none" w:pos="22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Gentherm Common Stock after the Transactions may negatively affect the market price of Gentherm Common Stock.</w:t>
      </w:r>
    </w:p>
    <w:p>
      <w:pPr>
        <w:spacing w:after="0" w:line="101" w:lineRule="exact"/>
        <w:rPr>
          <w:rFonts w:ascii="Times New Roman" w:cs="Times New Roman" w:eastAsia="Times New Roman" w:hAnsi="Times New Roman"/>
          <w:sz w:val="14"/>
          <w:szCs w:val="14"/>
          <w:color w:val="auto"/>
        </w:rPr>
      </w:pPr>
    </w:p>
    <w:p>
      <w:pPr>
        <w:ind w:left="2220" w:right="579" w:hanging="313"/>
        <w:spacing w:after="0" w:line="267" w:lineRule="auto"/>
        <w:tabs>
          <w:tab w:leader="none" w:pos="22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integration of the Performance Technologies Business with Gentherm following the Transactions may present significant challenges, and the failure to successfully integrate the Performance Technologies Business could have a material adverse effect on the combined company’s business, financial condition or results of operations.</w:t>
      </w:r>
    </w:p>
    <w:p>
      <w:pPr>
        <w:spacing w:after="0" w:line="6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company’s industry is highly competitive, which may impact its results of operations.</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might be unable to successfully compete with other companies in its industry.</w:t>
      </w:r>
    </w:p>
    <w:p>
      <w:pPr>
        <w:spacing w:after="0" w:line="101" w:lineRule="exact"/>
        <w:rPr>
          <w:rFonts w:ascii="Times New Roman" w:cs="Times New Roman" w:eastAsia="Times New Roman" w:hAnsi="Times New Roman"/>
          <w:sz w:val="14"/>
          <w:szCs w:val="14"/>
          <w:color w:val="auto"/>
        </w:rPr>
      </w:pPr>
    </w:p>
    <w:p>
      <w:pPr>
        <w:ind w:left="2220" w:right="559" w:hanging="313"/>
        <w:spacing w:after="0" w:line="267" w:lineRule="auto"/>
        <w:tabs>
          <w:tab w:leader="none" w:pos="22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consummation of the Transactions, Gentherm and SpinCo will each be required to abide by potentially significant restrictions that could limit the combined company’s ability to undertake certain corporate actions (such as the issuance of common stock or the undertaking of certain business combinations) that otherwise could be advantageous.</w:t>
      </w:r>
    </w:p>
    <w:p>
      <w:pPr>
        <w:spacing w:after="0" w:line="61" w:lineRule="exact"/>
        <w:rPr>
          <w:rFonts w:ascii="Times New Roman" w:cs="Times New Roman" w:eastAsia="Times New Roman" w:hAnsi="Times New Roman"/>
          <w:sz w:val="14"/>
          <w:szCs w:val="14"/>
          <w:color w:val="auto"/>
        </w:rPr>
      </w:pPr>
    </w:p>
    <w:p>
      <w:pPr>
        <w:ind w:left="2220" w:right="759" w:hanging="313"/>
        <w:spacing w:after="0" w:line="323" w:lineRule="auto"/>
        <w:tabs>
          <w:tab w:leader="none" w:pos="22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 financial condition and results of operations of the Performance Technologies Business may be adversely affected following the Transactions if it cannot negotiate terms that are as favorable as those it previously received as part of Modine.</w:t>
      </w:r>
    </w:p>
    <w:p>
      <w:pPr>
        <w:spacing w:after="0" w:line="28" w:lineRule="exact"/>
        <w:rPr>
          <w:rFonts w:ascii="Times New Roman" w:cs="Times New Roman" w:eastAsia="Times New Roman" w:hAnsi="Times New Roman"/>
          <w:sz w:val="13"/>
          <w:szCs w:val="13"/>
          <w:color w:val="auto"/>
        </w:rPr>
      </w:pPr>
    </w:p>
    <w:p>
      <w:pPr>
        <w:ind w:left="2220" w:right="739" w:hanging="313"/>
        <w:spacing w:after="0" w:line="283" w:lineRule="auto"/>
        <w:tabs>
          <w:tab w:leader="none" w:pos="22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could lose customers or generate lower revenue, operating profits and cash flows if there are significant increases in the cost of raw materials or if it is unable to obtain such raw materials or other components of its products.</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65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3380" cy="4765675"/>
                    </a:xfrm>
                    <a:prstGeom prst="rect">
                      <a:avLst/>
                    </a:prstGeom>
                    <a:noFill/>
                  </pic:spPr>
                </pic:pic>
              </a:graphicData>
            </a:graphic>
          </wp:anchor>
        </w:drawing>
      </w:r>
    </w:p>
    <w:p>
      <w:pPr>
        <w:spacing w:after="0" w:line="368" w:lineRule="exact"/>
        <w:rPr>
          <w:sz w:val="20"/>
          <w:szCs w:val="20"/>
          <w:color w:val="auto"/>
        </w:rPr>
      </w:pPr>
    </w:p>
    <w:p>
      <w:pPr>
        <w:ind w:left="2220" w:right="57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be subject to risks relating to existing international operations and expansion into certain geographical markets.</w:t>
      </w:r>
    </w:p>
    <w:p>
      <w:pPr>
        <w:spacing w:after="0" w:line="51" w:lineRule="exact"/>
        <w:rPr>
          <w:rFonts w:ascii="Times New Roman" w:cs="Times New Roman" w:eastAsia="Times New Roman" w:hAnsi="Times New Roman"/>
          <w:sz w:val="14"/>
          <w:szCs w:val="14"/>
          <w:color w:val="auto"/>
        </w:rPr>
      </w:pPr>
    </w:p>
    <w:p>
      <w:pPr>
        <w:ind w:left="2220" w:right="43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will be subject to changes in legislative, regulatory and other legal developments involving income and other taxes.</w:t>
      </w:r>
    </w:p>
    <w:p>
      <w:pPr>
        <w:spacing w:after="0" w:line="51" w:lineRule="exact"/>
        <w:rPr>
          <w:rFonts w:ascii="Times New Roman" w:cs="Times New Roman" w:eastAsia="Times New Roman" w:hAnsi="Times New Roman"/>
          <w:sz w:val="14"/>
          <w:szCs w:val="14"/>
          <w:color w:val="auto"/>
        </w:rPr>
      </w:pPr>
    </w:p>
    <w:p>
      <w:pPr>
        <w:ind w:left="2220" w:right="779" w:hanging="313"/>
        <w:spacing w:after="0" w:line="261"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may face risks associated with previous or future acquisitions, strategic investments, joint ventures and divestitures.</w:t>
      </w:r>
    </w:p>
    <w:p>
      <w:pPr>
        <w:ind w:left="2220" w:hanging="313"/>
        <w:spacing w:after="0"/>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 and the Performance Technologies Business are subject to information technology, cybersecurity and privacy risks.</w:t>
      </w:r>
    </w:p>
    <w:p>
      <w:pPr>
        <w:spacing w:after="0" w:line="87" w:lineRule="exact"/>
        <w:rPr>
          <w:rFonts w:ascii="Times New Roman" w:cs="Times New Roman" w:eastAsia="Times New Roman" w:hAnsi="Times New Roman"/>
          <w:sz w:val="14"/>
          <w:szCs w:val="14"/>
          <w:color w:val="auto"/>
        </w:rPr>
      </w:pPr>
    </w:p>
    <w:p>
      <w:pPr>
        <w:ind w:left="2220" w:right="559" w:hanging="313"/>
        <w:spacing w:after="0" w:line="267"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company’s reputation, ability to do business and results of operations may be impaired by improper conduct by or disputes with any of its employees, agents or business partners and it will have an increased compliance burden with respect to, and risk of violations of, anti-bribery, trade control, trade sanctions, anti-corruption and similar laws.</w:t>
      </w:r>
    </w:p>
    <w:p>
      <w:pPr>
        <w:spacing w:after="0" w:line="61" w:lineRule="exact"/>
        <w:rPr>
          <w:rFonts w:ascii="Times New Roman" w:cs="Times New Roman" w:eastAsia="Times New Roman" w:hAnsi="Times New Roman"/>
          <w:sz w:val="14"/>
          <w:szCs w:val="14"/>
          <w:color w:val="auto"/>
        </w:rPr>
      </w:pPr>
    </w:p>
    <w:p>
      <w:pPr>
        <w:ind w:left="2220" w:right="69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Tariffs and other trade measures could adversely affect the combined company’s results of operations, financial position and cash flows.</w:t>
      </w:r>
    </w:p>
    <w:p>
      <w:pPr>
        <w:spacing w:after="0" w:line="51" w:lineRule="exact"/>
        <w:rPr>
          <w:rFonts w:ascii="Times New Roman" w:cs="Times New Roman" w:eastAsia="Times New Roman" w:hAnsi="Times New Roman"/>
          <w:sz w:val="14"/>
          <w:szCs w:val="14"/>
          <w:color w:val="auto"/>
        </w:rPr>
      </w:pPr>
    </w:p>
    <w:p>
      <w:pPr>
        <w:ind w:left="2220" w:right="89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attract, retain and develop personnel, including for key management positions, could have an adverse impact on the combined company’s results of operations, financial condition and cash flows.</w:t>
      </w:r>
    </w:p>
    <w:p>
      <w:pPr>
        <w:spacing w:after="0" w:line="51" w:lineRule="exact"/>
        <w:rPr>
          <w:rFonts w:ascii="Times New Roman" w:cs="Times New Roman" w:eastAsia="Times New Roman" w:hAnsi="Times New Roman"/>
          <w:sz w:val="14"/>
          <w:szCs w:val="14"/>
          <w:color w:val="auto"/>
        </w:rPr>
      </w:pPr>
    </w:p>
    <w:p>
      <w:pPr>
        <w:ind w:left="2220" w:right="43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obtain, protect, defend or enforce intellectual property rights could adversely affect the combined company’s revenue, operating profits and cash flows.</w:t>
      </w:r>
    </w:p>
    <w:p>
      <w:pPr>
        <w:spacing w:after="0" w:line="51" w:lineRule="exact"/>
        <w:rPr>
          <w:rFonts w:ascii="Times New Roman" w:cs="Times New Roman" w:eastAsia="Times New Roman" w:hAnsi="Times New Roman"/>
          <w:sz w:val="14"/>
          <w:szCs w:val="14"/>
          <w:color w:val="auto"/>
        </w:rPr>
      </w:pPr>
    </w:p>
    <w:p>
      <w:pPr>
        <w:ind w:left="2220" w:right="519" w:hanging="313"/>
        <w:spacing w:after="0" w:line="267"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may need to bring claims against third parties to protect its intellectual property or may be subject to claims by third parties for infringement of their intellectual property, which could be time-consuming and costly and could have a material adverse effect on the combined company’s business, cash flows, financial condition and results of operations.</w:t>
      </w:r>
    </w:p>
    <w:p>
      <w:pPr>
        <w:spacing w:after="0" w:line="61" w:lineRule="exact"/>
        <w:rPr>
          <w:rFonts w:ascii="Times New Roman" w:cs="Times New Roman" w:eastAsia="Times New Roman" w:hAnsi="Times New Roman"/>
          <w:sz w:val="14"/>
          <w:szCs w:val="14"/>
          <w:color w:val="auto"/>
        </w:rPr>
      </w:pPr>
    </w:p>
    <w:p>
      <w:pPr>
        <w:ind w:left="2220" w:right="49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deterioration in the combined company’s future expected profitability or cash flows could result in an impairment of goodwill and intangible assets.</w:t>
      </w:r>
    </w:p>
    <w:p>
      <w:pPr>
        <w:spacing w:after="0" w:line="51" w:lineRule="exact"/>
        <w:rPr>
          <w:rFonts w:ascii="Times New Roman" w:cs="Times New Roman" w:eastAsia="Times New Roman" w:hAnsi="Times New Roman"/>
          <w:sz w:val="14"/>
          <w:szCs w:val="14"/>
          <w:color w:val="auto"/>
        </w:rPr>
      </w:pPr>
    </w:p>
    <w:p>
      <w:pPr>
        <w:ind w:left="2220" w:right="63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company’s exposure to exchange rate fluctuations on cross-border transactions and the translation of local currency results into U.S. dollars could negatively impact its results of operations.</w:t>
      </w:r>
    </w:p>
    <w:p>
      <w:pPr>
        <w:spacing w:after="0" w:line="51" w:lineRule="exact"/>
        <w:rPr>
          <w:rFonts w:ascii="Times New Roman" w:cs="Times New Roman" w:eastAsia="Times New Roman" w:hAnsi="Times New Roman"/>
          <w:sz w:val="14"/>
          <w:szCs w:val="14"/>
          <w:color w:val="auto"/>
        </w:rPr>
      </w:pPr>
    </w:p>
    <w:p>
      <w:pPr>
        <w:jc w:val="both"/>
        <w:ind w:left="2220" w:right="559" w:hanging="313"/>
        <w:spacing w:after="0" w:line="267"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completion of the Transactions, the combined company will have a greater amount of indebtedness than Gentherm’s indebtedness prior to the Merger, which could adversely affect the combined company’s financial condition or decrease its business flexibility.</w:t>
      </w:r>
    </w:p>
    <w:p>
      <w:pPr>
        <w:spacing w:after="0" w:line="61" w:lineRule="exact"/>
        <w:rPr>
          <w:rFonts w:ascii="Times New Roman" w:cs="Times New Roman" w:eastAsia="Times New Roman" w:hAnsi="Times New Roman"/>
          <w:sz w:val="14"/>
          <w:szCs w:val="14"/>
          <w:color w:val="auto"/>
        </w:rPr>
      </w:pPr>
    </w:p>
    <w:p>
      <w:pPr>
        <w:ind w:left="2220" w:right="77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may be imposed by the combined company’s debt instruments, which limit the ability of the combined company to operate its business and to finance its future operations or capital needs or to engage in other business activities.</w:t>
      </w:r>
    </w:p>
    <w:p>
      <w:pPr>
        <w:spacing w:after="0" w:line="51" w:lineRule="exact"/>
        <w:rPr>
          <w:rFonts w:ascii="Times New Roman" w:cs="Times New Roman" w:eastAsia="Times New Roman" w:hAnsi="Times New Roman"/>
          <w:sz w:val="14"/>
          <w:szCs w:val="14"/>
          <w:color w:val="auto"/>
        </w:rPr>
      </w:pPr>
    </w:p>
    <w:p>
      <w:pPr>
        <w:ind w:left="2220" w:right="539" w:hanging="313"/>
        <w:spacing w:after="0" w:line="267"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included herein are based upon estimates and assumptions made at the time they were prepared. If these estimates or assumptions prove to be incorrect or inaccurate, the combined company’s actual operating results may differ materially from those forecasted for Gentherm and the Performance Technologies Business.</w:t>
      </w:r>
    </w:p>
    <w:p>
      <w:pPr>
        <w:spacing w:after="0" w:line="61" w:lineRule="exact"/>
        <w:rPr>
          <w:rFonts w:ascii="Times New Roman" w:cs="Times New Roman" w:eastAsia="Times New Roman" w:hAnsi="Times New Roman"/>
          <w:sz w:val="14"/>
          <w:szCs w:val="14"/>
          <w:color w:val="auto"/>
        </w:rPr>
      </w:pPr>
    </w:p>
    <w:p>
      <w:pPr>
        <w:ind w:left="2220" w:right="47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could incur operational difficulties or losses if Modine were unable to perform under the Transition Services Agreement entered into as part of the Separation.</w:t>
      </w:r>
    </w:p>
    <w:p>
      <w:pPr>
        <w:spacing w:after="0" w:line="51" w:lineRule="exact"/>
        <w:rPr>
          <w:rFonts w:ascii="Times New Roman" w:cs="Times New Roman" w:eastAsia="Times New Roman" w:hAnsi="Times New Roman"/>
          <w:sz w:val="14"/>
          <w:szCs w:val="14"/>
          <w:color w:val="auto"/>
        </w:rPr>
      </w:pPr>
    </w:p>
    <w:p>
      <w:pPr>
        <w:ind w:left="2220" w:right="399" w:hanging="313"/>
        <w:spacing w:after="0" w:line="283" w:lineRule="auto"/>
        <w:tabs>
          <w:tab w:leader="none" w:pos="2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provisions contained in the Gentherm Charter and the Gentherm Bylaws, as well as provisions of Michigan law, could deter or impair a takeover attempt.</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HISTORICAL MARKET PRICE DATA AND DIVIDEND INFORMATION FOR GENTHERM</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Historical Market Price Data</w:t>
      </w:r>
    </w:p>
    <w:p>
      <w:pPr>
        <w:spacing w:after="0" w:line="9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Gentherm Common Stock is listed and traded on the Nasdaq under the symbol “THRM.” On         , the last practicable trading day prior to the date of this proxy statement/prospectus, there were        shares of Gentherm Common Stock outstanding.</w:t>
      </w:r>
    </w:p>
    <w:p>
      <w:pPr>
        <w:spacing w:after="0" w:line="125"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presents the last reported sale price of a share of Gentherm Common Stock, as reported on Nasdaq on January 28, 2026, the last full trading day prior to the public announcement of the Transactions, and on         , the last practicable trading day prior to the date of this proxy statement/prospectus:</w:t>
      </w:r>
    </w:p>
    <w:p>
      <w:pPr>
        <w:spacing w:after="0" w:line="152" w:lineRule="exact"/>
        <w:rPr>
          <w:sz w:val="20"/>
          <w:szCs w:val="20"/>
          <w:color w:val="auto"/>
        </w:rPr>
      </w:pPr>
    </w:p>
    <w:tbl>
      <w:tblPr>
        <w:tblLayout w:type="fixed"/>
        <w:tblInd w:w="2740" w:type="dxa"/>
        <w:tblCellMar>
          <w:top w:w="0" w:type="dxa"/>
          <w:left w:w="0" w:type="dxa"/>
          <w:bottom w:w="0" w:type="dxa"/>
          <w:right w:w="0" w:type="dxa"/>
        </w:tblCellMar>
      </w:tblPr>
      <w:tr>
        <w:trPr>
          <w:trHeight w:val="135"/>
        </w:trPr>
        <w:tc>
          <w:tcPr>
            <w:tcW w:w="3120" w:type="dxa"/>
            <w:vAlign w:val="bottom"/>
          </w:tcPr>
          <w:p>
            <w:pPr>
              <w:spacing w:after="0"/>
              <w:rPr>
                <w:sz w:val="11"/>
                <w:szCs w:val="11"/>
                <w:color w:val="auto"/>
              </w:rPr>
            </w:pPr>
          </w:p>
        </w:tc>
        <w:tc>
          <w:tcPr>
            <w:tcW w:w="2700" w:type="dxa"/>
            <w:vAlign w:val="bottom"/>
            <w:gridSpan w:val="4"/>
          </w:tcPr>
          <w:p>
            <w:pPr>
              <w:ind w:left="2160"/>
              <w:spacing w:after="0"/>
              <w:rPr>
                <w:sz w:val="20"/>
                <w:szCs w:val="20"/>
                <w:color w:val="auto"/>
              </w:rPr>
            </w:pPr>
            <w:r>
              <w:rPr>
                <w:rFonts w:ascii="Times New Roman" w:cs="Times New Roman" w:eastAsia="Times New Roman" w:hAnsi="Times New Roman"/>
                <w:sz w:val="11"/>
                <w:szCs w:val="11"/>
                <w:b w:val="1"/>
                <w:bCs w:val="1"/>
                <w:color w:val="auto"/>
              </w:rPr>
              <w:t>Gentherm</w:t>
            </w:r>
          </w:p>
        </w:tc>
      </w:tr>
      <w:tr>
        <w:trPr>
          <w:trHeight w:val="159"/>
        </w:trPr>
        <w:tc>
          <w:tcPr>
            <w:tcW w:w="31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January 28, 2026</w:t>
            </w:r>
          </w:p>
        </w:tc>
        <w:tc>
          <w:tcPr>
            <w:tcW w:w="2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36.04</w:t>
            </w:r>
          </w:p>
        </w:tc>
        <w:tc>
          <w:tcPr>
            <w:tcW w:w="40" w:type="dxa"/>
            <w:vAlign w:val="bottom"/>
            <w:tcBorders>
              <w:top w:val="single" w:sz="8" w:color="CCEEFF"/>
            </w:tcBorders>
            <w:shd w:val="clear" w:color="auto" w:fill="CCEEFF"/>
          </w:tcPr>
          <w:p>
            <w:pPr>
              <w:spacing w:after="0"/>
              <w:rPr>
                <w:sz w:val="13"/>
                <w:szCs w:val="13"/>
                <w:color w:val="auto"/>
              </w:rPr>
            </w:pPr>
          </w:p>
        </w:tc>
      </w:tr>
      <w:tr>
        <w:trPr>
          <w:trHeight w:val="183"/>
        </w:trPr>
        <w:tc>
          <w:tcPr>
            <w:tcW w:w="3120" w:type="dxa"/>
            <w:vAlign w:val="bottom"/>
          </w:tcPr>
          <w:p>
            <w:pPr>
              <w:spacing w:after="0"/>
              <w:rPr>
                <w:sz w:val="15"/>
                <w:szCs w:val="15"/>
                <w:color w:val="auto"/>
              </w:rPr>
            </w:pPr>
          </w:p>
        </w:tc>
        <w:tc>
          <w:tcPr>
            <w:tcW w:w="2280" w:type="dxa"/>
            <w:vAlign w:val="bottom"/>
            <w:gridSpan w:val="2"/>
          </w:tcPr>
          <w:p>
            <w:pPr>
              <w:ind w:left="2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The market price of Gentherm Common Stock has fluctuated since the date of the public announcement of the Transactions and is expected to continue to fluctuate from the date of this proxy statement/prospectus to the date of the Special Meeting and the date the Merger is completed. No assurance can be given concerning the market price of Gentherm Common Stock before or after completion of the Merger.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3"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Gentherm has not declared or paid any dividends on the Gentherm Common Stock in its past three fiscal years and does not currently intend to pay cash dividends in the foreseeable future, other than the Gentherm Special Dividend, if applicable. Any future determination to pay cash dividends will be made at the discretion of the Gentherm Board and will depend on, among other things, Gentherm’s results of operations, cash requirements, financial condition, contractual restrictions contained in current or future financing instruments and other factors that the Gentherm Board may deem relevant.</w:t>
      </w:r>
    </w:p>
    <w:p>
      <w:pPr>
        <w:spacing w:after="0" w:line="31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HISTORICAL MARKET PRICE DATA AND DIVIDEND INFORMATION FOR SPINCO</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Historical Market Price Data</w:t>
      </w:r>
    </w:p>
    <w:p>
      <w:pPr>
        <w:spacing w:after="0" w:line="93" w:lineRule="exact"/>
        <w:rPr>
          <w:sz w:val="20"/>
          <w:szCs w:val="20"/>
          <w:color w:val="auto"/>
        </w:rPr>
      </w:pPr>
    </w:p>
    <w:p>
      <w:pPr>
        <w:ind w:left="1360" w:right="679" w:firstLine="343"/>
        <w:spacing w:after="0" w:line="323" w:lineRule="auto"/>
        <w:rPr>
          <w:sz w:val="20"/>
          <w:szCs w:val="20"/>
          <w:color w:val="auto"/>
        </w:rPr>
      </w:pPr>
      <w:r>
        <w:rPr>
          <w:rFonts w:ascii="Times New Roman" w:cs="Times New Roman" w:eastAsia="Times New Roman" w:hAnsi="Times New Roman"/>
          <w:sz w:val="13"/>
          <w:szCs w:val="13"/>
          <w:color w:val="auto"/>
        </w:rPr>
        <w:t>No trading market currently exists or ever will exist for SpinCo Common Stock. Modine and Modine shareholders will not be able to trade SpinCo Common Stock before or after it is automatically converted into the right to receive shares of Gentherm Common Stock in the Merger.</w:t>
      </w:r>
    </w:p>
    <w:p>
      <w:pPr>
        <w:spacing w:after="0" w:line="102"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Modine Common Stock is listed and traded on the NYSE under the symbol “MOD.” On         , the last practicable trading day prior to the date of this proxy statement/prospectus, there were        shares of Modine Common Stock outstanding.</w:t>
      </w:r>
    </w:p>
    <w:p>
      <w:pPr>
        <w:spacing w:after="0" w:line="125"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following table presents the last reported sale price of a share of Modine Common Stock, as reported on the NYSE on January 28, 2026, the last full trading day prior to the public announcement of the Transactions, and on         , the last practicable trading day prior to the date of this proxy statement/prospectus:</w:t>
      </w:r>
    </w:p>
    <w:p>
      <w:pPr>
        <w:spacing w:after="0" w:line="152" w:lineRule="exact"/>
        <w:rPr>
          <w:sz w:val="20"/>
          <w:szCs w:val="20"/>
          <w:color w:val="auto"/>
        </w:rPr>
      </w:pPr>
    </w:p>
    <w:tbl>
      <w:tblPr>
        <w:tblLayout w:type="fixed"/>
        <w:tblInd w:w="2740" w:type="dxa"/>
        <w:tblCellMar>
          <w:top w:w="0" w:type="dxa"/>
          <w:left w:w="0" w:type="dxa"/>
          <w:bottom w:w="0" w:type="dxa"/>
          <w:right w:w="0" w:type="dxa"/>
        </w:tblCellMar>
      </w:tblPr>
      <w:tr>
        <w:trPr>
          <w:trHeight w:val="135"/>
        </w:trPr>
        <w:tc>
          <w:tcPr>
            <w:tcW w:w="3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Modine</w:t>
            </w:r>
          </w:p>
        </w:tc>
      </w:tr>
      <w:tr>
        <w:trPr>
          <w:trHeight w:val="159"/>
        </w:trPr>
        <w:tc>
          <w:tcPr>
            <w:tcW w:w="31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January 28, 2026</w:t>
            </w:r>
          </w:p>
        </w:tc>
        <w:tc>
          <w:tcPr>
            <w:tcW w:w="21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93"/>
              </w:rPr>
              <w:t>$ 146.90</w:t>
            </w:r>
          </w:p>
        </w:tc>
        <w:tc>
          <w:tcPr>
            <w:tcW w:w="60" w:type="dxa"/>
            <w:vAlign w:val="bottom"/>
            <w:tcBorders>
              <w:top w:val="single" w:sz="8" w:color="CCEEFF"/>
            </w:tcBorders>
            <w:shd w:val="clear" w:color="auto" w:fill="CCEEFF"/>
          </w:tcPr>
          <w:p>
            <w:pPr>
              <w:spacing w:after="0"/>
              <w:rPr>
                <w:sz w:val="13"/>
                <w:szCs w:val="13"/>
                <w:color w:val="auto"/>
              </w:rPr>
            </w:pPr>
          </w:p>
        </w:tc>
      </w:tr>
      <w:tr>
        <w:trPr>
          <w:trHeight w:val="183"/>
        </w:trPr>
        <w:tc>
          <w:tcPr>
            <w:tcW w:w="3120" w:type="dxa"/>
            <w:vAlign w:val="bottom"/>
          </w:tcPr>
          <w:p>
            <w:pPr>
              <w:spacing w:after="0"/>
              <w:rPr>
                <w:sz w:val="15"/>
                <w:szCs w:val="15"/>
                <w:color w:val="auto"/>
              </w:rPr>
            </w:pPr>
          </w:p>
        </w:tc>
        <w:tc>
          <w:tcPr>
            <w:tcW w:w="2640" w:type="dxa"/>
            <w:vAlign w:val="bottom"/>
            <w:gridSpan w:val="2"/>
          </w:tcPr>
          <w:p>
            <w:pPr>
              <w:ind w:left="2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r>
    </w:tbl>
    <w:p>
      <w:pPr>
        <w:spacing w:after="0" w:line="139"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The market price of Gentherm Common Stock has fluctuated since the date of the public announcement of the proposed transactions and will continue to fluctuate from the date of this proxy statement/prospectus to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date of the Special Meeting and the date the Merger is completed. No assurance can be given concerning the market price of Gentherm Common Stock before or after completion of the Merger. The Gentherm market price at the time that the shares of Gentherm Common Stock are issued to Modine shareholders pursuant to the Merger could be greater than, less than or the same as shown in the table in “Historical Market Price Data and Dividend Information for Gentherm.”</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3" w:lineRule="exact"/>
        <w:rPr>
          <w:sz w:val="20"/>
          <w:szCs w:val="20"/>
          <w:color w:val="auto"/>
        </w:rPr>
      </w:pPr>
    </w:p>
    <w:p>
      <w:pPr>
        <w:jc w:val="both"/>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Modine has not declared or paid any dividends on the Modine Common Stock in its past three fiscal years and does not currently intend to pay cash dividends in the foreseeable future. Any future determination to pay cash dividends will be made at the discretion of the Modine Board and will depend on, among other things, Modine’s results of operations, cash requirements, financial condition, contractual restrictions contained in current or future financing instruments and other factors that the Modine Board may deem relevant.</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You should carefully consider the following risk factors, together with the other information contained or incorporated by reference in this proxy</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statement/prospectus and the exhibits hereto. In addition, you should consider the risks associated with Gentherm and its business included in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Gentherm’s Annual Report on Form 10-K for the fiscal year ended December 31, 2025 and in any subsequent Gentherm Quarterly Reports 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Form 10-Q, and the risks associated with SpinCo and the Performance Technologies Business included in Modine’s Annual Report on Form 10-K for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the year ended March 31, 2025 and in any subsequent Modine Quarterly Reports on Form 10-Q, all of which are incorporated by reference into this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proxy statement/prospectus. See “Where You Can Find More Information; Incorporation by Reference” for more information about the documents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incorporated by reference in this proxy statement/prospectus. For a discussion of additional considerations for the forward-looking statements in this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proxy statement/prospectus, please see “Cautionary Statement Concerning Forward-Looking Statements.”</w:t>
      </w:r>
    </w:p>
    <w:p>
      <w:pPr>
        <w:spacing w:after="0" w:line="159"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Any of the following risks could materially adversely affect the business, financial condition and results of operations of Gentherm, the Performance Technologies Business or the combined company and the actual outcome of matters as to which forward-looking statements are made in this proxy statement/prospectus. In such case, the market price of Gentherm Common Stock could decline, and you could lose all or part of your investment. The risks described below are not the only risks that Gentherm and the Performance Technologies Business currently face or that the combined company will face after the completion of the Transactions. Additional risks and uncertainties not currently known or that are currently expected to be immaterial may also materially adversely affect the business, financial condition and results of operations of Gentherm, the Performance Technologies Business or the combined company or the market price of Gentherm Common Stock in the future. Past financial and operational performance may not be a reliable indicator of future performance, and you are cautioned not to unduly rely on historical trends to anticipate results or trends in future periods.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the Transactions</w:t>
      </w:r>
    </w:p>
    <w:p>
      <w:pPr>
        <w:spacing w:after="0" w:line="91"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Transactions may not be completed on the terms or timeline currently contemplated, or at all, and the failure to complete the Transactions could adversely impact the market price of Gentherm Common Stock.</w:t>
      </w:r>
    </w:p>
    <w:p>
      <w:pPr>
        <w:spacing w:after="0" w:line="39"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consummation of the Transactions is subject to certain conditions, as described in this proxy statement/prospectus, including: (i) approval of the Share Issuance Proposal, and the Gentherm Charter Amendment Proposal by the requisite vote of Gentherm’s shareholders; (ii) obtaining antitrust or competition law regulatory approvals in certain jurisdictions; (iii) the receipt of certain opinions of counsel as to tax matters pertaining to the Transactions; (iv) the consummation of the Bridge Financing and/or the Permanent SpinCo Financing and (v) the receipt of the IRS Ruling, which shall continue to be valid and in full force and effect as of the Closing. See “The Transaction Agreements-The Merger Agreement-Conditions to the Merger” and “The Transaction Agreements-The Separation Agreement-Conditions to the Distribution.” There is no assurance that these conditions will be met or that the Transactions will be completed on the terms or timeline currently contemplated, or at all.</w:t>
      </w:r>
    </w:p>
    <w:p>
      <w:pPr>
        <w:spacing w:after="0" w:line="144" w:lineRule="exact"/>
        <w:rPr>
          <w:sz w:val="20"/>
          <w:szCs w:val="20"/>
          <w:color w:val="auto"/>
        </w:rPr>
      </w:pPr>
    </w:p>
    <w:p>
      <w:pPr>
        <w:ind w:left="1360" w:right="259" w:firstLine="343"/>
        <w:spacing w:after="0" w:line="287" w:lineRule="auto"/>
        <w:rPr>
          <w:sz w:val="20"/>
          <w:szCs w:val="20"/>
          <w:color w:val="auto"/>
        </w:rPr>
      </w:pPr>
      <w:r>
        <w:rPr>
          <w:rFonts w:ascii="Times New Roman" w:cs="Times New Roman" w:eastAsia="Times New Roman" w:hAnsi="Times New Roman"/>
          <w:sz w:val="13"/>
          <w:szCs w:val="13"/>
          <w:color w:val="auto"/>
        </w:rPr>
        <w:t>If the Transactions are not completed for any reason, the price of Gentherm Common Stock may decline. If the Transactions are not consummated because the Merger Agreement is terminated, Gentherm may be required under certain circumstances to pay Modine a termination fee of $45.0 million and may be required to reimburse Modine for certain expenses. In addition, Gentherm and Modine may elect to terminate the Merger Agreement in certain other circumstances as further detailed in the section entitled “The Transaction Agreements-The Merger Agreement-Termination.”</w:t>
      </w:r>
    </w:p>
    <w:p>
      <w:pPr>
        <w:spacing w:after="0" w:line="208"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the Transactions are completed, Gentherm may not realize the anticipated financial and other benefits, including growth opportunities, expected from the Transactions.</w:t>
      </w:r>
    </w:p>
    <w:p>
      <w:pPr>
        <w:spacing w:after="0" w:line="39"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Gentherm expects that it will realize synergies, growth opportunities and other financial and operating benefits as a result of the Transactions. Gentherm’s success in realizing these benefits, and the timing of their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realization, depends, among other things, on the successful integration of the business operations of the Performance Technologies Business with Gentherm. Even if Gentherm is able to integrate the Performance Technologies Business successfully, Gentherm cannot predict with certainty if or when these synergies, growth opportunities and other benefits will be realized, or the extent to which they will actually be achieved. For example, the benefits from the Transactions may be offset by costs incurred in integrating the Performance Technologies Business or in otherwise consummating the Transactions. Realization of any synergies, growth opportunities or other benefits could be affected by the factors described in other risk factors and a number of factors beyond Gentherm’s control, including, without limitation, general economic conditions, increased operating costs and regulatory developments.</w:t>
      </w:r>
    </w:p>
    <w:p>
      <w:pPr>
        <w:spacing w:after="0" w:line="142"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pendency of the Merger could have an adverse effect on Gentherm’s business, financial condition, results of operations or business prospects, as well as </w:t>
      </w:r>
      <w:r>
        <w:rPr>
          <w:rFonts w:ascii="Times New Roman" w:cs="Times New Roman" w:eastAsia="Times New Roman" w:hAnsi="Times New Roman"/>
          <w:sz w:val="14"/>
          <w:szCs w:val="14"/>
          <w:color w:val="auto"/>
        </w:rPr>
        <w:t>t</w:t>
      </w:r>
      <w:r>
        <w:rPr>
          <w:rFonts w:ascii="Times New Roman" w:cs="Times New Roman" w:eastAsia="Times New Roman" w:hAnsi="Times New Roman"/>
          <w:sz w:val="14"/>
          <w:szCs w:val="14"/>
          <w:b w:val="1"/>
          <w:bCs w:val="1"/>
          <w:i w:val="1"/>
          <w:iCs w:val="1"/>
          <w:color w:val="auto"/>
        </w:rPr>
        <w:t>he price of Gentherm Common Stock.</w:t>
      </w:r>
    </w:p>
    <w:p>
      <w:pPr>
        <w:spacing w:after="0" w:line="123"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The announcement and pendency of the Merger could disrupt Gentherm’s existing and future business in negative ways. For example, customers and other third-party business partners of Gentherm or the Performance Technologies Business could seek to terminate or renegotiate their relationships with Gentherm or the Performance Technologies Business as a result of the pending Merger, whether pursuant to the terms of their existing agreements or otherwise. In addition, current and prospective employees of Gentherm and the Performance Technologies Business may experience uncertainty regarding their future roles with the combined company, which might adversely affect Gentherm’s ability to retain, recruit and motivate key personnel. Should they occur, any of these events could adversely affect the stock price of, or adversely affect the financial condition, results of operations or business prospects of, Gentherm, regardless of whether the Merger is completed.</w:t>
      </w:r>
    </w:p>
    <w:p>
      <w:pPr>
        <w:spacing w:after="0" w:line="226"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Gentherm will incur significant costs related to the Transactions that could have a material adverse effect on its liquidity, cash flows and results of operations.</w:t>
      </w:r>
    </w:p>
    <w:p>
      <w:pPr>
        <w:spacing w:after="0" w:line="39" w:lineRule="exact"/>
        <w:rPr>
          <w:sz w:val="20"/>
          <w:szCs w:val="20"/>
          <w:color w:val="auto"/>
        </w:rPr>
      </w:pPr>
    </w:p>
    <w:p>
      <w:pPr>
        <w:ind w:left="1360" w:right="379" w:firstLine="343"/>
        <w:spacing w:after="0" w:line="257" w:lineRule="auto"/>
        <w:rPr>
          <w:sz w:val="20"/>
          <w:szCs w:val="20"/>
          <w:color w:val="auto"/>
        </w:rPr>
      </w:pPr>
      <w:r>
        <w:rPr>
          <w:rFonts w:ascii="Times New Roman" w:cs="Times New Roman" w:eastAsia="Times New Roman" w:hAnsi="Times New Roman"/>
          <w:sz w:val="14"/>
          <w:szCs w:val="14"/>
          <w:color w:val="auto"/>
        </w:rPr>
        <w:t>Gentherm expects to incur significant one-time costs in connection with the Transactions. These costs have been, and will continue to be, substantial and, in many cases, will be borne by Gentherm whether or not the Merger is completed. A substantial majority of these one-time costs will be transaction-related fees and expenses and include, among others, fees paid to financial, legal and accounting and other professional advisors, filing fees, employee retention and other employment-related costs, and transition and pre-Merger integration planning-related expenses. While Gentherm expects to be able to fund these one-time costs using cash from operations and/or borrowings under existing and anticipated credit sources, these costs could negatively impact Gentherm’s liquidity, cash flows and results of operations.</w:t>
      </w:r>
    </w:p>
    <w:p>
      <w:pPr>
        <w:spacing w:after="0" w:line="225"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Gentherm will be responsible for all Performance Technologies Business Liabilities following the completion of the Transactions, and is acquiring the Modine Assets on an “as is,” “where is” and “with all faults” basis.</w:t>
      </w:r>
    </w:p>
    <w:p>
      <w:pPr>
        <w:spacing w:after="0" w:line="39"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As described in “The Transaction Agreements-The Separation Agreement,” in connection with the Separation, SpinCo will generally assume and be responsible for any liabilities that arise relating to the ownership, operations or conduct of the Performance Technologies Business following the Distribution. The Separation Agreement also provides that the SpinCo Assets are being conveyed to SpinCo on an “as is” and “where is” basis. Although Modine is subject to certain indemnification obligations in favor of SpinCo and Gentherm under the Separation Agreement, these are generally limited to indemnification for certain indemnifiable losses to the extent relating to, arising out of or resulting from any breach by Modine of any provision of the Separation Agreement or specified liabilities of the Performance Technologies Business arising prior to the Distribution that Modine agreed to retain. Furthermore, Modine may not agree with claims by SpinCo that a matter is subject to such indemnification obligations or with the extent to which SpinCo asserts that a matter is subject to such indemnification obligations. See “The Transaction Agreements-The Separation Agreement” for a detailed description of the liabilities that SpinCo is assuming in the Transactions.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In addition, although the Merger Agreement contains certain representations and warranties about the Performance Technologies Business, the representations and warranties were made only as of the times set forth therein and will not survive the Effective Time. Accordingly, Gentherm will have no remedies with respect to any breach of Modine’s or SpinCo’s representations in the Merger Agreement after the Effective Time, except for certain rights under applicable law to bring a claim for fraud with respect to any representation or warranty made in the Merger Agreement.</w:t>
      </w:r>
    </w:p>
    <w:p>
      <w:pPr>
        <w:spacing w:after="0" w:line="141"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3"/>
          <w:szCs w:val="13"/>
          <w:color w:val="auto"/>
        </w:rPr>
        <w:t>As such, notwithstanding whether any SpinCo Liability or any issue with a SpinCo Asset is related to a breach of a representation or warranty in the Merger Agreement, SpinCo and, by virtue of the Merger, Gentherm will bear full responsibility for any and all SpinCo Liabilities and any liabilities, contingencies or other losses with respect to SpinCo Assets following the completion of the Transactions. To the extent any such SpinCo Liabilities are larger than anticipated, or any liability, contingency or loss with respect to a SpinCo Asset prohibits the Performance Technologies Business from operating as planned, they could have a material adverse impact on the business, financial condition and results of operations of the combined company.</w:t>
      </w:r>
    </w:p>
    <w:p>
      <w:pPr>
        <w:spacing w:after="0" w:line="210" w:lineRule="exact"/>
        <w:rPr>
          <w:sz w:val="20"/>
          <w:szCs w:val="20"/>
          <w:color w:val="auto"/>
        </w:rPr>
      </w:pPr>
    </w:p>
    <w:p>
      <w:pPr>
        <w:ind w:left="1360" w:right="8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Gentherm or Modine may waive one or more of certain conditions to the consummation of the Merger, which could require the parties to consummate the Merger on terms materially less favorable to the combined company and its shareholders.</w:t>
      </w:r>
    </w:p>
    <w:p>
      <w:pPr>
        <w:spacing w:after="0" w:line="39"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Prior to the Closing, Gentherm or Modine may waive, in whole or part, one or more of the conditions to its respective obligations to consummate the Merger, including conditions relating to the accuracy of the other party’s representations and warranties, compliance with pre-closing covenants, or the receipt of certain closing deliverables and legal opinions. The waiver of any closing conditions could require the parties to consummate the Merger on terms materially less favorable to the combined company and its shareholders. For example, if Gentherm waives a breach of a Modine representation or covenant, Gentherm may have to complete the Merger despite the existence of unexpected SpinCo Liabilities or a material adverse change in the Performance Technologies Business without any post-closing recourse. If either Gentherm or Modine waive a condition relating to the receipt of a tax opinion or, in Modine’s case, the IRS Ruling, the waiver could jeopardize the intended tax-free treatment of the Separation, the Distribution or the Merger, which could expose Gentherm, Modine, and their respective shareholders to substantial tax liabilities. Gentherm will evaluate the materiality of any waiver of any condition to closing in light of the facts and circumstances at such time to determine whether any amendment of this proxy statement/prospectus or any re-solicitation of proxies is required.</w:t>
      </w:r>
    </w:p>
    <w:p>
      <w:pPr>
        <w:spacing w:after="0" w:line="229"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Gentherm is required to abide by potentially significant restrictions that could limit its ability to undertake certain corporate actions that otherwise could be advantageous.</w:t>
      </w:r>
    </w:p>
    <w:p>
      <w:pPr>
        <w:spacing w:after="0" w:line="39"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The Merger Agreement restricts Gentherm from taking specified actions without Modine’s consent until the Transactions are completed or the Merger Agreement is terminated, including making certain significant acquisitions or investments, entering into certain new lines of business, incurring certain indebtedness in excess of certain thresholds, making non-ordinary course capital expenditures, amending or modifying certain contracts, divesting certain assets (including certain intellectual property rights) and making certain non-ordinary course changes to personnel and employee compensation.</w:t>
      </w:r>
    </w:p>
    <w:p>
      <w:pPr>
        <w:spacing w:after="0" w:line="226" w:lineRule="exact"/>
        <w:rPr>
          <w:sz w:val="20"/>
          <w:szCs w:val="20"/>
          <w:color w:val="auto"/>
        </w:rPr>
      </w:pPr>
    </w:p>
    <w:p>
      <w:pPr>
        <w:ind w:left="1360" w:right="65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If the Contribution and the Distribution do not qualify under Sections 355 and 368(a) of the Code, including as a result of an error in the determination of Overlap Shareholders or subsequent acquisitions of Gentherm Common Stock or Modine Common Stock, then Modine and Modine shareholders could incur significant tax liabilities, and Gentherm and SpinCo may be obligated to indemnify Modine for such taxes imposed on Modine.</w:t>
      </w:r>
    </w:p>
    <w:p>
      <w:pPr>
        <w:spacing w:after="0" w:line="56" w:lineRule="exact"/>
        <w:rPr>
          <w:sz w:val="20"/>
          <w:szCs w:val="20"/>
          <w:color w:val="auto"/>
        </w:rPr>
      </w:pPr>
    </w:p>
    <w:p>
      <w:pPr>
        <w:jc w:val="both"/>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The obligation of Modine and SpinCo to complete the Transactions is conditioned on receipt of the Modine Merger Tax Opinion and Modine Distribution Tax Opinion (together, the “Modine Tax Opinions”), which will include an opinion to the effect that the Contribution, together with the Distribution, will qualify as a</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“reorganization” within the meaning of Section 368(a) and as a distribution in connection with which no gain or loss is recognized to the Modine shareholders under Section 355 of the Code. The Modine Tax Opinions will be based on, among other things, certain representations and assumptions as to factual matters and certain covenants made by Gentherm, SpinCo and Modine. The failure of any factual representation, assumption or covenant to be true, correct and complete in all material respects could adversely affect the validity of the opinion of counsel. An opinion of counsel represents counsel’s best legal judgment, is not binding on the IRS or the courts, and the IRS or the courts may not agree with the opinion. In addition, the opinion will be based on current law and cannot be relied upon if current law changes with retroactive effect.</w:t>
      </w:r>
    </w:p>
    <w:p>
      <w:pPr>
        <w:spacing w:after="0" w:line="143" w:lineRule="exact"/>
        <w:rPr>
          <w:sz w:val="20"/>
          <w:szCs w:val="20"/>
          <w:color w:val="auto"/>
        </w:rPr>
      </w:pPr>
    </w:p>
    <w:p>
      <w:pPr>
        <w:ind w:left="1360" w:right="219" w:firstLine="343"/>
        <w:spacing w:after="0" w:line="252" w:lineRule="auto"/>
        <w:rPr>
          <w:sz w:val="20"/>
          <w:szCs w:val="20"/>
          <w:color w:val="auto"/>
        </w:rPr>
      </w:pPr>
      <w:r>
        <w:rPr>
          <w:rFonts w:ascii="Times New Roman" w:cs="Times New Roman" w:eastAsia="Times New Roman" w:hAnsi="Times New Roman"/>
          <w:sz w:val="14"/>
          <w:szCs w:val="14"/>
          <w:color w:val="auto"/>
        </w:rPr>
        <w:t>Modine will recognize gain for U.S. federal income tax purposes on the Distribution pursuant to Section 355(e) of the Code if there is a 50% or greater change in ownership of either Modine or SpinCo, directly or indirectly, as part of a plan or series of related transactions that include the Distribution. For this purpose, any acquisitions of SpinCo, Modine or Gentherm capital stock within the period beginning two years before the Distribution and ending two years after the Distribution are presumed to be a part of such plan, although Modine and Gentherm may be able to rebut that presumption. Modine has requested the IRS Ruling with respect to certain tax aspects of the Transactions, including matters relating to the nature and extent of shareholders who may be counted for tax purposes as Overlap Shareholders for purposes of determining the Exchange Ratio in the Merger Agreement. If the IRS Ruling is not received, Modine and Gentherm will not be able to rely on ownership by Overlap Shareholders for purposes of such a determination. Assuming the IRS Ruling is received, the Merger Agreement provides that the number of shares of Gentherm Common Stock that may be issued in the Merger is subject to increase at the Closing such that the former shareholders of SpinCo Common Stock (taking into account the Overlap Shareholders) own at least the Threshold Percentage of the outstanding Gentherm Common Stock for purposes of Section 355(e) of the Code immediately following the Closing. The continuing validity of the IRS Ruling, if received, will be subject to the accuracy of factual representations and assumptions made in the ruling request. Moreover, the IRS Ruling, if received, is expected to only describe the time, manner and methodology for measuring Overlap Shareholders and may be subject to varying interpretations. The actual determination and calculation of Overlap Shareholders will be made by Gentherm, Modine and their respective advisors based on the IRS Ruling, but no assurance can be given that the IRS will agree with these determinations or calculations. If the IRS were to determine that the Merger, as a result of an error in the determination of Overlap Shareholders, or other acquisitions of SpinCo, Modine or Gentherm capital stock, either before or after the Distribution, resulted in a 50% or greater change in ownership and were part of a plan or series of related transactions that included the Distribution, such determination could result in significant tax to Modine. In certain circumstances and subject to certain limitations, under the Tax Matters Agreement, Gentherm and SpinCo are required to indemnify Modine for 100% of the taxes that result if the Distribution becomes taxable as a result of certain actions by SpinCo or Gentherm and for 60% of the taxes that result as a result of a miscalculation of the Overlap Shareholders. If Gentherm and SpinCo are required to indemnify Modine pursuant to these provisions, this indemnification obligation could be substantial and could have a material adverse effect on Gentherm and SpinCo, including with respect to financial condition and results of operations.</w:t>
      </w:r>
    </w:p>
    <w:p>
      <w:pPr>
        <w:spacing w:after="0" w:line="1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more information, see the section entitled “Material U.S. Federal Income Tax Considerations of the Distribution and the Merger.”</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the Merger does not qualify as a reorganization under Section 368(a) of the Code, Modine shareholders could incur significant tax liabilities.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obligations of SpinCo and Gentherm to consummate the Merger are conditioned, respectively, on Modine’s receipt of the Modine Merger Tax Opinion and Gentherm’s receipt of the Gentherm Merger Tax Opinion, in each case to the effect that the Merger will qualify as a reorganization within the meaning of Section 368(a) of the Code. These opinions will be based upon, among other things, certain representations and assumptions as to factual matters and certain covenants made by Gentherm, Modine, SpinCo and Merger Sub. The failure of any factual representation, assumption or covenant to be true, correct and complete in all material respects could adversely affect the validity of the opinions. An opinion of counsel represents counsel’s best legal</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58" w:lineRule="auto"/>
        <w:rPr>
          <w:sz w:val="20"/>
          <w:szCs w:val="20"/>
          <w:color w:val="auto"/>
        </w:rPr>
      </w:pPr>
      <w:r>
        <w:rPr>
          <w:rFonts w:ascii="Times New Roman" w:cs="Times New Roman" w:eastAsia="Times New Roman" w:hAnsi="Times New Roman"/>
          <w:sz w:val="14"/>
          <w:szCs w:val="14"/>
          <w:color w:val="auto"/>
        </w:rPr>
        <w:t>judgment, is not binding on the IRS or the courts, and the IRS or the courts may not agree with the opinion. In addition, the opinions will be based on current law, and cannot be relied upon if current law changes with retroactive effect. If the Merger does not qualify as a reorganization within the meaning of Section 368(a) of the Code, U.S. Holders, as defined in “Material U.S. Federal Income Tax Considerations of the Distribution and the Merger,” of SpinCo, would be considered to have made a taxable sale of their SpinCo Common Stock to Gentherm, and such U.S. Holders of SpinCo generally would recognize taxable gain or loss on their receipt of Gentherm Common Stock in the Merger.</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more information, see the section entitled “Material U.S. Federal Income Tax Considerations of the Distribution and the Merger.”</w:t>
      </w:r>
    </w:p>
    <w:p>
      <w:pPr>
        <w:spacing w:after="0" w:line="258" w:lineRule="exact"/>
        <w:rPr>
          <w:sz w:val="20"/>
          <w:szCs w:val="20"/>
          <w:color w:val="auto"/>
        </w:rPr>
      </w:pPr>
    </w:p>
    <w:p>
      <w:pPr>
        <w:ind w:left="1360" w:right="259" w:firstLine="343"/>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amount of the Gentherm Special Dividend that Gentherm may pay, and the number of shares of Gentherm Common Stock that Gentherm may issue, in the Transactions are uncertain.</w:t>
      </w:r>
    </w:p>
    <w:p>
      <w:pPr>
        <w:spacing w:after="0" w:line="39"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In order to preserve the tax-free nature of the Distribution for U.S. federal income tax purposes, the Merger Agreement provides that the number of shares of Gentherm Common Stock that may be issued in the Merger is subject to increase at the Closing such that the former holders of SpinCo Common Stock (taking into account the Overlap Shareholders) own at least the Threshold Percentage of the outstanding shares of Gentherm Common Stock immediately following the Merger.</w:t>
      </w:r>
    </w:p>
    <w:p>
      <w:pPr>
        <w:spacing w:after="0" w:line="14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addition, in connection with the Transactions, Modine has requested the IRS Ruling with respect to certain tax aspects of the Transactions, including matters relating to the nature and extent of shareholders who may be counted for tax purposes as Overlap Shareholders for purposes of determining the Exchange Ratio in the Merger Agreement. The extent of the Overlap Shareholders that may be counted in determining the Exchange Ratio will depend on whether the IRS Ruling is received and on the contents of the IRS Ruling. If the IRS Ruling is not received, Gentherm and Modine will not be able to make the assumptions about beneficial ownership needed to treat specified investors as Overlap Shareholders, which could result in a greater increase in the Exchange Ratio than would otherwise occur.</w:t>
      </w:r>
    </w:p>
    <w:p>
      <w:pPr>
        <w:spacing w:after="0" w:line="143" w:lineRule="exact"/>
        <w:rPr>
          <w:sz w:val="20"/>
          <w:szCs w:val="20"/>
          <w:color w:val="auto"/>
        </w:rPr>
      </w:pPr>
    </w:p>
    <w:p>
      <w:pPr>
        <w:ind w:left="1360" w:right="339" w:firstLine="343"/>
        <w:spacing w:after="0" w:line="254" w:lineRule="auto"/>
        <w:rPr>
          <w:sz w:val="20"/>
          <w:szCs w:val="20"/>
          <w:color w:val="auto"/>
        </w:rPr>
      </w:pPr>
      <w:r>
        <w:rPr>
          <w:rFonts w:ascii="Times New Roman" w:cs="Times New Roman" w:eastAsia="Times New Roman" w:hAnsi="Times New Roman"/>
          <w:sz w:val="14"/>
          <w:szCs w:val="14"/>
          <w:color w:val="auto"/>
        </w:rPr>
        <w:t>In the event that the number of shares of Gentherm Common Stock issued in the Merger is increased in the manner described above, the Merger Agreement provides for corresponding adjustments to the SpinCo Cash Distribution and, depending on the size of the increase, the declaration of the Gentherm Special Dividend pro rata to holders of Gentherm Common Stock as of a record date prior to the Closing Date. The size of any such adjustment to the SpinCo Cash Distribution and the amount of any Gentherm Special Dividend, if declared, will depend on the magnitude of the Aggregate Adjustment Amount and the operation of the Initial Adjustment Cap, the Intermediate Adjustment Cap and the Final Adjustment Cap. The Gentherm Special Dividend, if declared, could range from $0.01 per share to approximately $        per share of Gentherm Common Stock, plus, in certain circumstances, an additional amount up to the Excess Adjustment Amount. If the Aggregate Adjustment Amount exceeds the Final Adjustment Cap and Gentherm and Modine do not exercise their respective discretionary rights to fully account for the Excess Adjustment Amount, the Exchange Ratio will not be increased as contemplated and neither Modine nor Gentherm will be obligated to consummate the Transactions.</w:t>
      </w:r>
    </w:p>
    <w:p>
      <w:pPr>
        <w:spacing w:after="0" w:line="149"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The extent of the Overlap Shareholders is outside of Gentherm’s and Modine’s control and will not be known until shortly before the Closing. In addition, the grant of the IRS Ruling is within the discretion of the IRS. Accordingly, Gentherm, Modine and SpinCo can offer no assurance concerning the extent of the Overlap Shareholders at the Closing, the number of additional shares of Gentherm Common Stock (if any) that may be issued in the Merger, the amount of the Gentherm Special Dividend (if any) or whether the IRS Ruling will be received. Based on the existing level of shareholder overlap, and assuming the overlap methodology applies substantially as requested in the IRS Ruling request, the parties do not currently anticipate that an adjustment to the Exchange Ratio will be triggered or that the Gentherm Special Dividend will be declared or paid; however, there can be no assurance that this will be the case. The receipt of the Gentherm Special Dividend, if declared, generally will be taxable to Gentherm shareholders for U.S. federal income tax purposes.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59" w:firstLine="343"/>
        <w:spacing w:after="0" w:line="323" w:lineRule="auto"/>
        <w:rPr>
          <w:sz w:val="20"/>
          <w:szCs w:val="20"/>
          <w:color w:val="auto"/>
        </w:rPr>
      </w:pPr>
      <w:r>
        <w:rPr>
          <w:rFonts w:ascii="Times New Roman" w:cs="Times New Roman" w:eastAsia="Times New Roman" w:hAnsi="Times New Roman"/>
          <w:sz w:val="13"/>
          <w:szCs w:val="13"/>
          <w:color w:val="auto"/>
        </w:rPr>
        <w:t>For more information, see the sections entitled “The Transactions-Calculation and Adjustments to the Exchange Ratio; Amount of Gentherm Special Dividend,” “The Transactions-IRS Ruling” and “Material U.S. Federal Income Tax Considerations of the Distribution and the Merger.”</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Current Gentherm shareholders’ percentage ownership interest in Gentherm will be substantially diluted in the Merger.</w:t>
      </w:r>
    </w:p>
    <w:p>
      <w:pPr>
        <w:spacing w:after="0" w:line="93" w:lineRule="exact"/>
        <w:rPr>
          <w:sz w:val="20"/>
          <w:szCs w:val="20"/>
          <w:color w:val="auto"/>
        </w:rPr>
      </w:pPr>
    </w:p>
    <w:p>
      <w:pPr>
        <w:ind w:left="1360" w:right="419" w:firstLine="343"/>
        <w:spacing w:after="0" w:line="258" w:lineRule="auto"/>
        <w:rPr>
          <w:sz w:val="20"/>
          <w:szCs w:val="20"/>
          <w:color w:val="auto"/>
        </w:rPr>
      </w:pPr>
      <w:r>
        <w:rPr>
          <w:rFonts w:ascii="Times New Roman" w:cs="Times New Roman" w:eastAsia="Times New Roman" w:hAnsi="Times New Roman"/>
          <w:sz w:val="14"/>
          <w:szCs w:val="14"/>
          <w:color w:val="auto"/>
        </w:rPr>
        <w:t>Based on the Exchange Ratio, which is subject to potential adjustment under limited circumstances, immediately following the Merger, the pre-Merger Gentherm shareholders will own, in the aggregate, approximately 60% of the issued and outstanding shares of Gentherm Common Stock, disregarding any share overlap. See “The Transaction Agreements-The Merger Agreement-Merger Consideration; Gentherm Special Dividend.” Consequently, Gentherm’s pre-Merger shareholders, as a group, will be substantially diluted in the Merger and have less ability to exercise influence over the management and policies of Gentherm following the Merger than immediately prior to the Merger.</w:t>
      </w:r>
    </w:p>
    <w:p>
      <w:pPr>
        <w:spacing w:after="0" w:line="226"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calculation of the number of shares of Gentherm Common Stock to be issued in the Merger will not be adjusted if there is a change in the value of the Performance Technologies Business or Gentherm before the Merger is completed.</w:t>
      </w:r>
    </w:p>
    <w:p>
      <w:pPr>
        <w:spacing w:after="0" w:line="39"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number of shares of Gentherm Common Stock to be issued by Gentherm in the Merger will not be adjusted based on a change in the value of the Performance Technologies Business or its assets or in the value of Gentherm prior to the consummation of the Transactions. Modine shareholders who receive SpinCo common stock in the Distribution will receive a fixed number of shares of Gentherm Common Stock, subject to certain potential adjustments under limited circumstances, pursuant to the Merger Agreement, rather than a number of shares with a particular fixed market value. As a result, the actual value of the Gentherm Common Stock to be received by SpinCo stockholders in the Merger will depend on the value of Gentherm’s shares at the time of the consummation of the Merger, and may be more or less than the current value of the Gentherm Common Stock.</w:t>
      </w:r>
    </w:p>
    <w:p>
      <w:pPr>
        <w:spacing w:after="0" w:line="14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market price of Gentherm Common Stock has fluctuated since the date on which Gentherm and Modine announced they entered into the Merger Agreement and will continue to fluctuate from the date of this proxy statement/prospectus to the date of the Special Meeting, and the date on which SpinCo stockholders actually receive the Merger Consideration. The market price of Gentherm Common Stock will fluctuate during these periods as a result of a variety of factors, including general market and economic conditions, changes in Gentherm’s business, operations and prospects, market assessments of Gentherm’s business, operations and prospects and of the likelihood that the Merger will be completed and regulatory considerations. Such factors are difficult to predict and in many cases are beyond the control of Gentherm.</w:t>
      </w:r>
    </w:p>
    <w:p>
      <w:pPr>
        <w:spacing w:after="0" w:line="225"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Performance Technologies Business may be negatively impacted if Gentherm is unable to provide benefits and services, or access to equivalent financial strength and resources, to the Performance Technologies Business that historically have been provided by Modine.</w:t>
      </w:r>
    </w:p>
    <w:p>
      <w:pPr>
        <w:spacing w:after="0" w:line="39"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The Performance Technologies Business has historically received benefits and services from Modine and has benefited from Modine’s financial strength and extensive network of service offerings. After the Transactions, the Performance Technologies Business will become part of Gentherm, and the Performance Technologies Business will no longer benefit from Modine’s services or financial strength or have access to Modine’s extensive business relationships outside of its Performance Technologies Business. While Modine has agreed to provide certain transition services to SpinCo for a period of time following the consummation of the Transactions, it cannot be assured that Gentherm will be able to adequately or timely replace or provide resources formerly provided by Modine, or replace them at the same or lower cost. If Gentherm is not able to replace the resources provided by Modine or is unable to replace them without incurring significant additional costs or is delayed in replacing the resources provided by Modine, Gentherm’s business and results of operations may be negatively impacted.</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historical financial information of the Performance Technologies Business may not be representative of its results if it had been operated as a standalone business or as part of Gentherm, and as a result, may not be a reliable indicator of future results of the Performance Technologies Business.</w:t>
      </w:r>
    </w:p>
    <w:p>
      <w:pPr>
        <w:spacing w:after="0" w:line="51"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The Performance Technologies Business is currently operated through various subsidiaries of Modine, some of which also operate other businesses of Modine and will not be transferred to Gentherm in connection with the Transactions. Consequently, the financial information of the Performance Technologies Business included in this proxy statement/prospectus has been derived from the consolidated financial statements and accounting records of Modine and reflects assumptions and allocations made by Modine. The financial position, results of operations and cash flows of the Performance Technologies Business presented may be materially different from those that would have resulted if the Performance Technologies Business had been operated as a standalone company or by a company other than Modine. For example, in preparing the financial statements of the Performance Technologies Business, Modine made an allocation of Modine costs and expenses that are attributable to the Performance Technologies Business. However, these costs and expenses reflect the costs and expenses attributable to the Performance Technologies Business as part of a larger organization and do not necessarily reflect costs and expenses that would be incurred by the Performance Technologies Business had it been operated as part of an organization of the nature, size and scale of Gentherm, and thus may not reflect costs and expenses that would have been incurred had the Performance Technologies Business been operated as a part of Gentherm. As a result, the historical financial information of the Performance Technologies Business may not be a reliable indicator of the future results of the Performance Technologies Business as a part of Gentherm, or the results the Performance Technologies Business would have historically achieved for the periods indicated therein as a standalone business.</w:t>
      </w:r>
    </w:p>
    <w:p>
      <w:pPr>
        <w:spacing w:after="0" w:line="231" w:lineRule="exact"/>
        <w:rPr>
          <w:sz w:val="20"/>
          <w:szCs w:val="20"/>
          <w:color w:val="auto"/>
        </w:rPr>
      </w:pPr>
    </w:p>
    <w:p>
      <w:pPr>
        <w:ind w:left="1360" w:right="299"/>
        <w:spacing w:after="0" w:line="326" w:lineRule="auto"/>
        <w:rPr>
          <w:sz w:val="20"/>
          <w:szCs w:val="20"/>
          <w:color w:val="auto"/>
        </w:rPr>
      </w:pPr>
      <w:r>
        <w:rPr>
          <w:rFonts w:ascii="Times New Roman" w:cs="Times New Roman" w:eastAsia="Times New Roman" w:hAnsi="Times New Roman"/>
          <w:sz w:val="13"/>
          <w:szCs w:val="13"/>
          <w:b w:val="1"/>
          <w:bCs w:val="1"/>
          <w:i w:val="1"/>
          <w:iCs w:val="1"/>
          <w:color w:val="auto"/>
        </w:rPr>
        <w:t>The opinion of Gentherm’s financial advisor does not reflect changes in circumstances between the date of delivery of such opinion and completion of the Merger and does not address the fairness of the Exchange Ratio from a financial point of view at the time the Transactions are completed.</w:t>
      </w:r>
    </w:p>
    <w:p>
      <w:pPr>
        <w:spacing w:after="0" w:line="16"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Gentherm obtained an opinion from its financial advisor, Barclays, in connection with signing the Merger Agreement and has not obtained an updated opinion from Barclays as of the date of this proxy statement/prospectus and does not anticipate asking Barclays to update its opinion prior to completion of the Transactions. In addition, Barclays has no obligation to update, revise, or reaffirm its opinion. Changes in the operations and prospects of Gentherm or SpinCo, general market and economic conditions, changes in applicable law or regulation and other factors, some of which may be beyond the control of Gentherm, SpinCo or Modine, may significantly alter the value of Gentherm or the Performance Technologies Business or the market price of Gentherm Common Stock by the time the Transactions are completed. The opinion does not speak as of the time the Transactions will be completed or as of any date other than the date of such opinion, and therefore the opinion does not address the fairness of the Exchange Ratio from a financial point of view at the time the Merger is completed. For a description of the opinion that Gentherm received from Barclays, please refer to the section titled “The Transactions-Opinion of Barclays.”</w:t>
      </w:r>
    </w:p>
    <w:p>
      <w:pPr>
        <w:spacing w:after="0" w:line="231" w:lineRule="exact"/>
        <w:rPr>
          <w:sz w:val="20"/>
          <w:szCs w:val="20"/>
          <w:color w:val="auto"/>
        </w:rPr>
      </w:pPr>
    </w:p>
    <w:p>
      <w:pPr>
        <w:ind w:left="1360" w:right="9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unaudited pro forma condensed combined financial statements of Gentherm are based in part on certain assumptions regarding the Transactions and may not be indicative of Gentherm’s future operating performance.</w:t>
      </w:r>
    </w:p>
    <w:p>
      <w:pPr>
        <w:spacing w:after="0" w:line="39"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unaudited pro forma condensed combined financial statements presented in this proxy statement/prospectus combine the separate historical financial statements of Gentherm and the Performance Technologies Business that are included or incorporated by reference in this proxy statement/prospectus, are based on a variety of adjustments, assumptions and preliminary estimates and are not necessarily indicative of what the financial position or the results of operations of the combined company would have been had the Merger occurred as of or for the periods presented. The unaudited pro forma condensed combined financial statements also do not reflect what the financial position or results of operations of the combined company will be in the future.</w:t>
      </w:r>
    </w:p>
    <w:p>
      <w:pPr>
        <w:spacing w:after="0" w:line="143"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Gentherm expects to account for the Merger as an acquisition of SpinCo, with Gentherm being the accounting acquirer. Following the closing of the Merger, Gentherm expects to complete the purchase price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allocation for the acquisition of SpinCo after determining the fair value of SpinCo’s assets and liabilities. The final purchase price allocation may be different than the preliminary allocation reflected in the unaudited pro forma purchase price allocation presented in this proxy statement/prospectus, and this difference may be material.</w:t>
      </w:r>
    </w:p>
    <w:p>
      <w:pPr>
        <w:spacing w:after="0" w:line="136"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unaudited pro forma condensed combined financial statements do not reflect the costs of any integration activities or incremental capital expenditures that Gentherm management believes are necessary to realize the anticipated synergies or other financial or operational benefits from the Transactions. Accordingly, the unaudited pro forma condensed combined financial statements included in this proxy statement/prospectus do not reflect what the combined company’s results of operations or operating condition would have been had Gentherm and SpinCo been a consolidated entity during all periods presented, or what the combined company’s results of operations and financial condition will be in the future. For more information, see the unaudited pro forma condensed combined financial statements and the certain financial forecasts contained in this proxy statement/prospectus.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Gentherm’s judgments and estimates related to the acquisition accounting models used to record the purchase price allocation could be inaccurate.</w:t>
      </w:r>
    </w:p>
    <w:p>
      <w:pPr>
        <w:spacing w:after="0" w:line="93" w:lineRule="exact"/>
        <w:rPr>
          <w:sz w:val="20"/>
          <w:szCs w:val="20"/>
          <w:color w:val="auto"/>
        </w:rPr>
      </w:pPr>
    </w:p>
    <w:p>
      <w:pPr>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Gentherm management will make significant accounting judgments and estimates in connection with the application of acquisition accounting under U.S. GAAP and the underlying valuation models. The combined company’s business, financial condition and results of operations could be materially adversely impacted in future periods if Gentherm management’s accounting judgments and estimates related to these models prove to be inaccurate.</w:t>
      </w:r>
    </w:p>
    <w:p>
      <w:pPr>
        <w:spacing w:after="0" w:line="223"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Gentherm and the Performance Technologies Business may have difficulty attracting, motivating and retaining executives and other employees in light of the Transactions.</w:t>
      </w:r>
    </w:p>
    <w:p>
      <w:pPr>
        <w:spacing w:after="0" w:line="39"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Uncertainty about the effect of the Transactions on current Gentherm employees and employees of the Performance Technologies Business may have an adverse effect on Gentherm and the Performance Technologies Business. This uncertainty may impair Gentherm’s and the Performance Technologies Business’s ability to attract, retain and motivate personnel. Employee retention may be particularly challenging during the pendency of the Transactions, as employees may feel uncertain about their future roles with Gentherm or the Performance Technologies Business after their combination. If large numbers of employees or a concentration of critical employees of Gentherm or the Performance Technologies Business depart because of issues relating to the uncertainty or perceived difficulties of integration or a desire not to become employees of Gentherm after the Transactions, Gentherm’s ability to realize the anticipated benefits of the Transactions could be materially adversely affected.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trading prices of Gentherm Common Stock may not be an appropriate proxy for the prices of SpinCo common stock.</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calculated per-share value for SpinCo common stock is based on the trading prices for Gentherm Common Stock, which may not be an appropriate proxy for the prices of SpinCo common stock. There currently is no trading market for SpinCo common stock. Modine believes, however, that the trading price for Gentherm Common Stock is an appropriate proxy for the trading price of SpinCo common stock because immediately following the consummation of the Distribution, Merger Sub will be merged with and into SpinCo, and SpinCo will continue as the surviving corporation and a wholly owned subsidiary of Gentherm. There can be no assurance, however, that Gentherm Common Stock will trade after the Merger on the same basis that Gentherm Common Stock trades prior to the Transactions. In addition, it is possible that the trading prices of Gentherm Common Stock prior to consummation of the Merger will not fully reflect the anticipated value of Gentherm Common Stock after the Merger.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Neither Gentherm shareholders nor Modine shareholders will be entitled to appraisal rights in connection with the Transactions.</w:t>
      </w:r>
    </w:p>
    <w:p>
      <w:pPr>
        <w:spacing w:after="0" w:line="9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Appraisal rights are statutory rights that, if applicable under state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Neither Gentherm shareholders nor Modine shareholders (including in their capacity as SpinCo stockholders following the Distribution) are entitled to appraisal rights in connection with the Transactions. For more information, see the section entitled “Appraisal Rights.”</w:t>
      </w:r>
    </w:p>
    <w:p>
      <w:pPr>
        <w:spacing w:after="0" w:line="226" w:lineRule="exact"/>
        <w:rPr>
          <w:sz w:val="20"/>
          <w:szCs w:val="20"/>
          <w:color w:val="auto"/>
        </w:rPr>
      </w:pPr>
    </w:p>
    <w:p>
      <w:pPr>
        <w:ind w:left="1360" w:right="7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Shareholder litigation, if any, could prevent or delay the consummation of the Transactions or otherwise negatively impact the business and operations of Gentherm, Modine or the Performance Technologies Business.</w:t>
      </w:r>
    </w:p>
    <w:p>
      <w:pPr>
        <w:spacing w:after="0" w:line="39" w:lineRule="exact"/>
        <w:rPr>
          <w:sz w:val="20"/>
          <w:szCs w:val="20"/>
          <w:color w:val="auto"/>
        </w:rPr>
      </w:pPr>
    </w:p>
    <w:p>
      <w:pPr>
        <w:ind w:left="1360" w:right="359" w:firstLine="343"/>
        <w:spacing w:after="0" w:line="254" w:lineRule="auto"/>
        <w:rPr>
          <w:sz w:val="20"/>
          <w:szCs w:val="20"/>
          <w:color w:val="auto"/>
        </w:rPr>
      </w:pPr>
      <w:r>
        <w:rPr>
          <w:rFonts w:ascii="Times New Roman" w:cs="Times New Roman" w:eastAsia="Times New Roman" w:hAnsi="Times New Roman"/>
          <w:sz w:val="14"/>
          <w:szCs w:val="14"/>
          <w:color w:val="auto"/>
        </w:rPr>
        <w:t>The parties may incur costs in connection with the defense or settlement of any securities class action lawsuits and derivative lawsuits filed in connection with the Transactions. Even if such a lawsuit is without merit, defending against these claims can result in substantial costs and require management time and resources. An adverse judgment could result in monetary damages, which could have a negative impact on Gentherm’s liquidity and financial condition. Lawsuits that may be brought against Gentherm or its directors could also seek, among other things, injunctive relief or other equitable relief, including a request to rescind parts of the Merger Agreement already implemented and to otherwise enjoin the parties from consummating the Merger. One of the conditions to the closing of the Merger is that no Law or Order (each as defined in the Merger Agreement) is promulgated, issued or granted by any Governmental Authority of competent jurisdiction in the United States, Czech Republic and Germany. Consequently, if a plaintiff is successful in obtaining an injunction prohibiting completion of the Merger, that injunction may delay or prevent the Merger from being completed within the expected timeframe or at all, which may adversely affect the business, financial condition and results of operations of Gentherm, Modine or SpinCo.</w:t>
      </w:r>
    </w:p>
    <w:p>
      <w:pPr>
        <w:spacing w:after="0" w:line="229" w:lineRule="exact"/>
        <w:rPr>
          <w:sz w:val="20"/>
          <w:szCs w:val="20"/>
          <w:color w:val="auto"/>
        </w:rPr>
      </w:pPr>
    </w:p>
    <w:p>
      <w:pPr>
        <w:jc w:val="both"/>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exclusive forum provisions in the Gentherm Bylaws could limit Gentherm shareholders’ ability to bring a claim in a judicial forum that they find favorable for disputes with Gentherm, its directors, officers or employees, which may increase costs of, or discourage, shareholder lawsuits.</w:t>
      </w:r>
    </w:p>
    <w:p>
      <w:pPr>
        <w:spacing w:after="0" w:line="39"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Gentherm Bylaws require that, unless Gentherm consents in writing to the selection of an alternative forum, the courts of the State of Michigan located in Oakland County and the United States District Court for the Eastern District of Michigan, to the fullest extent permitted by law, shall be the sole and exclusive forum for (i) any derivative action or proceeding brought on Gentherm’s behalf, (ii) any action asserting a claim of breach of fiduciary duty owed by any of Gentherm’s directors, officers or other employees to Gentherm or to Gentherm’s shareholders, (iii) any action asserting a claim arising pursuant to any provision of the MBCA, as may be amended from time to time, or (iv) any action asserting a claim otherwise governed by the State of Michigan’s “internal affairs doctrine”. This exclusive forum provision does not apply to any action or proceeding asserting a claim under the Securities Act or the Exchange Act.</w:t>
      </w:r>
    </w:p>
    <w:p>
      <w:pPr>
        <w:spacing w:after="0" w:line="144"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The exclusive forum provisions in the Gentherm Bylaws may limit the ability of a shareholder to bring a claim in a judicial forum that it finds favorable for disputes with Gentherm, the combined company or their respective directors, officers or other employees, which may discourage such lawsuits. Shareholders that elect to bring claims could incur additional litigation costs, including expenses related to travel and retaining local Michigan counsel. The designated Michigan courts may reach different judgments or results than other courts, including courts where a shareholder would otherwise choose to file, and such judgments may be more favorable to Gentherm or the combined company than to its shareholders.</w:t>
      </w:r>
    </w:p>
    <w:p>
      <w:pPr>
        <w:spacing w:after="0" w:line="14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There is potential uncertainty as to whether a court would enforce the exclusive forum provisions in the Gentherm Bylaws. The enforceability of similar choice-of-forum provisions in other companies’ bylaws has been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79"/>
        <w:spacing w:after="0" w:line="267" w:lineRule="auto"/>
        <w:rPr>
          <w:sz w:val="20"/>
          <w:szCs w:val="20"/>
          <w:color w:val="auto"/>
        </w:rPr>
      </w:pPr>
      <w:r>
        <w:rPr>
          <w:rFonts w:ascii="Times New Roman" w:cs="Times New Roman" w:eastAsia="Times New Roman" w:hAnsi="Times New Roman"/>
          <w:sz w:val="14"/>
          <w:szCs w:val="14"/>
          <w:color w:val="auto"/>
        </w:rPr>
        <w:t>challenged in legal proceedings. If a court found the exclusive forum provisions in the Gentherm Bylaws to be inapplicable to, or unenforceable in respect of, a specific legal action, Gentherm may incur additional costs associated with resolving such action in other jurisdictions, which could materially and adversely affect its business, financial condition and results of operations.</w:t>
      </w:r>
    </w:p>
    <w:p>
      <w:pPr>
        <w:spacing w:after="0" w:line="218"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Transactions could discourage other companies from trying to acquire Gentherm before, or for a period of time following, completion of the Transactions.</w:t>
      </w:r>
    </w:p>
    <w:p>
      <w:pPr>
        <w:spacing w:after="0" w:line="39"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Certain provisions in the Merger Agreement could discourage a third party from submitting an alternative transaction proposal prior to the completion of the Transactions. The Merger Agreement generally prohibits Gentherm from soliciting or engaging in discussions with respect to any acquisition proposal during the pendency of the Merger, subject to certain exceptions relating to the exercise of fiduciary duties by the Gentherm Board, and Gentherm must hold its shareholder meeting to vote on the Share Issuance Proposal and the Gentherm Charter Amendment Proposal even if an unsolicited acquisition proposal is received that the Gentherm Board determines is superior. In addition, the Merger Agreement obligates Gentherm to pay Modine a termination fee in certain circumstances involving alternative acquisition proposals, which could deter third parties from proposing alternative acquisition proposals, including acquisition proposals that could result in greater value to Gentherm shareholders than the Transactions, and the payment of the termination fee could adversely affect Gentherm’s financial condition. In addition, certain provisions of the Tax Matters Agreement, which are intended to preserve the intended tax treatment of the Separation and Distribution, could discourage acquisition proposals for a period of time following the Transactions. See “The Transaction Agreements-The Merger Agreement-Board Recommendation.”</w:t>
      </w:r>
    </w:p>
    <w:p>
      <w:pPr>
        <w:spacing w:after="0" w:line="146"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Gentherm currently expects to issue approximately        million shares of its Common Stock in connection with the Merger. Because Gentherm will be a significantly larger company and have significantly more shares of Common Stock outstanding after the consummation of the Transactions, an acquisition of Gentherm could become more expensive. As a result, some companies might not seek to acquire Gentherm in the future, or may make acquisition proposals that are less favorable to Gentherm shareholders than if Gentherm was a smaller company.</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the Combined Company’s Business Following the Transactions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Sales of Gentherm Common Stock after the Transactions may negatively affect the market price of Gentherm Common Stock.</w:t>
      </w:r>
    </w:p>
    <w:p>
      <w:pPr>
        <w:spacing w:after="0" w:line="93" w:lineRule="exact"/>
        <w:rPr>
          <w:sz w:val="20"/>
          <w:szCs w:val="20"/>
          <w:color w:val="auto"/>
        </w:rPr>
      </w:pPr>
    </w:p>
    <w:p>
      <w:pPr>
        <w:jc w:val="both"/>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The shares of Gentherm Common Stock to be issued in the Merger to Modine shareholders that receive shares of SpinCo common stock in the Distribution will generally be eligible for immediate resale. The market price of Gentherm Common Stock could decline as a result of sales of a large number of shares of Gentherm Common Stock in the market after the consummation of the Transactions or even the perception that these sales could occur.</w:t>
      </w:r>
    </w:p>
    <w:p>
      <w:pPr>
        <w:spacing w:after="0" w:line="141"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Based on the Exchange Ratio, which is subject to potential adjustment under limited circumstances, upon completion of the Transactions, without taking into account any overlapping shareholder ownership, SpinCo stockholders will hold an aggregate of approximately 40% of the issued and outstanding shares of Gentherm Common Stock on a fully diluted basis and pre-Merger Gentherm shareholders will hold an aggregate of approximately 60% of the issued and outstanding shares of Gentherm Common Stock on a fully diluted basis. See “The Transaction Agreements-The Merger Agreement-Merger Consideration; Gentherm Special Dividend.”</w:t>
      </w:r>
    </w:p>
    <w:p>
      <w:pPr>
        <w:spacing w:after="0" w:line="144"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Currently, Modine shareholders may include index funds that have investments tied to certain stock indices and institutional investors subject to various investing guidelines. Because Gentherm may not be eligible to be included in these indices following the consummation of the Transactions or may not meet the investing guidelines of some of these institutional investors and index funds, such investors and index funds that receive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Gentherm Common Stock in the Merger may decide to or may be required to sell the shares of Gentherm Common Stock that they receive. In addition, the investment fiduciaries of Modine’s defined contribution plans may decide to sell any shares of Gentherm Common Stock that the trusts for these plans receive in the Merger, in accordance with the applicable rules under the applicable Modine plans and in response to their fiduciary obligations under applicable law. These sales, or the possibility that these sales may occur, may also make it more difficult for Gentherm to obtain additional capital by selling equity securities in the future at a time and at a price that it deems appropriate.</w:t>
      </w:r>
    </w:p>
    <w:p>
      <w:pPr>
        <w:spacing w:after="0" w:line="226" w:lineRule="exact"/>
        <w:rPr>
          <w:sz w:val="20"/>
          <w:szCs w:val="20"/>
          <w:color w:val="auto"/>
        </w:rPr>
      </w:pPr>
    </w:p>
    <w:p>
      <w:pPr>
        <w:jc w:val="both"/>
        <w:ind w:left="1360" w:right="3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integration of the Performance Technologies Business with Gentherm following the Transactions may present significant challenges, and the failure to successfully integrate the Performance Technologies Business could have a material adverse effect on the combined company’s business, financial condition or results of operations.</w:t>
      </w:r>
    </w:p>
    <w:p>
      <w:pPr>
        <w:spacing w:after="0" w:line="5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There is a significant degree of difficulty inherent in the process of integrating the Performance Technologies Business with Gentherm. The process of integrating operations could result in significant costs and cause an interruption of, or loss of momentum in, the activities of the Performance Technologies Business or Gentherm’s existing business. If Gentherm’s senior management is not able to effectively manage the integration process, or if any significant business activities are interrupted as a result of the integration process, there could be a material adverse effect on the combined company’s business, financial condition or results of operations.</w:t>
      </w:r>
    </w:p>
    <w:p>
      <w:pPr>
        <w:spacing w:after="0" w:line="144"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Gentherm’s successful integration of the Performance Technologies Business cannot be assured. The failure to do so could have a material adverse effect on Gentherm’s business, financial condition or results of operations after the Transactions.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combined company’s industry is highly competitive, which may impact its results of operations.</w:t>
      </w:r>
    </w:p>
    <w:p>
      <w:pPr>
        <w:spacing w:after="0" w:line="93"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The industries in which Gentherm and the Performance Technologies Business operate are subject to intense competition. Business is typically awarded to the supplier offering the most favorable combination of cost, quality, timely delivery, technological innovation and service. The combined company’s competitors’ efforts to grow market share could exert downward pressure on the combined company’s product pricing and margins. In particular, the combined company is expected to face intensifying competition by competitors based in China. The automotive supply market in China is highly competitive, with competition from many of the largest global manufacturers and numerous smaller domestic manufacturers. Domestic Chinese original equipment manufacturers (“OEMs”) have continued to expand their market share in China and have lower-cost products they can use to begin to penetrate other global markets, and as a result, several non-Chinese OEMs in China and in other global markets in which such Chinese OEMs participate have experienced declines in revenue and market share. As the Chinese market and Chinese OEM pricing strategy evolves, market participants in China and in other global markets impacted by Chinese OEM pricing may act aggressively to increase or maintain their market share, which could result in price reductions, reduced margins and inability to gain or hold market share. Vertical integration by existing and new market entrant competitors, customers and suppliers could continue to complicate and impact sourcing decisions by the combined company’s customers and adversely affect the combined company’s sales.</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combined company might be unable to successfully compete with other companies in its industry.</w:t>
      </w:r>
    </w:p>
    <w:p>
      <w:pPr>
        <w:spacing w:after="0" w:line="93" w:lineRule="exact"/>
        <w:rPr>
          <w:sz w:val="20"/>
          <w:szCs w:val="20"/>
          <w:color w:val="auto"/>
        </w:rPr>
      </w:pPr>
    </w:p>
    <w:p>
      <w:pPr>
        <w:ind w:left="1360" w:right="379" w:firstLine="343"/>
        <w:spacing w:after="0" w:line="257" w:lineRule="auto"/>
        <w:rPr>
          <w:sz w:val="20"/>
          <w:szCs w:val="20"/>
          <w:color w:val="auto"/>
        </w:rPr>
      </w:pPr>
      <w:r>
        <w:rPr>
          <w:rFonts w:ascii="Times New Roman" w:cs="Times New Roman" w:eastAsia="Times New Roman" w:hAnsi="Times New Roman"/>
          <w:sz w:val="14"/>
          <w:szCs w:val="14"/>
          <w:color w:val="auto"/>
        </w:rPr>
        <w:t>The markets in which Gentherm and the Performance Technologies Business operate, and the combined company will operate, are highly competitive. Moreover, the global automotive and performance technologies industries are experiencing a period of significant technological change. The principal competitive factors in Gentherm’s and the Performance Technologies Business’s markets are, and the combined company’s markets will be, customer service, product quality and performance, price, breadth of product offering and availability, market expertise, innovation and early adoption of new industry technologies. Gentherm and the Performance Technologies Business compete with the performance technologies industry’s largest participants across their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respective product and service offerings. The combined company is expected to compete with divisions of large multinational companies and Chinese companies. Some of these organizations have substantially greater financial resources than the combined company will or may not be subject to similar restrictions that will apply to Gentherm following the Transactions as a result of the Tax Matters Agreement or the terms of Gentherm’s indebtedness. The combined company’s competitors may be able to respond more quickly to new or emerging technologies and services and changes in customer requirements. As a result of the competitive environment in which it will operate, the combined company could lose market share, be unable to maintain or increase prices for its products and services or be unable to pursue additional business opportunities, each of which could have a material adverse effect on its business, results of operations, financial condition and cash flows.</w:t>
      </w:r>
    </w:p>
    <w:p>
      <w:pPr>
        <w:spacing w:after="0" w:line="226"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Following consummation of the Transactions, Gentherm and SpinCo will each be required to abide by potentially significant restrictions that could limit the combined company’s ability to undertake certain corporate actions (such as the issuance of common stock or the undertaking of certain business combinations) that otherwise could be advantageous.</w:t>
      </w:r>
    </w:p>
    <w:p>
      <w:pPr>
        <w:spacing w:after="0" w:line="5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Tax Matters Agreement will impose certain restrictions on the combined company during the two-year period following the Distribution, subject to certain exceptions, with respect to actions that could cause the Separation and the Distribution to fail to qualify for their intended tax treatment. As a result of these restrictions, the combined company’s ability to engage in certain transactions, such as the issuance or purchase of stock or certain business combinations, may be limited.</w:t>
      </w:r>
    </w:p>
    <w:p>
      <w:pPr>
        <w:spacing w:after="0" w:line="14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If the Separation or the Distribution became taxable, Modine would be expected to recognize a substantial amount of gain, which could result in a material amount of taxes. If Gentherm or SpinCo take or omit to take any actions enumerated in the Tax Matters Agreement, or if certain events relating to SpinCo occur that would cause the Separation or the Distribution to become taxable, the party whose actions or omissions (or event relating to) caused the Separation or the Distribution to become taxable generally will be required to bear the cost of any resulting tax liability of Modine (but not its shareholders). Such taxes could be material to the combined company, and could cause its business, financial condition and operating results to suffer. These restrictions may reduce the combined company’s ability to engage in certain business transactions that otherwise might be advantageous to it, which could adversely affect the combined company’s business, results of operations, or financial condition. See “Additional Agreements Related to the Separation, the Distribution and the Merger-Tax Matters Agreement.”</w:t>
      </w:r>
    </w:p>
    <w:p>
      <w:pPr>
        <w:spacing w:after="0" w:line="228" w:lineRule="exact"/>
        <w:rPr>
          <w:sz w:val="20"/>
          <w:szCs w:val="20"/>
          <w:color w:val="auto"/>
        </w:rPr>
      </w:pPr>
    </w:p>
    <w:p>
      <w:pPr>
        <w:ind w:left="1360" w:right="6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business, financial condition and results of operations of the Performance Technologies Business may be adversely affected following the Transactions if it cannot negotiate terms that are as favorable as those it previously received as part of Modine.</w:t>
      </w:r>
    </w:p>
    <w:p>
      <w:pPr>
        <w:spacing w:after="0" w:line="39" w:lineRule="exact"/>
        <w:rPr>
          <w:sz w:val="20"/>
          <w:szCs w:val="20"/>
          <w:color w:val="auto"/>
        </w:rPr>
      </w:pPr>
    </w:p>
    <w:p>
      <w:pPr>
        <w:ind w:left="1360" w:right="239" w:firstLine="343"/>
        <w:spacing w:after="0" w:line="274" w:lineRule="auto"/>
        <w:rPr>
          <w:sz w:val="20"/>
          <w:szCs w:val="20"/>
          <w:color w:val="auto"/>
        </w:rPr>
      </w:pPr>
      <w:r>
        <w:rPr>
          <w:rFonts w:ascii="Times New Roman" w:cs="Times New Roman" w:eastAsia="Times New Roman" w:hAnsi="Times New Roman"/>
          <w:sz w:val="13"/>
          <w:szCs w:val="13"/>
          <w:color w:val="auto"/>
        </w:rPr>
        <w:t>The Performance Technologies Business has been able to receive benefits from being a part of Modine and has been able to benefit from Modine’s financial strength, extensive business relationships and purchasing volumes. Following the Merger, the Performance Technologies Business will be combined with Gentherm, and the combined company will not be able to utilize Modine’s financial strength, may not have access to all of Modine’s extensive business relationships and may not have purchasing volumes similar to those that the Performance Technologies Business benefited from by being a part of Modine prior to the Merger. In addition, some contracts that Modine or its subsidiaries are a party to that relate to the Performance Technologies Business require consents of third parties to assign them to SpinCo in connection with the Transactions. There can be no assurance that Modine, SpinCo or Gentherm will be able to obtain those consents, enter into new agreements with respect to those contracts if consents are not obtained or arrange for a lawful alternative arrangement to provide SpinCo with the rights and obligations under such agreements. It is therefore possible, whether as a result of routine renegotiations of terms in the ordinary course of business, or as part of a request for consent or a replacement of a contract where consent has not been obtained, that the combined company may not be able to negotiate terms as favorable as those Modine has received previously for one or more contracts, and in the aggregate the loss or renegotiation of contracts in connection with the foregoing could materially adversely affect the combined company’s business, financial condition and results of operations following the completion of the Transactions.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could lose customers or generate lower revenue, operating profits and cash flows if there are significant increases in the cost of raw materials or if it is unable to obtain such raw materials or other components of its products.</w:t>
      </w:r>
    </w:p>
    <w:p>
      <w:pPr>
        <w:spacing w:after="0" w:line="39"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Gentherm’s products contain, and the combined company’s products will contain, a significant number of components sourced globally from suppliers who, in turn, source components from their own global suppliers. The availability and cost of raw materials and product components will fluctuate due to factors, some of which are outside of the combined company’s control, including supply and demand imbalances, geopolitical and macroeconomic factors, labor disruptions or shortages, shipping costs, inflation, trade laws and tariffs, and natural disasters, which is expected to continue impacting the ability of the combined company and its supply chain to meet the combined company’s production requirements and therefore its ability to meet the production demands of the combined company’s customers. In some instances, Gentherm purchases, and the combined company will purchase, components, raw materials, and parts that are ultimately derived from a limited number of sources and may be at increased risk of supply disruptions and cost pressures. If the supply chain fails to deliver products to the combined company in sufficient quality and quantity on a timely basis, including as a result of raw materials and component shortages or increased shipping costs or tariffs, the combined company will be challenged to meet its production schedules and fulfill its orders due to the “just-in-time” manufacturing process that is broadly utilized in the combined company’s industry, which would decrease sales and profits and could damage its commercial reputation and customer relationships. Furthermore, sudden changes in the production schedules of the combined company’s customers caused by raw material and component shortages may continue to result in operating inefficiencies, which could adversely affect the combined company’s profitability and results of operations. Additionally, if the combined company is the primary cause of a customer being forced to halt production, the customer may seek to recoup all of its losses and expenses from the combined company. Similarly, the combined company’s customers will be dependent on an ever-greater number of global suppliers to manufacture and sell their products to consumers, which will drive sales of the combined company’s products.</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combined company will be subject to risks relating to existing international operations and expansion into certain geographical markets.</w:t>
      </w:r>
    </w:p>
    <w:p>
      <w:pPr>
        <w:spacing w:after="0" w:line="9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The combined company will focus on expanding sales globally as part of its overall growth strategy and expects sales from outside the United States to continue to represent a significant portion of its revenue. In addition, the Performance Technologies Business operates in certain geographic markets in which Gentherm has not historically operated and vice versa, which may result in enhanced risk for commercial growth opportunities in new jurisdictions for each of legacy Gentherm and the Performance Technologies Business on a combined basis. In particular, because the Performance Technologies Business is expected to operate separately from legacy Gentherm and has not historically produced products similar to those of legacy Gentherm, the value of shared information between the Performance Technologies Business and legacy Gentherm that would otherwise facilitate entry into a geographic market that such business had not previously operated within may be limited.</w:t>
      </w:r>
    </w:p>
    <w:p>
      <w:pPr>
        <w:spacing w:after="0" w:line="144"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fiscal year 2025, Gentherm’s sales to customers outside of the U.S. accounted for 66% of its total revenue. Gentherm expects that the combined company’s international business will continue to account for a significant portion of its total sales and therefore its international exposure will increase as a result of the Transactions. Gentherm’s and the combined company’s international operations are subject to significant unique risks inherent in doing business abroad, including:</w:t>
      </w:r>
    </w:p>
    <w:p>
      <w:pPr>
        <w:spacing w:after="0" w:line="67" w:lineRule="exact"/>
        <w:rPr>
          <w:sz w:val="20"/>
          <w:szCs w:val="20"/>
          <w:color w:val="auto"/>
        </w:rPr>
      </w:pPr>
    </w:p>
    <w:p>
      <w:pPr>
        <w:ind w:left="2120" w:hanging="345"/>
        <w:spacing w:after="0"/>
        <w:tabs>
          <w:tab w:leader="none" w:pos="21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local economic, political, social and labor practices and conditions;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complex and continuously changing local laws and regulations and enforcement thereof;</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 leadership;</w:t>
      </w:r>
    </w:p>
    <w:p>
      <w:pPr>
        <w:spacing w:after="0" w:line="101" w:lineRule="exact"/>
        <w:rPr>
          <w:rFonts w:ascii="Times New Roman" w:cs="Times New Roman" w:eastAsia="Times New Roman" w:hAnsi="Times New Roman"/>
          <w:sz w:val="14"/>
          <w:szCs w:val="14"/>
          <w:color w:val="auto"/>
        </w:rPr>
      </w:pPr>
    </w:p>
    <w:p>
      <w:pPr>
        <w:ind w:left="5580" w:right="1419" w:hanging="3805"/>
        <w:spacing w:after="0" w:line="455" w:lineRule="auto"/>
        <w:tabs>
          <w:tab w:leader="none" w:pos="2118"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costs of and disruptions in international shipping related to global conflicts and environmental conditions; 58</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59" w:hanging="345"/>
        <w:spacing w:after="0" w:line="283" w:lineRule="auto"/>
        <w:tabs>
          <w:tab w:leader="none" w:pos="21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duties, tariffs and taxation on the import or export of the combined company’s products related to U.S. trade disputes, trade restrictions, potential trade wars and other global conflicts;</w:t>
      </w:r>
    </w:p>
    <w:p>
      <w:pPr>
        <w:spacing w:after="0" w:line="5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infectious disease and epidemics, including the effects on business operations, and those of the combined company’s customers and suppliers, in geographic locations impacted by an outbreak;</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violence and civil unrest (including acts of terrorism, drug-cartel related and other forms of violence and outbreaks of war);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expropriation, nationalization or other protectionist activities;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 fluctuations and currency controls;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withholding and other taxes on repatriated funds and other payments by subsidiaries;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or overseeing foreign operations and agents;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credit risks.</w:t>
      </w:r>
    </w:p>
    <w:p>
      <w:pPr>
        <w:spacing w:after="0" w:line="175"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Gentherm works with select domestic manufacturers in China, but continued U.S.-China trade tensions and weakening economic conditions, among other factors, may result in reduced sales, profitability and margins, increased operating costs and challenges to gaining or holding market share with such OEMs. Furthermore, certain risks and uncertainties of doing business in China are solely within the control of the Chinese government, and such regulations may favor domestic Chinese automotive suppliers, including Chinese regulation of the scope of the combined company’s business and investments in China, as well as the combined company’s ability to provide cash to and repatriate cash from its business entities in China. In order to maintain access to the Chinese market, the combined company may be required to comply with significant technical and other regulatory requirements that are unique to the Chinese market, at times with challenging lead times. These actions may increase the cost of doing business in China, hinder the combined company’s ability to compete with Chinese-based automotive suppliers and limit how and under what conditions the combined company may do business in China, which could materially and adversely affect its profitability and financial condition. Other risks related to the combined company’s sales to customers outside of the U.S. include possible disruptions in transportation, difficulties in building and managing foreign distribution, fluctuation in the value of foreign currencies, changes in import duties and quotas and unexpected economic and political changes in foreign markets. These factors could negatively impact the combined company’s competitiveness in these markets or otherwise adversely impact the combined company’s business results or financial condition. Moreover, discriminatory or conflicting fiscal or trade policies in different countries, including potential changes to tariffs and existing trade policies and agreements, could adversely affect the combined company’s results. The international operations of the combined company will increase following the consummation of the Transactions, which will subject the combined company’s foreign products to additional product standards and operational risks.</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combined company will be subject to changes in legislative, regulatory and other legal developments involving income and other taxes.</w:t>
      </w:r>
    </w:p>
    <w:p>
      <w:pPr>
        <w:spacing w:after="0" w:line="9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The combined company will be subject to U.S. federal, state and international income, payroll, property, sales and use, fuel and other types of taxes. The combined company’s effective tax rates in the future may be impacted by changes in the mix of earnings in countries with differing statutory rates and by changes in tax rates, the enactment of new tax laws, the revision of existing tax laws or regulations, the issuance of new tax guidance and rulings, and the interpretation of any of the foregoing by taxing authorities. Changes in any of the foregoing, or claims, audits or litigation with taxing authorities in any of the jurisdictions in which the combined company operates, including claims, audits or litigation related to the combined company’s interpretation and application of tax laws and regulations, could result in substantially higher taxes, could have a negative impact on the combined company’s ability to compete in the global marketplace and could have a material adverse effect on the combined company’s business, results of operations, financial condition and cash flows.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It is difficult to predict the timing and effect that future tax law changes could have on the combined company’s earnings, both in the United States and in the foreign jurisdictions in which the combined company will operate. For example, the global minimum tax framework developed by the Organisation for Economic Co-operation and Development (the “OECD”), commonly referred to as “Pillar Two,” which generally provides for a minimum corporate income tax rate of 15% on the income of large multinational enterprises, has been implemented in various forms in a number of jurisdictions in which Gentherm and the Performance Technologies Business operate, and additional jurisdictions are expected to enact implementing legislation. Discussions related to the formal implementation of Pillar Two, including with respect to the tax law of the United States, are ongoing. Further, the imposition of tariffs and other trade measures by the United States and other countries may, among other things, result in changes to the combined company’s effective tax rate or the tax cost of its operations. Such changes, individually or in the aggregate, could cause the combined company to experience an effective tax rate significantly different from previous periods or current estimates of Gentherm or the Performance Technologies Business. If the combined company’s effective tax rate were to increase, or if the combined company is required to pay additional taxes as a result of any changes in, or interpretations of, tax law, the combined company’s business, results of operations, financial condition and cash flows could be materially and adversely affected.</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combined company may face risks associated with previous or future acquisitions, strategic investments, joint ventures and divestitures.</w:t>
      </w:r>
    </w:p>
    <w:p>
      <w:pPr>
        <w:spacing w:after="0" w:line="93"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In the normal course of business, the combined company may engage in discussions with third parties relating to possible acquisitions, strategic investments, joint ventures and divestitures, and the combined company may pursue transactions that complement or augment its existing products. Such transactions involve numerous risks, including difficulties in integrating the acquired operations, technologies and products; diversion of management’s attention from other business concerns; inability to predict financial results; potential departures of key employees of the acquired company; and difficulties in effectively transferring divested businesses and liabilities. If the combined company successfully identifies acquisitions in the future, completing such acquisitions may result in new issuances of the combined company’s stock that may be dilutive to current owners; increases in the combined company’s debt and contingent liabilities; and additional amortization expense related to intangible assets. Moreover, the combined company will be subject to certain restrictions with respect to merger activity for a two-year period as a result of the Tax Matters Agreement. Acquired businesses may also expose the combined company to new risks and new markets, and the combined company may have difficulty addressing these risks in a cost-effective and timely manner. Any of these transaction-related risks could have a material adverse effect on the combined company’s profitability. In addition, the combined company may not be able to identify, successfully complete, or integrate potential acquisitions in the future. Even if the combined company can do so, it cannot be sure that these acquisitions will have a positive impact on the combined company’s business or operating results.</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Gentherm and the Performance Technologies Business are subject to information technology, cybersecurity and privacy risks.</w:t>
      </w:r>
    </w:p>
    <w:p>
      <w:pPr>
        <w:spacing w:after="0" w:line="93"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Gentherm and the Performance Technologies Business rely on information technology, communication networks, enterprise applications, accounting and financial reporting platforms and related systems in connection with their business activities. Some of these networks and systems are managed by third-party service providers and are not under direct control of Gentherm or the Performance Technologies Business. The combined company’s operations will routinely involve receiving, storing, processing and transmitting sensitive information pertaining to its business, customers, suppliers, employees and other sensitive matters. Gentherm and the Performance Technologies Business rely on the capacity, reliability and security of their IT and data security infrastructure, as well as their ability to expand and continually update this infrastructure in response to the changing needs of the businesses. If the combined company experiences a problem with the functioning of an important IT system or a security breach of its IT systems, due to failure to timely upgrade systems or during system upgrades and/or new system implementations, or resulting from failures of third-party service providers, the resulting disruptions could have an adverse effect on the combined company’s business. The combined</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79"/>
        <w:spacing w:after="0" w:line="323" w:lineRule="auto"/>
        <w:rPr>
          <w:sz w:val="20"/>
          <w:szCs w:val="20"/>
          <w:color w:val="auto"/>
        </w:rPr>
      </w:pPr>
      <w:r>
        <w:rPr>
          <w:rFonts w:ascii="Times New Roman" w:cs="Times New Roman" w:eastAsia="Times New Roman" w:hAnsi="Times New Roman"/>
          <w:sz w:val="13"/>
          <w:szCs w:val="13"/>
          <w:color w:val="auto"/>
        </w:rPr>
        <w:t>company is expected to perform significant work to integrate IT and related matters in the integration process, which could enhance the risks set forth herein. Moreover, bad actors frequently target companies undergoing significant transitions in efforts to exploit difficulties caused by such integration.</w:t>
      </w:r>
    </w:p>
    <w:p>
      <w:pPr>
        <w:spacing w:after="0" w:line="102"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Any future cybersecurity incidents could, however, materially disrupt operational systems; result in disclosure of trade secrets or other proprietary or confidential information; compromise personally identifiable information regarding customers or employees; delay the combined company’s ability to deliver products to customers; and jeopardize the security of the combined company’s facilities. A cybersecurity incident could be caused by malicious outsiders (including state-sponsored espionage or cyberwarfare, which has become commonplace) or insiders using sophisticated methods to circumvent firewalls, encryption and other security defenses. Because techniques used to obtain unauthorized access or to sabotage systems change frequently and generally are not recognized until they are launched against a target, the combined company may be unable to anticipate these techniques or to implement adequate preventative measures. Information technology security threats, including security breaches, computer malware, “ransomware” and other cybersecurity incidents, are increasing in frequency, uniqueness and sophistication to evade detection and remove forensic evidence of the incident, including due to emerging technologies such as artificial intelligence and machine learning, which may cause cybersecurity incidents to be more difficult to detect for periods of time or at all. Many victims of ransomware are forced to pay significant ransoms to regain access to their critical business data, and the combined company may not be permitted under various regulations and laws to make such payments.</w:t>
      </w:r>
    </w:p>
    <w:p>
      <w:pPr>
        <w:spacing w:after="0" w:line="144" w:lineRule="exact"/>
        <w:rPr>
          <w:sz w:val="20"/>
          <w:szCs w:val="20"/>
          <w:color w:val="auto"/>
        </w:rPr>
      </w:pPr>
    </w:p>
    <w:p>
      <w:pPr>
        <w:ind w:left="1360" w:right="239" w:firstLine="343"/>
        <w:spacing w:after="0" w:line="275" w:lineRule="auto"/>
        <w:rPr>
          <w:sz w:val="20"/>
          <w:szCs w:val="20"/>
          <w:color w:val="auto"/>
        </w:rPr>
      </w:pPr>
      <w:r>
        <w:rPr>
          <w:rFonts w:ascii="Times New Roman" w:cs="Times New Roman" w:eastAsia="Times New Roman" w:hAnsi="Times New Roman"/>
          <w:sz w:val="13"/>
          <w:szCs w:val="13"/>
          <w:color w:val="auto"/>
        </w:rPr>
        <w:t>Gentherm has implemented and maintained, and the combined company will continue to implement and maintain, information security processes designed to identify, assess and manage material risks from cybersecurity threats to the combined company’s critical systems and its proprietary, strategic or competitive data, which the combined company will continue to review for quality and effectiveness on a regular basis. However, the combined company’s IT systems, like those of other companies, will be vulnerable to intrusion or damages from computer viruses or worms, natural disasters (which may become more frequent due to climate change), unauthorized access, cybersecurity incidents, breaches due to errors, negligence or malfeasance by employees, contractors or others who have access to these systems and other similar disruptions. Any system failure, accident or security breach could result in disruptions to the combined company’s operations and include the theft of its intellectual property, trade secrets, customer information, human resources information or other confidential information. The foregoing matters could cause significant damage to the combined company’s reputation, affect its relationships with customers, lead to claims against the combined company, fines and other penalties assessed upon it by governmental authorities, and ultimately harm the combined company’s business and financial performance. In addition, the combined company may be required to incur significant costs to remediate and protect against damage caused by these disruptions or security breaches in the future.</w:t>
      </w:r>
    </w:p>
    <w:p>
      <w:pPr>
        <w:spacing w:after="0" w:line="216" w:lineRule="exact"/>
        <w:rPr>
          <w:sz w:val="20"/>
          <w:szCs w:val="20"/>
          <w:color w:val="auto"/>
        </w:rPr>
      </w:pPr>
    </w:p>
    <w:p>
      <w:pPr>
        <w:ind w:left="1360" w:right="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company’s reputation, ability to do business and results of operations may be impaired by improper conduct by or disputes with any of its employees, agents or business partners and it will have an increased compliance burden with respect to, and risk of violations of, anti-bribery, trade control, trade sanctions, anti-corruption and similar laws.</w:t>
      </w:r>
    </w:p>
    <w:p>
      <w:pPr>
        <w:spacing w:after="0" w:line="51" w:lineRule="exact"/>
        <w:rPr>
          <w:sz w:val="20"/>
          <w:szCs w:val="20"/>
          <w:color w:val="auto"/>
        </w:rPr>
      </w:pPr>
    </w:p>
    <w:p>
      <w:pPr>
        <w:jc w:val="both"/>
        <w:ind w:left="1360" w:right="459" w:firstLine="343"/>
        <w:spacing w:after="0" w:line="277" w:lineRule="auto"/>
        <w:rPr>
          <w:sz w:val="20"/>
          <w:szCs w:val="20"/>
          <w:color w:val="auto"/>
        </w:rPr>
      </w:pPr>
      <w:r>
        <w:rPr>
          <w:rFonts w:ascii="Times New Roman" w:cs="Times New Roman" w:eastAsia="Times New Roman" w:hAnsi="Times New Roman"/>
          <w:sz w:val="13"/>
          <w:szCs w:val="13"/>
          <w:color w:val="auto"/>
        </w:rPr>
        <w:t>Gentherm’s operations require, and the combined company’s operations will require, it to comply with various anti-bribery and anti-corruption regulations, including but not limited to the U.S. Foreign Corrupt Practices Act, the China Anti-Unfair Competition Law, the Brazil Clean Company Act, the Mexico General Law of Administrative Responsibilities, Italy’s Legislative Decree 231/2001 and the Prevention of Corruption Act in India.</w:t>
      </w:r>
    </w:p>
    <w:p>
      <w:pPr>
        <w:spacing w:after="0" w:line="2" w:lineRule="exact"/>
        <w:rPr>
          <w:sz w:val="20"/>
          <w:szCs w:val="20"/>
          <w:color w:val="auto"/>
        </w:rPr>
      </w:pPr>
    </w:p>
    <w:p>
      <w:pPr>
        <w:ind w:left="1360" w:right="279"/>
        <w:spacing w:after="0" w:line="252" w:lineRule="auto"/>
        <w:rPr>
          <w:sz w:val="20"/>
          <w:szCs w:val="20"/>
          <w:color w:val="auto"/>
        </w:rPr>
      </w:pPr>
      <w:r>
        <w:rPr>
          <w:rFonts w:ascii="Times New Roman" w:cs="Times New Roman" w:eastAsia="Times New Roman" w:hAnsi="Times New Roman"/>
          <w:sz w:val="14"/>
          <w:szCs w:val="14"/>
          <w:color w:val="auto"/>
        </w:rPr>
        <w:t>Compliance with these laws and regulations has become increasingly complex due to the increasing global operations of OEMs and suppliers, including Gentherm and the Performance Technologies Business. Violations of these laws, which are complex and often difficult to interpret and apply, could result in significant criminal penalties or sanctions that could adversely affect the combined company’s business, financial condition, results of operations and cash flows. Additionally, Gentherm has periodically, and the combined company may in the future, complete acquisitions of and investments in companies, which may have different historical policies, practices and standards that increase the risk of the combined company’s compliance with various regulations while it integrates such companies.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Tariffs and other trade measures could adversely affect the combined company’s results of operations, financial position and cash flows.</w:t>
      </w:r>
    </w:p>
    <w:p>
      <w:pPr>
        <w:spacing w:after="0" w:line="93"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The U.S. has established free trade laws and regulations that set certain duties and tariffs for qualifying imports and exports, subject to compliance with the applicable classification and other requirements. Changes in laws or policies governing the terms of foreign trade, and in particular increased trade restrictions, tariffs or taxes on imports from countries where the combined company manufactures products, such as China, Mexico, Brazil, India and various countries in the European Union, could have a material adverse effect on the combined company’s business and financial results. In recent years, the U.S. and Chinese governments have imposed a series of significant incremental retaliatory tariffs to certain imported products. The U.S. administration recently has periodically enacted additional or enhanced tariffs in various jurisdictions relevant to the combined company’s business. Implementation of tariffs or other restrictive trade measures by the United States and potentially reciprocally by other countries subject to such to tariffs remains highly uncertain. Due to the global nature of the combined company’s business, specifically in the jurisdictions impacted by the recent tariffs announcements, if the actual and potential tariffs and reciprocal tariffs are implemented as currently proposed, the combined company’s results of operations could be materially negatively impacted, both directly and indirectly through negative effects to its supply chain, as a result of increased costs, decreased demand and other adverse economic impacts, and the combined company may not be able to successfully mitigate or offset such impacts. Depending upon their implementation and duration, as well as the combined company’s ability to mitigate their impact, these tariffs and any other future regulatory actions implemented on a broader range of products or raw materials could materially affect the combined company’s business, including increased cost of its products, reduction of sales, disruption of the combined company’s supply chain and may impair its ability to effectively operate and compete in the countries where it does business.</w:t>
      </w:r>
    </w:p>
    <w:p>
      <w:pPr>
        <w:spacing w:after="0" w:line="146"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In addition, various countries regulate cross-border transactions of certain products through import permitting and licensing requirements. The exportation, re-exportation, transfers within foreign countries and importation of the combined company’s products, including by its suppliers and vendors, must comply with these laws and regulations, and any violations may result in reputational harm, government investigations and penalties, and a denial or curtailment of importing or exporting activities. Complying with U.S. export, sanctions and import laws, including ongoing and rapidly changing sanctions against certain countries, regions, governments and related persons and entities, may be time consuming, may increase the combined company’s costs, and may result in the delay or loss of sales opportunities. If the combined company is found to be in violation of U.S. export, sanctions or import laws, or similar laws in other jurisdictions, the combined company and the individuals working for it could incur substantial fines and penalties. Changes in export, sanctions or import laws or regulations may delay the introduction and sale of the combined company’s products in the U.S. and international markets, require the combined company to spend resources to seek necessary government authorizations or to develop different versions of its products, or, in some cases, prevent the export or import of the combined company’s products to certain countries, regions, governments, persons or entities, which could adversely affect the combined company’s business, financial condition and results of operations.</w:t>
      </w:r>
    </w:p>
    <w:p>
      <w:pPr>
        <w:spacing w:after="0" w:line="226"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Failure to attract, retain and develop personnel, including for key management positions, could have an adverse impact on the combined company’s results of operations, financial condition and cash flows.</w:t>
      </w:r>
    </w:p>
    <w:p>
      <w:pPr>
        <w:spacing w:after="0" w:line="39"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The combined company’s success will depend on its ability to recruit and retain talented and diverse employees who are highly skilled in their areas. In particular, Gentherm expects there will be an immediate need after the Closing for additional personnel to fill roles to address corporate needs of the Performance Technologies Business and that it may face difficulty in recruiting the necessary resources as quickly as desired, at reasonable compensation levels or at all. In addition, the combined company’s technologies and products will increasingly rely on software and hardware that is highly technical and complex and the market for highly skilled workers and leaders in its industry is extremely competitive and costly. The difficulty of attracting, hiring, developing, motivating and retaining highly qualified and diverse employees throughout Gentherm has caused and could continue to cause increases in the cost of labor due to wage inflation. Failure to continue attracting and retaining such highly qualified and diverse employees could further increase labor costs, disrupt the combined company’s operations and adversely affect its strategic plans.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inability to obtain, protect, defend or enforce intellectual property rights could adversely affect the combined company’s revenue, operating profits and cash flows.</w:t>
      </w:r>
    </w:p>
    <w:p>
      <w:pPr>
        <w:spacing w:after="0" w:line="39" w:lineRule="exact"/>
        <w:rPr>
          <w:sz w:val="20"/>
          <w:szCs w:val="20"/>
          <w:color w:val="auto"/>
        </w:rPr>
      </w:pPr>
    </w:p>
    <w:p>
      <w:pPr>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Gentherm relies on, and the combined company will rely on, a combination of patent, trademark, copyright and trade secret laws in the United States and other jurisdictions, as well as contractual arrangements (including confidentiality and license agreements), to establish and protect its intellectual property and other proprietary rights. The combined company’s intellectual property will play an important role in maintaining its competitive position in many of the markets that it serves.</w:t>
      </w:r>
    </w:p>
    <w:p>
      <w:pPr>
        <w:spacing w:after="0" w:line="14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There is no guarantee, however, that the combined company will be able to secure all desired protection, nor that the steps the combined company takes to protect and enforce its intellectual property will be adequate to prevent infringement of the combined company’s intellectual property rights or misappropriation or theft of its technology, trade secrets or know-how. For example, enforceable patent, trademark, copyright and trade secret protection may be unavailable or limited in some of the countries in which the combined company operates. Foreign governments may enact laws or adopt regulations, and foreign courts may render decisions, requiring compulsory licensing of intellectual property rights, or foreign governments may require products to meet standards that serve to favor local companies or provide reduced protection relative to other countries. The lack of adequate legal protections of intellectual property or failure of legal remedies or related actions in foreign countries in which the combined company operates could harm the combined company’s business, financial condition, results of operations and cash flows.</w:t>
      </w:r>
    </w:p>
    <w:p>
      <w:pPr>
        <w:spacing w:after="0" w:line="145"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Gentherm and the Performance Technologies Business have sought and obtained patent protection on various products. In cases where the combined company seeks patent protection, there is no assurance that its patent applications will issue as patents, or that any patents will effectively protect its products or provide a competitive advantage. Even in cases where the combined company is granted patent protection, patents have a finite term and may only cover particular aspects of products, and third parties may develop technologies that are similar or superior to its patented technologies, or design around or otherwise circumvent the patents that the combined company owns. Patents that are issued to the combined company may also be challenged, and invalidated, held unenforceable or narrowed in litigation or other proceedings. If the combined company fails to successfully obtain, defend, or enforce its patents, its competitive position and the value of its intangible assets could suffer, which could harm the combined company’s business, financial condition, results of operations and cash flows.</w:t>
      </w:r>
    </w:p>
    <w:p>
      <w:pPr>
        <w:spacing w:after="0" w:line="145"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Gentherm and the Performance Technologies Business rely on trade secret protection and other rights in confidential information, which can be difficult to protect. While Gentherm and the Performance Technologies Business have generally entered into confidentiality agreements with their employees and third parties to protect their trade secrets and other confidential information, they might not have entered into confidentiality agreements with everyone who has access to or possession of their confidential information, and the contractual protections they have now or in the future might be ineffective in preventing unauthorized access to, or use or disclosure of their trade secrets and other confidential information. Also, confidentiality agreements could be breached and available remedies might not be sufficient to compensate for the damage caused by the disclosure of the confidential information. Despite the combined company’s precautions, it may be possible for unauthorized third parties to copy its proprietary technology and use its proprietary information to create products and services that compete with its solutions, which may cause the combined company to lose market share or render the combined company unable to operate its business profitably. In any event, if any of the combined company’s trade secrets were to be lawfully obtained or independently developed by a competitor or other third party, the combined company would have no right to prevent them from using that technology or information to compete with the combined company’s business, and its competitive position could be materially and adversely harmed.</w:t>
      </w:r>
    </w:p>
    <w:p>
      <w:pPr>
        <w:spacing w:after="0" w:line="150" w:lineRule="exact"/>
        <w:rPr>
          <w:sz w:val="20"/>
          <w:szCs w:val="20"/>
          <w:color w:val="auto"/>
        </w:rPr>
      </w:pPr>
    </w:p>
    <w:p>
      <w:pPr>
        <w:ind w:left="1360" w:right="239" w:firstLine="343"/>
        <w:spacing w:after="0" w:line="296" w:lineRule="auto"/>
        <w:rPr>
          <w:sz w:val="20"/>
          <w:szCs w:val="20"/>
          <w:color w:val="auto"/>
        </w:rPr>
      </w:pPr>
      <w:r>
        <w:rPr>
          <w:rFonts w:ascii="Times New Roman" w:cs="Times New Roman" w:eastAsia="Times New Roman" w:hAnsi="Times New Roman"/>
          <w:sz w:val="13"/>
          <w:szCs w:val="13"/>
          <w:color w:val="auto"/>
        </w:rPr>
        <w:t>Gentherm and the Performance Technologies Business’s trademarks are critical to their success and competitive position because they differentiate their products from those of their respective competitors. As the combined company expands geographically, there is a risk that its trademarks may conflict with the pre-existing rights of third parties, which may require it to rebrand its products, obtain costly licenses (which may not be</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available on reasonable terms, if at all), or defend against third-party claims. Any of the combined company’s trademarks may lapse, be abandoned, challenged, circumvented, or otherwise invalidated or canceled through litigation or administrative proceedings. Loss of the combined company’s trademark rights, or inability to use its trademarks in new markets, may require the combined company to incur significant expense in developing new brands to identify its products. Loss of brand recognition could also harm the combined company’s revenue, and an inability to leverage its existing brands could impede its entry into new markets. The value of the combined company’s intellectual property could diminish if others assert rights in, or ownership of, its trademarks or similar marks.</w:t>
      </w:r>
    </w:p>
    <w:p>
      <w:pPr>
        <w:spacing w:after="0" w:line="143"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Furthermore, Modine will retain a license from the Performance Technologies Business to use the “Modine” trademark to commercialize certain products and services for Modine’s commercial, industrial, and building heating, ventilating, air conditioning and refrigeration and heat transfer products businesses. Because the combined business will also use the “Modine” trademark, albeit for different products and services, Modine’s use of the trademark could adversely affect the combined company’s reputation if the use is associated with the combined company, such as if Modine experiences negative publicity, product quality issues, safety concerns, regulatory violations or other adverse events. Any of the foregoing could adversely affect the combined company’s business, financial condition, results of operations and cash flows.</w:t>
      </w:r>
    </w:p>
    <w:p>
      <w:pPr>
        <w:spacing w:after="0" w:line="225" w:lineRule="exact"/>
        <w:rPr>
          <w:sz w:val="20"/>
          <w:szCs w:val="20"/>
          <w:color w:val="auto"/>
        </w:rPr>
      </w:pPr>
    </w:p>
    <w:p>
      <w:pPr>
        <w:jc w:val="both"/>
        <w:ind w:left="1360" w:right="2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may need to bring claims against third parties to protect its intellectual property or may be subject to claims by third parties for infringement of their intellectual property, which could be time-consuming and costly and could have a material adverse effect on the combined company’s business, cash flows, financial condition and results of operations.</w:t>
      </w:r>
    </w:p>
    <w:p>
      <w:pPr>
        <w:spacing w:after="0" w:line="5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combined company may need to take legal action to enforce its intellectual property rights or other proprietary rights, protect its trade secrets, or determine the validity and scope of the intellectual property rights of third parties. The outcome of litigation is inherently uncertain and it may not be successful. Any litigation could be lengthy and result in substantial costs, and the diversion of time and attention of the management teams of Gentherm, the Performance Technologies Business, and the combined company. Furthermore, the combined company’s efforts to enforce its intellectual property rights may be met with defenses, counterclaims or countersuits attacking the validity and enforceability of its intellectual property rights. If such defenses, counterclaims, or countersuits are successful, the combined company could lose valuable intellectual property rights.</w:t>
      </w:r>
    </w:p>
    <w:p>
      <w:pPr>
        <w:spacing w:after="0" w:line="143"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The combined company’s success and ability to compete also depends in part on its ability to operate without infringing, misappropriating or otherwise violating the intellectual property rights or other proprietary rights of third parties. The combined company may become subject to claims that its current or future offerings infringe, misappropriate, dilute or otherwise violate third parties’ intellectual property rights. Any infringement claims, regardless of their merit or resolution, may be time consuming, costly, damaging to the combined company’s brand and reputation, harmful to its customer relationships, create liability for it, and cause diversion of the efforts and attention of its management. Additionally, the combined company may be contractually expected to indemnify its partners and customers for expenses or liabilities incurred as a result of third-party intellectual property infringement claims associated with its technologies. A successful infringement claim against the combined company could result in it being required to enter into license agreements (if available on commercially reasonable terms or at all), substitute inferior or costlier technologies into its solutions, pay monetary damages or royalties and/or comply with an injunction against providing some or all of its products and solutions to customers. If the combined company cannot license or develop alternative non-infringing substitutes for any infringing technology used in any aspect of its business, it could be forced to limit or stop sales of its technologies and may be unable to compete effectively. Due to the significant amount of discovery required in connection with intellectual property litigation, the combined company’s confidential information could also be compromised by disclosure during litigation. Any of these results may have a material adverse effect on the combined company’s business, cash flows, financial condition and results of operations.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5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deterioration in the combined company’s future expected profitability or cash flows could result in an impairment of goodwill and intangible assets.</w:t>
      </w:r>
    </w:p>
    <w:p>
      <w:pPr>
        <w:spacing w:after="0" w:line="39"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The success of the Transactions is dependent, in part, on the combined company’s ability to realize the expected benefits from the integration of the Performance Technologies Business. Gentherm may incur an unexpected amount of liabilities or make incorrect estimates regarding the planned accounting for the Transactions, such as the need to record non-recurring charges or write-off of significant amounts of goodwill or other assets that could adversely affect the combined company’s results of operations.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b w:val="1"/>
          <w:bCs w:val="1"/>
          <w:i w:val="1"/>
          <w:iCs w:val="1"/>
          <w:color w:val="auto"/>
        </w:rPr>
        <w:t>The combined company’s exposure to exchange rate fluctuations on cross-border transactions and the translation of local currency results into U.S.</w:t>
      </w:r>
    </w:p>
    <w:p>
      <w:pPr>
        <w:spacing w:after="0" w:line="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dollars could negatively impact its results of operations.</w:t>
      </w:r>
    </w:p>
    <w:p>
      <w:pPr>
        <w:spacing w:after="0" w:line="77"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A significant portion of Gentherm’s global transactions are, and a significant portion of the combined company’s global transactions will be, conducted in currencies other than the U.S. dollar, including the Euro, Mexican Peso, Hungarian Forint, North Macedonian Denar, Ukrainian Hryvnia, Japanese Yen, Chinese Renminbi, Korean Won, Czech Koruna, Vietnamese Dong, Moroccan Dirham, Indian Rupee and Brazilian Real. While Gentherm sometimes employs financial instruments to hedge some of its transactional foreign exchange exposure, developing an effective and economical foreign currency risk strategy is complex and expensive and no strategy can completely insulate the combined company from those exposures. Exchange rates can be volatile and could adversely affect the combined company’s financial results and comparability of results from period to period. Such exchange rate volatility could also increase the costs of raw materials or components from foreign suppliers, and as a result, the combined company’s profitability could be adversely affected.</w:t>
      </w:r>
    </w:p>
    <w:p>
      <w:pPr>
        <w:spacing w:after="0" w:line="228" w:lineRule="exact"/>
        <w:rPr>
          <w:sz w:val="20"/>
          <w:szCs w:val="20"/>
          <w:color w:val="auto"/>
        </w:rPr>
      </w:pPr>
    </w:p>
    <w:p>
      <w:pPr>
        <w:ind w:left="1360" w:right="4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Following the completion of the Transactions, the combined company will have a greater amount of indebtedness than Gentherm’s indebtedness prior to the Merger, which could adversely affect the combined company’s financial condition or decrease its business flexibility.</w:t>
      </w:r>
    </w:p>
    <w:p>
      <w:pPr>
        <w:spacing w:after="0" w:line="39" w:lineRule="exact"/>
        <w:rPr>
          <w:sz w:val="20"/>
          <w:szCs w:val="20"/>
          <w:color w:val="auto"/>
        </w:rPr>
      </w:pPr>
    </w:p>
    <w:p>
      <w:pPr>
        <w:ind w:left="1360" w:right="499" w:firstLine="343"/>
        <w:spacing w:after="0" w:line="258" w:lineRule="auto"/>
        <w:rPr>
          <w:sz w:val="20"/>
          <w:szCs w:val="20"/>
          <w:color w:val="auto"/>
        </w:rPr>
      </w:pPr>
      <w:r>
        <w:rPr>
          <w:rFonts w:ascii="Times New Roman" w:cs="Times New Roman" w:eastAsia="Times New Roman" w:hAnsi="Times New Roman"/>
          <w:sz w:val="14"/>
          <w:szCs w:val="14"/>
          <w:color w:val="auto"/>
        </w:rPr>
        <w:t>In connection with the Transactions, the combined company may incur additional indebtedness of up to $290.0 million, including to fund the SpinCo Cash Distribution and the Gentherm Special Dividend, if any, and to pay fees and expenses related to the Transactions and the excess of the Final Cash Transfer Amount over the Cash Transfer Amount, if any, to Modine. The amount of the combined company’s outstanding debt, which amounts to $470.7 million as of March 31, 2026 on a pro forma basis, assuming the Transactions and the related financing occurred on such date, in addition to future indebtedness, could have important, adverse consequences to the combined company and its investors, including:</w:t>
      </w:r>
    </w:p>
    <w:p>
      <w:pPr>
        <w:spacing w:after="0" w:line="70" w:lineRule="exact"/>
        <w:rPr>
          <w:sz w:val="20"/>
          <w:szCs w:val="20"/>
          <w:color w:val="auto"/>
        </w:rPr>
      </w:pPr>
    </w:p>
    <w:p>
      <w:pPr>
        <w:ind w:left="2120" w:hanging="345"/>
        <w:spacing w:after="0"/>
        <w:tabs>
          <w:tab w:leader="none" w:pos="21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the combined company’s cash flow from operations to make interest payments;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more difficult to satisfy other obligations;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combined company’s vulnerability to general adverse economic and industry conditions;</w:t>
      </w:r>
    </w:p>
    <w:p>
      <w:pPr>
        <w:spacing w:after="0" w:line="101" w:lineRule="exact"/>
        <w:rPr>
          <w:rFonts w:ascii="Times New Roman" w:cs="Times New Roman" w:eastAsia="Times New Roman" w:hAnsi="Times New Roman"/>
          <w:sz w:val="14"/>
          <w:szCs w:val="14"/>
          <w:color w:val="auto"/>
        </w:rPr>
      </w:pPr>
    </w:p>
    <w:p>
      <w:pPr>
        <w:ind w:left="2120" w:right="839" w:hanging="345"/>
        <w:spacing w:after="0" w:line="283" w:lineRule="auto"/>
        <w:tabs>
          <w:tab w:leader="none" w:pos="21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cash flow available to fund capital expenditures and other corporate purposes and to grow the combined company’s businesses;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flexibility in planning for, or reacting to, changes in the combined company’s businesses and industries;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combined company’s ability to borrow additional funds as needed or take advantage of business opportunities as they arise.</w:t>
      </w:r>
    </w:p>
    <w:p>
      <w:pPr>
        <w:spacing w:after="0" w:line="175"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To the extent that the combined company incurs additional indebtedness, the risks described above could increase. In addition, the combined company’s actual cash requirements in the future may be greater than expected. The combined company’s ability to make payments of principal and interest on its indebtedness depends upon its future performance. If the combined company’s cash flow from operations is not sufficient to</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service its outstanding debt or to repay the outstanding debt as it becomes due, the combined company may not be able to borrow money, sell assets or otherwise raise funds on acceptable terms, or at all, to service or refinance its debt and it may have to reduce or delay planned capital or operating expenditures. The occurrence of any of such events could have a material adverse effect upon the combined company’s business, cash flows, financial condition and results of operations.</w:t>
      </w:r>
    </w:p>
    <w:p>
      <w:pPr>
        <w:spacing w:after="0" w:line="223"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Restrictions may be imposed by the combined company’s debt instruments, which limit the ability of the combined company to operate its business and to finance its future operations or capital needs or to engage in other business activities.</w:t>
      </w:r>
    </w:p>
    <w:p>
      <w:pPr>
        <w:spacing w:after="0" w:line="39"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Gentherm is subject to the Gentherm Revolving Credit Facility and will incur additional indebtedness in connection with the Transactions. These instruments contain certain restrictive covenants and customary events of default. These restrictive covenants limit the combined company’s ability to take certain actions, such as, among other things: incur additional debt, create liens, make certain payments or distributions (including for the repurchase or redemption of its shares), engage in mergers or consolidations, make certain dispositions and transfers of assets, enter into transactions with affiliates and guarantee indebtedness. While not unusual for financings of the type that Gentherm has, the restrictions in these instruments may prevent the combined company from taking actions that it believes would be in the best interest of its business and may make it difficult for the combined company to execute its business plans, take advantage of business opportunities, or react to changing industry conditions. Any additional debt facilities could contain additional restrictions.</w:t>
      </w:r>
    </w:p>
    <w:p>
      <w:pPr>
        <w:spacing w:after="0" w:line="145"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In addition, if an event of default would occur under any of the debt instruments or any additional indebtedness, the combined company’s lenders could declare all amounts outstanding to be immediately due and payable, which may cause cross-defaults under its other debt obligations. If the combined company’s lenders accelerate the maturity of its indebtedness, the combined company may not have sufficient capital available at that time to pay the amounts due to all lenders on a timely basis, and there is no guarantee that the combined company would be able to repay, refinance, or restructure the payments on such debt. Further, under the combined company’s existing credit facilities, the lenders would have the right to foreclose on certain of the combined company’s assets, which could have a material adverse effect on its business, results of operations and financial condition.</w:t>
      </w:r>
    </w:p>
    <w:p>
      <w:pPr>
        <w:spacing w:after="0" w:line="225" w:lineRule="exact"/>
        <w:rPr>
          <w:sz w:val="20"/>
          <w:szCs w:val="20"/>
          <w:color w:val="auto"/>
        </w:rPr>
      </w:pPr>
    </w:p>
    <w:p>
      <w:pPr>
        <w:ind w:left="1360" w:right="4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financial projections included herein are based upon estimates and assumptions made at the time they were prepared. If these estimates or assumptions prove to be incorrect or inaccurate, the combined company’s actual operating results may differ materially from those forecasted for Gentherm and the Performance Technologies Business.</w:t>
      </w:r>
    </w:p>
    <w:p>
      <w:pPr>
        <w:spacing w:after="0" w:line="51"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The financial projections included in this proxy statement/prospectus under “The Transactions-Certain Financial Forecasts” are based upon projected future sales volumes, which are influenced by many factors, including awarded business and assumptions of conversion rates to revenues thereof, customers’ forecasts and general macroeconomic and industry market data. The industries in which Gentherm and the Performance Technologies Business operate utilize a “just-in-time” manufacturing process, and production volumes established in a new business award frequently change in amount and timing based on updated production schedules. Product revenues of Gentherm and the Performance Technologies Business are generally based upon purchase orders issued by their respective customers, which occur close to production and delivery of the products. Furthermore, their customers do not always guarantee sales volumes. As such, Gentherm and the Performance Technologies Business typically do not have a backlog of firm orders at any point in time. In addition, awarded business may include arrangements under which the combined company’s customers have the right to terminate without penalty at any time. Further, Gentherm’s and the Performance Technologies Business’s customers’ forecasts are subject to numerous assumptions, and such forecasts often are changed rapidly with limited notice. Therefore, actual sales volumes of Gentherm and the Performance Technologies Business and the resulting amount of revenue are not fully committed. Gentherm and the Performance Technologies Business must also incur costs and make commitments in advance of the receipt of orders and resulting revenues from</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customers. If actual production orders from customers are not consistent with projected future sales volumes, especially for higher-margin products, the combined company could realize substantially less revenue and incur greater expenses. In recent years, Gentherm has been awarded record new business awards, which have enhanced the foregoing risks.</w:t>
      </w:r>
    </w:p>
    <w:p>
      <w:pPr>
        <w:spacing w:after="0" w:line="136"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Recent macroeconomic, geopolitical and industry factors noted above have made it particularly challenging for Gentherm and the Performance Technologies Business to project future sales volumes and manage the respective businesses.</w:t>
      </w:r>
    </w:p>
    <w:p>
      <w:pPr>
        <w:spacing w:after="0" w:line="207"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combined company could incur operational difficulties or losses if Modine were unable to perform under the Transition Services Agreement entered into as part of the Separation.</w:t>
      </w:r>
    </w:p>
    <w:p>
      <w:pPr>
        <w:spacing w:after="0" w:line="39"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In connection with the Closing, Gentherm and SpinCo will enter into several other agreements with Modine, including a Transition Services Agreement. For a transitional period following the closing of the Transactions, Gentherm will rely on Modine to perform services for the Performance Technologies Business that are set forth in the Transition Services Agreement. If either party is unable to satisfy its obligations under this agreement in a timely manner or at all, or if the agreement fails to provide for or cover certain services needed by Gentherm and the Performance Technologies Business during the transitional period, there is limited recourse for Gentherm, and the Performance Technologies Business could incur operational difficulties or losses or face liability that could have a material adverse effect on the business, financial condition and results of operations of the combined company. Because Gentherm will rely on Modine for services during the transitional period, any interruption, disruption or breach of Modine’s systems relating to such services, including information technology and information security systems, could have a material adverse effect on the business, financial condition and results of operations of the combined company.</w:t>
      </w:r>
    </w:p>
    <w:p>
      <w:pPr>
        <w:spacing w:after="0" w:line="231" w:lineRule="exact"/>
        <w:rPr>
          <w:sz w:val="20"/>
          <w:szCs w:val="20"/>
          <w:color w:val="auto"/>
        </w:rPr>
      </w:pPr>
    </w:p>
    <w:p>
      <w:pPr>
        <w:ind w:left="1360" w:right="5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contained in the Gentherm Charter and the Gentherm Bylaws, as well as provisions of Michigan law, could deter or impair a takeover attempt.</w:t>
      </w:r>
    </w:p>
    <w:p>
      <w:pPr>
        <w:spacing w:after="0" w:line="39" w:lineRule="exact"/>
        <w:rPr>
          <w:sz w:val="20"/>
          <w:szCs w:val="20"/>
          <w:color w:val="auto"/>
        </w:rPr>
      </w:pPr>
    </w:p>
    <w:p>
      <w:pPr>
        <w:ind w:left="1360" w:right="879" w:firstLine="343"/>
        <w:spacing w:after="0" w:line="283" w:lineRule="auto"/>
        <w:rPr>
          <w:sz w:val="20"/>
          <w:szCs w:val="20"/>
          <w:color w:val="auto"/>
        </w:rPr>
      </w:pPr>
      <w:r>
        <w:rPr>
          <w:rFonts w:ascii="Times New Roman" w:cs="Times New Roman" w:eastAsia="Times New Roman" w:hAnsi="Times New Roman"/>
          <w:sz w:val="14"/>
          <w:szCs w:val="14"/>
          <w:color w:val="auto"/>
        </w:rPr>
        <w:t>The Gentherm Charter, Gentherm Bylaws and Michigan law contain provisions that could have the effect of rendering more difficult or discouraging an acquisition deemed undesirable by the Gentherm Board. Gentherm’s organizational documents include provisions:</w:t>
      </w:r>
    </w:p>
    <w:p>
      <w:pPr>
        <w:spacing w:after="0" w:line="51" w:lineRule="exact"/>
        <w:rPr>
          <w:sz w:val="20"/>
          <w:szCs w:val="20"/>
          <w:color w:val="auto"/>
        </w:rPr>
      </w:pPr>
    </w:p>
    <w:p>
      <w:pPr>
        <w:ind w:left="2120" w:right="319" w:hanging="345"/>
        <w:spacing w:after="0" w:line="283" w:lineRule="auto"/>
        <w:tabs>
          <w:tab w:leader="none" w:pos="21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blank check preferred stock, which could be issued by the Gentherm Board with voting, liquidation, dividend and other rights superior to Gentherm Common Stock without approval of Gentherm’s shareholders;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indemnification to, Gentherm’s directors and officers;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ability of Gentherm’s shareholders to call and bring business before special meetings and to take action by written consent in lieu of a meeting;</w:t>
      </w:r>
    </w:p>
    <w:p>
      <w:pPr>
        <w:spacing w:after="0" w:line="51" w:lineRule="exact"/>
        <w:rPr>
          <w:rFonts w:ascii="Times New Roman" w:cs="Times New Roman" w:eastAsia="Times New Roman" w:hAnsi="Times New Roman"/>
          <w:sz w:val="14"/>
          <w:szCs w:val="14"/>
          <w:color w:val="auto"/>
        </w:rPr>
      </w:pPr>
    </w:p>
    <w:p>
      <w:pPr>
        <w:ind w:left="2120" w:right="919" w:hanging="345"/>
        <w:spacing w:after="0" w:line="283" w:lineRule="auto"/>
        <w:tabs>
          <w:tab w:leader="none" w:pos="21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advance notice of shareholder proposals for business to be conducted at meetings of Gentherm’s shareholders and for nominations of candidates for election to the Gentherm Board; and</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the Gentherm Board with the exclusive right to determine the number of directors on the Gentherm Board and the filling of any vacancies or newly created seats on the Gentherm Board.</w:t>
      </w:r>
    </w:p>
    <w:p>
      <w:pPr>
        <w:spacing w:after="0" w:line="125" w:lineRule="exact"/>
        <w:rPr>
          <w:sz w:val="20"/>
          <w:szCs w:val="20"/>
          <w:color w:val="auto"/>
        </w:rPr>
      </w:pPr>
    </w:p>
    <w:p>
      <w:pPr>
        <w:ind w:left="1360" w:right="819" w:firstLine="343"/>
        <w:spacing w:after="0" w:line="283" w:lineRule="auto"/>
        <w:rPr>
          <w:sz w:val="20"/>
          <w:szCs w:val="20"/>
          <w:color w:val="auto"/>
        </w:rPr>
      </w:pPr>
      <w:r>
        <w:rPr>
          <w:rFonts w:ascii="Times New Roman" w:cs="Times New Roman" w:eastAsia="Times New Roman" w:hAnsi="Times New Roman"/>
          <w:sz w:val="14"/>
          <w:szCs w:val="14"/>
          <w:color w:val="auto"/>
        </w:rPr>
        <w:t>These provisions, alone or together, could delay or deter hostile takeovers and changes in control of Gentherm or changes in Gentherm’s management.</w:t>
      </w:r>
    </w:p>
    <w:p>
      <w:pPr>
        <w:spacing w:after="0" w:line="125" w:lineRule="exact"/>
        <w:rPr>
          <w:sz w:val="20"/>
          <w:szCs w:val="20"/>
          <w:color w:val="auto"/>
        </w:rPr>
      </w:pPr>
    </w:p>
    <w:p>
      <w:pPr>
        <w:jc w:val="both"/>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As a Michigan corporation, Gentherm is also subject to provisions of Michigan law, including Michigan’s fair price provision as described under “Description of Capital Stock of Gentherm and the Combined Company.” Any provision of the Gentherm Charter or the Gentherm Bylaws or Michigan law that has the effect of delaying or deterring a change in control could limit the opportunity for Gentherm’s shareholders to receive a premium for their shares of Gentherm Common Stock or impede other transactions that Gentherm shareholders may consider favorable, and could also affect the price that some investors are willing to pay for Gentherm Common Stock.</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CAUTIONARY STATEMENT CONCERNING FORWARD-LOOKING STATEMENTS</w:t>
      </w:r>
    </w:p>
    <w:p>
      <w:pPr>
        <w:spacing w:after="0" w:line="177"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This proxy statement/prospectus includes “forward-looking statements” as that term is defined in Section 27A of the Securities Act of 1933, as amended (the “Securities Act”), and Section 21E of the Securities Act including statements regarding the Transactions among Gentherm, Modine, Merger Sub and SpinCo.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anticipated strategic benefits of the Transactions, the amount and timing of synergies from the Transactions, the tax considerations of the Transactions, the terms and scope of the expected financing in connection with the Transactions, the aggregate amount of indebtedness of the combined company following the closing of the Transactions, the combined company’s plans, objectives, expectations and intentions, legal, economic and regulatory conditions, and any assumptions underlying any of the foregoing, are forward-looking statements.</w:t>
      </w:r>
    </w:p>
    <w:p>
      <w:pPr>
        <w:spacing w:after="0" w:line="144" w:lineRule="exact"/>
        <w:rPr>
          <w:sz w:val="20"/>
          <w:szCs w:val="20"/>
          <w:color w:val="auto"/>
        </w:rPr>
      </w:pPr>
    </w:p>
    <w:p>
      <w:pPr>
        <w:ind w:left="1360" w:right="239" w:firstLine="343"/>
        <w:spacing w:after="0" w:line="251" w:lineRule="auto"/>
        <w:rPr>
          <w:sz w:val="20"/>
          <w:szCs w:val="20"/>
          <w:color w:val="auto"/>
        </w:rPr>
      </w:pPr>
      <w:r>
        <w:rPr>
          <w:rFonts w:ascii="Times New Roman" w:cs="Times New Roman" w:eastAsia="Times New Roman" w:hAnsi="Times New Roman"/>
          <w:sz w:val="14"/>
          <w:szCs w:val="14"/>
          <w:color w:val="auto"/>
        </w:rPr>
        <w:t>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Transactions and realize their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Transactions, including receipt of certain regulatory approvals, may not be satisfied or waived on a timely basis or otherwise, including that a governmental entity may prohibit, delay or refuse to grant approval for the consummation of the Transactions, may require conditions, limitations or restrictions in connection with such approvals or that the required approval by the shareholders of Gentherm may not be obtained; (2) the risk that the Transactions may not be completed on the terms or in the time frame expected by Gentherm, Modine and SpinCo, or at all; (3) unexpected costs, charges or expenses resulting from the Transactions; (4) uncertainty of the expected financial performance of the combined company following completion of the Transactions; (5) failure to realize the anticipated benefits of the Transactions, including as a result of delay in completing the Transactions or integrating the businesses of Gentherm and SpinCo, on the expected timeframe or at all; (6) the ability of the combined company to implement its business strategy; (7) difficulties and delays in the combined company achieving anticipated synergies; (8) inability of the combined company to retain and hire key personnel; (9) the occurrence of any event that could give rise to termination of the Merger Agreement; (10) the risk that shareholder litigation in connection with the Transactions or other litigation, settlements or investigations may affect the timing or occurrence of the Transactions or result in significant costs of defense, indemnification and liability;</w:t>
      </w:r>
    </w:p>
    <w:p>
      <w:pPr>
        <w:spacing w:after="0" w:line="11" w:lineRule="exact"/>
        <w:rPr>
          <w:sz w:val="20"/>
          <w:szCs w:val="20"/>
          <w:color w:val="auto"/>
        </w:rPr>
      </w:pPr>
    </w:p>
    <w:p>
      <w:pPr>
        <w:ind w:left="1360" w:right="259" w:hanging="5"/>
        <w:spacing w:after="0" w:line="250" w:lineRule="auto"/>
        <w:tabs>
          <w:tab w:leader="none" w:pos="1623"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w:t>
      </w:r>
    </w:p>
    <w:p>
      <w:pPr>
        <w:spacing w:after="0" w:line="1" w:lineRule="exact"/>
        <w:rPr>
          <w:rFonts w:ascii="Times New Roman" w:cs="Times New Roman" w:eastAsia="Times New Roman" w:hAnsi="Times New Roman"/>
          <w:sz w:val="14"/>
          <w:szCs w:val="14"/>
          <w:color w:val="auto"/>
        </w:rPr>
      </w:pPr>
    </w:p>
    <w:p>
      <w:pPr>
        <w:ind w:left="1360" w:right="299" w:hanging="5"/>
        <w:spacing w:after="0" w:line="256" w:lineRule="auto"/>
        <w:tabs>
          <w:tab w:leader="none" w:pos="1628"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anticipated tax treatment of the Transactions is not obtained; (15) the risk of greater than expected difficulty in separating the business of SpinCo from the other businesses of Modine; (16) risks related to the disruption of management attention from ongoing business operations due to the pendency of the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Transactions, or other effects of the pendency of the Transactions on the relationship of any of the parties to the Transactions with their employees, customers, suppliers, or other counterparties; (17) the dilution caused by Gentherm’s issuance of additional shares of Gentherm Common Stock in connection with the Merger; and (18)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Transactions. The foregoing list of important factors is not exclusive.</w:t>
      </w:r>
    </w:p>
    <w:p>
      <w:pPr>
        <w:spacing w:after="0" w:line="143" w:lineRule="exact"/>
        <w:rPr>
          <w:sz w:val="20"/>
          <w:szCs w:val="20"/>
          <w:color w:val="auto"/>
        </w:rPr>
      </w:pPr>
    </w:p>
    <w:p>
      <w:pPr>
        <w:ind w:left="1360" w:right="359" w:firstLine="343"/>
        <w:spacing w:after="0" w:line="296" w:lineRule="auto"/>
        <w:rPr>
          <w:sz w:val="20"/>
          <w:szCs w:val="20"/>
          <w:color w:val="auto"/>
        </w:rPr>
      </w:pPr>
      <w:r>
        <w:rPr>
          <w:rFonts w:ascii="Times New Roman" w:cs="Times New Roman" w:eastAsia="Times New Roman" w:hAnsi="Times New Roman"/>
          <w:sz w:val="13"/>
          <w:szCs w:val="13"/>
          <w:color w:val="auto"/>
        </w:rPr>
        <w:t>Any forward-looking statements speak only as of the date of this proxy statement/prospectus.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SPECIAL MEETING</w:t>
      </w:r>
    </w:p>
    <w:p>
      <w:pPr>
        <w:spacing w:after="0" w:line="177"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This proxy statement/prospectus is furnished in connection with the solicitation of proxies by the Gentherm Board for use at the Special Meeting to be held on        . When this proxy statement/prospectus refers to the Special Meeting, it is also referring to any adjournments or postponements of the Special Meeting. Gentherm intends to begin mailing this proxy statement/prospectus, the attached Notice of Special Meeting and the accompanying proxy card on or about        .</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Date, Time and Place of the Special Meeting</w:t>
      </w:r>
    </w:p>
    <w:p>
      <w:pPr>
        <w:spacing w:after="0" w:line="93" w:lineRule="exact"/>
        <w:rPr>
          <w:sz w:val="20"/>
          <w:szCs w:val="20"/>
          <w:color w:val="auto"/>
        </w:rPr>
      </w:pPr>
    </w:p>
    <w:p>
      <w:pPr>
        <w:ind w:left="1700"/>
        <w:spacing w:after="0"/>
        <w:tabs>
          <w:tab w:leader="none" w:pos="4980" w:val="left"/>
        </w:tabs>
        <w:rPr>
          <w:sz w:val="20"/>
          <w:szCs w:val="20"/>
          <w:color w:val="auto"/>
        </w:rPr>
      </w:pPr>
      <w:r>
        <w:rPr>
          <w:rFonts w:ascii="Times New Roman" w:cs="Times New Roman" w:eastAsia="Times New Roman" w:hAnsi="Times New Roman"/>
          <w:sz w:val="14"/>
          <w:szCs w:val="14"/>
          <w:color w:val="auto"/>
        </w:rPr>
        <w:t xml:space="preserve">The Special Meeting will be held on            at          </w:t>
        <w:tab/>
        <w:t>[a.m. / p.m.], Eastern Time, exclusively via Internet at            .</w:t>
      </w:r>
    </w:p>
    <w:p>
      <w:pPr>
        <w:spacing w:after="0" w:line="175" w:lineRule="exact"/>
        <w:rPr>
          <w:sz w:val="20"/>
          <w:szCs w:val="20"/>
          <w:color w:val="auto"/>
        </w:rPr>
      </w:pPr>
    </w:p>
    <w:p>
      <w:pPr>
        <w:ind w:left="1360" w:right="399" w:firstLine="343"/>
        <w:spacing w:after="0" w:line="323" w:lineRule="auto"/>
        <w:rPr>
          <w:sz w:val="20"/>
          <w:szCs w:val="20"/>
          <w:color w:val="auto"/>
        </w:rPr>
      </w:pPr>
      <w:r>
        <w:rPr>
          <w:rFonts w:ascii="Times New Roman" w:cs="Times New Roman" w:eastAsia="Times New Roman" w:hAnsi="Times New Roman"/>
          <w:sz w:val="13"/>
          <w:szCs w:val="13"/>
          <w:color w:val="auto"/>
        </w:rPr>
        <w:t>To attend the Special Meeting, you must be a registered Gentherm shareholder as of the Record Date, or, if your shares are held through a bank, broker or other nominee, you must obtain a legal proxy from such holder and follow the instructions set forth in this proxy statement/prospectus.</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Purpose of the Special Meeting</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At the Special Meeting, Gentherm shareholders will be asked:</w:t>
      </w:r>
    </w:p>
    <w:p>
      <w:pPr>
        <w:spacing w:after="0" w:line="100" w:lineRule="exact"/>
        <w:rPr>
          <w:sz w:val="20"/>
          <w:szCs w:val="20"/>
          <w:color w:val="auto"/>
        </w:rPr>
      </w:pPr>
    </w:p>
    <w:p>
      <w:pPr>
        <w:ind w:left="1780" w:right="439" w:hanging="257"/>
        <w:spacing w:after="0" w:line="286" w:lineRule="auto"/>
        <w:tabs>
          <w:tab w:leader="none" w:pos="1780" w:val="left"/>
        </w:tabs>
        <w:numPr>
          <w:ilvl w:val="0"/>
          <w:numId w:val="1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Share Issuance Proposal</w:t>
      </w:r>
      <w:r>
        <w:rPr>
          <w:rFonts w:ascii="Times New Roman" w:cs="Times New Roman" w:eastAsia="Times New Roman" w:hAnsi="Times New Roman"/>
          <w:sz w:val="14"/>
          <w:szCs w:val="14"/>
          <w:color w:val="auto"/>
        </w:rPr>
        <w:t>: to consider and vote upon a proposal to approve the issuance of shares of Gentherm Common Stock pursuant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Merger Agreement;</w:t>
      </w:r>
    </w:p>
    <w:p>
      <w:pPr>
        <w:spacing w:after="0" w:line="47" w:lineRule="exact"/>
        <w:rPr>
          <w:rFonts w:ascii="Times New Roman" w:cs="Times New Roman" w:eastAsia="Times New Roman" w:hAnsi="Times New Roman"/>
          <w:sz w:val="14"/>
          <w:szCs w:val="14"/>
          <w:i w:val="1"/>
          <w:iCs w:val="1"/>
          <w:color w:val="auto"/>
        </w:rPr>
      </w:pPr>
    </w:p>
    <w:p>
      <w:pPr>
        <w:ind w:left="1780" w:right="379" w:hanging="257"/>
        <w:spacing w:after="0" w:line="286" w:lineRule="auto"/>
        <w:tabs>
          <w:tab w:leader="none" w:pos="1780" w:val="left"/>
        </w:tabs>
        <w:numPr>
          <w:ilvl w:val="0"/>
          <w:numId w:val="1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Charter Amendment Proposal</w:t>
      </w:r>
      <w:r>
        <w:rPr>
          <w:rFonts w:ascii="Times New Roman" w:cs="Times New Roman" w:eastAsia="Times New Roman" w:hAnsi="Times New Roman"/>
          <w:sz w:val="14"/>
          <w:szCs w:val="14"/>
          <w:color w:val="auto"/>
        </w:rPr>
        <w:t>: to consider and vote upon a proposal to approve an amendment to the Gentherm Charter to effect an increase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number of authorized shares of Gentherm Common Stock pursuant to the Merger Agreement; and</w:t>
      </w:r>
    </w:p>
    <w:p>
      <w:pPr>
        <w:spacing w:after="0" w:line="47" w:lineRule="exact"/>
        <w:rPr>
          <w:rFonts w:ascii="Times New Roman" w:cs="Times New Roman" w:eastAsia="Times New Roman" w:hAnsi="Times New Roman"/>
          <w:sz w:val="14"/>
          <w:szCs w:val="14"/>
          <w:i w:val="1"/>
          <w:iCs w:val="1"/>
          <w:color w:val="auto"/>
        </w:rPr>
      </w:pPr>
    </w:p>
    <w:p>
      <w:pPr>
        <w:ind w:left="1780" w:right="239" w:hanging="257"/>
        <w:spacing w:after="0" w:line="256" w:lineRule="auto"/>
        <w:tabs>
          <w:tab w:leader="none" w:pos="1780" w:val="left"/>
        </w:tabs>
        <w:numPr>
          <w:ilvl w:val="0"/>
          <w:numId w:val="1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Adjournment Proposal</w:t>
      </w:r>
      <w:r>
        <w:rPr>
          <w:rFonts w:ascii="Times New Roman" w:cs="Times New Roman" w:eastAsia="Times New Roman" w:hAnsi="Times New Roman"/>
          <w:sz w:val="14"/>
          <w:szCs w:val="14"/>
          <w:color w:val="auto"/>
        </w:rPr>
        <w:t>: to consider and vote upon a proposal to approve the adjournment of the Special Meeting, if necessary, (a) to solicit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w:t>
      </w:r>
    </w:p>
    <w:p>
      <w:pPr>
        <w:spacing w:after="0" w:line="144" w:lineRule="exact"/>
        <w:rPr>
          <w:sz w:val="20"/>
          <w:szCs w:val="20"/>
          <w:color w:val="auto"/>
        </w:rPr>
      </w:pPr>
    </w:p>
    <w:p>
      <w:pPr>
        <w:ind w:left="1360" w:right="2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APPROVAL OF EACH OF THE SHARE ISSUANCE PROPOSAL AND THE CHARTER AMENDMENT PROPOSAL IS REQUIRED FOR COMPLETION OF THE MERGER.</w:t>
      </w:r>
    </w:p>
    <w:p>
      <w:pPr>
        <w:spacing w:after="0" w:line="121" w:lineRule="exact"/>
        <w:rPr>
          <w:sz w:val="20"/>
          <w:szCs w:val="20"/>
          <w:color w:val="auto"/>
        </w:rPr>
      </w:pPr>
    </w:p>
    <w:p>
      <w:pPr>
        <w:ind w:left="1360" w:right="31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THE GENTHERM BOARD HAS UNANIMOUSLY APPROVED THE MERGER AGREEMENT, THE MERGER, THE GENTHERM SHARE ISSUANCE AND THE CHARTER AMENDMENT AND RECOMMENDS THAT GENTHERM SHAREHOLDERS VOTE “FOR” THE SHARE ISSUANCE PROPOSAL, “FOR” THE CHARTER AMENDMENT PROPOSAL AND “FOR” THE ADJOURNMENT PROPOSAL.</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Record Date and Outstanding Shares</w:t>
      </w:r>
    </w:p>
    <w:p>
      <w:pPr>
        <w:spacing w:after="0" w:line="93"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Gentherm Board has fixed the close of business on        as the Record Date. Only shareholders of record at the close of business on the Record Date are entitled to receive notice of, and to vote at, the Special Meeting or any adjournment or postponement thereof. Each share of Gentherm Common Stock entitles the holder to one vote on each of the proposals to be considered at the Special Meeting.</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As of the close of business on the Record Date, there were approximately        shares of Gentherm Common Stock outstanding and entitled to vote at the Special Meeting.</w:t>
      </w:r>
    </w:p>
    <w:p>
      <w:pPr>
        <w:spacing w:after="0" w:line="125"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For ten days prior to the Special Meeting, a list of the shareholders entitled to vote at the Special Meeting will be available for inspection upon request.</w:t>
      </w:r>
    </w:p>
    <w:p>
      <w:pPr>
        <w:spacing w:after="0" w:line="125"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Record holders of Gentherm Common Stock on the Record Date may vote their shares of Gentherm Common Stock in person via the Internet at the Special Meeting or by proxy as described below under “The Special Meeting-Voting by Proxy or while attending the Special Meeting.”</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93" w:lineRule="exact"/>
        <w:rPr>
          <w:sz w:val="20"/>
          <w:szCs w:val="20"/>
          <w:color w:val="auto"/>
        </w:rPr>
      </w:pPr>
    </w:p>
    <w:p>
      <w:pPr>
        <w:ind w:left="1360" w:right="239" w:firstLine="343"/>
        <w:spacing w:after="0" w:line="280" w:lineRule="auto"/>
        <w:rPr>
          <w:sz w:val="20"/>
          <w:szCs w:val="20"/>
          <w:color w:val="auto"/>
        </w:rPr>
      </w:pPr>
      <w:r>
        <w:rPr>
          <w:rFonts w:ascii="Times New Roman" w:cs="Times New Roman" w:eastAsia="Times New Roman" w:hAnsi="Times New Roman"/>
          <w:sz w:val="13"/>
          <w:szCs w:val="13"/>
          <w:color w:val="auto"/>
        </w:rPr>
        <w:t>To conduct the Special Meeting, the holders of a majority of the outstanding shares of Gentherm Common Stock entitled to vote at the Special Meeting must be present in person via the Internet or by proxy. This is referred to as a “quorum.” If a Gentherm shareholder submits a properly executed proxy card or votes via the Internet or by telephone, then such Gentherm shareholder will be considered present at the Special Meeting for purposes of determining the presence of a quorum. Abstentions and broker non-votes will be counted as present for purposes of determining the presence of a quorum. A broker non-vote occurs when a broker or other nominee who holds shares for another person has not received voting instructions from the beneficial owner of the shares and, under the rules and regulations of the Nasdaq, does not have discretionary authority to vote on a proposal.</w:t>
      </w:r>
    </w:p>
    <w:p>
      <w:pPr>
        <w:spacing w:after="0" w:line="21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Required Vote</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Gentherm shareholders of record on the Record Date for the Special Meeting may vote “FOR,” “AGAINST” or “ABSTAIN” with respect to each proposal. For the purposes of a Gentherm shareholder vote, abstentions and broker non-votes will not be treated as votes cast with respect to the Share Issuance Proposal and the Adjournment Proposal and therefore will not have an effect on the determination of whether such proposals have been approved. Abstentions and broker non-votes, if applicable, will have the same effect as votes against the Charter Amendment Proposal.</w:t>
      </w:r>
    </w:p>
    <w:p>
      <w:pPr>
        <w:spacing w:after="0" w:line="139" w:lineRule="exact"/>
        <w:rPr>
          <w:sz w:val="20"/>
          <w:szCs w:val="20"/>
          <w:color w:val="auto"/>
        </w:rPr>
      </w:pPr>
    </w:p>
    <w:p>
      <w:pPr>
        <w:ind w:left="1360" w:right="31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Share Issuance Proposal</w:t>
      </w:r>
      <w:r>
        <w:rPr>
          <w:rFonts w:ascii="Times New Roman" w:cs="Times New Roman" w:eastAsia="Times New Roman" w:hAnsi="Times New Roman"/>
          <w:sz w:val="14"/>
          <w:szCs w:val="14"/>
          <w:color w:val="auto"/>
        </w:rPr>
        <w:t>. Where a quorum is present, the affirmative vote of a majority of the votes cast in person via the Internet or by proxy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shareholders entitled to vote thereon is required to approve the Share Issuance Proposal.</w:t>
      </w:r>
    </w:p>
    <w:p>
      <w:pPr>
        <w:spacing w:after="0" w:line="121" w:lineRule="exact"/>
        <w:rPr>
          <w:sz w:val="20"/>
          <w:szCs w:val="20"/>
          <w:color w:val="auto"/>
        </w:rPr>
      </w:pPr>
    </w:p>
    <w:p>
      <w:pPr>
        <w:ind w:left="1360" w:right="57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Charter Amendment Proposal</w:t>
      </w:r>
      <w:r>
        <w:rPr>
          <w:rFonts w:ascii="Times New Roman" w:cs="Times New Roman" w:eastAsia="Times New Roman" w:hAnsi="Times New Roman"/>
          <w:sz w:val="14"/>
          <w:szCs w:val="14"/>
          <w:color w:val="auto"/>
        </w:rPr>
        <w:t>. Where a quorum is present, the affirmative vote of a majority of the outstanding shares entitled to vote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Charter Amendment Proposal is required to approve the Charter Amendment Proposal.</w:t>
      </w:r>
    </w:p>
    <w:p>
      <w:pPr>
        <w:spacing w:after="0" w:line="121" w:lineRule="exact"/>
        <w:rPr>
          <w:sz w:val="20"/>
          <w:szCs w:val="20"/>
          <w:color w:val="auto"/>
        </w:rPr>
      </w:pPr>
    </w:p>
    <w:p>
      <w:pPr>
        <w:ind w:left="1360" w:right="21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Adjournment Proposal</w:t>
      </w:r>
      <w:r>
        <w:rPr>
          <w:rFonts w:ascii="Times New Roman" w:cs="Times New Roman" w:eastAsia="Times New Roman" w:hAnsi="Times New Roman"/>
          <w:sz w:val="14"/>
          <w:szCs w:val="14"/>
          <w:color w:val="auto"/>
        </w:rPr>
        <w:t>. Where a quorum is present, the affirmative vote of a majority of the votes cast in person via the Internet or by proxy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entitled to vote thereon is required to approve the Adjournment Proposal.</w:t>
      </w:r>
    </w:p>
    <w:p>
      <w:pPr>
        <w:spacing w:after="0" w:line="12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The Merger will not occur unless the Share Issuance Proposal and the Charter Amendment Proposal are approved. Approval of each proposal is not conditioned on the approval of any other proposal; however, the issuance of shares of Gentherm Common Stock pursuant to the Share Issuance Proposal and the amendment of the Gentherm Charter pursuant to the Charter Amendment Proposal will not be implemented if the Charter Amendment Proposal is not approved or if the Merger is not consummated.</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Voting by Proxy or while attending the Special Meeting</w:t>
      </w:r>
    </w:p>
    <w:p>
      <w:pPr>
        <w:spacing w:after="0" w:line="9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Giving a proxy means that a Gentherm shareholder authorizes the persons named in the enclosed proxy card to vote his or her shares at the Special Meeting in the manner such shareholder directs. A Gentherm shareholder may cause his or her shares to be voted by granting a proxy in advance of the Special Meeting.</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Gentherm shareholders may vote their shares as follows:</w:t>
      </w:r>
    </w:p>
    <w:p>
      <w:pPr>
        <w:spacing w:after="0" w:line="100" w:lineRule="exact"/>
        <w:rPr>
          <w:sz w:val="20"/>
          <w:szCs w:val="20"/>
          <w:color w:val="auto"/>
        </w:rPr>
      </w:pPr>
    </w:p>
    <w:p>
      <w:pPr>
        <w:ind w:left="1780" w:right="559" w:hanging="259"/>
        <w:spacing w:after="0" w:line="286" w:lineRule="auto"/>
        <w:tabs>
          <w:tab w:leader="none" w:pos="1760" w:val="left"/>
        </w:tabs>
        <w:rPr>
          <w:sz w:val="20"/>
          <w:szCs w:val="20"/>
          <w:color w:val="auto"/>
        </w:rPr>
      </w:pPr>
      <w:r>
        <w:rPr>
          <w:rFonts w:ascii="Times New Roman" w:cs="Times New Roman" w:eastAsia="Times New Roman" w:hAnsi="Times New Roman"/>
          <w:sz w:val="14"/>
          <w:szCs w:val="14"/>
          <w:b w:val="1"/>
          <w:bCs w:val="1"/>
          <w:i w:val="1"/>
          <w:iCs w:val="1"/>
          <w:color w:val="auto"/>
        </w:rPr>
        <w:t>1.</w:t>
        <w:tab/>
        <w:t>Internet</w:t>
      </w:r>
      <w:r>
        <w:rPr>
          <w:rFonts w:ascii="Times New Roman" w:cs="Times New Roman" w:eastAsia="Times New Roman" w:hAnsi="Times New Roman"/>
          <w:sz w:val="14"/>
          <w:szCs w:val="14"/>
          <w:color w:val="auto"/>
        </w:rPr>
        <w:t>-going to the website printed on the enclosed proxy card (        ) and following the instructions outlined on the secured website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using certain information provided on the front of the proxy card. If you vote via the Internet, there is no need to mail in your proxy card.</w:t>
      </w:r>
    </w:p>
    <w:p>
      <w:pPr>
        <w:spacing w:after="0" w:line="47" w:lineRule="exact"/>
        <w:rPr>
          <w:sz w:val="20"/>
          <w:szCs w:val="20"/>
          <w:color w:val="auto"/>
        </w:rPr>
      </w:pPr>
    </w:p>
    <w:p>
      <w:pPr>
        <w:ind w:left="1780" w:right="219" w:hanging="257"/>
        <w:spacing w:after="0" w:line="286" w:lineRule="auto"/>
        <w:tabs>
          <w:tab w:leader="none" w:pos="1780" w:val="left"/>
        </w:tabs>
        <w:numPr>
          <w:ilvl w:val="0"/>
          <w:numId w:val="11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Telephone</w:t>
      </w:r>
      <w:r>
        <w:rPr>
          <w:rFonts w:ascii="Times New Roman" w:cs="Times New Roman" w:eastAsia="Times New Roman" w:hAnsi="Times New Roman"/>
          <w:sz w:val="14"/>
          <w:szCs w:val="14"/>
          <w:color w:val="auto"/>
        </w:rPr>
        <w:t>-calling the toll-free number that is listed on the enclosed proxy card (1-800-        -      ). Please follow the instructions on your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proxy card. If you vote using the telephone, there is no need to mail in your proxy card.</w:t>
      </w:r>
    </w:p>
    <w:p>
      <w:pPr>
        <w:spacing w:after="0" w:line="47" w:lineRule="exact"/>
        <w:rPr>
          <w:rFonts w:ascii="Times New Roman" w:cs="Times New Roman" w:eastAsia="Times New Roman" w:hAnsi="Times New Roman"/>
          <w:sz w:val="14"/>
          <w:szCs w:val="14"/>
          <w:b w:val="1"/>
          <w:bCs w:val="1"/>
          <w:i w:val="1"/>
          <w:iCs w:val="1"/>
          <w:color w:val="auto"/>
        </w:rPr>
      </w:pPr>
    </w:p>
    <w:p>
      <w:pPr>
        <w:ind w:left="1780" w:hanging="257"/>
        <w:spacing w:after="0"/>
        <w:tabs>
          <w:tab w:leader="none" w:pos="1780" w:val="left"/>
        </w:tabs>
        <w:numPr>
          <w:ilvl w:val="0"/>
          <w:numId w:val="11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Proxy Card</w:t>
      </w:r>
      <w:r>
        <w:rPr>
          <w:rFonts w:ascii="Times New Roman" w:cs="Times New Roman" w:eastAsia="Times New Roman" w:hAnsi="Times New Roman"/>
          <w:sz w:val="14"/>
          <w:szCs w:val="14"/>
          <w:color w:val="auto"/>
        </w:rPr>
        <w:t>-completing, signing, dating and mailing the proxy card and returning it in the postage-paid, self-addressed envelope provided.</w:t>
      </w:r>
    </w:p>
    <w:p>
      <w:pPr>
        <w:spacing w:after="0" w:line="177"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Submitting a proxy via the Internet or by telephone provides the same authority to vote shares as if the shareholder had returned his or her proxy card by mail.</w:t>
      </w:r>
    </w:p>
    <w:p>
      <w:pPr>
        <w:spacing w:after="0" w:line="125"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Each properly signed proxy card received prior to the Special Meeting and not revoked before exercised at the Special Meeting will be voted at the Special Meeting according to the instructions indicated on the proxy card or, </w:t>
      </w:r>
      <w:r>
        <w:rPr>
          <w:rFonts w:ascii="Times New Roman" w:cs="Times New Roman" w:eastAsia="Times New Roman" w:hAnsi="Times New Roman"/>
          <w:sz w:val="14"/>
          <w:szCs w:val="14"/>
          <w:b w:val="1"/>
          <w:bCs w:val="1"/>
          <w:color w:val="auto"/>
        </w:rPr>
        <w:t>if no instructions are given on a properly signed proxy, the shares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represented by such proxy will be voted “FOR” the Share Issuance Proposal, “FOR” the Charter Amendment Proposal and “FOR” the Adjournment Proposal.</w:t>
      </w:r>
    </w:p>
    <w:p>
      <w:pPr>
        <w:spacing w:after="0" w:line="141"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Gentherm requests that Gentherm shareholders complete, date and sign the accompanying proxy card and return it to Gentherm in the enclosed postage-paid, self-addressed envelope or submit the proxy by telephone or via the Internet as soon as possible.</w:t>
      </w:r>
    </w:p>
    <w:p>
      <w:pPr>
        <w:spacing w:after="0" w:line="125"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None of the Share Issuance Proposal, the Charter Amendment Proposal or the Adjournment Proposal is a routine matter. As a result, if a Gentherm shareholder’s shares are held in “street name” by a broker, bank or other nominee, such shareholder must obtain a voting instruction form from the nominee that holds such shares and follow the voting instructions given by that nominee.</w:t>
      </w:r>
    </w:p>
    <w:p>
      <w:pPr>
        <w:spacing w:after="0" w:line="136"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If a Gentherm shareholder plans to attend the Special Meeting and wishes to vote while attending the Special Meeting, such shareholder will be able to do so. If a Gentherm shareholder’s shares are held in “street name” (through a bank, broker or other nominee), such shareholder must obtain a legal proxy from the record holder to vote such shares while attending the Special Meeting. Whether or not a Gentherm shareholder plans to attend the Special Meeting in person, Gentherm requests that each Gentherm shareholder complete, sign, date and return the enclosed proxy card in the enclosed postage-paid, self-addressed envelope, or submit a proxy through the Internet or by telephone as described in the instructions accompanying this proxy statement/prospectus as soon as possible. This will not prevent any Gentherm shareholder from voting while attending the Special Meeting but will assure that such shareholder’s vote is counted if such shareholder is unable to attend the Special Meeting in person.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Revocability of Proxies and Changes to a Gentherm shareholder’s Vote</w:t>
      </w:r>
    </w:p>
    <w:p>
      <w:pPr>
        <w:spacing w:after="0" w:line="9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Gentherm shareholders of record may revoke their proxies and change their votes at any time prior to the time their shares are voted at the Special Meeting. A Gentherm shareholder can revoke his or her proxy or change his or her vote by:</w:t>
      </w:r>
    </w:p>
    <w:p>
      <w:pPr>
        <w:spacing w:after="0" w:line="51" w:lineRule="exact"/>
        <w:rPr>
          <w:sz w:val="20"/>
          <w:szCs w:val="20"/>
          <w:color w:val="auto"/>
        </w:rPr>
      </w:pPr>
    </w:p>
    <w:p>
      <w:pPr>
        <w:ind w:left="2120" w:right="439" w:hanging="345"/>
        <w:spacing w:after="0" w:line="283" w:lineRule="auto"/>
        <w:tabs>
          <w:tab w:leader="none" w:pos="21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notifying Gentherm’s Corporate Secretary in writing (at Gentherm’s address set forth in this proxy statement/prospectus, which must be received prior to the proxy’s exercise of the proxy at the Special Meeting);</w:t>
      </w:r>
    </w:p>
    <w:p>
      <w:pPr>
        <w:spacing w:after="0" w:line="51" w:lineRule="exact"/>
        <w:rPr>
          <w:sz w:val="20"/>
          <w:szCs w:val="20"/>
          <w:color w:val="auto"/>
        </w:rPr>
      </w:pPr>
    </w:p>
    <w:p>
      <w:pPr>
        <w:ind w:left="1780"/>
        <w:spacing w:after="0"/>
        <w:tabs>
          <w:tab w:leader="none" w:pos="21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voting again via the Internet or by telephone (prior to            p.m. Eastern Time), since only the latest vote will be counted; or</w:t>
      </w:r>
    </w:p>
    <w:p>
      <w:pPr>
        <w:spacing w:after="0" w:line="102" w:lineRule="exact"/>
        <w:rPr>
          <w:sz w:val="20"/>
          <w:szCs w:val="20"/>
          <w:color w:val="auto"/>
        </w:rPr>
      </w:pPr>
    </w:p>
    <w:p>
      <w:pPr>
        <w:ind w:left="2120" w:right="379" w:hanging="345"/>
        <w:spacing w:after="0" w:line="283" w:lineRule="auto"/>
        <w:tabs>
          <w:tab w:leader="none" w:pos="21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signing and returning, prior to the prior proxy’s exercise at the Special Meeting, another proxy card that is dated after the date of the first proxy card.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6"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819" w:firstLine="343"/>
        <w:spacing w:after="0" w:line="283" w:lineRule="auto"/>
        <w:rPr>
          <w:sz w:val="20"/>
          <w:szCs w:val="20"/>
          <w:color w:val="auto"/>
        </w:rPr>
      </w:pPr>
      <w:r>
        <w:rPr>
          <w:rFonts w:ascii="Times New Roman" w:cs="Times New Roman" w:eastAsia="Times New Roman" w:hAnsi="Times New Roman"/>
          <w:sz w:val="14"/>
          <w:szCs w:val="14"/>
          <w:color w:val="auto"/>
        </w:rPr>
        <w:t>Beneficial holders of Gentherm Common Stock who hold shares in “street name” should contact their broker, bank or other nominee for instructions on how to revoke their proxies. Simply attending the Special Meeting will not revoke a proxy.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Solicitation of Proxies</w:t>
      </w:r>
    </w:p>
    <w:p>
      <w:pPr>
        <w:spacing w:after="0" w:line="9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This proxy statement/prospectus is being furnished in connection with the solicitation of proxies by the Gentherm Board. All costs of soliciting proxies, including reimbursement of fees of certain brokers, fiduciaries and nominees in obtaining voting instructions from beneficial owners and the preparation, assembly, printing and mailing of this proxy statement/prospectus and any additional materials furnished to Gentherm shareholders will be borne by Gentherm.</w:t>
      </w:r>
    </w:p>
    <w:p>
      <w:pPr>
        <w:spacing w:after="0" w:line="141"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In addition, Gentherm has retained Innisfree to assist in the solicitation of proxies for a fee of approximately $75,000, plus additional fees to be determined at the conclusion of the solicitation and reimbursement of reasonable expenses. Gentherm has also agreed to indemnify Innisfree for certain liabilities related to its engagement.</w:t>
      </w:r>
    </w:p>
    <w:p>
      <w:pPr>
        <w:spacing w:after="0" w:line="136"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Proxies may be solicited by mail, telephone, facsimile and other forms of electronic transmission and may also be solicited by directors, officers and other employees of Gentherm without additional compensation. Copies of solicitation materials will be furnished to banks, brokerage houses and other agents holding shares in their names that are beneficially owned by others so that they may forward this solicitation materials to these beneficial owners. In addition, if asked, Gentherm will reimburse these persons for their reasonable expenses in forwarding the solicitation materials to the beneficial owners. Gentherm has requested banks, brokerage houses and other custodians, nominees and fiduciaries to forward all solicitation materials to the beneficial owners of the shares they hold of record.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Certain Ownership of Gentherm Common Stock</w:t>
      </w:r>
    </w:p>
    <w:p>
      <w:pPr>
        <w:spacing w:after="0" w:line="93"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As of the Record Date, Gentherm’s directors and executive officers beneficially owned        shares of Gentherm Common Stock, representing approximately   % of the shares outstanding as of such date.</w:t>
      </w:r>
    </w:p>
    <w:p>
      <w:pPr>
        <w:spacing w:after="0" w:line="125"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Gentherm currently expects that each of its directors and executive officers will vote their shares of Gentherm Common Stock “FOR” the Share Issuance Proposal, “FOR” the Charter Amendment Proposal and “FOR” the Adjournment Proposal, although none of them have entered into an agreement requiring them to do so.</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9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As of the date of this proxy statement/prospectus, the Gentherm Board is not aware of any other matters that will be presented for consideration at the Special Meeting other than as described in this proxy statement/prospectus.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This proxy statement/prospectus and the proxy card are first being sent to Gentherm shareholders on or about            , 2026.</w:t>
      </w:r>
    </w:p>
    <w:p>
      <w:pPr>
        <w:spacing w:after="0" w:line="173" w:lineRule="exact"/>
        <w:rPr>
          <w:sz w:val="20"/>
          <w:szCs w:val="20"/>
          <w:color w:val="auto"/>
        </w:rPr>
      </w:pPr>
    </w:p>
    <w:p>
      <w:pPr>
        <w:ind w:left="1360" w:right="21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The matters to be considered at the Special Meeting are of great importance to Gentherm shareholders. Accordingly, Gentherm shareholders are urged to read and carefully consider the information presented in this proxy statement/prospectus and the attachments hereto, and to complete, date, sign and promptly return the enclosed proxy card in the enclosed postage-paid, self-addressed envelope, or vote via the Internet or by telephone, following the instructions on the enclosed proxy card.</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THE TRANSACTIONS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360" w:right="359" w:firstLine="343"/>
        <w:spacing w:after="0" w:line="255" w:lineRule="auto"/>
        <w:rPr>
          <w:sz w:val="20"/>
          <w:szCs w:val="20"/>
          <w:color w:val="auto"/>
        </w:rPr>
      </w:pPr>
      <w:r>
        <w:rPr>
          <w:rFonts w:ascii="Times New Roman" w:cs="Times New Roman" w:eastAsia="Times New Roman" w:hAnsi="Times New Roman"/>
          <w:sz w:val="14"/>
          <w:szCs w:val="14"/>
          <w:color w:val="auto"/>
        </w:rPr>
        <w:t>On January 29, 2026, Gentherm and Modine announced a plan to combine the Performance Technologies Business with Gentherm. In order to effect the Separation, the Distribution and the Merger, Gentherm, Modine, SpinCo and Merger Sub entered into a number of agreements, including the Merger Agreement and the Separation Agreement. These agreements, which are described in greater detail in this proxy statement/prospectus, provide for (1) the separation of the Performance Technologies Business from Modine’s other businesses and the subsequent transfer of the Performance Technologies Business to SpinCo and its subsidiaries, (2) a cash distribution to Modine of $210.0 million, subject to certain potential adjustments (the “SpinCo Cash Distribution”), (3) the delivery to Modine shareholders of all of the issued and outstanding shares of SpinCo Common Stock held by Modine by way of a pro rata distribution, and (4) the merger of SpinCo with Merger Sub, with SpinCo continuing as the surviving corporation of the Merger and becoming a wholly owned subsidiary of Gentherm.</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Transaction Sequence</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Below is a step-by-step list illustrating the material events relating to the Separation, Distribution and the Merger:</w:t>
      </w:r>
    </w:p>
    <w:p>
      <w:pPr>
        <w:spacing w:after="0" w:line="2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Step 1: Separation</w:t>
      </w:r>
    </w:p>
    <w:p>
      <w:pPr>
        <w:spacing w:after="0" w:line="93" w:lineRule="exact"/>
        <w:rPr>
          <w:sz w:val="20"/>
          <w:szCs w:val="20"/>
          <w:color w:val="auto"/>
        </w:rPr>
      </w:pPr>
    </w:p>
    <w:p>
      <w:pPr>
        <w:ind w:left="1360" w:right="479" w:firstLine="343"/>
        <w:spacing w:after="0" w:line="323" w:lineRule="auto"/>
        <w:rPr>
          <w:sz w:val="20"/>
          <w:szCs w:val="20"/>
          <w:color w:val="auto"/>
        </w:rPr>
      </w:pPr>
      <w:r>
        <w:rPr>
          <w:rFonts w:ascii="Times New Roman" w:cs="Times New Roman" w:eastAsia="Times New Roman" w:hAnsi="Times New Roman"/>
          <w:sz w:val="13"/>
          <w:szCs w:val="13"/>
          <w:color w:val="auto"/>
        </w:rPr>
        <w:t>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w:t>
      </w:r>
    </w:p>
    <w:p>
      <w:pPr>
        <w:spacing w:after="0" w:line="18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Step 2: Incurrence of the Permanent SpinCo Financing</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w:t>
      </w:r>
    </w:p>
    <w:p>
      <w:pPr>
        <w:spacing w:after="0" w:line="136" w:lineRule="exact"/>
        <w:rPr>
          <w:sz w:val="20"/>
          <w:szCs w:val="20"/>
          <w:color w:val="auto"/>
        </w:rPr>
      </w:pPr>
    </w:p>
    <w:p>
      <w:pPr>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w:t>
      </w:r>
    </w:p>
    <w:p>
      <w:pPr>
        <w:spacing w:after="0" w:line="136"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Step 3: SpinCo Cash Distribution</w:t>
      </w:r>
    </w:p>
    <w:p>
      <w:pPr>
        <w:spacing w:after="0" w:line="93"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Pursuant to the Separation Agreement, SpinCo will make a cash distribution to Modine of $210.0 million, subject to adjustment. See the section entitled “The Transaction Agreements-The Separation Agreement-Initial Adjustment Statement; Post-Closing Adjustments” for further description of potential adjustments to the SpinCo Cash Distribution.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Step 4: Distribution</w:t>
      </w:r>
    </w:p>
    <w:p>
      <w:pPr>
        <w:spacing w:after="0" w:line="9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Following the SpinCo Cash Distribution, Modine will distribute to its shareholders all of the issued and outstanding shares of SpinCo Common Stock held by Modine by way of a pro rata distribution and for no consideration.</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Step 5: Merger</w:t>
      </w:r>
    </w:p>
    <w:p>
      <w:pPr>
        <w:spacing w:after="0" w:line="93"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Following the Distribution, Merger Sub will be merged with and into SpinCo, with SpinCo as the surviving entity. When the Merger is completed, SpinCo will become a wholly owned subsidiary of Gentherm.</w:t>
      </w:r>
    </w:p>
    <w:p>
      <w:pPr>
        <w:spacing w:after="0" w:line="125" w:lineRule="exact"/>
        <w:rPr>
          <w:sz w:val="20"/>
          <w:szCs w:val="20"/>
          <w:color w:val="auto"/>
        </w:rPr>
      </w:pPr>
    </w:p>
    <w:p>
      <w:pPr>
        <w:ind w:left="1360" w:right="319" w:firstLine="343"/>
        <w:spacing w:after="0" w:line="254" w:lineRule="auto"/>
        <w:rPr>
          <w:sz w:val="20"/>
          <w:szCs w:val="20"/>
          <w:color w:val="auto"/>
        </w:rPr>
      </w:pPr>
      <w:r>
        <w:rPr>
          <w:rFonts w:ascii="Times New Roman" w:cs="Times New Roman" w:eastAsia="Times New Roman" w:hAnsi="Times New Roman"/>
          <w:sz w:val="14"/>
          <w:szCs w:val="14"/>
          <w:color w:val="auto"/>
        </w:rPr>
        <w:t>Each share of SpinCo Common Stock issued and outstanding as of immediately prior to the Effective Time (other than shares held by SpinCo as treasury stock or by Gentherm or Merger Sub, in each case, as of immediately prior to the Effective Time, that are automatically canceled) will be automatically converted as of the Effective Time into the right to receive a number of shares of Gentherm Common Stock equal to the Exchange Ratio, which is subject to adjustment if necessary to satisfy the Threshold Percentage as described below, with cash paid in lieu of fractional shares of Gentherm Common Stock in accordance with the Merger Agreement. Prior to the adjustment described below, the Exchange Ratio is designed to result in the issued and outstanding shares of Gentherm Common Stock on a fully diluted basis immediately following the Effective Time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w:t>
      </w:r>
    </w:p>
    <w:p>
      <w:pPr>
        <w:spacing w:after="0" w:line="149" w:lineRule="exact"/>
        <w:rPr>
          <w:sz w:val="20"/>
          <w:szCs w:val="20"/>
          <w:color w:val="auto"/>
        </w:rPr>
      </w:pPr>
    </w:p>
    <w:p>
      <w:pPr>
        <w:ind w:left="1360" w:right="539" w:firstLine="343"/>
        <w:spacing w:after="0" w:line="261" w:lineRule="auto"/>
        <w:rPr>
          <w:sz w:val="20"/>
          <w:szCs w:val="20"/>
          <w:color w:val="auto"/>
        </w:rPr>
      </w:pPr>
      <w:r>
        <w:rPr>
          <w:rFonts w:ascii="Times New Roman" w:cs="Times New Roman" w:eastAsia="Times New Roman" w:hAnsi="Times New Roman"/>
          <w:sz w:val="14"/>
          <w:szCs w:val="14"/>
          <w:color w:val="auto"/>
        </w:rPr>
        <w:t>However, in order to preserve the tax-free nature of the Distribution for U.S. federal income tax purposes, the Merger Agreement generally provides that the Exchange Ratio will be adjusted upwards if necessary to ensure that, immediately following the Effective Time, former holders of SpinCo Common Stock (including the Overlap Shareholders) immediately prior to the Effective Time own, for applicable U.S. federal income tax purposes, at least the Threshold Percentage of the outstanding shares of Gentherm Common Stock.</w:t>
      </w:r>
    </w:p>
    <w:p>
      <w:pPr>
        <w:spacing w:after="0" w:line="14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If the Exchange Ratio would result in the percentage of issued and outstanding shares of Gentherm Common Stock to be received in the Merger by former holders of SpinCo Common Stock (other than Overlap Shareholders) immediately prior to the Effective Time, together with the share ownership percentage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immediately prior to the Effective Time being equal to the Threshold Percentage. For more information, see the section entitled “The Transactions-Transaction Sequence.”</w:t>
      </w:r>
    </w:p>
    <w:p>
      <w:pPr>
        <w:spacing w:after="0" w:line="144"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Set forth below are diagrams that graphically illustrate, in simplified form, the existing corporate structure of the parties to the Transactions, the corporate structure of the parties immediately following the Separation and the Distribution, but before the Merger, and the final corporate structure immediately following the consummation of the Merger.</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Existing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135255</wp:posOffset>
            </wp:positionV>
            <wp:extent cx="1995805" cy="15951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9580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4"/>
          <w:szCs w:val="14"/>
          <w:b w:val="1"/>
          <w:bCs w:val="1"/>
          <w:i w:val="1"/>
          <w:iCs w:val="1"/>
          <w:color w:val="auto"/>
        </w:rPr>
        <w:t>Structure Following the Separation and the Distribution, but before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135255</wp:posOffset>
            </wp:positionV>
            <wp:extent cx="2503170" cy="17487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0317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Structure Following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135255</wp:posOffset>
            </wp:positionV>
            <wp:extent cx="3170555" cy="22428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70555" cy="224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Separation and the Distribution</w:t>
      </w:r>
    </w:p>
    <w:p>
      <w:pPr>
        <w:spacing w:after="0" w:line="93"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Prior to the Distribution and the Merger, certain subsidiaries of Modine will undergo an internal restructuring to separate and consolidate the Performance Technologies Business under SpinCo pursuant to the Separation Agreement. In the Separation, Modine will transfer (or cause to be transferred) and SpinCo will accept and assume (or cause to be accepted and assumed) all of the right, title and interest to and under certain assets and liabilities relating to the Performance Technologies Business. Following the Separation, Modine will distribute to its shareholders all of the SpinCo Common Stock held by Modine by way of a pro rata distribution for no consideration.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at the Effective Time, Merger Sub will be merged with and into SpinCo. By virtue of the Merger, at the Effective Time, the separate existence of Merger Sub will cease and SpinCo will continue as the surviving corporation in the Merger and as a wholly owned subsidiary of Gentherm, and will succeed to and assume all the property, rights, privileges, powers and be subject to all of the restrictions, debt and duties of Merger Sub in accordance with the DGCL.</w:t>
      </w:r>
    </w:p>
    <w:p>
      <w:pPr>
        <w:spacing w:after="0" w:line="141"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The certificate of incorporation and bylaws of SpinCo in effect immediately prior to the Merger will, following the Merger, continue as the certificate of incorporation and bylaws of SpinCo.</w:t>
      </w:r>
    </w:p>
    <w:p>
      <w:pPr>
        <w:spacing w:after="0" w:line="207" w:lineRule="exact"/>
        <w:rPr>
          <w:sz w:val="20"/>
          <w:szCs w:val="20"/>
          <w:color w:val="auto"/>
        </w:rPr>
      </w:pPr>
    </w:p>
    <w:p>
      <w:pPr>
        <w:ind w:left="1360" w:right="3279"/>
        <w:spacing w:after="0" w:line="377" w:lineRule="auto"/>
        <w:rPr>
          <w:sz w:val="20"/>
          <w:szCs w:val="20"/>
          <w:color w:val="auto"/>
        </w:rPr>
      </w:pPr>
      <w:r>
        <w:rPr>
          <w:rFonts w:ascii="Times New Roman" w:cs="Times New Roman" w:eastAsia="Times New Roman" w:hAnsi="Times New Roman"/>
          <w:sz w:val="14"/>
          <w:szCs w:val="14"/>
          <w:b w:val="1"/>
          <w:bCs w:val="1"/>
          <w:color w:val="auto"/>
        </w:rPr>
        <w:t xml:space="preserve">Calculation and Adjustments to the Exchange Ratio; Amount of Gentherm Special Dividend </w:t>
      </w:r>
      <w:r>
        <w:rPr>
          <w:rFonts w:ascii="Times New Roman" w:cs="Times New Roman" w:eastAsia="Times New Roman" w:hAnsi="Times New Roman"/>
          <w:sz w:val="14"/>
          <w:szCs w:val="14"/>
          <w:b w:val="1"/>
          <w:bCs w:val="1"/>
          <w:i w:val="1"/>
          <w:iCs w:val="1"/>
          <w:color w:val="auto"/>
        </w:rPr>
        <w:t>Overview</w:t>
      </w:r>
    </w:p>
    <w:p>
      <w:pPr>
        <w:spacing w:after="0" w:line="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 Merger Agreement provides that following the completion of the Distribution, Merger Sub will merge with and into SpinCo with each share of SpinCo Common Stock converted into the right to receive a number of shares of newly issued Gentherm Common Stock equal to the Exchange Ratio (subject to adjustments). Pursuant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to the Merger Agreement, the Exchange Ratio is designed to result in Gentherm issuing in the Merger shares that represent 40% of the issued and outstanding shares of Gentherm Common Stock on a fully diluted basis immediately following the Merger, without taking into account any overlapping shareholder ownership. As described below and more fully set out in the Merger Agreement, under certain circumstances, the Exchange Ratio will be adjusted upwards to the extent necessary to ensure that, immediately following the Closing, former holders of SpinCo Common Stock (including the Overlap Shareholders) immediately prior to the Effective Time own, for U.S. federal income tax purposes, at least the Threshold Percentage of the outstanding shares of Gentherm Common Stock. If the Exchange Ratio is increased, then (i) SpinCo will reduce the amount of the SpinCo Cash Distribution and, (ii) depending on the size of the adjustment of the Exchange Ratio, Gentherm may be required to pay the Gentherm Special Dividend to Gentherm shareholders who held shares of Gentherm Common Stock as of the Gentherm Special Dividend record date, which record date will be a date prior to the date of the Merger. While the Gentherm Special Dividend (if any) would be paid only to shareholders of record of Gentherm Common Stock as of the Gentherm Special Dividend record date, which will be a date before the Merger, Gentherm expects the payment date for any Gentherm Special Dividend would be following the Closing. The decrease in the SpinCo Cash Distribution and any Gentherm Special Dividend are designed to preserve the nominal economic allocation between the holders of SpinCo Common Stock (in their capacity as such) and Gentherm shareholders (in their capacity as such) that would have resulted from the Exchange Ratio if it were not adjusted.</w:t>
      </w:r>
    </w:p>
    <w:p>
      <w:pPr>
        <w:spacing w:after="0" w:line="149"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As described in more detail under “Material U.S. Federal Income Tax Considerations of the Distribution and the Merger,” the Distribution would not be treated as a tax-free distribution to Modine for U.S. federal income tax purposes if, among other reasons, the Merger results in one or more persons acquiring a 50% or greater interest (by vote or value) in SpinCo Common Stock. However, for purposes of such a determination, if a holder of SpinCo Common Stock is also a shareholder of Gentherm immediately prior to the Merger (an “Overlap Shareholder”), the IRS Ruling, if received, is expected to confirm that the net increase in an Overlap Shareholder’s ownership of SpinCo as a result of the Merger and by virtue of being a shareholder of Gentherm is offset by its net decrease in such ownership percentage by reason of being a holder of SpinCo Common Stock immediately prior to the Merger. If the IRS Ruling is not received, Modine and Gentherm will not be able to make the assumptions about the beneficial ownership needed to treat specified investors as Overlap Shareholders (or to determine the amount of overlapping shareholdings).</w:t>
      </w:r>
    </w:p>
    <w:p>
      <w:pPr>
        <w:spacing w:after="0" w:line="145"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Accordingly, the determination as to whether the percentage of Gentherm Common Stock to be received in the Merger by holders of SpinCo Common Stock with respect to Qualified SpinCo Common Stock (as defined in the Merger Agreement) (other than the Overlap Shareholders), together with the share ownership percentage represented by the aggregate Overlap Shares for all Overlap Shareholders (if any), meets the Threshold Percentage will be made jointly by Gentherm and Modine acting reasonably and in good faith and in consultation with their respective outside legal counsel and tax advisors. In furtherance thereof, (A) prior to the Closing, Gentherm and Modine will promptly notify the other upon it becoming aware of any action or occurrence that would reasonably be expected to result in the need for an adjustment to the Exchange Ratio, (B) no later than 10 business days prior to the expected Closing, and on each business day following the tenth business day prior to the expected Closing, Gentherm and Modine will provide the other with any information that is reasonably necessary or reasonably requested by the other with respect to the calculation of the Overlap Shares, the Applicable Percentage (as defined in the Merger Agreement), the Exchange Ratio, the Aggregate Adjustment Amount and the Excess Adjustment Amount (if any) as of such date and will provide one another with such information as of the Determination Time as promptly as reasonably practicable and (C) promptly thereafter, if such party determines, acting reasonably and in good faith and in consultation with the other party and its outside legal counsel and tax advisors, that the Threshold Percentage is not met, such party will notify the other party thereof (together with its calculation of the Applicable Percentage and proposed Exchange Ratio Increase Amount, Aggregate Adjustment Amount and Excess Adjustment Amount (if any), including reasonable supporting detail for any such calculations). Gentherm and Modine will consider and discuss in good faith any comments to the Exchange Ratio Increase Amount, the Aggregate Adjustment Amount or the Excess Adjustment</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Amount (if any) proposed by the other party and seek to determine the final amounts thereof as promptly as practicable following the Determination Time.</w:t>
      </w:r>
    </w:p>
    <w:p>
      <w:pPr>
        <w:spacing w:after="0" w:line="125"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The need and the extent of any adjustment to the Exchange Ratio is dependent on a number of factors, many of which will not be known until shortly prior to the Closing. Among other factors, the extent of the adjustment, if any, depends on:</w:t>
      </w:r>
    </w:p>
    <w:p>
      <w:pPr>
        <w:spacing w:after="0" w:line="51" w:lineRule="exact"/>
        <w:rPr>
          <w:sz w:val="20"/>
          <w:szCs w:val="20"/>
          <w:color w:val="auto"/>
        </w:rPr>
      </w:pPr>
    </w:p>
    <w:p>
      <w:pPr>
        <w:ind w:left="2120" w:right="879" w:hanging="345"/>
        <w:spacing w:after="0" w:line="283" w:lineRule="auto"/>
        <w:tabs>
          <w:tab w:leader="none" w:pos="21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shareholders may be counted as Overlap Shareholders for purposes of Section 355(e) of the Code (such shareholders, the “Qualifying Overlap Shareholders”);</w:t>
      </w:r>
    </w:p>
    <w:p>
      <w:pPr>
        <w:spacing w:after="0" w:line="5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rulings received in the IRS Ruling, whether certain shareholders meet the criteria outlined in the IRS Ruling to qualify as Qualifying Overlap Shareholders;</w:t>
      </w:r>
    </w:p>
    <w:p>
      <w:pPr>
        <w:spacing w:after="0" w:line="5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rulings received in the IRS Ruling and the determinations made by Gentherm and Modine at or shortly prior to the Closing, the number of Overlap Shares owned by Qualifying Overlap Shareholders; and</w:t>
      </w:r>
    </w:p>
    <w:p>
      <w:pPr>
        <w:spacing w:after="0" w:line="5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rulings received in the IRS Ruling, the sources specified as permitted sources of publicly available information to establish stock ownership of Overlap Shareholders.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Trading Markets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Gentherm Common Stock</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Following the Merger, shares of Gentherm Common Stock will continue to be traded publicly on Nasdaq.</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Modine Common Stock</w:t>
      </w:r>
    </w:p>
    <w:p>
      <w:pPr>
        <w:spacing w:after="0" w:line="9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Following the Merger, Modine shareholders will continue to hold their shares of Modine Common Stock, subject to the same rights as prior to the Separation, the Distribution and the Merger, except that their shares of Modine Common</w:t>
      </w:r>
    </w:p>
    <w:p>
      <w:pPr>
        <w:spacing w:after="0" w:line="12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Stock will represent an interest in Modine that no longer includes the Performance Technologies Business. Shares of Modine Common Stock will continue to be traded publicly on the NYSE. Modine shareholders, to the extent they were holders of record on the Distribution Record Date, will also hold shares of Gentherm Common Stock immediately after the Closing.</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SpinCo Common Stock</w:t>
      </w:r>
    </w:p>
    <w:p>
      <w:pPr>
        <w:spacing w:after="0" w:line="93"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There currently is no trading market for shares of SpinCo Common Stock. After the Merger, all outstanding shares of SpinCo Common Stock will automatically be canceled and cease to exist at the Effective Time and upon their conversion into shares of Gentherm Common Stock.</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Background of the Transactions</w:t>
      </w:r>
    </w:p>
    <w:p>
      <w:pPr>
        <w:spacing w:after="0" w:line="9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The Modine Board and Modine’s management team regularly review and assess the performance, operations and financial condition of Modine’s businesses and industry in the context of their long-term strategic goals and plans. These reviews have included consideration, from time to time, of potential opportunities to advance these goals and plans and enhance shareholder value, including acquisitions, divestitures, and other transactions. In 2022, Modine announced a multi-phased transformation of the company to drive increased shareholder value, and since then, Modine has embedded its 80/20 governing philosophy across the organization to reallocate and focus resources, simplify operational complexity and drive financial performance improvements.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In early 2025, Modine, with the assistance of outside advisors, and as part of the evaluation of its businesses, considered the possible divestiture of all or a portion of its Performance Technologies segment. The Modine Board considered the potential advantages of creating a pure-play climate solutions company focused on the data center and commercial HVAC and refrigeration markets, including management’s ability to focus on value creation strategies for such a business, as well as the enhanced growth profile and reduced cyclicality of such a business. The Modine Board also considered the feasibility of various transaction structures to create such a pure-play thermal management company.</w:t>
      </w:r>
    </w:p>
    <w:p>
      <w:pPr>
        <w:spacing w:after="0" w:line="144"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The Gentherm Board, together with members of its management team, regularly evaluates and considers a variety of financial and strategic opportunities to enhance stockholder value as part of its long-term business plans. These functions are primarily performed through the Gentherm Mergers and Acquisitions Committee, a standing committee of the Gentherm Board (the “Gentherm M&amp;A Committee”), that is responsible for assisting the management team in identifying, monitoring and evaluating strategic opportunities for Gentherm, and that has the authority to approve material transactions.</w:t>
      </w:r>
    </w:p>
    <w:p>
      <w:pPr>
        <w:spacing w:after="0" w:line="14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On January 1, 2025, each of Messrs. Bill Presley and Jon Douyard commenced their roles as President and Chief Executive Officer and Executive Vice President, Chief Financial Officer and Treasurer, respectively, of Gentherm. Under the leadership of Messrs. Presley and Douyard, in early 2025, the Gentherm management team and the Gentherm Board, led by the Gentherm M&amp;A Committee, continued to explore opportunities for strategic mergers and acquisitions, with a particular focus on accelerating the expansion of Gentherm’s core technology product platform into adjacent markets and evaluating transformative acquisition strategies and opportunities, a process which included discussions with various investment banks to explore potential strategic opportunities.</w:t>
      </w:r>
    </w:p>
    <w:p>
      <w:pPr>
        <w:spacing w:after="0" w:line="14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On May 5, 2025, representatives of Barclays met with Gentherm management to discuss potential strategic alternatives for Gentherm. In connection with their discussions regarding potential strategic alternatives, representatives of Barclays, drawing on their knowledge of the industrial sector, identified Modine’s Performance Technologies Business as a potential combination partner for Gentherm. At this meeting, representatives of Barclays and Gentherm management discussed a potential transaction in which Gentherm would combine with Modine’s Performance Technologies Business, utilizing an RMT structure and, at the request of Gentherm management, the Barclays representatives agreed to follow up at a later date with additional details.</w:t>
      </w:r>
    </w:p>
    <w:p>
      <w:pPr>
        <w:spacing w:after="0" w:line="14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In regularly scheduled meetings of the Gentherm M&amp;A Committee from May to August 2025, Gentherm management presented the Gentherm M&amp;A Committee in the ordinary course with various strategic opportunities involving a number of different target companies that were identified through engagement with several investment banking groups. The Gentherm M&amp;A Committee evaluated these opportunities in collaboration with Gentherm management while continuing to consider the potential transaction with Modine, and ultimately determined that the potential transaction involving Modine’s Performance Technologies Business represented the most attractive opportunity among those considered given its strategic alignment with Gentherm’s thermal management platform, the expected ability to realize synergies in combining the two companies and the opportunity to utilize a tax-efficient RMT structure in the proposed transaction.</w:t>
      </w:r>
    </w:p>
    <w:p>
      <w:pPr>
        <w:spacing w:after="0" w:line="144"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On May 16, 2025, representatives of Barclays met again with Gentherm management to review more detailed information with respect to a potential transaction with Modine, including RMT structural considerations. Following such meeting, and after further discussion and review of information furnished by the Barclays representatives at Gentherm management’s request, Gentherm management authorized the Barclays representatives to indicate to Modine management that Gentherm would be interested in exploring a potential transaction. At the request of Gentherm, the Barclays representatives contacted members of Modine’s management on or about May 22, 2025.</w:t>
      </w:r>
    </w:p>
    <w:p>
      <w:pPr>
        <w:spacing w:after="0" w:line="14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Throughout the remainder of May and June 2025, at the request of Gentherm, representatives of Barclays held a series of meetings with members of Modine’s management to discuss the potential transaction.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6"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On June 5, 2025, representatives of Barclays met with Gentherm management and provided updates with respect to recent discussions with Modine’s management team.</w:t>
      </w:r>
    </w:p>
    <w:p>
      <w:pPr>
        <w:spacing w:after="0" w:line="125"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On July 14, 2025, Messrs. Presley and Douyard held an introductory call with Messrs. Brinker and Lucarelli during which the parties discussed the potential transaction, focusing primarily on the strategic fit between Gentherm and the Performance Technologies Business. The executives of the two companies acknowledged that the potential transaction could help each company achieve its strategic objectives and agreed to continue their dialogue to further explore the opportunity.</w:t>
      </w:r>
    </w:p>
    <w:p>
      <w:pPr>
        <w:spacing w:after="0" w:line="14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On July 22, 2025, the Modine Board met with Modine management and representatives of BofA Securities to discuss a potential RMT transaction with Gentherm involving the Performance Technologies Business. The Modine Board considered the strong strategic and financial merits of a potential RMT transaction and the opportunity to create a pure-play thermal technology business focused on high growth end markets through the separation of the Performance Technologies Business. During such meeting, the Modine Board also noted the benefits of forming a strategic transaction committee solely for efficiency considerations, which would be vested with the power of the Modine Board to meet with advisors and evaluate and negotiate transaction proposals, but any definitive agreements would require approval of the Modine Board.</w:t>
      </w:r>
    </w:p>
    <w:p>
      <w:pPr>
        <w:spacing w:after="0" w:line="14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On July 24, 2025, to facilitate further exploration of the potential transaction between the parties, Gentherm and Modine entered into a mutual non-disclosure agreement. The non-disclosure agreement provided for customary confidential treatment of each party’s proprietary information and also included mutual non-solicitation restrictions, among other things. This non-disclosure agreement did not contain a so-called “standstill” provision that restricted a party’s ability to acquire shares or make public takeover proposals of the other party.</w:t>
      </w:r>
    </w:p>
    <w:p>
      <w:pPr>
        <w:spacing w:after="0" w:line="141"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On July 24, 2025, Mr. Douyard met with representatives of Barclays to discuss the timeline for the potential transaction. Also on July 24, 2025, representatives of Barclays provided updated perspectives on the potential transaction, which were subsequently made available to the Gentherm Board by members of Gentherm management.</w:t>
      </w:r>
    </w:p>
    <w:p>
      <w:pPr>
        <w:spacing w:after="0" w:line="136" w:lineRule="exact"/>
        <w:rPr>
          <w:sz w:val="20"/>
          <w:szCs w:val="20"/>
          <w:color w:val="auto"/>
        </w:rPr>
      </w:pPr>
    </w:p>
    <w:p>
      <w:pPr>
        <w:ind w:left="1360" w:right="479" w:firstLine="343"/>
        <w:spacing w:after="0" w:line="281" w:lineRule="auto"/>
        <w:rPr>
          <w:sz w:val="20"/>
          <w:szCs w:val="20"/>
          <w:color w:val="auto"/>
        </w:rPr>
      </w:pPr>
      <w:r>
        <w:rPr>
          <w:rFonts w:ascii="Times New Roman" w:cs="Times New Roman" w:eastAsia="Times New Roman" w:hAnsi="Times New Roman"/>
          <w:sz w:val="13"/>
          <w:szCs w:val="13"/>
          <w:color w:val="auto"/>
        </w:rPr>
        <w:t>On August 8, 2025, the Modine Board, acting by unanimous written consent in lieu of a meeting, established a strategic transaction committee (the “Modine Strategic Committee”), composed of Mr. G. Mark Bendza, Ms. Katherine C. Harper, Mr. Alan S. Lowe, Mr. David J. Wilson, and</w:t>
      </w:r>
    </w:p>
    <w:p>
      <w:pPr>
        <w:spacing w:after="0" w:line="1" w:lineRule="exact"/>
        <w:rPr>
          <w:sz w:val="20"/>
          <w:szCs w:val="20"/>
          <w:color w:val="auto"/>
        </w:rPr>
      </w:pPr>
    </w:p>
    <w:p>
      <w:pPr>
        <w:ind w:left="1360" w:right="279"/>
        <w:spacing w:after="0" w:line="252" w:lineRule="auto"/>
        <w:rPr>
          <w:sz w:val="20"/>
          <w:szCs w:val="20"/>
          <w:color w:val="auto"/>
        </w:rPr>
      </w:pPr>
      <w:r>
        <w:rPr>
          <w:rFonts w:ascii="Times New Roman" w:cs="Times New Roman" w:eastAsia="Times New Roman" w:hAnsi="Times New Roman"/>
          <w:sz w:val="14"/>
          <w:szCs w:val="14"/>
          <w:color w:val="auto"/>
        </w:rPr>
        <w:t>Ms. Marsha C. Williams, for the purposes of continuing discussions regarding a range of strategic alternatives available to Modine, including, without limitation: a potential sale of one or more businesses of Modine, including a potential divestiture of all or a portion of its Performance Technologies Business; a potential restructuring of one or more businesses of Modine; a potential combination of one or more of Modine’s businesses with a strategic partner; a potential separation or spin-off transaction to separate certain of the Modine’s businesses; or any alternatives to the foregoing. The Modine Strategic Committee was delegated the power and authority of the Modine Board to evaluate and consider the strategic options and make recommendations to the Modine Board regarding the strategic options.</w:t>
      </w:r>
    </w:p>
    <w:p>
      <w:pPr>
        <w:spacing w:after="0" w:line="149" w:lineRule="exact"/>
        <w:rPr>
          <w:sz w:val="20"/>
          <w:szCs w:val="20"/>
          <w:color w:val="auto"/>
        </w:rPr>
      </w:pPr>
    </w:p>
    <w:p>
      <w:pPr>
        <w:ind w:left="1360" w:right="299" w:firstLine="343"/>
        <w:spacing w:after="0" w:line="278" w:lineRule="auto"/>
        <w:rPr>
          <w:sz w:val="20"/>
          <w:szCs w:val="20"/>
          <w:color w:val="auto"/>
        </w:rPr>
      </w:pPr>
      <w:r>
        <w:rPr>
          <w:rFonts w:ascii="Times New Roman" w:cs="Times New Roman" w:eastAsia="Times New Roman" w:hAnsi="Times New Roman"/>
          <w:sz w:val="13"/>
          <w:szCs w:val="13"/>
          <w:color w:val="auto"/>
        </w:rPr>
        <w:t>On August 13, 2025, at a regularly scheduled meeting of the Gentherm M&amp;A Committee, Gentherm management and representatives of Barclays provided the Gentherm M&amp;A Committee with updates relevant to Gentherm’s M&amp;A strategy. Mr. Wayne Kauffman, Senior Vice President, General Counsel and Secretary of Gentherm, and Mr. Charles Kummeth, a director and Chair of the Gentherm M&amp;A Committee, reviewed with the Gentherm M&amp;A Committee the potential RMT transaction with Modine, which was expected to provide Gentherm with an opportunity to increase its product portfolio and to expand its offerings to adjacent markets served by the Performance Technologies Business. Representatives of Barclays also reviewed the financial aspects of the proposed transaction involving Modine’s Performance Technologies Business. The Gentherm M&amp;A Committee supported Gentherm management’s continued discussions with Modine and the exploration of next steps with respect to the evaluation of the opportunity.</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In September 2025, Modine commenced a process to solicit interest from third parties in the potential divestiture of Modine’s automotive thermal management business of the Performance Technologies segment (the “Potential Automotive Sale”). In September and October 2025, Modine executed 32 non-disclosure agreements with potential acquirors, including both strategic acquirors and financial sponsors and including both U.S. and non-U.S.-based companies and sponsors.</w:t>
      </w:r>
    </w:p>
    <w:p>
      <w:pPr>
        <w:spacing w:after="0" w:line="141"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On September 12, 2025, representatives of Modine management and Gentherm management met, along with representatives of Barclays, to discuss the potential transaction involving the Performance Technologies Business, including an overview of the respective companies, the strategic rationale for pursuing such a transaction and potential opportunities for the combined company.</w:t>
      </w:r>
    </w:p>
    <w:p>
      <w:pPr>
        <w:spacing w:after="0" w:line="136"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On September 30, 2025, Messrs. Presley, Douyard and Kauffman attended a site visit to Modine’s Performance Technologies Business facilities in Lawrenceburg, Tennessee, during which they met with several members of the Performance Technologies Business’s leadership team.</w:t>
      </w:r>
    </w:p>
    <w:p>
      <w:pPr>
        <w:spacing w:after="0" w:line="125"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On October 1, 2025, representatives of Gentherm and Modine, together with their respective financial advisors, held a joint discussion of potential synergies associated with the potential transaction.</w:t>
      </w:r>
    </w:p>
    <w:p>
      <w:pPr>
        <w:spacing w:after="0" w:line="125"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On October 3, 2025, the Gentherm Board held a special meeting with Gentherm management and representatives of Barclays in attendance. At the meeting, among other things, the Gentherm Board was updated on the status of Gentherm’s evaluation of the potential transaction involving the Performance Technologies Business and the key activities that had occurred since the August 2025 Gentherm M&amp;A Committee meeting. Members of Gentherm’s management team and representatives of Barclays discussed the strategic rationale for the potential transaction as well as details regarding the proposed RMT transaction structure. Representatives of Barclays also reviewed a preliminary financial analysis of a proposed combination with the Performance Technologies Business. Members of the Board shared their views on key terms, including with respect to the proposed ownership split and cash dividend that would be paid to Modine, confirmed their interest in continuing to evaluate the transaction, and decided to meet again to further discuss the proposed transaction.</w:t>
      </w:r>
    </w:p>
    <w:p>
      <w:pPr>
        <w:spacing w:after="0" w:line="145" w:lineRule="exact"/>
        <w:rPr>
          <w:sz w:val="20"/>
          <w:szCs w:val="20"/>
          <w:color w:val="auto"/>
        </w:rPr>
      </w:pPr>
    </w:p>
    <w:p>
      <w:pPr>
        <w:ind w:left="1360" w:right="239" w:firstLine="343"/>
        <w:spacing w:after="0" w:line="277" w:lineRule="auto"/>
        <w:rPr>
          <w:sz w:val="20"/>
          <w:szCs w:val="20"/>
          <w:color w:val="auto"/>
        </w:rPr>
      </w:pPr>
      <w:r>
        <w:rPr>
          <w:rFonts w:ascii="Times New Roman" w:cs="Times New Roman" w:eastAsia="Times New Roman" w:hAnsi="Times New Roman"/>
          <w:sz w:val="13"/>
          <w:szCs w:val="13"/>
          <w:color w:val="auto"/>
        </w:rPr>
        <w:t>On October 10, 2025, the Gentherm Board held another special meeting with Gentherm management and representatives of Barclays in attendance. At the meeting, the Gentherm Board discussed, along with management and the Barclays representatives, the conflicts disclosure provided by Barclays relating to its provision of services to Modine and related independence considerations regarding the engagement of Barclays as Gentherm’s financial advisor for the potential transaction. Members of Gentherm management discussed the strategic rationale for the potential transaction involving the Performance Technologies Business. Representatives of Barclays also reviewed the financial aspects of potential strategic alternatives for Gentherm, including the potential combination with the Performance Technologies Business, as well as the proposed financial terms of a non-binding letter of intent between Gentherm and Modine. Following discussion, the Gentherm Board authorized management to submit a non-binding letter of intent to Modine for the potential transaction involving the Performance Technologies Business on the terms discussed with the Gentherm Board.</w:t>
      </w:r>
    </w:p>
    <w:p>
      <w:pPr>
        <w:spacing w:after="0" w:line="134"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Following the Gentherm Board’s authorization to proceed, Gentherm submitted a non-binding indication of interest to Modine regarding a combination of Gentherm with the Performance Technologies Business in a RMT transaction (the “October 10 Proposal”), contemplating a 58% / 42% post-closing ownership split between Gentherm and Modine shareholders, respectively, without taking into account any overlapping shareholder ownership, as well as a $100 million cash distribution from SpinCo to Modine. The October 10 Proposal also included a request for a 60-day exclusivity period from Modine, subject to a single 15-day extension.</w:t>
      </w:r>
    </w:p>
    <w:p>
      <w:pPr>
        <w:spacing w:after="0" w:line="14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Messrs. Presley and Brinker had a call on October 17, 2025, during which Mr. Presley reaffirmed Gentherm’s interest in pursuing the proposed transaction.</w:t>
      </w:r>
    </w:p>
    <w:p>
      <w:pPr>
        <w:spacing w:after="0" w:line="125"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On October 23, 2025, the Modine Board held a special meeting with Modine management and representatives of BofA Securities in attendance to discuss the October 10 Proposal and receive an update on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Potential Automotive Sale. The Modine Board discussed the strategic rationale for, and other considerations in connection with, pursuing a RMT transaction, including potential alternatives, such as a cash sale and a spin-off, and various benefits and considerations of each. In connection with such review, the Modine Board noted the pre-tax sale proceeds Modine would need to receive in such alternate transactions to imply similar valuation multiples for the Performance Technologies Business. The Modine Board reviewed Modine’s historical trading multiples, as well as those of peers of the Performance Technologies Business and the Climate Solutions business, noting the significant difference in trading multiples in favor of Climate Solutions’ peer companies. Following discussion, the Modine Board agreed to continue the Potential Automotive Sale process while authorizing a counterproposal to Gentherm, including an ownership split providing Gentherm and Modine shareholders with 60% and 40% ownership, respectively, of the combined company, without taking into account any overlapping shareholder ownership, and a $250.0 million cash distribution from SpinCo to Modine.</w:t>
      </w:r>
    </w:p>
    <w:p>
      <w:pPr>
        <w:spacing w:after="0" w:line="149"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On October 25, 2025, a representative of BofA Securities contacted a representative of Barclays to deliver Modine’s verbal counterproposal to Gentherm on the terms approved by the Modine Board.</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On October 27, 2025, a representative of Barclays held a meeting with Messrs. Presley, Douyard and Kauffman, at which meeting Barclays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discussed Modine’s counterproposal as well as Gentherm’s potential response to Modine’s counterproposal. Following the meeting, representatives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Barclays contacted a representative of BofA Securities to deliver Gentherm’s revised verbal proposal to Modine that confirmed the 60% / 40%</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combined company ownership split proposed by Modine, without taking into account any overlapping shareholder ownership, and provided for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$175 million cash distribution from SpinCo to Modine. Gentherm’s revised verbal proposal was non-binding and subject to Gentherm Board approval.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the days following the October 27, 2025 meeting, Mr. Presley continued to engage in informal discussions with individual members of the Gentherm</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Board, during which Mr. Presley and the directors shared their views on the strategic fit and implications of the proposed transaction.</w:t>
      </w:r>
    </w:p>
    <w:p>
      <w:pPr>
        <w:spacing w:after="0" w:line="161"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On October 29, 2025, a representative of BofA Securities contacted a representative of Barclays to deliver Modine’s new verbal counterproposal to Gentherm providing for a 60% / 40% combined company ownership split, without taking into account any overlapping shareholder ownership, and a $225 million cash distribution from SpinCo to Modine.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On October 30, 2025, following internal discussion among Gentherm management and representatives of Barclays, Mr. Presley contacted</w:t>
      </w:r>
    </w:p>
    <w:p>
      <w:pPr>
        <w:spacing w:after="0" w:line="22"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Mr. Brinker to deliver Gentherm’s revised verbal proposal to Modine providing for a 60% / 40% combined company ownership split, without taking into account any overlapping shareholder ownership, and a $200 million cash distribution from SpinCo to Modine. Gentherm’s revised verbal proposal was non-binding and subject to Gentherm board approval.</w:t>
      </w:r>
    </w:p>
    <w:p>
      <w:pPr>
        <w:spacing w:after="0" w:line="14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On November 4, 2025, the Gentherm Board held a special meeting with Messrs. Douyard and Kauffman of Gentherm management and representatives of Honigman in attendance. At the meeting, among other things, representatives of Honigman reviewed with the Gentherm Board its fiduciary duties with respect to the proposed transaction as well as the conflicts disclosure provided by Barclays relating to its provision of services to Modine and related independence considerations regarding the engagement of Barclays as Gentherm’s financial advisor. Members of Gentherm’s management team discussed the status of ongoing matters related to the proposed transaction, including the ongoing negotiations of the non-binding letter of intent and the most recent terms proposed by Gentherm on October 30, which were non-binding and subject to Gentherm Board approval. The Gentherm Board unanimously affirmed the revised Gentherm proposal of a 60% / 40% combined company ownership split, without taking into account any overlapping shareholder ownership, and a $200 million cash distribution from SpinCo to Modine.</w:t>
      </w:r>
    </w:p>
    <w:p>
      <w:pPr>
        <w:spacing w:after="0" w:line="145"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On November 5, 2025, a representative of BofA Securities contacted a representative of Barclays to deliver Modine’s verbal counterproposal to Gentherm reiterating the terms of its October 29 proposal, including a 60% / 40% combined company ownership split, without taking into account any overlapping shareholder ownership, and a $225 million cash distribution from SpinCo to Modine.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6"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39" w:firstLine="343"/>
        <w:spacing w:after="0" w:line="277" w:lineRule="auto"/>
        <w:rPr>
          <w:sz w:val="20"/>
          <w:szCs w:val="20"/>
          <w:color w:val="auto"/>
        </w:rPr>
      </w:pPr>
      <w:r>
        <w:rPr>
          <w:rFonts w:ascii="Times New Roman" w:cs="Times New Roman" w:eastAsia="Times New Roman" w:hAnsi="Times New Roman"/>
          <w:sz w:val="13"/>
          <w:szCs w:val="13"/>
          <w:color w:val="auto"/>
        </w:rPr>
        <w:t>On November 6, 2025, following internal discussion among Gentherm management and representatives of Barclays, a representative of Barclays contacted a representative of BofA Securities to deliver Gentherm’s revised verbal proposal to Modine providing for a 60% / 40% combined company ownership split, without taking into account any overlapping shareholder ownership, and a $210 million cash distribution from SpinCo to Modine.</w:t>
      </w:r>
    </w:p>
    <w:p>
      <w:pPr>
        <w:spacing w:after="0" w:line="2" w:lineRule="exact"/>
        <w:rPr>
          <w:sz w:val="20"/>
          <w:szCs w:val="20"/>
          <w:color w:val="auto"/>
        </w:rPr>
      </w:pPr>
    </w:p>
    <w:p>
      <w:pPr>
        <w:ind w:left="1360" w:right="939"/>
        <w:spacing w:after="0" w:line="261" w:lineRule="auto"/>
        <w:rPr>
          <w:sz w:val="20"/>
          <w:szCs w:val="20"/>
          <w:color w:val="auto"/>
        </w:rPr>
      </w:pPr>
      <w:r>
        <w:rPr>
          <w:rFonts w:ascii="Times New Roman" w:cs="Times New Roman" w:eastAsia="Times New Roman" w:hAnsi="Times New Roman"/>
          <w:sz w:val="14"/>
          <w:szCs w:val="14"/>
          <w:color w:val="auto"/>
        </w:rPr>
        <w:t>Gentherm management also proposed that the parties agree to certain exclusivity arrangements with respect to a sale of Gentherm and of the Performance Technologies Business. Gentherm’s revised verbal proposal was non-binding and subject to Gentherm Board approval.</w:t>
      </w:r>
    </w:p>
    <w:p>
      <w:pPr>
        <w:spacing w:after="0" w:line="140"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On November 7, 2025, the Gentherm Board held a special meeting with Messrs. Douyard and Kauffman of Gentherm management and representatives of Honigman in attendance. At the meeting, Mr. Presley discussed updates related to the proposed transaction, including with respect to negotiations of the economic terms of the proposed transaction, and also discussed the proposed exclusivity agreement. The Gentherm Board unanimously affirmed the most recent Gentherm proposal and authorized management to finalize the proposed exclusivity terms with Modine.</w:t>
      </w:r>
    </w:p>
    <w:p>
      <w:pPr>
        <w:spacing w:after="0" w:line="141"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Also on November 7, 2025, the Modine Board held a special meeting with Modine management and representatives of BofA Securities and Gibson Dunn in attendance to review Gentherm’s November 6, 2025 proposal. The Modine Board reviewed with their advisors the negotiating history and potential valuation creation for Modine shareholders under Gentherm’s proposed terms. The Modine Board discussed next steps including mutual due diligence and the terms of the proposed exclusivity agreement. Following discussion, the Modine Board confirmed their willingness to move forward on the basis of Gentherm’s November 6, 2025 proposal and directed Modine management to finalize the proposed exclusivity terms with Gentherm. In reaching the decision to agree to the proposed exclusivity terms with Gentherm and end the Potential Automotive Sale process, the Modine Board considered the fact that the transaction with Gentherm covered the entire Performance Technologies Business segment, while the Potential Automotive Sale process covered only the automotive thermal management business, and that the transaction with Gentherm could be effected on a tax-free basis to Modine and its shareholders and offered greater value to Modine and its shareholders.</w:t>
      </w:r>
    </w:p>
    <w:p>
      <w:pPr>
        <w:spacing w:after="0" w:line="149"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On November 10, 2025, Gentherm and Modine entered into the exclusivity agreement providing for Gentherm and Modine to negotiate on an exclusive basis through January 31, 2026. Thereafter, Modine terminated the Potential Automotive Sale process in favor of pursuing the potential transaction with Gentherm.</w:t>
      </w:r>
    </w:p>
    <w:p>
      <w:pPr>
        <w:spacing w:after="0" w:line="136"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On November 13, 2025, Gentherm sent an updated non-binding letter of intent to Modine to confirm in writing the key terms of Gentherm’s November 6 proposal providing the basis on which the parties entered into the exclusivity agreement and proceeded with due diligence and negotiation of definitive documentation.</w:t>
      </w:r>
    </w:p>
    <w:p>
      <w:pPr>
        <w:spacing w:after="0" w:line="136"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On November 17, 2025, Gentherm and Modine amended and restated the mutual non-disclosure agreement to provide for a customary mutual standstill provision that restricted each party’s ability to acquire shares and make public takeover proposals of the other party. The standstill provision expressly permitted confidential transaction proposals between the parties and provided for automatic termination, among other circumstances, upon entry into a definitive agreement for a change in control transaction involving the other party, among other things.</w:t>
      </w:r>
    </w:p>
    <w:p>
      <w:pPr>
        <w:spacing w:after="0" w:line="141"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On November 24, 2025, Gentherm engaged Latham &amp; Watkins LLP as special transaction counsel to Gentherm with respect to the proposed transaction.</w:t>
      </w:r>
    </w:p>
    <w:p>
      <w:pPr>
        <w:spacing w:after="0" w:line="125"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Following review of initial diligence materials, a series of follow-up diligence calls were held during December 2025 and the first two weeks of January 2026, during which members of Gentherm’s management team and representatives of certain advisors to Gentherm discussed and reviewed additional information on critical diligence items, including related to corporate, commercial, employee benefits, finance, information technologies, insurance, legal, operational, real estate and environmental and regulatory matters for the Performance Technologies business. During this time, Modine and its advisors also conducted business, financial and legal diligence on Gentherm.</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6"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On December 1, 2025, the Gentherm Board, acting by unanimous written consent in lieu of a special meeting, approved the engagement of Barclays as financial advisor with respect to the proposed transaction, including the terms documented by a customary engagement letter.</w:t>
      </w:r>
    </w:p>
    <w:p>
      <w:pPr>
        <w:spacing w:after="0" w:line="125"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On December 8, 2025, the Modine Strategic Committee met with other members of the Modine Board, Modine management, representatives of BofA Securities and Gibson Dunn to receive updates on the transaction, including the status of the mutual due diligence process and key milestones for the transaction workstreams and transaction analyses.</w:t>
      </w:r>
    </w:p>
    <w:p>
      <w:pPr>
        <w:spacing w:after="0" w:line="136"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On December 15, 2025, the Gentherm Board held a special meeting, with Messrs. Douyard and Kauffman and Ms. Runyon of Gentherm management, and representatives of each of Honigman, Latham and Barclays. At the meeting, Gentherm management and the advisors provided updates related to the proposed transaction, including the strategic opportunities created by the proposed transaction, preliminary estimates of potential synergies and key diligence workstreams. Gentherm management and representatives of Barclays also provided updates with respect to the transaction structure, preliminary financial projections for the Performance Technologies Business and timing considerations. The Gentherm Board reviewed the preliminary financial projections. Representatives of Latham reviewed initial considerations regarding the anticipated drafts of applicable Transaction Documents and other key workstreams for signing.</w:t>
      </w:r>
    </w:p>
    <w:p>
      <w:pPr>
        <w:spacing w:after="0" w:line="144"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During December 2025 and January 2026, up to and including the date of signing and announcing the proposed transaction on January 29, 2026, members of Gentherm and Modine management, as well as representatives of Barclays, Latham, Honigman, BofA Securities, Gibson Dunn and other advisors to the parties, engaged in discussions and negotiations regarding the proposed transaction, including in respect of the mutual due diligence process, transaction documentation and key issues with respect thereto, and process and timing to signing and announcing the proposed transaction.</w:t>
      </w:r>
    </w:p>
    <w:p>
      <w:pPr>
        <w:spacing w:after="0" w:line="141"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On December 19, 2025, representatives of Gibson Dunn, on behalf of Modine, shared an initial draft of the Separation Agreement with Latham and Honigman, on behalf of Gentherm. The initial draft of the Separation Agreement included, among other things, a net working capital adjustment calculated as the amount by which current SpinCo assets less current SpinCo liabilities exceeds or is less than a target working capital amount, subject to a collar.</w:t>
      </w:r>
    </w:p>
    <w:p>
      <w:pPr>
        <w:spacing w:after="0" w:line="141"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On December 27, 2025, representatives of Latham, on behalf of Gentherm, shared an initial draft of the Merger Agreement with Gibson Dunn, on behalf of Modine. The initial draft of the Merger Agreement included, among other things, (i) a termination fee equal to 3% of Gentherm’s equity value payable by Gentherm to Modine in connection with certain termination events, (ii) Gentherm’s ability to terminate the Merger Agreement in order to accept a superior proposal and (iii) a restriction on Modine’s ability to compete with the Performance Technologies Business for a to-be-determined period.</w:t>
      </w:r>
    </w:p>
    <w:p>
      <w:pPr>
        <w:spacing w:after="0" w:line="144"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On January 7, 2026, representatives of Gibson Dunn, on behalf of Modine, provided a revised draft of the Merger Agreement to Latham and Honigman, on behalf of Gentherm. The revised draft, among other things, (i) included Modine’s ability to select, after good faith consultation with Gentherm, a to-be-determined number of members of the post-closing board of directors of the combined company, (ii) included a termination fee equal to 5% of Gentherm’s equity value payable by Gentherm to Modine in connection with certain termination events, (iii) included a “force the vote” provision requiring Gentherm to convene a meeting of its shareholders to vote on the Share Issuance Proposal and Charter Amendment Proposal regardless of a change in the Gentherm Board’s recommendation, (iv) required that Gentherm reimburse Modine for certain expenses if the Merger Agreement is terminated because the Gentherm shareholders do not approve the Share Issuance Proposal and the Charter Amendment Proposal and</w:t>
      </w:r>
    </w:p>
    <w:p>
      <w:pPr>
        <w:spacing w:after="0" w:line="4" w:lineRule="exact"/>
        <w:rPr>
          <w:sz w:val="20"/>
          <w:szCs w:val="20"/>
          <w:color w:val="auto"/>
        </w:rPr>
      </w:pPr>
    </w:p>
    <w:p>
      <w:pPr>
        <w:ind w:left="5580" w:right="2519" w:hanging="4225"/>
        <w:spacing w:after="0" w:line="433" w:lineRule="auto"/>
        <w:tabs>
          <w:tab w:leader="none" w:pos="15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a two-year restriction on Modine’s ability to compete with the Performance Technologies Business. 85</w:t>
      </w:r>
    </w:p>
    <w:p>
      <w:pPr>
        <w:sectPr>
          <w:pgSz w:w="11900" w:h="16838" w:orient="portrait"/>
          <w:cols w:equalWidth="0" w:num="1">
            <w:col w:w="10159"/>
          </w:cols>
          <w:pgMar w:left="300" w:top="386"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On January 8, 2026, the Modine Strategic Committee met with Modine management and representatives of BofA Securities and Gibson Dunn to receive an update on the transaction, including the mutual due diligence process, key milestones for the transaction workstreams and analyses. The Modine Strategic Committee also discussed the key draft Transaction Documents and key terms thereof.</w:t>
      </w:r>
    </w:p>
    <w:p>
      <w:pPr>
        <w:spacing w:after="0" w:line="136"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On January 8, 2026, representatives of Latham, on behalf of Gentherm, provided a revised draft of the Separation Agreement to Gibson Dunn, on behalf of Modine. The revised draft, among other things, (i) modified the standards by which assets and liabilities relating to the Performance Technologies Business would be allocated between SpinCo and Modine and (ii) revised the SpinCo net working capital adjustment to, among other things, provide that if an adjustment payment was required, the payment amount would be determined without reference to the collar.</w:t>
      </w:r>
    </w:p>
    <w:p>
      <w:pPr>
        <w:spacing w:after="0" w:line="141"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On January 13, 2026, representatives of Latham, on behalf of Gentherm, provided a revised draft of the Merger Agreement to Gibson Dunn, on behalf of Modine. The revised draft, among other things, (i) accepted the provision allowing Modine to select, after good faith consultation with Gentherm, a to-be-determined number of members of the post-closing board of directors of the combined company, (ii) included a termination fee equal to 3.25% of Gentherm’s equity value payable by Gentherm to Modine in connection with certain termination events, (iii) accepted the “force the vote” provision requiring Gentherm to convene a meeting of its shareholders to vote on the Share Issuance Proposal and Charter Amendment Proposal regardless of a change in the Gentherm Board’s recommendation, (iv) removed the requirement that Gentherm reimburse Modine for certain expenses if the Merger Agreement is terminated because the Gentherm shareholders do not approve the Share Issuance Proposal and the Charter Amendment Proposal and (v) included a five-year restriction on Modine’s ability to compete with the Performance Technologies Business.</w:t>
      </w:r>
    </w:p>
    <w:p>
      <w:pPr>
        <w:spacing w:after="0" w:line="14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On January 14, 2026, the Gentherm Board held a special meeting, with Messrs. Douyard and Kauffman and Ms. Runyon of Gentherm management, as well as representatives of Barclays, representatives of Honigman, representatives of Latham and other advisors in attendance. At the meeting, the Gentherm Board received updates on key diligence focus areas, including Gentherm’s review of the financial forecasts provided by Modine management with respect to the Performance Technologies Business, summarized under section “The Transactions – Certain Financial Forecasts”, and potential adjustments thereto under consideration by Gentherm management. Representatives of Barclays reviewed certain financial aspects of the proposed transaction, including the illustrative pro forma enterprise value, valuation multiples and net leverage of the combined company, as well as a timeline of key activities in connection with the signing and announcement and process considerations for signing primary Transaction Documents. Barclays then discussed certain transaction structure matters and key commercial terms for the proposed transaction. Barclays also provided a preliminary overview of certain financial and valuation analyses that would be considered by Barclays in connection with its fairness opinion. Barclays also provided the Gentherm Board with an update regarding the preparation of the commitment letter for the proposed Bridge Financing, including a summary of the key terms thereof. Representatives of Latham provided an overview of the current drafts of the primary Transaction Documents, including a review of the key terms and business and legal issues addressed therein. Gentherm management also reviewed the post-closing operating model and organizational design.</w:t>
      </w:r>
    </w:p>
    <w:p>
      <w:pPr>
        <w:spacing w:after="0" w:line="149"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On January 15, 2026, representatives of Gibson Dunn, on behalf of Modine, provided a revised draft of the Separation Agreement to Latham and Honigman, on behalf of Gentherm. The revised draft, among other things, (i) further modified the allocation standards by which assets and liabilities relating to the Performance Technologies Business would be allocated between SpinCo and Modine, (ii) provided for cost-sharing of certain expenses by Gentherm and Modine, and (iii) revised the SpinCo net working capital adjustment to, among other things, provide that if an adjustment payment is required, the payment amount would be determined with reference to the collar.</w:t>
      </w:r>
    </w:p>
    <w:p>
      <w:pPr>
        <w:spacing w:after="0" w:line="144"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On January 16, 2026, representatives of Gibson Dunn provided a revised draft of the Merger Agreement to Latham and Honigman, on behalf of Gentherm. The revised draft, among other things, (i) included Modine’s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86"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75" w:lineRule="auto"/>
        <w:rPr>
          <w:sz w:val="20"/>
          <w:szCs w:val="20"/>
          <w:color w:val="auto"/>
        </w:rPr>
      </w:pPr>
      <w:r>
        <w:rPr>
          <w:rFonts w:ascii="Times New Roman" w:cs="Times New Roman" w:eastAsia="Times New Roman" w:hAnsi="Times New Roman"/>
          <w:sz w:val="13"/>
          <w:szCs w:val="13"/>
          <w:color w:val="auto"/>
        </w:rPr>
        <w:t>ability to select, after good faith consultation with Gentherm, three members of the post-closing board of directors of the combined company as well as an increase in the size of the Gentherm Board to twelve members, (ii) included a termination fee equal to 4.5% of Gentherm’s equity value payable by Gentherm to Modine in connection with certain termination events, (iii) required that Gentherm reimburse Modine for certain expenses if the Merger Agreement is terminated because the Gentherm shareholders do not approve the Share Issuance Proposal and the Charter Amendment Proposal,</w:t>
      </w:r>
    </w:p>
    <w:p>
      <w:pPr>
        <w:spacing w:after="0" w:line="2" w:lineRule="exact"/>
        <w:rPr>
          <w:sz w:val="20"/>
          <w:szCs w:val="20"/>
          <w:color w:val="auto"/>
        </w:rPr>
      </w:pPr>
    </w:p>
    <w:p>
      <w:pPr>
        <w:ind w:left="1360" w:right="319" w:hanging="5"/>
        <w:spacing w:after="0" w:line="256" w:lineRule="auto"/>
        <w:tabs>
          <w:tab w:leader="none" w:pos="1597"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revised the actions to be taken to economically offset the dilution of the ownership interests of Gentherm shareholders that would result from an Exchange Ratio adjustment to decrease the amount by which the SpinCo Cash Distribution would be reduced and increase the amount of the Gentherm Special Dividend and (v) included a two-year restriction on Modine’s ability to compete with the Performance Technologies Business.</w:t>
      </w:r>
    </w:p>
    <w:p>
      <w:pPr>
        <w:spacing w:after="0" w:line="14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On January 22, 2026, the Gentherm Board held a special meeting with Messrs. Douyard and Kauffman and Ms. Runyon of Gentherm management, and representatives of each of Barclays, Honigman and Latham to discuss updates regarding the potential transaction. At the meeting, the Gentherm Board received updates on action items to be completed prior to signing the Merger Agreement and Separation Agreement and announcing the transaction, including the progress of Barclays’ financial valuation analyses and the status of the commitment letter for the Bridge Financing of up to $290 million. Representatives of Gentherm management and Latham provided updates on remaining key diligence items as well as negotiations of the various Transaction Documents, including an overview of the key open issues that remained under discussion. Gentherm management discussed with the Gentherm Board the logistics and strategy of the transaction announcement process and the guiding principles and key themes to be communicated in the messaging.</w:t>
      </w:r>
    </w:p>
    <w:p>
      <w:pPr>
        <w:spacing w:after="0" w:line="145"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Also on January 22, 2026, the Modine Board held a special meeting with Modine management and representatives of BofA Securities, Gibson Dunn and Godfrey &amp; Kahn S.C. (“Godfrey”) to discuss the proposed transaction. The Modine Board discussed with their legal advisors Godfrey and Gibson Dunn, the directors’ fiduciary duties in connection with the evaluation of the proposed transaction. Representatives of Gibson Dunn reviewed with the Modine Board the key terms and conditions of the Merger Agreement, the Separation Agreement and the ancillary agreements, and the Transactions contemplated thereby and discussed the proposed positions of each party with respect to the open issues. The Modine Board also reviewed and discussed with representatives of BofA Securities the financial terms and analyses of the transaction and strategic rationale for the transaction. Following discussion, all of the directors confirmed that upon finalization of the applicable definitive Transaction Documents, they would be prepared to approve the Transactions.</w:t>
      </w:r>
    </w:p>
    <w:p>
      <w:pPr>
        <w:spacing w:after="0" w:line="145"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On January 24, 2026, representatives of Latham, on behalf of Gentherm, provided revised drafts of the Merger Agreement and Separation Agreement to Gibson Dunn, on behalf of Modine. Between January 24, 2026 and January 28, 2026, Gibson Dunn and Latham exchanged several incremental drafts of the Separation Agreement, the Merger Agreement and the other Transaction Documents. Specifically, among other finalizing revisions, the parties agreed, with respect to the Merger Agreement, (i) the actions to be taken to economically offset the dilution of the ownership interests of Gentherm shareholders that would result from an Exchange Ratio adjustment, including caps on the amount of the SpinCo Cash Distribution reduction and the amount of the Gentherm Special Dividend, (ii) Modine’s ability to select two members of the eleven-member post-closing board of directors of the combined company after good faith consultation with Gentherm, (iii) the four-year term of Modine’s non-compete covenant, (iv) the termination fee of $45 million (equal to approximately 3.75% of Gentherm’s equity value) payable by Gentherm to Modine in connection with certain termination events and (v) Gentherm is not required to reimburse Modine for certain expenses if the Merger Agreement is terminated because the Gentherm Shareholder Approval is not obtained. The parties also agreed, with respect to the Separation Agreement, (i) the allocation standards by which assets and liabilities relating to the Performance Technologies Business would be allocated between SpinCo and Modine, (ii) cost-sharing arrangements between Gentherm and Modine and (iii) that if a SpinCo net working capital adjustment payment was required, the payment amount would be determined without reference to a collar.</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6"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On January 28, 2026, the Gentherm Board held a special meeting with Messrs. Douyard and Kauffman and Ms. Runyon of Gentherm management, representatives of Barclays, representatives of Honigman and representatives of Latham in attendance. At the meeting, Mr. Kauffman reviewed the final due diligence updates and confirmed that due diligence had been completed and substantially all of the items open for review prior to signing the Merger Agreement and Separation Agreement had been finalized between Gentherm and Modine. Representatives of Latham discussed updates regarding the Transaction Documents, noting that the primary Transaction Documents were in substantially final form, and the definitive financing commitment papers for the Bridge Financing had been finalized with Barclays. Latham reviewed the material terms that had been finalized in the primary Transaction Documents since the January 22, 2026 Gentherm Board meeting and provided an update on the terms that the parties continued to negotiate, including (i) the target amount of net working capital and (ii) the allocation of certain costs and expenses. The Gentherm Board discussed the resolution of such outstanding matters with Latham and Gentherm management, and the Gentherm Board concurred with the range of alternatives proposed by Latham and Gentherm management for finalizing the outstanding matters. Representatives of Barclays reviewed its financial valuation analyses with respect to the proposed transaction, including immaterial changes made to the analysis to reflect updates to the Financial Projections since the January 14 Gentherm Board meeting. Barclays then rendered to the Gentherm Board its oral opinion (subsequently confirmed by delivery of its written opinion dated January 29, 2026) that the Exchange Ratio in the Merger was fair, from a financial point of view, to Gentherm shareholders. Following discussion, each of the directors confirmed that upon finalization of the applicable definitive Transaction Documents, the Gentherm Board would be prepared to approve the Transactions.</w:t>
      </w:r>
    </w:p>
    <w:p>
      <w:pPr>
        <w:spacing w:after="0" w:line="146"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The definitive Transaction Documents were finalized in negotiations among Gentherm, Modine and their respective advisors during the night of January 28, 2026 and the morning of January 29, 2026.</w:t>
      </w:r>
    </w:p>
    <w:p>
      <w:pPr>
        <w:spacing w:after="0" w:line="125"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On January 29, 2026, the Gentherm Board, acting by unanimous written consent in lieu of a special meeting, determined that the Merger Agreement, the Separation Agreement, the other Transaction Documents and the consummation of the transactions contemplated thereby, including the Reorganization, the Distribution and the Merger, were advisable, fair to, and in the best interest of Gentherm and its shareholders, and the Gentherm Board approved the applicable Transaction Documents and the transactions contemplated thereby.</w:t>
      </w:r>
    </w:p>
    <w:p>
      <w:pPr>
        <w:spacing w:after="0" w:line="141"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Also on January 29, 2026, the Modine Board, acting by unanimous written consent in lieu of a special meeting, determined that the Merger Agreement, the Separation Agreement, the other Transaction Documents and the consummation of the transactions contemplated thereby, including the Reorganization, the Distribution and the Merger, were advisable, fair to, and in the best interest of Modine and its shareholders, and the Modine Board approved the applicable Transaction Documents and the transactions contemplated thereby.</w:t>
      </w:r>
    </w:p>
    <w:p>
      <w:pPr>
        <w:spacing w:after="0" w:line="14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During the morning of January 29, 2026, the parties executed the Merger Agreement and the Separation Agreement. Before the opening of trading on the Nasdaq Stock Market on January 29, 2026, Gentherm and Modine issued a joint press release announcing the Transactions and held a joint conference call to discuss the Transactions.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Gentherm’s Reasons for the Merger; Recommendation of Gentherm’s Board of Directors</w:t>
      </w:r>
    </w:p>
    <w:p>
      <w:pPr>
        <w:spacing w:after="0" w:line="9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After careful consideration of various potentially positive and negative factors, including those listed below, the Gentherm Board determined that, in the aggregate, the potential benefits of the Transactions outweighed the risks and uncertainties of the Transactions, and the Gentherm Board unanimously (a) determined that the terms of the Merger Agreement and the Transaction Documents and the Transactions contemplated thereby, including the Merger, the Gentherm Share Issuance and the Charter Amendment, are fair to and in the best interests of Gentherm and its shareholders,</w:t>
      </w:r>
    </w:p>
    <w:p>
      <w:pPr>
        <w:spacing w:after="0" w:line="1" w:lineRule="exact"/>
        <w:rPr>
          <w:sz w:val="20"/>
          <w:szCs w:val="20"/>
          <w:color w:val="auto"/>
        </w:rPr>
      </w:pPr>
    </w:p>
    <w:p>
      <w:pPr>
        <w:ind w:left="1360" w:right="299" w:hanging="5"/>
        <w:spacing w:after="0" w:line="256" w:lineRule="auto"/>
        <w:tabs>
          <w:tab w:leader="none" w:pos="1558"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approved and declared advisable the execution, delivery and performance of the Merger Agreement and the Transaction Documents and the consummation of the Transactions contemplated thereby, including the Merger, the Gentherm Share Issuance and the Charter Amendment, on the terms and subject to the conditions set forth therein, (c) resolved to recommend that the Gentherm shareholders approve the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386"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Gentherm Share Issuance and the Charter Amendment, and (d) directed that the Gentherm Share Issuance and the Charter Amendment be submitted to a vote at a meeting of Gentherm shareholders.</w:t>
      </w:r>
    </w:p>
    <w:p>
      <w:pPr>
        <w:spacing w:after="0" w:line="125"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Among other things, the various factors considered by the Gentherm Board in consultation with Gentherm’s senior management and Gentherm’s financial and legal advisors, included the following:</w:t>
      </w:r>
    </w:p>
    <w:p>
      <w:pPr>
        <w:spacing w:after="0" w:line="51" w:lineRule="exact"/>
        <w:rPr>
          <w:sz w:val="20"/>
          <w:szCs w:val="20"/>
          <w:color w:val="auto"/>
        </w:rPr>
      </w:pPr>
    </w:p>
    <w:p>
      <w:pPr>
        <w:ind w:left="2120" w:right="579" w:hanging="345"/>
        <w:spacing w:after="0" w:line="283"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Gentherm Board’s belief that the Transactions will accelerate Gentherm’s strategic path by building scale in thermal management solutions and expanding its technologies and capabilities in precision flow management;</w:t>
      </w:r>
    </w:p>
    <w:p>
      <w:pPr>
        <w:spacing w:after="0" w:line="5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Transactions will create strong commercial opportunities across premium customer bases allowing Gentherm to be a leader in thermal management solutions and precision flow management in end-markets outside of the automotive light vehicle end-market, such as heavy-duty vehicles, commercial vehicles, power generation, home and office and medical;</w:t>
      </w:r>
    </w:p>
    <w:p>
      <w:pPr>
        <w:spacing w:after="0" w:line="6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with each of Gentherm’s and the Performance Technologies Business’s expertise in thermal management, the combined company will utilize the core capabilities of each to innovate product offerings for end-markets;</w:t>
      </w:r>
    </w:p>
    <w:p>
      <w:pPr>
        <w:spacing w:after="0" w:line="5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Transactions will establish a stronger foundation for continued growth due to the complementary nature of the engineering capabilities of the two businesses and the expectation that Gentherm will benefit from the scale of the combined company and the increased diversity of its product portfolio and the end-markets in which it operates;</w:t>
      </w:r>
    </w:p>
    <w:p>
      <w:pPr>
        <w:spacing w:after="0" w:line="61" w:lineRule="exact"/>
        <w:rPr>
          <w:rFonts w:ascii="Times New Roman" w:cs="Times New Roman" w:eastAsia="Times New Roman" w:hAnsi="Times New Roman"/>
          <w:sz w:val="14"/>
          <w:szCs w:val="14"/>
          <w:color w:val="auto"/>
        </w:rPr>
      </w:pPr>
    </w:p>
    <w:p>
      <w:pPr>
        <w:ind w:left="2120" w:right="359" w:hanging="345"/>
        <w:spacing w:after="0" w:line="258"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Transactions will generate approximately $25.0 million of annual run rate synergies for the combined company through cost optimization and operational efficiencies as well as significant value creation through efficiencies in indirect purchasing and logistics and incremental commercial opportunities through product cross-selling, product integration and entry into global markets in which legacy Gentherm has not previously operated, which, among other contributing factors, is expected to provide improved profitability;</w:t>
      </w:r>
    </w:p>
    <w:p>
      <w:pPr>
        <w:spacing w:after="0" w:line="70" w:lineRule="exact"/>
        <w:rPr>
          <w:rFonts w:ascii="Times New Roman" w:cs="Times New Roman" w:eastAsia="Times New Roman" w:hAnsi="Times New Roman"/>
          <w:sz w:val="14"/>
          <w:szCs w:val="14"/>
          <w:color w:val="auto"/>
        </w:rPr>
      </w:pPr>
    </w:p>
    <w:p>
      <w:pPr>
        <w:ind w:left="2120" w:right="679" w:hanging="345"/>
        <w:spacing w:after="0" w:line="283"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the combination with the Performance Technologies Business will generate a compelling financial portfolio for Gentherm, including strong cash flow generation and modest financial leverage;</w:t>
      </w:r>
    </w:p>
    <w:p>
      <w:pPr>
        <w:spacing w:after="0" w:line="51"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complementary nature of the cultures of the two businesses, including a shared focus on operational excellence, and Gentherm’s belief that the complementary cultures will facilitate the successful integration of the Performance Technologies Business and implementation of the Transactions;</w:t>
      </w:r>
    </w:p>
    <w:p>
      <w:pPr>
        <w:spacing w:after="0" w:line="61" w:lineRule="exact"/>
        <w:rPr>
          <w:rFonts w:ascii="Times New Roman" w:cs="Times New Roman" w:eastAsia="Times New Roman" w:hAnsi="Times New Roman"/>
          <w:sz w:val="14"/>
          <w:szCs w:val="14"/>
          <w:color w:val="auto"/>
        </w:rPr>
      </w:pPr>
    </w:p>
    <w:p>
      <w:pPr>
        <w:ind w:left="2120" w:right="239" w:hanging="345"/>
        <w:spacing w:after="0" w:line="258"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the Reverse Morris Trust transaction structure is an effective and economical choice for the Transactions because, among other things, it facilitated the negotiation of the Transactions to Gentherm’s benefit due to its ability to provide Modine shareholders a tax-efficient method to combine Gentherm and the Performance Technologies Business while limiting the combined company’s total leverage (as compared to an all-cash transaction) by allowing Gentherm to pay a substantial portion of the consideration for the Transactions in the form of shares of Gentherm Common Stock;</w:t>
      </w:r>
    </w:p>
    <w:p>
      <w:pPr>
        <w:spacing w:after="0" w:line="70" w:lineRule="exact"/>
        <w:rPr>
          <w:rFonts w:ascii="Times New Roman" w:cs="Times New Roman" w:eastAsia="Times New Roman" w:hAnsi="Times New Roman"/>
          <w:sz w:val="14"/>
          <w:szCs w:val="14"/>
          <w:color w:val="auto"/>
        </w:rPr>
      </w:pPr>
    </w:p>
    <w:p>
      <w:pPr>
        <w:ind w:left="2120" w:right="299" w:hanging="345"/>
        <w:spacing w:after="0" w:line="258"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analysis presented by Barclays to the Gentherm Board and oral opinion of Barclays rendered to the Gentherm Board on January 28, 2026 (which was confirmed in writing by delivery of Barclays’ written opinion addressed to the Gentherm Board dated January 29, 2026), that, as of the date of such opinion and based upon and subject to the factors and assumptions set forth in such opinion, the Exchange Ratio was fair from a financial point of view to Gentherm, as more fully described in the section entitled “-Opinion of Barclays”;</w:t>
      </w:r>
    </w:p>
    <w:p>
      <w:pPr>
        <w:spacing w:after="0" w:line="70"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presentation of the Financial Projections and Gentherm’s due diligence review and analysis of the Financial Projections;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facts that, following the Closing, the Gentherm Board will be composed of all of the current directors of Gentherm and that Modine has the right to select two additional directors after good faith consultation with Gentherm, which consultation will help Modine to select additional directors who are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86"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39"/>
        <w:spacing w:after="0" w:line="283" w:lineRule="auto"/>
        <w:rPr>
          <w:sz w:val="20"/>
          <w:szCs w:val="20"/>
          <w:color w:val="auto"/>
        </w:rPr>
      </w:pPr>
      <w:r>
        <w:rPr>
          <w:rFonts w:ascii="Times New Roman" w:cs="Times New Roman" w:eastAsia="Times New Roman" w:hAnsi="Times New Roman"/>
          <w:sz w:val="14"/>
          <w:szCs w:val="14"/>
          <w:color w:val="auto"/>
        </w:rPr>
        <w:t>aligned with Gentherm’s culture, have qualifications relevant to the functions of the Performance Technologies Business and enhance the Gentherm Board composition and succession planning;</w:t>
      </w:r>
    </w:p>
    <w:p>
      <w:pPr>
        <w:spacing w:after="0" w:line="51" w:lineRule="exact"/>
        <w:rPr>
          <w:sz w:val="20"/>
          <w:szCs w:val="20"/>
          <w:color w:val="auto"/>
        </w:rPr>
      </w:pPr>
    </w:p>
    <w:p>
      <w:pPr>
        <w:ind w:left="2120" w:right="239" w:hanging="345"/>
        <w:spacing w:after="0" w:line="267" w:lineRule="auto"/>
        <w:tabs>
          <w:tab w:leader="none" w:pos="21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following the Closing, Gentherm’s management team is expected to continue to be led by Gentherm’s current Chief Executive Officer and Chief Financial Officer and that the current President of the Performance Technologies Business will continue in his role as such for the Performance Technologies Business, which is expected to operate as a division of Gentherm after the Closing;</w:t>
      </w:r>
    </w:p>
    <w:p>
      <w:pPr>
        <w:spacing w:after="0" w:line="61" w:lineRule="exact"/>
        <w:rPr>
          <w:rFonts w:ascii="Times New Roman" w:cs="Times New Roman" w:eastAsia="Times New Roman" w:hAnsi="Times New Roman"/>
          <w:sz w:val="14"/>
          <w:szCs w:val="14"/>
          <w:color w:val="auto"/>
        </w:rPr>
      </w:pPr>
    </w:p>
    <w:p>
      <w:pPr>
        <w:ind w:left="2120" w:right="859" w:hanging="345"/>
        <w:spacing w:after="0" w:line="283" w:lineRule="auto"/>
        <w:tabs>
          <w:tab w:leader="none" w:pos="21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the Transactions will not trigger any severance benefits under the Gentherm Equity Incentive Plan or any Gentherm management contract;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indemnities being provided by Modine to the combined company under the Separation Agreement and other Transaction Documents;</w:t>
      </w:r>
    </w:p>
    <w:p>
      <w:pPr>
        <w:spacing w:after="0" w:line="101" w:lineRule="exact"/>
        <w:rPr>
          <w:rFonts w:ascii="Times New Roman" w:cs="Times New Roman" w:eastAsia="Times New Roman" w:hAnsi="Times New Roman"/>
          <w:sz w:val="14"/>
          <w:szCs w:val="14"/>
          <w:color w:val="auto"/>
        </w:rPr>
      </w:pPr>
    </w:p>
    <w:p>
      <w:pPr>
        <w:jc w:val="both"/>
        <w:ind w:left="2120" w:right="379" w:hanging="345"/>
        <w:spacing w:after="0" w:line="267" w:lineRule="auto"/>
        <w:tabs>
          <w:tab w:leader="none" w:pos="21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the terms and conditions of the Merger Agreement, the Separation Agreement and the other Transaction Documents, and the aggregate consideration to be paid by Gentherm pursuant to the Merger Agreement were the result of arm’s-length negotiations between representatives of Gentherm and Modine; and</w:t>
      </w:r>
    </w:p>
    <w:p>
      <w:pPr>
        <w:spacing w:after="0" w:line="6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Gentherm Board, in certain limited circumstances, to withdraw or modify its recommendation that Gentherm shareholders approve the Gentherm Share Issuance and the Charter Amendment.</w:t>
      </w:r>
    </w:p>
    <w:p>
      <w:pPr>
        <w:spacing w:after="0" w:line="125" w:lineRule="exact"/>
        <w:rPr>
          <w:sz w:val="20"/>
          <w:szCs w:val="20"/>
          <w:color w:val="auto"/>
        </w:rPr>
      </w:pPr>
    </w:p>
    <w:p>
      <w:pPr>
        <w:ind w:left="1360" w:right="759" w:firstLine="343"/>
        <w:spacing w:after="0" w:line="283" w:lineRule="auto"/>
        <w:rPr>
          <w:sz w:val="20"/>
          <w:szCs w:val="20"/>
          <w:color w:val="auto"/>
        </w:rPr>
      </w:pPr>
      <w:r>
        <w:rPr>
          <w:rFonts w:ascii="Times New Roman" w:cs="Times New Roman" w:eastAsia="Times New Roman" w:hAnsi="Times New Roman"/>
          <w:sz w:val="14"/>
          <w:szCs w:val="14"/>
          <w:color w:val="auto"/>
        </w:rPr>
        <w:t>The Gentherm Board also considered certain countervailing factors in its deliberations concerning the Merger and the other Transactions, including:</w:t>
      </w:r>
    </w:p>
    <w:p>
      <w:pPr>
        <w:spacing w:after="0" w:line="51" w:lineRule="exact"/>
        <w:rPr>
          <w:sz w:val="20"/>
          <w:szCs w:val="20"/>
          <w:color w:val="auto"/>
        </w:rPr>
      </w:pPr>
    </w:p>
    <w:p>
      <w:pPr>
        <w:ind w:left="2120" w:right="279" w:hanging="345"/>
        <w:spacing w:after="0" w:line="283" w:lineRule="auto"/>
        <w:tabs>
          <w:tab w:leader="none" w:pos="21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pursuing the Transactions could make it more difficult or effectively foreclose the opportunity in the near term to pursue other growth strategies or acquisitions;</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dilution of the ownership interests of Gentherm’s current shareholders that will result from the issuance of Gentherm Common Stock in the Merger;</w:t>
      </w:r>
    </w:p>
    <w:p>
      <w:pPr>
        <w:spacing w:after="0" w:line="51" w:lineRule="exact"/>
        <w:rPr>
          <w:rFonts w:ascii="Times New Roman" w:cs="Times New Roman" w:eastAsia="Times New Roman" w:hAnsi="Times New Roman"/>
          <w:sz w:val="14"/>
          <w:szCs w:val="14"/>
          <w:color w:val="auto"/>
        </w:rPr>
      </w:pPr>
    </w:p>
    <w:p>
      <w:pPr>
        <w:ind w:left="2120" w:right="439" w:hanging="345"/>
        <w:spacing w:after="0" w:line="261" w:lineRule="auto"/>
        <w:tabs>
          <w:tab w:leader="none" w:pos="21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in order to assure the tax-free nature of the Transactions, Gentherm may be required, pursuant to the Merger Agreement, to issue additional shares of Gentherm Common Stock to Modine shareholders as a result of changes in the ownership of Modine Common Stock and Gentherm Common Stock by shareholders who own both Modine Common Stock and Gentherm Common Stock between the execution of the Merger Agreement and the Closing;</w:t>
      </w:r>
    </w:p>
    <w:p>
      <w:pPr>
        <w:spacing w:after="0" w:line="67" w:lineRule="exact"/>
        <w:rPr>
          <w:rFonts w:ascii="Times New Roman" w:cs="Times New Roman" w:eastAsia="Times New Roman" w:hAnsi="Times New Roman"/>
          <w:sz w:val="14"/>
          <w:szCs w:val="14"/>
          <w:color w:val="auto"/>
        </w:rPr>
      </w:pPr>
    </w:p>
    <w:p>
      <w:pPr>
        <w:ind w:left="2120" w:right="399" w:hanging="345"/>
        <w:spacing w:after="0" w:line="267" w:lineRule="auto"/>
        <w:tabs>
          <w:tab w:leader="none" w:pos="21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notwithstanding the receipt of the IRS Ruling, the Gentherm Merger Tax Opinion, the Modine Merger Tax Opinion and the Modine Distribution Tax Opinion, the Transactions may not achieve their intended tax treatment, and Gentherm may in certain circumstances be required to indemnify Modine for liabilities associated with the failure to achieve such tax treatment;</w:t>
      </w:r>
    </w:p>
    <w:p>
      <w:pPr>
        <w:spacing w:after="0" w:line="61" w:lineRule="exact"/>
        <w:rPr>
          <w:rFonts w:ascii="Times New Roman" w:cs="Times New Roman" w:eastAsia="Times New Roman" w:hAnsi="Times New Roman"/>
          <w:sz w:val="14"/>
          <w:szCs w:val="14"/>
          <w:color w:val="auto"/>
        </w:rPr>
      </w:pPr>
    </w:p>
    <w:p>
      <w:pPr>
        <w:ind w:left="2120" w:right="419" w:hanging="345"/>
        <w:spacing w:after="0" w:line="267" w:lineRule="auto"/>
        <w:tabs>
          <w:tab w:leader="none" w:pos="21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imposed on Gentherm’s ability to take certain corporate actions under applicable U.S. federal income tax laws and the terms of the Tax Matters Agreement in order to preserve the tax treatment of the Transactions, which could reduce Gentherm’s ability to engage in certain future business transactions that may be advantageous;</w:t>
      </w:r>
    </w:p>
    <w:p>
      <w:pPr>
        <w:spacing w:after="0" w:line="61" w:lineRule="exact"/>
        <w:rPr>
          <w:rFonts w:ascii="Times New Roman" w:cs="Times New Roman" w:eastAsia="Times New Roman" w:hAnsi="Times New Roman"/>
          <w:sz w:val="14"/>
          <w:szCs w:val="14"/>
          <w:color w:val="auto"/>
        </w:rPr>
      </w:pPr>
    </w:p>
    <w:p>
      <w:pPr>
        <w:ind w:left="2120" w:right="219" w:hanging="345"/>
        <w:spacing w:after="0" w:line="267" w:lineRule="auto"/>
        <w:tabs>
          <w:tab w:leader="none" w:pos="21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challenges and difficulties, foreseen and unforeseen, relating to the separation of the Performance Technologies Business from the other businesses of Modine and the integration of the Performance Technologies Business with Gentherm’s operations, given the size of the Performance Technologies Business relative to Gentherm and its operations;</w:t>
      </w:r>
    </w:p>
    <w:p>
      <w:pPr>
        <w:spacing w:after="0" w:line="6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Gentherm may be unable to obtain the requisite affirmative vote of Gentherm shareholders to approve the Gentherm Share Issuance and the Charter Amendment;</w:t>
      </w:r>
    </w:p>
    <w:p>
      <w:pPr>
        <w:spacing w:after="0" w:line="5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increased revenues, earnings, growth rates, and synergies expected to result from the Transactions may fail to materialize or may not be realized within the expected time frame, or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86"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39"/>
        <w:spacing w:after="0" w:line="283" w:lineRule="auto"/>
        <w:rPr>
          <w:sz w:val="20"/>
          <w:szCs w:val="20"/>
          <w:color w:val="auto"/>
        </w:rPr>
      </w:pPr>
      <w:r>
        <w:rPr>
          <w:rFonts w:ascii="Times New Roman" w:cs="Times New Roman" w:eastAsia="Times New Roman" w:hAnsi="Times New Roman"/>
          <w:sz w:val="14"/>
          <w:szCs w:val="14"/>
          <w:color w:val="auto"/>
        </w:rPr>
        <w:t>that liabilities and expenses associated with the Performance Technologies Business or the integration of the Performance Technologies Business with Gentherm’s operations may prove greater than anticipated;</w:t>
      </w:r>
    </w:p>
    <w:p>
      <w:pPr>
        <w:spacing w:after="0" w:line="51" w:lineRule="exact"/>
        <w:rPr>
          <w:sz w:val="20"/>
          <w:szCs w:val="20"/>
          <w:color w:val="auto"/>
        </w:rPr>
      </w:pPr>
    </w:p>
    <w:p>
      <w:pPr>
        <w:ind w:left="2120" w:right="319" w:hanging="345"/>
        <w:spacing w:after="0" w:line="267"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one-time costs expected to be incurred in connection with the Transactions and the integration of the Performance Technologies Business with Gentherm’s operations, and the costs that Gentherm management believes are necessary to realize the anticipated synergies from the Transactions and the integration of the Performance Technologies Business with Gentherm’s operations;</w:t>
      </w:r>
    </w:p>
    <w:p>
      <w:pPr>
        <w:spacing w:after="0" w:line="6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projections of future results of operations of the combined company are necessarily estimates based on assumptions, and the risk that the combined company might not achieve those financial projections;</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state of the U.S. and global economies, including geopolitical risks and risks related to additional tariffs or trade restrictions and the current and potential impact of these conditions in both the near term and long term on Gentherm’s industry;</w:t>
      </w:r>
    </w:p>
    <w:p>
      <w:pPr>
        <w:spacing w:after="0" w:line="5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Transactions and the integration process may divert management attention and resources away from other strategic opportunities and from operational matters;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the Transactions will result in a substantial increase in Gentherm’s level of indebtedness;</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certain provisions of the Merger Agreement may dissuade third parties from seeking to acquire Gentherm or may otherwise increase the cost of any potential acquisition;</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pursuant to the Merger Agreement, Gentherm may be required to pay Modine a termination fee of $45.0 million if the Merger Agreement is terminated under certain limited circumstances;</w:t>
      </w:r>
    </w:p>
    <w:p>
      <w:pPr>
        <w:spacing w:after="0" w:line="5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Gentherm will be required to reimburse Modine for all or a portion of its financing-related expenses unless the Merger Agreement is terminated under certain limited circumstances;</w:t>
      </w:r>
    </w:p>
    <w:p>
      <w:pPr>
        <w:spacing w:after="0" w:line="51" w:lineRule="exact"/>
        <w:rPr>
          <w:rFonts w:ascii="Times New Roman" w:cs="Times New Roman" w:eastAsia="Times New Roman" w:hAnsi="Times New Roman"/>
          <w:sz w:val="14"/>
          <w:szCs w:val="14"/>
          <w:color w:val="auto"/>
        </w:rPr>
      </w:pPr>
    </w:p>
    <w:p>
      <w:pPr>
        <w:jc w:val="both"/>
        <w:ind w:left="2120" w:right="219" w:hanging="345"/>
        <w:spacing w:after="0" w:line="267"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inherent in requesting regulatory approval from multiple government agencies in multiple jurisdictions, as described in the section entitled “Regulatory Approvals,” that governmental authorities could attempt to condition their approval of the Transactions on compliance with certain burdensome conditions, or that regulatory approvals may be delayed;</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inability of Gentherm to influence the operations of the Performance Technologies Business during the time period prior to the Closing;</w:t>
      </w:r>
    </w:p>
    <w:p>
      <w:pPr>
        <w:spacing w:after="0" w:line="113" w:lineRule="exact"/>
        <w:rPr>
          <w:rFonts w:ascii="Times New Roman" w:cs="Times New Roman" w:eastAsia="Times New Roman" w:hAnsi="Times New Roman"/>
          <w:sz w:val="13"/>
          <w:szCs w:val="13"/>
          <w:color w:val="auto"/>
        </w:rPr>
      </w:pPr>
    </w:p>
    <w:p>
      <w:pPr>
        <w:ind w:left="2120" w:right="239" w:hanging="345"/>
        <w:spacing w:after="0" w:line="267"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impact of the restrictions under the Merger Agreement on Gentherm’s ability to take certain actions during the period between the execution of the Merger Agreement and the Closing, as described in the section entitled “The Merger Agreement-Conduct of Business Pending the Merger;”</w:t>
      </w:r>
    </w:p>
    <w:p>
      <w:pPr>
        <w:spacing w:after="0" w:line="61" w:lineRule="exact"/>
        <w:rPr>
          <w:rFonts w:ascii="Times New Roman" w:cs="Times New Roman" w:eastAsia="Times New Roman" w:hAnsi="Times New Roman"/>
          <w:sz w:val="14"/>
          <w:szCs w:val="14"/>
          <w:color w:val="auto"/>
        </w:rPr>
      </w:pPr>
    </w:p>
    <w:p>
      <w:pPr>
        <w:ind w:left="2120" w:right="599" w:hanging="345"/>
        <w:spacing w:after="0" w:line="267"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public announcement of the Transactions could have an adverse effect on Gentherm, including on Gentherm’s customers and operations and Gentherm’s ability to attract and retain key management and personnel during the period prior to the consummation of the Transactions;</w:t>
      </w:r>
    </w:p>
    <w:p>
      <w:pPr>
        <w:spacing w:after="0" w:line="6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for a limited period of time following the effectiveness of the Separation, the combined company will be dependent on the provision of certain transition services by Modine and will be required to provide certain transition services to Modine;</w:t>
      </w:r>
    </w:p>
    <w:p>
      <w:pPr>
        <w:spacing w:after="0" w:line="51" w:lineRule="exact"/>
        <w:rPr>
          <w:rFonts w:ascii="Times New Roman" w:cs="Times New Roman" w:eastAsia="Times New Roman" w:hAnsi="Times New Roman"/>
          <w:sz w:val="14"/>
          <w:szCs w:val="14"/>
          <w:color w:val="auto"/>
        </w:rPr>
      </w:pPr>
    </w:p>
    <w:p>
      <w:pPr>
        <w:jc w:val="both"/>
        <w:ind w:left="2120" w:right="339" w:hanging="345"/>
        <w:spacing w:after="0" w:line="267"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in order to preserve the tax-free nature of the Distribution and related transactions (including certain transactions undertaken as part of the Reorganization), Gentherm will be required to abide by certain restrictions for a period of time that could limit its ability to engage in certain future business transactions that might be advantageous;</w:t>
      </w:r>
    </w:p>
    <w:p>
      <w:pPr>
        <w:spacing w:after="0" w:line="61" w:lineRule="exact"/>
        <w:rPr>
          <w:rFonts w:ascii="Times New Roman" w:cs="Times New Roman" w:eastAsia="Times New Roman" w:hAnsi="Times New Roman"/>
          <w:sz w:val="14"/>
          <w:szCs w:val="14"/>
          <w:color w:val="auto"/>
        </w:rPr>
      </w:pPr>
    </w:p>
    <w:p>
      <w:pPr>
        <w:ind w:left="2120" w:right="859" w:hanging="345"/>
        <w:spacing w:after="0" w:line="283" w:lineRule="auto"/>
        <w:tabs>
          <w:tab w:leader="none" w:pos="21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indemnities being provided by the combined company to Modine under the Separation Agreement and the other Transaction Documents;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386"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299" w:hanging="345"/>
        <w:spacing w:after="0" w:line="283" w:lineRule="auto"/>
        <w:tabs>
          <w:tab w:leader="none" w:pos="21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company’s assumption from Modine of certain liabilities relating to the Performance Technologies Business, as described in the sections entitled “Separation and Distribution Agreement;”</w:t>
      </w:r>
    </w:p>
    <w:p>
      <w:pPr>
        <w:spacing w:after="0" w:line="5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downward pressure on the share price of Gentherm Common Stock that may result after the completion of the Transactions if the combined company’s shareholders seek to sell their shares of Gentherm Common Stock and the possibility of associated shareholder litigation;</w:t>
      </w:r>
    </w:p>
    <w:p>
      <w:pPr>
        <w:spacing w:after="0" w:line="6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Gentherm’s executive officers may have certain interests in or receive certain benefits from the Transactions that are different from, or in addition to, those of Gentherm shareholders, as described in the section entitled “The Transactions-Interests of Directors and Executive Officers in the Merger;”</w:t>
      </w:r>
    </w:p>
    <w:p>
      <w:pPr>
        <w:spacing w:after="0" w:line="61"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Transactions may not be consummated in a timely manner or at all, including for reasons outside the control of Gentherm or Modine, and the potential adverse consequences, including substantial costs that would be incurred, potential market reaction, and potential damage to Gentherm’s reputation, if the Transactions are not consummated or the Closing does not occur; and</w:t>
      </w:r>
    </w:p>
    <w:p>
      <w:pPr>
        <w:spacing w:after="0" w:line="61" w:lineRule="exact"/>
        <w:rPr>
          <w:rFonts w:ascii="Times New Roman" w:cs="Times New Roman" w:eastAsia="Times New Roman" w:hAnsi="Times New Roman"/>
          <w:sz w:val="14"/>
          <w:szCs w:val="14"/>
          <w:color w:val="auto"/>
        </w:rPr>
      </w:pPr>
    </w:p>
    <w:p>
      <w:pPr>
        <w:ind w:left="2120" w:right="839" w:hanging="345"/>
        <w:spacing w:after="0" w:line="283" w:lineRule="auto"/>
        <w:tabs>
          <w:tab w:leader="none" w:pos="21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of the type and nature described in the section entitled “Risk Factors” and the matters described in the section entitled “Cautionary Statement Concerning Forward-Looking Statements.”</w:t>
      </w:r>
    </w:p>
    <w:p>
      <w:pPr>
        <w:spacing w:after="0" w:line="125"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The foregoing discussion of the information and factors considered by the Gentherm Board is not exhaustive, but includes the material factors considered by the Gentherm Board, including factors that support the Transactions as well as those that weigh against them. In view of the wide variety of factors considered by the Gentherm Board in connection with its evaluation of the Transactions and the complexity of these matters, the Gentherm Board did not consider it practical to, nor did it attempt to, quantify, rank or otherwise assign relative weights to the specific factors that it considered in reaching its decision. Rather, the Gentherm Board based its recommendation on the totality of the information presented to and considered by it. The Gentherm Board evaluated the factors described above with the assistance of Gentherm management and its legal and financial advisors. In considering the factors described above, individual members of the Gentherm Board may have viewed factors differently or given different weights to other or different factors.</w:t>
      </w:r>
    </w:p>
    <w:p>
      <w:pPr>
        <w:spacing w:after="0" w:line="145"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In considering the recommendation of the Gentherm Board, you should be aware that certain of Gentherm’s directors and executive officers may have interests in the Transactions that may be different from, or in addition to, the interests of Gentherm shareholders generally. The Gentherm Board was aware of these interests and considered them when evaluating, negotiating and approving the Transaction, and in recommending to Gentherm shareholders that they vote in favor of the Gentherm Share Issuance Proposal and the Charter Amendment Proposal. See the section entitled “-Interests of Directors and Executive Officers in the Merger.”</w:t>
      </w:r>
    </w:p>
    <w:p>
      <w:pPr>
        <w:spacing w:after="0" w:line="144"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This explanation of the factors considered by the Gentherm Board utilizes forward-looking information and, therefore, should be read in light of the factors discussed in the sections entitled “Cautionary Statement Concerning Forward-Looking Statements” and “Risk Factors.”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Modine’s Reasons for the Merger; Recommendation of Modine’s Board</w:t>
      </w:r>
    </w:p>
    <w:p>
      <w:pPr>
        <w:spacing w:after="0" w:line="93"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In deciding to approve the Transactions, the Modine Board, in consultation with Modine’s senior management and Modine’s financial and legal advisors, considered a wide variety of factors, including:</w:t>
      </w:r>
    </w:p>
    <w:p>
      <w:pPr>
        <w:spacing w:after="0" w:line="51" w:lineRule="exact"/>
        <w:rPr>
          <w:sz w:val="20"/>
          <w:szCs w:val="20"/>
          <w:color w:val="auto"/>
        </w:rPr>
      </w:pPr>
    </w:p>
    <w:p>
      <w:pPr>
        <w:ind w:left="2120" w:hanging="345"/>
        <w:spacing w:after="0"/>
        <w:tabs>
          <w:tab w:leader="none" w:pos="21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Modine expectations that the Transactions will:</w:t>
      </w:r>
    </w:p>
    <w:p>
      <w:pPr>
        <w:spacing w:after="0" w:line="21"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 Modine’s transformation into a pure-play climate solutions company focused on high-growth, high-margin end markets;</w:t>
      </w:r>
    </w:p>
    <w:p>
      <w:pPr>
        <w:spacing w:after="0" w:line="87" w:lineRule="exact"/>
        <w:rPr>
          <w:rFonts w:ascii="Times New Roman" w:cs="Times New Roman" w:eastAsia="Times New Roman" w:hAnsi="Times New Roman"/>
          <w:sz w:val="14"/>
          <w:szCs w:val="14"/>
          <w:color w:val="auto"/>
        </w:rPr>
      </w:pPr>
    </w:p>
    <w:p>
      <w:pPr>
        <w:ind w:left="2460" w:right="379" w:hanging="254"/>
        <w:spacing w:after="0" w:line="283" w:lineRule="auto"/>
        <w:tabs>
          <w:tab w:leader="none" w:pos="246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enable Modine to further refine its product portfolio by redeploying resources toward high-return initiatives in data center cooling, commercial HVAC and refrigeration technologies;</w:t>
      </w:r>
    </w:p>
    <w:p>
      <w:pPr>
        <w:spacing w:after="0" w:line="51" w:lineRule="exact"/>
        <w:rPr>
          <w:rFonts w:ascii="Times New Roman" w:cs="Times New Roman" w:eastAsia="Times New Roman" w:hAnsi="Times New Roman"/>
          <w:sz w:val="14"/>
          <w:szCs w:val="14"/>
          <w:color w:val="auto"/>
        </w:rPr>
      </w:pPr>
    </w:p>
    <w:p>
      <w:pPr>
        <w:ind w:left="2460" w:right="719" w:hanging="254"/>
        <w:spacing w:after="0" w:line="283" w:lineRule="auto"/>
        <w:tabs>
          <w:tab w:leader="none" w:pos="246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significantly enhance Modine’s growth profile by enabling Modine to prioritize compelling organic and inorganic expansion opportunities;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386"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460" w:hanging="254"/>
        <w:spacing w:after="0"/>
        <w:tabs>
          <w:tab w:leader="none" w:pos="246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Modine to reduce debt and enhance Modine’s financial flexibility to invest in strategic markets and core product platforms;</w:t>
      </w:r>
    </w:p>
    <w:p>
      <w:pPr>
        <w:spacing w:after="0" w:line="101" w:lineRule="exact"/>
        <w:rPr>
          <w:rFonts w:ascii="Times New Roman" w:cs="Times New Roman" w:eastAsia="Times New Roman" w:hAnsi="Times New Roman"/>
          <w:sz w:val="14"/>
          <w:szCs w:val="14"/>
          <w:color w:val="auto"/>
        </w:rPr>
      </w:pPr>
    </w:p>
    <w:p>
      <w:pPr>
        <w:ind w:left="2460" w:right="559" w:hanging="254"/>
        <w:spacing w:after="0" w:line="261" w:lineRule="auto"/>
        <w:tabs>
          <w:tab w:leader="none" w:pos="246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 Modine shareholders the opportunity to benefit from their ownership of (1) 100% of Modine’s high-performing, pure-play climate solutions business and (2) 40%, subject to adjustment, of the combined company (without taking into account any overlapping shareholder ownership), which is expected to benefit from synergies and to be a leading provider of thermal management solutions and precision flow management across multiple attractive end markets;</w:t>
      </w:r>
    </w:p>
    <w:p>
      <w:pPr>
        <w:spacing w:after="0" w:line="67" w:lineRule="exact"/>
        <w:rPr>
          <w:rFonts w:ascii="Times New Roman" w:cs="Times New Roman" w:eastAsia="Times New Roman" w:hAnsi="Times New Roman"/>
          <w:sz w:val="14"/>
          <w:szCs w:val="14"/>
          <w:color w:val="auto"/>
        </w:rPr>
      </w:pPr>
    </w:p>
    <w:p>
      <w:pPr>
        <w:ind w:left="2460" w:hanging="254"/>
        <w:spacing w:after="0"/>
        <w:tabs>
          <w:tab w:leader="none" w:pos="246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a tax-efficient disposition of the Performance Technologies Business for Modine and Modine’s shareholders; and</w:t>
      </w:r>
    </w:p>
    <w:p>
      <w:pPr>
        <w:spacing w:after="0" w:line="101" w:lineRule="exact"/>
        <w:rPr>
          <w:rFonts w:ascii="Times New Roman" w:cs="Times New Roman" w:eastAsia="Times New Roman" w:hAnsi="Times New Roman"/>
          <w:sz w:val="14"/>
          <w:szCs w:val="14"/>
          <w:color w:val="auto"/>
        </w:rPr>
      </w:pPr>
    </w:p>
    <w:p>
      <w:pPr>
        <w:ind w:left="2460" w:right="299" w:hanging="254"/>
        <w:spacing w:after="0" w:line="283" w:lineRule="auto"/>
        <w:tabs>
          <w:tab w:leader="none" w:pos="246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enable Modine to select, after good-faith negotiation with Gentherm, two individuals to join the Gentherm Board as of the Effective Time whom the Modine Board believes will make meaningful contributions to long-term value creation at the combined company;</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strategic alternatives available to Modine with respect to the Performance Technologies Business and the potential risks and benefits of such alternatives; and</w:t>
      </w:r>
    </w:p>
    <w:p>
      <w:pPr>
        <w:spacing w:after="0" w:line="5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terms and conditions of the Merger Agreement, the Separation Agreement and the other Transaction Documents, which are summarized in this proxy statement/prospectus.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Modine Board also considered a variety of risks and potentially negative factors in its evaluation of the Transactions, including:</w:t>
      </w:r>
    </w:p>
    <w:p>
      <w:pPr>
        <w:spacing w:after="0" w:line="102" w:lineRule="exact"/>
        <w:rPr>
          <w:sz w:val="20"/>
          <w:szCs w:val="20"/>
          <w:color w:val="auto"/>
        </w:rPr>
      </w:pPr>
    </w:p>
    <w:p>
      <w:pPr>
        <w:ind w:left="2120" w:right="279" w:hanging="345"/>
        <w:spacing w:after="0" w:line="283" w:lineRule="auto"/>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Transactions may not be completed on the terms or timeline currently contemplated by Modine and Gentherm, or at all, including for reasons outside of the control of Modine or Gentherm;</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completion of the Transactions or the failure to complete the Transactions could negatively affect Modine’s stock price and future business and financial results;</w:t>
      </w:r>
    </w:p>
    <w:p>
      <w:pPr>
        <w:spacing w:after="0" w:line="51" w:lineRule="exact"/>
        <w:rPr>
          <w:rFonts w:ascii="Times New Roman" w:cs="Times New Roman" w:eastAsia="Times New Roman" w:hAnsi="Times New Roman"/>
          <w:sz w:val="14"/>
          <w:szCs w:val="14"/>
          <w:color w:val="auto"/>
        </w:rPr>
      </w:pPr>
    </w:p>
    <w:p>
      <w:pPr>
        <w:ind w:left="2120" w:right="439" w:hanging="345"/>
        <w:spacing w:after="0" w:line="261" w:lineRule="auto"/>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value of the Gentherm Common Stock received by the Modine shareholders in the Merger (which will represent a fixed percentage of the outstanding shares of Gentherm Common Stock, subject to adjustment as set forth in the Merger Agreement) could fluctuate significantly based on a number of factors, including factors outside of the control of Modine and/or Gentherm or that are unrelated to the performance of the Performance Technologies Business;</w:t>
      </w:r>
    </w:p>
    <w:p>
      <w:pPr>
        <w:spacing w:after="0" w:line="67"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Performance Technologies Business may be unable to retain or recruit employees or maintain or renew relationships with existing customers, suppliers and other third parties;</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and significant one-time costs relating to the Transactions, including the time and resources required to effect the Separation and the potential diversion of the attention of Modine’s management from operational matters and other strategic opportunities;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not realizing the anticipated benefits of the Transactions;</w:t>
      </w:r>
    </w:p>
    <w:p>
      <w:pPr>
        <w:spacing w:after="0" w:line="101" w:lineRule="exact"/>
        <w:rPr>
          <w:rFonts w:ascii="Times New Roman" w:cs="Times New Roman" w:eastAsia="Times New Roman" w:hAnsi="Times New Roman"/>
          <w:sz w:val="14"/>
          <w:szCs w:val="14"/>
          <w:color w:val="auto"/>
        </w:rPr>
      </w:pPr>
    </w:p>
    <w:p>
      <w:pPr>
        <w:ind w:left="2120" w:right="619" w:hanging="345"/>
        <w:spacing w:after="0" w:line="323" w:lineRule="auto"/>
        <w:tabs>
          <w:tab w:leader="none" w:pos="212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 that the Distribution together with certain related transactions might not qualify as generally tax-free under Sections 355 and 368(a) of the Code or that the Merger might not qualify as a generally tax-free “reorganization” under Section 368(a) of the Code;</w:t>
      </w:r>
    </w:p>
    <w:p>
      <w:pPr>
        <w:spacing w:after="0" w:line="28" w:lineRule="exact"/>
        <w:rPr>
          <w:rFonts w:ascii="Times New Roman" w:cs="Times New Roman" w:eastAsia="Times New Roman" w:hAnsi="Times New Roman"/>
          <w:sz w:val="13"/>
          <w:szCs w:val="13"/>
          <w:color w:val="auto"/>
        </w:rPr>
      </w:pPr>
    </w:p>
    <w:p>
      <w:pPr>
        <w:ind w:left="2120" w:right="619" w:hanging="345"/>
        <w:spacing w:after="0" w:line="323" w:lineRule="auto"/>
        <w:tabs>
          <w:tab w:leader="none" w:pos="212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the Merger Agreement that restrict Modine’s ability to solicit or participate in discussions or negotiations regarding certain alternative acquisition proposals for the Performance Technologies Business during the pendency of the Transactions;</w:t>
      </w:r>
    </w:p>
    <w:p>
      <w:pPr>
        <w:spacing w:after="0" w:line="28" w:lineRule="exact"/>
        <w:rPr>
          <w:rFonts w:ascii="Times New Roman" w:cs="Times New Roman" w:eastAsia="Times New Roman" w:hAnsi="Times New Roman"/>
          <w:sz w:val="13"/>
          <w:szCs w:val="13"/>
          <w:color w:val="auto"/>
        </w:rPr>
      </w:pPr>
    </w:p>
    <w:p>
      <w:pPr>
        <w:ind w:left="2120" w:right="339" w:hanging="345"/>
        <w:spacing w:after="0" w:line="283" w:lineRule="auto"/>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to preserve the tax-free nature of the Distribution and related transactions, Modine is subject to certain restrictions that could limit its ability to undertake certain future transactions;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of the type and nature described under the section of this proxy statement/prospectus entitled “Risk Factors.”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386"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The discussion of the information and factors considered by the Modine Board is not exhaustive. In view of the wide variety and complexity of the factors that the Modine Board considered, the Modine Board did not consider it practical, and did not attempt, to quantify, rank or otherwise assign relative weights to the specific factors that it considered in reaching its decision. Instead, the Modine Board based its decision to approve the Merger Agreement, the Separation Agreement, the other Transaction Documents and the Transactions on the totality of the information presented to and considered by it.</w:t>
      </w:r>
    </w:p>
    <w:p>
      <w:pPr>
        <w:spacing w:after="0" w:line="144" w:lineRule="exact"/>
        <w:rPr>
          <w:sz w:val="20"/>
          <w:szCs w:val="20"/>
          <w:color w:val="auto"/>
        </w:rPr>
      </w:pPr>
    </w:p>
    <w:p>
      <w:pPr>
        <w:jc w:val="both"/>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The discussion of the Modine Board’s reasons for the Transactions and the information and factors considered by the Modine Board is forward looking in nature and should be read in light of the factors discussed in the sections of this proxy statement/prospectus entitled “Cautionary Statement Concerning Forward-Looking Statements” and “Risk Factors.”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Certain Financial Forecasts</w:t>
      </w:r>
    </w:p>
    <w:p>
      <w:pPr>
        <w:spacing w:after="0" w:line="93"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As a matter of course, neither Gentherm nor Modine generally makes public any long-term projections as to the future performance, earnings or other results, of Gentherm or Modine (or the Performance Technologies Business), respectively, other than quarterly and annual guidance that may be provided to investors, including at an investor day, and, from time to time, longer-term financial targets, as applicable, given the inherent unpredictability of the underlying assumptions and estimates for extended periods.</w:t>
      </w:r>
    </w:p>
    <w:p>
      <w:pPr>
        <w:spacing w:after="0" w:line="141"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However, in connection with Gentherm’s consideration of the potential combination of Gentherm and the Performance Technologies Business, Gentherm management prepared and provided to the Gentherm Board in December 2025 certain non-public financial projections related to Gentherm, as a standalone business, for the fiscal years ending December 31, 2026 through 2030 (the “Gentherm Management Financial Projections”). Gentherm also provided the Gentherm Management Financial Projections to Modine in connection with Modine’s due diligence review of Gentherm. In addition, in connection with Gentherm’s due diligence review of the Performance Technologies Business, Modine management provided to Gentherm certain non-public financial projections related to the Performance Technologies Business for fiscal years ending March 31, 2026 through 2030 (such financial projections, the “Modine Management SpinCo Financial Projections”). Gentherm management made certain adjustments to the Modine Management SpinCo Financial Projections based on Gentherm management’s judgment and experience in the industry, its evaluation of the Performance Technologies Business in due diligence and its discussions with Modine management (including the management of the Performance Technologies Business). Gentherm management provided these adjusted financial projections for the Performance Technologies Business to the Gentherm Board in January 2026 (such adjusted projections with respect to the Performance Technologies Business, the “Gentherm Management Adjusted SpinCo Financial Projections”). Gentherm management also provided to the Gentherm Board in January 2026 certain estimates of synergies with respect to the combined company estimated by Gentherm management to result from the Transactions, beginning in Gentherm’s fiscal year ending December 31, 2027 (the “Gentherm Management Estimated Synergies”). On January 14 and 28, 2026, the Gentherm Board reviewed and considered the Gentherm Management Financial Projections, the Gentherm Management Adjusted SpinCo Financial Projections and the Gentherm Management Estimated Synergies in connection with the financial analyses and opinion described under “Opinion of Barclays.” The Gentherm Management Financial Projections, the Gentherm Management Adjusted SpinCo Financial Projections and the Gentherm Management Estimated Synergies are referred to herein as, the “Gentherm Projections” (and together with the Modine Management SpinCo Financial Projections, the “Financial Projections”).</w:t>
      </w:r>
    </w:p>
    <w:p>
      <w:pPr>
        <w:spacing w:after="0" w:line="15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The Financial Projections were not prepared with a view toward public disclosure and the summary thereof is included in this proxy statement/prospectus solely to give Gentherm shareholders access to certain information that was made available to the Gentherm Board in connection with the Gentherm Board’s consideration of the Transactions and to Gentherm’s financial advisor. The summary is not included in this proxy statement/prospectus to influence any Gentherm shareholders to make any investment or voting decision with respect to the Transactions or for any other purpose. In particular, the Financial Projections should not be viewed as public</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86"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guidance. By including the Financial Projections in this proxy statement/prospectus, none of Gentherm, Modine, the Performance Technologies Business nor any of their respective affiliates, advisors, officers, directors or representatives has made or makes any representation to any security holder regarding the information included in the Financial Projections or the ultimate performance of Gentherm, SpinCo or any of their respective affiliates or the combined company compared to the information contained in the Financial Projections. Neither Modine nor Gentherm has made any representation in the Merger Agreement, the other Transaction Documents or otherwise, concerning the Financial Projections. The Financial Projections were prepared by, or at the direction of, Gentherm management (as they relate to the Gentherm Projections) and Modine management (as they relate to the Modine Management SpinCo Financial Projections) and were not prepared with a view toward compliance</w:t>
      </w:r>
    </w:p>
    <w:p>
      <w:pPr>
        <w:spacing w:after="0" w:line="4" w:lineRule="exact"/>
        <w:rPr>
          <w:sz w:val="20"/>
          <w:szCs w:val="20"/>
          <w:color w:val="auto"/>
        </w:rPr>
      </w:pPr>
    </w:p>
    <w:p>
      <w:pPr>
        <w:ind w:left="1360" w:right="699"/>
        <w:spacing w:after="0" w:line="261" w:lineRule="auto"/>
        <w:rPr>
          <w:sz w:val="20"/>
          <w:szCs w:val="20"/>
          <w:color w:val="auto"/>
        </w:rPr>
      </w:pPr>
      <w:r>
        <w:rPr>
          <w:rFonts w:ascii="Times New Roman" w:cs="Times New Roman" w:eastAsia="Times New Roman" w:hAnsi="Times New Roman"/>
          <w:sz w:val="14"/>
          <w:szCs w:val="14"/>
          <w:color w:val="auto"/>
        </w:rPr>
        <w:t>with published guidelines of the SEC or the guidelines established by the American Institute of Certified Public Accountants for preparation and presentation of prospective financial information.</w:t>
      </w:r>
    </w:p>
    <w:p>
      <w:pPr>
        <w:spacing w:after="0" w:line="140"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Certain of the financial information contained in the Financial Projections are considered non-GAAP financial measures. Gentherm management and Modine management provided this information because Gentherm and Modine management believed it could be useful in evaluating the businesses that are the subject of such financial information. Non-GAAP financial measures should not be considered in isolation from, or as a substitute for, financial information presented in compliance with GAAP, and non-GAAP financial measures as used by each of Gentherm and Modine may not be comparable to similarly titled amounts used by other companies. Financial measures provided to any financial advisor in this context were not prepared with a view toward public disclosure and are excluded from the definition of non-GAAP financial measures under applicable SEC rules and regulations. As a result, such Financial Projections are not subject to SEC rules regarding disclosures of non-GAAP financial measures, which would otherwise require a reconciliation of a non-GAAP financial measure to a GAAP financial measure.</w:t>
      </w:r>
    </w:p>
    <w:p>
      <w:pPr>
        <w:spacing w:after="0" w:line="145"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The unaudited forward-looking financial information included in this proxy statement/prospectus has been prepared by, and is the responsibility of, Gentherm management and Modine management, as applicable.</w:t>
      </w:r>
    </w:p>
    <w:p>
      <w:pPr>
        <w:spacing w:after="0" w:line="125"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Ernst &amp; Young LLP has not audited, reviewed, examined, compiled nor applied agreed-upon procedures with respect to the unaudited forward-looking financial information contained in this proxy statement/prospectus and, accordingly, Ernst &amp; Young LLP does not express an opinion or any other form of assurance with respect thereto. The report of Ernst &amp; Young LLP incorporated by reference in this proxy statement/prospectus relates to Gentherm’s previously issued financial statements. It does not extend to the unaudited forward-looking financial information and should not be read to do so.</w:t>
      </w:r>
    </w:p>
    <w:p>
      <w:pPr>
        <w:spacing w:after="0" w:line="144" w:lineRule="exact"/>
        <w:rPr>
          <w:sz w:val="20"/>
          <w:szCs w:val="20"/>
          <w:color w:val="auto"/>
        </w:rPr>
      </w:pPr>
    </w:p>
    <w:p>
      <w:pPr>
        <w:ind w:left="1360" w:right="439" w:firstLine="343"/>
        <w:spacing w:after="0" w:line="258" w:lineRule="auto"/>
        <w:rPr>
          <w:sz w:val="20"/>
          <w:szCs w:val="20"/>
          <w:color w:val="auto"/>
        </w:rPr>
      </w:pPr>
      <w:r>
        <w:rPr>
          <w:rFonts w:ascii="Times New Roman" w:cs="Times New Roman" w:eastAsia="Times New Roman" w:hAnsi="Times New Roman"/>
          <w:sz w:val="14"/>
          <w:szCs w:val="14"/>
          <w:color w:val="auto"/>
        </w:rPr>
        <w:t>KPMG LLP has not audited, reviewed, examined, compiled nor applied agreed-upon procedures with respect to the unaudited forward-looking financial information contained in this proxy statement/prospectus and, accordingly, KPMG LLP does not express an opinion or any other form of assurance with respect thereto. The report of KPMG LLP included in this proxy statement/prospectus relates to the Performance Technologies Business’s audited financial statements for the years ended March 31, 2026, 2025 and 2024. The report does not extend to the unaudited forward-looking financial information and should not be read to do so.</w:t>
      </w:r>
    </w:p>
    <w:p>
      <w:pPr>
        <w:spacing w:after="0" w:line="144"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The Financial Projections are forward-looking statements that involve inherent risks and uncertainties. Further, the Financial Projections cover multiple years in the future and such information by its nature becomes less predictive with each successive quarter and year. The Financial Projections included in this proxy statement/prospectus should not be relied on as necessarily predictive of actual future events nor construed as financial guidance. Gentherm shareholders are urged to read the section of this proxy statement/prospectus entitled “Cautionary Statement Concerning Forward-Looking Statements” for additional information regarding the risks inherent in forward-looking information such as the Financial Projections. Gentherm shareholders also should review the factors described in the section of this proxy statement/prospectus entitled “Risk Factors” and those risk factors incorporated in this proxy statement/prospectus by reference from Item 1A of Gentherm’s annual report on Form 10-K for the fiscal year ended December 31, 2025, from Item 1A of Gentherm’s quarterly report on Form 10-Q for the quarter ended March 31, 2025, from Item 1A of Modine’s annual report on Form 10-K for</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386"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the fiscal year ended March 31, 2025 and from Item 1A of Modine’s quarterly report on Form 10-Q for the quarter ended December 31, 2025 and subsequent filings with the SEC. The Financial Projections also reflect numerous variables, expectations and assumptions available at the time they were prepared as to certain business decisions that are subject to change and such Financial Projections do not reflect revised prospects for Gentherm’s business or the Performance Technologies Business or changes in general business or economic conditions or any other transactions, circumstances or events occurring after the date they were prepared, including the Transactions contemplated by the Merger Agreement and the Separation Agreement and the effect of any failure of the Merger or the other Transactions to occur. As a result, actual results may differ materially from those contained in the Financial Projections. Accordingly, there can be no assurance that the Financial Projections summarized below will be realized or that actual results will not materially vary from such projections. Further, the inclusion of the summaries of the Financial Projections in this proxy statement/prospectus does not constitute an admission or representation by Gentherm, SpinCo or any of their respective affiliates that this information is material. Gentherm shareholders are urged to review the description of the reported and anticipated results of operations and financial condition and capital resources, including Gentherm’s and the Performance Technologies Business’s historical financial statements, included elsewhere in this proxy statement/prospectus.</w:t>
      </w:r>
    </w:p>
    <w:p>
      <w:pPr>
        <w:spacing w:after="0" w:line="150"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Gentherm and Modine do not intend to, and, except to the extent required by applicable law expressly disclaim any obligation to, update, revise or correct the Financial Projections to reflect circumstances existing or arising after the date such projections were generated or to reflect the occurrence of future events, even in the event that any or all of the assumptions underlying the Financial Projections are shown to be in error or any of the Financial Projections otherwise would not be realized.</w:t>
      </w:r>
    </w:p>
    <w:p>
      <w:pPr>
        <w:spacing w:after="0" w:line="141"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For the foregoing reasons, the inclusion of the Financial Projections in this proxy statement/prospectus should not be regarded as an indication that Gentherm, Modine, SpinCo or their respective affiliates or representatives considered or consider the Financial Projections to be necessarily predictive of actual future events, and the Financial Projections should not be relied upon as such. The Financial Projections should be evaluated in conjunction with the limitations described above and the historical financial statements and other information regarding Gentherm’s business and the Performance Technologies Business contained elsewhere in this proxy statement/prospectus. In light of the foregoing factors and the uncertainties inherent in financial projections, Gentherm shareholders are cautioned not to place undue reliance on the Financial Projections and urged to review Gentherm’s and the Performance Technologies Business’s historical financial statements, included elsewhere in this proxy statement/prospectus, for a description of their reported financial results.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Gentherm Management Financial Projections</w:t>
      </w:r>
    </w:p>
    <w:p>
      <w:pPr>
        <w:spacing w:after="0" w:line="93" w:lineRule="exact"/>
        <w:rPr>
          <w:sz w:val="20"/>
          <w:szCs w:val="20"/>
          <w:color w:val="auto"/>
        </w:rPr>
      </w:pPr>
    </w:p>
    <w:p>
      <w:pPr>
        <w:ind w:left="1360" w:right="319" w:firstLine="343"/>
        <w:spacing w:after="0" w:line="272" w:lineRule="auto"/>
        <w:rPr>
          <w:sz w:val="20"/>
          <w:szCs w:val="20"/>
          <w:color w:val="auto"/>
        </w:rPr>
      </w:pPr>
      <w:r>
        <w:rPr>
          <w:rFonts w:ascii="Times New Roman" w:cs="Times New Roman" w:eastAsia="Times New Roman" w:hAnsi="Times New Roman"/>
          <w:sz w:val="13"/>
          <w:szCs w:val="13"/>
          <w:color w:val="auto"/>
        </w:rPr>
        <w:t>The Gentherm Management Financial Projections were based upon numerous estimates, expectations, beliefs, opinions and assumptions with respect to Gentherm’s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Financial Projections were reasonable based on the information available to Gentherm management at the time prepared. However, the Gentherm Management Financial Projections are not a guarantee of actual future performance. The future financial results of Gentherm’s business may differ materially from those expressed in the Gentherm Management Financial Projections due to various factors, including factors that are beyond Gentherm’s ability to control or predict. In addition, the Gentherm Management Financial Projections</w:t>
      </w:r>
    </w:p>
    <w:p>
      <w:pPr>
        <w:spacing w:after="0" w:line="5" w:lineRule="exact"/>
        <w:rPr>
          <w:sz w:val="20"/>
          <w:szCs w:val="20"/>
          <w:color w:val="auto"/>
        </w:rPr>
      </w:pPr>
    </w:p>
    <w:p>
      <w:pPr>
        <w:ind w:left="1360" w:right="359" w:hanging="5"/>
        <w:spacing w:after="0" w:line="254" w:lineRule="auto"/>
        <w:tabs>
          <w:tab w:leader="none" w:pos="1527"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take into account any transactions, circumstances or events occurring after the date they were prepared, including the Transactions, costs and expenses incurred or to be incurred in connection 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86"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favorable than as set forth in the Gentherm Management Financial Projections; and (iii) are not, and should not be regarded as, a representation that any of the results or expectations contained in, or forming a part of, the Gentherm Management Financial Projections will be achieved. Certain of the key assumptions made by Gentherm management in connection with the preparation of the Gentherm Management Financial Projections include (A) a compound annual growth rate on revenue of 7.6% for the fiscal years ending December 31, 2025 through 2030 (reflecting Gentherm’s long-term growth characteristics, expected revenue from previously awarded automotive programs, growth of climate and comfort products outside of light vehicle, and medical growth based on new product launches), (B) a tax rate of approximately 26% (based on Gentherm’s targeted long-term rate), (C) a projected 12% Adjusted EBITDA margin for 2026 (with an expectation to expand to approximately 17% in 2030, as a result of, among other things, improvement in overall cost structure as a result of facility consolidation in Europe, Mexico, and China; the impact of incremental volume leverage due to higher revenues; the launch of higher margin automotive programs in the pneumatics business; and improved mix driven by higher margin light vehicle program launches and increased revenue medical and climate and comfort products outside of light vehicle, which each have favorable margins compared to Gentherm’s average ), and (D) projected free cash flows of approximately 6% of sales in 2026, which reflects some improvement over prior years given an increased internal focus on cash flow and reducing capital expenditures, expanding to 10% of sales in 2030 driven by Adjusted EBITDA margin expansion. The Gentherm Management Financial Projections were prepared based on Gentherm management’s reasonable judgment and estimates and knowledge of the industries in which Gentherm operates. No further probability assessment was undertaken with respect to these projections.</w:t>
      </w:r>
    </w:p>
    <w:p>
      <w:pPr>
        <w:spacing w:after="0" w:line="146"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material Gentherm Management Financial Projections for the fiscal years ending December 31, 2026 through 2030 and is subject to the important qualifications, limitations, and cautionary considerations described above.</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(USD in millions)</w:t>
            </w:r>
          </w:p>
        </w:tc>
        <w:tc>
          <w:tcPr>
            <w:tcW w:w="19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1"/>
                <w:szCs w:val="11"/>
                <w:b w:val="1"/>
                <w:bCs w:val="1"/>
                <w:color w:val="auto"/>
              </w:rPr>
              <w:t>Fiscal Year ending December 31,</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760" w:type="dxa"/>
            <w:vAlign w:val="bottom"/>
            <w:tcBorders>
              <w:bottom w:val="single" w:sz="8" w:color="CCEEFF"/>
            </w:tcBorders>
            <w:vMerge w:val="continue"/>
          </w:tcPr>
          <w:p>
            <w:pPr>
              <w:spacing w:after="0"/>
              <w:rPr>
                <w:sz w:val="9"/>
                <w:szCs w:val="9"/>
                <w:color w:val="auto"/>
              </w:rPr>
            </w:pPr>
          </w:p>
        </w:tc>
        <w:tc>
          <w:tcPr>
            <w:tcW w:w="198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2026E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2027E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2028E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2029E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2030E</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9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1,566</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1,750</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1,873</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2,031</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2,142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 (1)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Unlevered Free Cash Flow (2)</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700" w:right="499" w:hanging="345"/>
        <w:spacing w:after="0" w:line="261" w:lineRule="auto"/>
        <w:tabs>
          <w:tab w:leader="none" w:pos="17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and was calculated as earnings before interest, taxes, depreciation and amortization with corporate costs deducted and stock-based compensation not deducted.</w:t>
      </w:r>
    </w:p>
    <w:p>
      <w:pPr>
        <w:ind w:left="1700" w:right="879" w:hanging="345"/>
        <w:spacing w:after="0" w:line="261" w:lineRule="auto"/>
        <w:tabs>
          <w:tab w:leader="none" w:pos="17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a non-GAAP financial measure and was calculated as net operating profit after taxes, plus depreciation and amortization, minus capital expenditures and changes in net working capital and restructuring costs.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Modine Management SpinCo Financial Projections</w:t>
      </w:r>
    </w:p>
    <w:p>
      <w:pPr>
        <w:spacing w:after="0" w:line="9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The Modine Management SpinCo Financial Projections were based upon numerous estimates, expectations, beliefs, opinions and assumptions with respect to the Performance Technologies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Modine’s control and may not be realized. Modine management believes that the estimates and expectations, beliefs, opinions and assumptions used as a basis for the Modine Management SpinCo Financial Projections were reasonable based on the information available to Modine management at the time prepared. However, the Modine Management SpinCo Financial Projections are not a guarantee of actual future performance. The future financial results of the Performance Technologies Business may differ materially from those expressed in the Modine Management SpinCo Financial Projections due to various factors, including factors that are beyond Modine’s ability to control or predict. In addition, the Modine Management SpinCo Financial Projections (i) do not take into account any transactions, circumstances or events occurring after the date they were prepared, including the Transactions, costs and expenses incurred or to be incurred in connection</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386"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favorable than as set forth in the Modine Management SpinCo Financial Projections; and</w:t>
      </w:r>
    </w:p>
    <w:p>
      <w:pPr>
        <w:ind w:left="1360" w:right="219" w:hanging="5"/>
        <w:spacing w:after="0" w:line="250" w:lineRule="auto"/>
        <w:tabs>
          <w:tab w:leader="none" w:pos="1605"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and should not be regarded as, a representation that any of the results or expectations contained in, or forming a part of, the Modine Management SpinCo Financial Projections will be achieved. The Modine Management SpinCo Financial Projections were prepared on a pro forma basis to reflect the expected business organizational structure and go-forward operational alignment of the Performance Technologies Business, after giving effect to divestitures and products to be transferred to, and retained by, Modine in connection with the proposed Transactions. The material assumptions made by Modine’s management in connection with the preparation of the Modine Management SpinCo Financial Projections include assumptions regarding (1) product volumes and prices, which were informed by platform award timelines, booked business, customer guidance, customer inquiries, market intelligence and overall end-market trends across the On-Highway and Heavy-Duty Equipment operating segments; (2) gross margin expansion (from 18.2% in the fiscal year ending March 31, 2026 to 22.4% in the fiscal year ending March 31, 2030) due to operational efficiencies and cost saving initiatives, a more profitable product mix and the targeted attrition of low-margin programs, in each case, as a result of Modine’s 80/20 business model;</w:t>
      </w:r>
    </w:p>
    <w:p>
      <w:pPr>
        <w:spacing w:after="0" w:line="4" w:lineRule="exact"/>
        <w:rPr>
          <w:rFonts w:ascii="Times New Roman" w:cs="Times New Roman" w:eastAsia="Times New Roman" w:hAnsi="Times New Roman"/>
          <w:sz w:val="14"/>
          <w:szCs w:val="14"/>
          <w:color w:val="auto"/>
        </w:rPr>
      </w:pPr>
    </w:p>
    <w:p>
      <w:pPr>
        <w:ind w:left="1360" w:right="239"/>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(3) a 33% compound annual growth rate in the Power Generation business from the fiscal year ending March 31, 2026 through the fiscal year ending March 31, 2030, driven by differentiated technologies for use in data center applications; (4) operating expenses consistent with historical trends; (5) margin expansion of 477 basis points between the fiscal years ending March 31, 2026 and 2030, reflecting favorable operating leverage during that time;</w:t>
      </w:r>
    </w:p>
    <w:p>
      <w:pPr>
        <w:ind w:left="1360" w:right="33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the amount and timing of capital investment in the Performance Technologies Business increasing from $30 million in the fiscal year ending March 31, 2025 to $34 million in the fiscal year ending March 31, 2030; and (7) that there would not be any acquisitions or divestitures in the Performance Technologies Business during the period covered by the Modine Management SpinCo Financial Projections. The Modine Management SpinCo Financial Projections were prepared based on Modine management’s reasonable judgment and estimates and knowledge of the industries in which the Performance Technologies Business operates. No further probability assessment was undertaken with respect to these projections.</w:t>
      </w:r>
    </w:p>
    <w:p>
      <w:pPr>
        <w:spacing w:after="0" w:line="146"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material Modine Management SpinCo Financial Projections for the fiscal years ending March 31, 2026 through 2030 and is subject to the important qualifications, limitations, and cautionary considerations described above.</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(USD in millions)</w:t>
            </w:r>
          </w:p>
        </w:tc>
        <w:tc>
          <w:tcPr>
            <w:tcW w:w="19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Fiscal Year ending March 31,</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760" w:type="dxa"/>
            <w:vAlign w:val="bottom"/>
            <w:tcBorders>
              <w:bottom w:val="single" w:sz="8" w:color="CCEEFF"/>
            </w:tcBorders>
            <w:vMerge w:val="continue"/>
          </w:tcPr>
          <w:p>
            <w:pPr>
              <w:spacing w:after="0"/>
              <w:rPr>
                <w:sz w:val="9"/>
                <w:szCs w:val="9"/>
                <w:color w:val="auto"/>
              </w:rPr>
            </w:pPr>
          </w:p>
        </w:tc>
        <w:tc>
          <w:tcPr>
            <w:tcW w:w="198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2026E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2027E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2028E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2029E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2030E</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9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1,119</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1,195</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1,323</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1,394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1,482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 (1)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Unlevered Free Cash Flow (2)</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700" w:right="279" w:hanging="345"/>
        <w:spacing w:after="0" w:line="261" w:lineRule="auto"/>
        <w:tabs>
          <w:tab w:leader="none" w:pos="17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and was calculated as earnings before interest, taxes, depreciation and amortization and with corporate costs and stock-based compensation deducted.</w:t>
      </w:r>
    </w:p>
    <w:p>
      <w:pPr>
        <w:ind w:left="1700" w:right="879" w:hanging="345"/>
        <w:spacing w:after="0" w:line="261" w:lineRule="auto"/>
        <w:tabs>
          <w:tab w:leader="none" w:pos="170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a non-GAAP financial measure and was calculated as net operating profit after taxes, plus depreciation and amortization, minus capital expenditures and changes in net working capital.</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Gentherm Management Adjusted SpinCo Financial Projections</w:t>
      </w:r>
    </w:p>
    <w:p>
      <w:pPr>
        <w:spacing w:after="0" w:line="9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Gentherm management was provided, in connection with its due diligence review of the Performance Technologies Business, the Modine Management SpinCo Financial Projections as described above. Gentherm management made certain adjustments to the Modine Management SpinCo Financial Projections for the Performance Technologies Business based on Gentherm management’s judgment and experience in the industry, its evaluation of the Performance Technologies Business in due diligence and its discussions with Modine management (including the management of the Performance Technologies Business). These adjustments resulted in lower projected revenue in years 2027 through 2030 for both the On-Highway and Heavy-Duty Equipment segments and were driven by the removal of the expected results of certain programs that were included in the Modine Management SpinCo Financial Projections that Gentherm management viewed as high-risk, such as growth in electric commercial vehicle programs, as well as expected orders and increased penetration with</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86"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specific customers, that was anticipated but not sufficiently verifiable in the view of Gentherm management. In total, these reductions lowered the compounded annual growth rate of the Performance Technologies Business from 2026 through 2030 to approximately 5.0%, down 240 basis points versus the Modine Management SpinCo Financial Projections, as a result of Gentherm management’s view of market growth as informed by the commercial due diligence provided by Gentherm’s advisors. Gentherm’s adjustments to projected Adjusted EBITDA and unlevered free cash flow were impacted by the lower revenue assumptions, as well as Gentherm management’s increase in the estimate of the incremental cost to operate the Performance Technologies Business independent of Modine’s corporate support from approximately $10 million per year to $12 million during the forecasted period.</w:t>
      </w:r>
    </w:p>
    <w:p>
      <w:pPr>
        <w:spacing w:after="0" w:line="144" w:lineRule="exact"/>
        <w:rPr>
          <w:sz w:val="20"/>
          <w:szCs w:val="20"/>
          <w:color w:val="auto"/>
        </w:rPr>
      </w:pPr>
    </w:p>
    <w:p>
      <w:pPr>
        <w:ind w:left="1360" w:right="359" w:firstLine="343"/>
        <w:spacing w:after="0" w:line="254" w:lineRule="auto"/>
        <w:rPr>
          <w:sz w:val="20"/>
          <w:szCs w:val="20"/>
          <w:color w:val="auto"/>
        </w:rPr>
      </w:pPr>
      <w:r>
        <w:rPr>
          <w:rFonts w:ascii="Times New Roman" w:cs="Times New Roman" w:eastAsia="Times New Roman" w:hAnsi="Times New Roman"/>
          <w:sz w:val="14"/>
          <w:szCs w:val="14"/>
          <w:color w:val="auto"/>
        </w:rPr>
        <w:t>The Gentherm Management Adjusted SpinCo Financial Projections were based upon numerous estimates, expectations, beliefs, opinions and assumptions with respect to the Performance Technologies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Adjusted SpinCo Financial Projections were reasonable based on the information available to Gentherm management at the time prepared. However, the Gentherm Management Adjusted SpinCo Financial Projections are not a guarantee of actual future performance. The future financial results of the Performance Technologies Business may differ materially from those expressed in the Gentherm Management Adjusted SpinCo Financial Projections due to various factors, including factors that are beyond Gentherm’s ability to control or predict.</w:t>
      </w:r>
    </w:p>
    <w:p>
      <w:pPr>
        <w:spacing w:after="0" w:line="149"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In addition, the Gentherm Management Adjusted SpinCo Financial Projections (i) do not take into account any transactions, circumstances or events occurring after the date they were prepared, including the Transactions, costs and expenses incurred or to be incurred in connection 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favorable than as set forth in the Gentherm Management Adjusted SpinCo Financial Projections; and (iii) are not, and should not be regarded as, a representation that any of the results or expectations contained in, or forming a part of, the Gentherm Management Adjusted SpinCo Financial Projections will be achieved. Certain of the key assumptions made by Gentherm management in connection with the preparation of the Gentherm Management Adjusted SpinCo Financial Projections include the adjustments described above, as well as (i) annual stock-based compensation of approximately $1 million through 2030 not deducted from Adjusted EBITDA and (ii) an assumed tax rate of 21%. The Gentherm Management Adjusted SpinCo Financial Projections were prepared based on Gentherm management’s reasonable judgment and estimates and knowledge of the industries in which SpinCo operates. No further probability assessment was undertaken with respect to these projections.</w:t>
      </w:r>
    </w:p>
    <w:p>
      <w:pPr>
        <w:spacing w:after="0" w:line="144"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material Gentherm Management Adjusted SpinCo Financial Projections for the fiscal years ending March 31, 2026 through 2030 and is subject to the important qualifications, limitations, and cautionary considerations described above.</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7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(USD in millions)</w:t>
            </w:r>
          </w:p>
        </w:tc>
        <w:tc>
          <w:tcPr>
            <w:tcW w:w="19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Fiscal Year ending March 31,</w:t>
            </w: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760" w:type="dxa"/>
            <w:vAlign w:val="bottom"/>
            <w:tcBorders>
              <w:bottom w:val="single" w:sz="8" w:color="CCEEFF"/>
            </w:tcBorders>
            <w:vMerge w:val="continue"/>
          </w:tcPr>
          <w:p>
            <w:pPr>
              <w:spacing w:after="0"/>
              <w:rPr>
                <w:sz w:val="9"/>
                <w:szCs w:val="9"/>
                <w:color w:val="auto"/>
              </w:rPr>
            </w:pPr>
          </w:p>
        </w:tc>
        <w:tc>
          <w:tcPr>
            <w:tcW w:w="198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2026E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2027E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2028E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2029E</w:t>
            </w: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2030E</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7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9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1,118</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1,138</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1,221</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1,279</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1,353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 (1)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Unlevered Free Cash Flow (2)</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700" w:right="499" w:hanging="345"/>
        <w:spacing w:after="0" w:line="283" w:lineRule="auto"/>
        <w:tabs>
          <w:tab w:leader="none" w:pos="17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and was calculated as earnings before interest, taxes, depreciation and amortization with corporate costs deducted and stock-based compensation not deducted.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386"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879" w:hanging="345"/>
        <w:spacing w:after="0" w:line="283" w:lineRule="auto"/>
        <w:tabs>
          <w:tab w:leader="none" w:pos="17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is a non-GAAP financial measure and was calculated as net operating profit after taxes, plus depreciation and amortization, minus capital expenditures, changes in net working capital and restructuring costs.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Gentherm Management Estimated Synergies</w:t>
      </w:r>
    </w:p>
    <w:p>
      <w:pPr>
        <w:spacing w:after="0" w:line="93"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The Gentherm Management Estimated Synergies were prepared by Gentherm management. The Gentherm Management Estimated Synergies were derived in part from analysis of Gentherm and the Performance Technologies Business based on Gentherm management’s due diligence review. The Gentherm Management Estimated Synergies were based upon numerous estimates, expectations, beliefs, opinions and assumptions with respect to the post-Transaction combination of Gentherm and the Performance Technologies Business, including its cost and operating structure,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Estimated Synergies were reasonable based on the information available to Gentherm management at the time prepared. However, the Gentherm Management Estimated Synergies are not a guarantee of actual future performance or ability to achieve the estimated synergies. The future financial consequences to Gentherm of the consummation of the Transactions may differ materially from those expressed in the Gentherm Management Estimated Synergies due to various factors, including factors that are beyond Gentherm’s ability to control or predict. Important factors that may affect Gentherm’s actual ability to achieve these estimated synergies are further described under “Cautionary Statement Concerning Forward-Looking Statements.” Information regarding the uncertainties associated with realizing these estimated synergies is also described under “Risk Factors.”</w:t>
      </w:r>
    </w:p>
    <w:p>
      <w:pPr>
        <w:spacing w:after="0" w:line="149"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The Gentherm Management Estimated Synergies (i) assume the completion of the Transactions not later than the end of 2026 and are not necessarily indicative of current market conditions or values or future performance, which may be significantly more or less favorable than as set forth in the Gentherm Management Estimated Synergies; and (ii) are not, and should not be regarded as, a representation that any of the results or expectations contained in, or forming a part of, the Gentherm Management Estimated Synergies will be achieved. The Gentherm Management Estimated Synergies anticipate (i) approximately $12.0 million in annualized cost synergies and $15.0 million of integration expenses for the fiscal year ended March 31, 2028; (ii) approximately $24.0 million in annualized cost synergies and $12.0 million of integration expenses for the fiscal year ended March 31, 2029; and (iii) run-rate synergies of approximately $24.0 million starting for the fiscal year ending March 31, 2030, in each case, subject to the important qualifications, limitations, and cautionary considerations described above. These estimated synergies are primarily based on material assumptions regarding the results of anticipated overhead and support structure optimization through efficiencies in headcount and footprint optimization, reduced logistics costs as a result of various optimizing actions and other indirect savings attributable to the larger size of the combined company, including consolidating overlapping vendors, negotiating better rates and aligning procurement policies across Gentherm and the Performance Technologies Business. These estimated cost synergies represent approximately 2% of the estimated net sales of the Performance Technologies Business for the fiscal year ended March 31, 2026.</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 of Barclays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Gentherm engaged Barclays to act as its financial advisor with respect to the Transactions, pursuant to an engagement letter dated December 1,</w:t>
      </w:r>
    </w:p>
    <w:p>
      <w:pPr>
        <w:spacing w:after="0" w:line="22"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2025. At the meeting of the Gentherm Board on January 28, 2026, Barclays rendered its oral opinion, subsequently confirmed in a written opinion dated January 29, 2026, that as of such date, and based upon and subject to the various assumptions, procedures, matters, qualifications and limitations on the scope of the review undertaken by Barclays as set forth in the written opinion, the Exchange Ratio in the Merger was fair to Gentherm from a financial point of view.</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86"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The full text of the written opinion of Barclays, dated as of January 29, 2026, which sets forth, among other things, the assumptions made, procedures followed, matters considered, qualifications and limitations on the scope of the review undertaken by Barclays in rendering its opinion, is attached to this proxy statement/prospectus as Annex C. You are encouraged to read the opinion carefully and in its entirety. The summary of the opinion of Barclays set forth in this proxy statement/prospectus is qualified in its entirety by reference to the full text of the opinion.</w:t>
      </w:r>
    </w:p>
    <w:p>
      <w:pPr>
        <w:spacing w:after="0" w:line="143"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color w:val="auto"/>
        </w:rPr>
        <w:t>Barclays’ opinion, the issuance of which was approved by Barclays’ Valuation and Fairness Opinion Committee, is addressed to the Gentherm Board and addresses only the fairness, from a financial point of view, to Gentherm of the Exchange Ratio in the Merger as of the date of the opinion. Barclays’ opinion did not address any other aspect of the Merger or related transactions, including the prices at which Gentherm Common Stock will trade following consummation of the Merger or any other matter. The terms of the Transactions were determined through arm’s-length negotiations between Gentherm and Modine and were approved by the Gentherm Board. Barclays did not recommend any specific form of consideration to Gentherm or that any specific form of consideration constituted the only appropriate consideration for the Transactions. Barclays was not requested to address, and its opinion does not in any manner address, Gentherm’s underlying business decision to proceed with or effect the Transactions, the likelihood of consummation of the Transactions or the relative merits of the Transactions as compared to any other transaction or business strategy in which Gentherm may engage. In addition, Barclays expressed no opinion on, and its opinion does not in any manner address, the fairness of the amount or the nature of any compensation to any officers, directors or employees of any parties to the Transactions, or any class of such persons, relative to the consideration paid in the Transactions or otherwise. The opinion was addressed to, and rendered for the benefit of, the Gentherm Board and was not intended to, and did not, constitute advice or a recommendation to any shareholder of Gentherm as to how such shareholder should vote with respect to the Transactions.</w:t>
      </w:r>
    </w:p>
    <w:p>
      <w:pPr>
        <w:spacing w:after="0" w:line="1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arriving at its opinion, Barclays, among other things, reviewed and analyzed:</w:t>
      </w:r>
    </w:p>
    <w:p>
      <w:pPr>
        <w:spacing w:after="0" w:line="102" w:lineRule="exact"/>
        <w:rPr>
          <w:sz w:val="20"/>
          <w:szCs w:val="20"/>
          <w:color w:val="auto"/>
        </w:rPr>
      </w:pPr>
    </w:p>
    <w:p>
      <w:pPr>
        <w:ind w:left="2120" w:hanging="345"/>
        <w:spacing w:after="0"/>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Agreement, the Separation Agreement and the specific terms of the Transactions and certain other related documents;</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67"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available information concerning Gentherm, Modine and the Performance Technologies Business, that Barclays believed to be relevant to its analysis, including Gentherm’s and Modine’s Annual Reports on Form 10-K for the fiscal years ended December 31, 2024 and March 31, 2025, respectively, and Quarterly Reports on Form 10-Q for the fiscal quarter ended September 30, 2025;</w:t>
      </w:r>
    </w:p>
    <w:p>
      <w:pPr>
        <w:spacing w:after="0" w:line="61" w:lineRule="exact"/>
        <w:rPr>
          <w:rFonts w:ascii="Times New Roman" w:cs="Times New Roman" w:eastAsia="Times New Roman" w:hAnsi="Times New Roman"/>
          <w:sz w:val="14"/>
          <w:szCs w:val="14"/>
          <w:color w:val="auto"/>
        </w:rPr>
      </w:pPr>
    </w:p>
    <w:p>
      <w:pPr>
        <w:ind w:left="2120" w:right="279" w:hanging="345"/>
        <w:spacing w:after="0" w:line="255"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and operating information with respect to the business, operations and prospects of Gentherm and the Performance Technologies Business furnished to Barclays by Gentherm and Modine, including financial projections of the Performance Technologies Business prepared by Modine, referred to as the Modine Management SpinCo Financial Projections as summarized under “The Transactions – Certain Financial Forecasts – Modine Management SpinCo Financial Projections”, and adjusted by management of Gentherm, referred to as the Gentherm Management Adjusted SpinCo Financial Projections as summarized under “The Transactions – Certain Financial Forecasts – Gentherm Management Adjusted SpinCo Financial Projections”, and financial projections for Gentherm prepared by Gentherm, referred to as the Gentherm Management Financial Projections, as summarized under “The Transactions – Certain Financial Forecasts – Gentherm Management Financial Projections”;</w:t>
      </w:r>
    </w:p>
    <w:p>
      <w:pPr>
        <w:spacing w:after="0" w:line="7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trading history of shares of Gentherm Common Stock from January 23, 2025 to January 23, 2026 and a comparison of that trading history with those of other companies that Barclays deemed relevant;</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comparison of historical financial results and present financial condition of Gentherm and the Performance Technologies Business with each other and with those of other companies that Barclays deemed relevant;</w:t>
      </w:r>
    </w:p>
    <w:p>
      <w:pPr>
        <w:spacing w:after="0" w:line="5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comparison of the financial terms of the Transactions with the financial terms of certain other transactions that Barclays deemed relevant;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86"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79" w:hanging="345"/>
        <w:spacing w:after="0" w:line="261" w:lineRule="auto"/>
        <w:tabs>
          <w:tab w:leader="none" w:pos="21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impact of the Transactions on the future financial performance of the combined company, including the estimated operating synergies expected by the management of Gentherm to result from the combination of Gentherm and the Performance Technologies Business, referred to as the Gentherm Management Estimated Synergies, as summarized under “The Transactions – Certain Financial Forecasts – Gentherm Management Estimated Synergies”; and</w:t>
      </w:r>
    </w:p>
    <w:p>
      <w:pPr>
        <w:spacing w:after="0" w:line="67"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contributions of Gentherm and the Performance Technologies Business to the future financial performance of the combined company on a pro forma basis.</w:t>
      </w:r>
    </w:p>
    <w:p>
      <w:pPr>
        <w:spacing w:after="0" w:line="12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addition, Barclays had discussions with the management of Gentherm concerning its business, operations, assets, liabilities, financial condition and prospects and has undertaken such other studies, analyses and investigations as Barclays deemed appropriate.</w:t>
      </w:r>
    </w:p>
    <w:p>
      <w:pPr>
        <w:spacing w:after="0" w:line="125" w:lineRule="exact"/>
        <w:rPr>
          <w:sz w:val="20"/>
          <w:szCs w:val="20"/>
          <w:color w:val="auto"/>
        </w:rPr>
      </w:pPr>
    </w:p>
    <w:p>
      <w:pPr>
        <w:ind w:left="1360" w:right="259" w:firstLine="343"/>
        <w:spacing w:after="0" w:line="252" w:lineRule="auto"/>
        <w:rPr>
          <w:sz w:val="20"/>
          <w:szCs w:val="20"/>
          <w:color w:val="auto"/>
        </w:rPr>
      </w:pPr>
      <w:r>
        <w:rPr>
          <w:rFonts w:ascii="Times New Roman" w:cs="Times New Roman" w:eastAsia="Times New Roman" w:hAnsi="Times New Roman"/>
          <w:sz w:val="14"/>
          <w:szCs w:val="14"/>
          <w:color w:val="auto"/>
        </w:rPr>
        <w:t>In arriving at its opinion, Barclays assumed and relied upon the accuracy and completeness of the financial and other information used by Barclays without any independent verification of such information (and assumed no responsibility or liability for any independent verification of such information) and further relied upon the assurances of the management of Gentherm that they are not aware of any facts or circumstances that would make such information inaccurate or misleading. With respect to the Gentherm Management Financial Projections and the Gentherm Management Adjusted SpinCo Financial Projections, upon the advice of Gentherm, Barclays assumed that such projections were reasonably prepared on a basis reflecting the best currently available estimates and judgments of the management of Gentherm as to the future financial performance of Gentherm and the Performance Technologies Business, respectively, and that Gentherm and the Performance Technologies Business will perform substantially in accordance with such projections. Furthermore, upon the advice of Gentherm, Barclays assumed that the amounts and timing of the Gentherm Management Estimated Synergies are reasonable and that the Gentherm Management Estimated Synergies will be realized in accordance with such estimates. Barclays assumed no responsibility for and expressed no view as to any such projections or estimates or the assumptions on which they were based. In arriving at its opinion, Barclays did not conduct a physical inspection of the properties and facilities of Gentherm and did not make or obtain any evaluations or appraisals of the assets or liabilities of Gentherm. Barclays’ opinion related to the relative values of Gentherm and the Performance Technologies Business as of the date thereof. Barclays’ opinion necessarily was based upon market, economic and other conditions as they existed on, and could be evaluated as of, January 29, 2026. Barclays assumes no responsibility for updating or revising its opinion based on events or circumstances that may occur after January 29, 2026. Barclays expressed no opinion as to the prices at which shares of Gentherm Common Stock or shares of Modine Common Stock would trade following the announcement or consummation of the proposed Transactions. Barclays’ opinion should not be viewed as having provided any assurance that market value of the shares of Gentherm Common Stock or Modine Common Stock to be held by Gentherm shareholders or Modine shareholders after the consummation of the Transactions will be in excess of the market value of Gentherm Common Stock or Modine Common Stock owned by such shareholders at any time prior to the announcement or consummation of the Transactions.</w:t>
      </w:r>
    </w:p>
    <w:p>
      <w:pPr>
        <w:spacing w:after="0" w:line="152" w:lineRule="exact"/>
        <w:rPr>
          <w:sz w:val="20"/>
          <w:szCs w:val="20"/>
          <w:color w:val="auto"/>
        </w:rPr>
      </w:pPr>
    </w:p>
    <w:p>
      <w:pPr>
        <w:ind w:left="1360" w:right="379" w:firstLine="343"/>
        <w:spacing w:after="0" w:line="254" w:lineRule="auto"/>
        <w:rPr>
          <w:sz w:val="20"/>
          <w:szCs w:val="20"/>
          <w:color w:val="auto"/>
        </w:rPr>
      </w:pPr>
      <w:r>
        <w:rPr>
          <w:rFonts w:ascii="Times New Roman" w:cs="Times New Roman" w:eastAsia="Times New Roman" w:hAnsi="Times New Roman"/>
          <w:sz w:val="14"/>
          <w:szCs w:val="14"/>
          <w:color w:val="auto"/>
        </w:rPr>
        <w:t>Barclays assumed the accuracy of the representations and warranties contained in the Transaction Documents, as applicable, and all other agreements related thereto. Barclays assumed, upon the advice of Gentherm, that all material governmental, regulatory and third-party approvals, consents and releases for the proposed Transactions would be obtained within the constraints contemplated by the Transaction Documents and that the Transactions will be consummated in accordance with the terms of the Transaction Documents without waiver, modification or amendment of any material term, condition or agreement thereof. Barclays also assumed there would be no adjustment to the Exchange Ratio other than as expressly provided in, and solely to the extent required by and in accordance with, Section 3.1(c) of the Merger Agreement, and that any adjustment to the Exchange Ratio would not be in excess of the Final Adjustment Cap. Barclays did not express any opinion as to any tax or other consequences that might result from the Transactions, to any party or any shareholder, nor did the opinion address any legal, tax, regulatory or accounting matters, as to which Barclays understood that Gentherm had obtained such advice as it deemed necessary from qualified professionals. Barclays assumed that</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86"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Merger would qualify for U.S. Federal income tax purposes as a reorganization under the provisions of Section 368(a) of the Code, and that the Distribution would be generally tax-free to Modine and the shareholders of Modine pursuant to Section 355 of the Code. Barclays did not independently verify that this tax treatment would be available in respect of the Transactions, and expressed no view with respect to the tax treatment or consequences that will apply to or result from the Transactions.</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connection with rendering its opinion, Barclays performed certain financial, comparative and other analyses as summarized below. In arriving at its opinion, Barclays did not ascribe a specific range of values to the shares of Gentherm Common Stock or to the Performance Technologies Business but rather made its determination as to fairness, from a financial point of view, of the Exchange Ratio in the Merger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w:t>
      </w:r>
    </w:p>
    <w:p>
      <w:pPr>
        <w:spacing w:after="0" w:line="14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In arriving at its opinion, Barclays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Transactions. Accordingly, Barclays believes that its analyses must be considered as a whole, as considering any portion of such analyses and factors, without considering all analyses and factors as a whole, could create a misleading or incomplete view of the process underlying its opinion.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u w:val="single" w:color="auto"/>
          <w:color w:val="auto"/>
        </w:rPr>
        <w:t>Summary of Material Financial Analyses</w:t>
      </w:r>
    </w:p>
    <w:p>
      <w:pPr>
        <w:spacing w:after="0" w:line="9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The following is a summary of the material financial analyses used by Barclays in connection with its oral opinion and the preparation of its written opinion to the Gentherm Board dated January 29, 2026. The summary of Barclays’ analyses and reviews provided below is not a complete description of the analyses and reviews underlying Barclays’ opinion. The preparation of a fairness opinion is a complex process involving various determinations as to the most appropriate and relevant methods of analyses and review and the application of those methods to particular circumstances, and, therefore, is not readily susceptible to summary description.</w:t>
      </w:r>
    </w:p>
    <w:p>
      <w:pPr>
        <w:spacing w:after="0" w:line="144"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For the purposes of its analyses and reviews, Barclays made numerous assumptions with respect to industry performance, general business, economic, market and financial conditions and other matters, many of which are beyond the control of Gentherm, Modine, SpinCo or any other parties to the Transactions. No company, business or transaction considered in Barclays’ analyses and reviews is identical to Gentherm, the Performance Technologies Business or the Merger,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considered in Barclays’ analyses and reviews. None of Gentherm, SpinCo, Modine, Barclays or any other person assumes responsibility if future results are materially different from those discussed. Any estimates contained in these analyses and reviews and the ranges of valuations resulting from any particular analysis or review are not necessarily indicative of actual values or predictive of future results or values, which may be significantly more or less favorable than as set forth below. In addition, analyses relating to the value of companies, businesses or securities do not purport to be appraisals or reflect the prices at which the companies, businesses or securities may actually be sold. Accordingly, the estimates used in, and the results derived from, Barclays’ analyses and reviews are inherently subject to substantial uncertainty.</w:t>
      </w:r>
    </w:p>
    <w:p>
      <w:pPr>
        <w:spacing w:after="0" w:line="150"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The summary of the financial analyses and reviews summarized below include information presented in tabular format. In order to fully understand the financial analyses and reviews used by Barclays, the tables must be read together with the text of each summary, as the tables alone do not constitute a complete description of the financial analyses and reviews. Considering the data in the tables below without considering the full description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8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of the analyses and reviews, including the methodologies and assumptions underlying the analyses and reviews, could create a misleading or incomplete view of Barclays’ analyses and reviews.</w:t>
      </w:r>
    </w:p>
    <w:p>
      <w:pPr>
        <w:spacing w:after="0" w:line="125"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As noted above, Barclays’ opinion assumed there would be no adjustment to the Exchange Ratio other than as expressly provided in, and solely to the extent required by and in accordance with, Section 3.1(c) of the Merger Agreement, and that any adjustment to the Exchange Ratio would not be in excess of the Final Adjustment Cap.</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Discounted Cash Flow Analysis</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In order to estimate the present value of shares of Gentherm Common Stock and SpinCo Common Stock, Barclays performed a discounted cash flow analysis of Gentherm and the Performance Technologies Business.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Gentherm</w:t>
      </w:r>
    </w:p>
    <w:p>
      <w:pPr>
        <w:spacing w:after="0" w:line="93"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To calculate the estimated enterprise value of Gentherm using the discounted cash flow method, Barclays added (1) the present value of Gentherm’s projected unlevered free cash flows for the period between January 1, 2026 and December 31, 2030 based on the Gentherm Management Financial Projections to (2) the present value of the terminal value of Gentherm as of December 31, 2030, which present values were discounted using a range of selected discount rates from 10.5% to 11.5%. The unlevered free cash flows were calculated by taking the tax-effected earnings before interest and, adding back the aggregate of depreciation and amortization, subtracting capital expenditures and adjusting for changes in net working capital and restructuring costs. The residual value of Gentherm at the end of the forecast period, or “terminal value,” was estimated by applying a range of terminal exit multiples of 6.0x to 7.5x, which was derived by Barclays utilizing its professional judgment and experience and based on the Selected Precedent Transactions Analysis and applying such range to Gentherm’s estimated next twelve month (“NTM”) adjusted EBITDA, as set forth in the Gentherm Management Financial Projections, as of the calendar year ended December 31, 2030. The range of discount rates of 10.5% to 11.5% was selected based on an analysis of the weighted average cost of capital of Gentherm. The discounted cash flow analysis based on the terminal multiples implied a range of enterprise values for Gentherm of $1.8 billion to $2.2 billion and values per share of Gentherm Common Stock (rounded to the nearest dollar) as of January 23, 2026 of $56 to $68, as compared to the closing trading price of Gentherm Common Stock of $36.70 on January 23, 2026.</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Performance Technologies Business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To calculate the estimated enterprise value of the Performance Technologies Business using the discounted cash flow method, Barclays added</w:t>
      </w:r>
    </w:p>
    <w:p>
      <w:pPr>
        <w:spacing w:after="0" w:line="22" w:lineRule="exact"/>
        <w:rPr>
          <w:sz w:val="20"/>
          <w:szCs w:val="20"/>
          <w:color w:val="auto"/>
        </w:rPr>
      </w:pPr>
    </w:p>
    <w:p>
      <w:pPr>
        <w:ind w:left="1360" w:right="279" w:hanging="5"/>
        <w:spacing w:after="0" w:line="252" w:lineRule="auto"/>
        <w:tabs>
          <w:tab w:leader="none" w:pos="155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of the projected unlevered free cash flows of the Performance Technologies Business for the period between January 1, 2026 and March 31, 2030 based on the Gentherm Management SpinCo Adjusted Financial Projections to (2) the present value of the terminal value of the Performance Technologies Business as of March 31, 2030, which present values were discounted using a range of selected discount rates from 10.0% to 11.0%. The unlevered free cash flows were calculated by taking the tax-effected earnings before interest and, adding back the aggregate of depreciation and amortization, subtracting capital expenditures and adjusting for changes in net working capital and restructuring costs. The residual value of the Performance Technologies Business at the end of the forecast period, or terminal value, was estimated by applying a range of terminal multiples of 6.5x to 8.0x, which was derived by Barclays utilizing its professional judgment and experience and the results of Barclays’ Selected Precedent Transactions Analysis and applying such range to the Performance Technologies Business’s estimated NTM adjusted EBITDA, as set forth in the Gentherm Management SpinCo Adjusted Financial Projections, as of the fiscal year ending March 31,</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386"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59"/>
        <w:spacing w:after="0" w:line="261" w:lineRule="auto"/>
        <w:rPr>
          <w:sz w:val="20"/>
          <w:szCs w:val="20"/>
          <w:color w:val="auto"/>
        </w:rPr>
      </w:pPr>
      <w:r>
        <w:rPr>
          <w:rFonts w:ascii="Times New Roman" w:cs="Times New Roman" w:eastAsia="Times New Roman" w:hAnsi="Times New Roman"/>
          <w:sz w:val="14"/>
          <w:szCs w:val="14"/>
          <w:color w:val="auto"/>
        </w:rPr>
        <w:t>2030, both with and without taking into account Gentherm Management Estimated Synergies. The range of discount rates of 10.0% to 11.0% was selected based on an analysis of the weighted average cost of capital of the Performance Technologies Business. This resulted in implied enterprise value ranges of $1.2 billion to $1.5 billion on a standalone basis, without taking into account the Gentherm Management Estimated Synergies, and $1.3 billion to $1.6 billion, taking into account Gentherm Management Estimated Synergies.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Selected Comparable Company Analysis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Gentherm</w:t>
      </w:r>
    </w:p>
    <w:p>
      <w:pPr>
        <w:spacing w:after="0" w:line="9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In order to assess how the public market values the stock of similar publicly traded companies, Barclays reviewed and compared specific financial data relating to Gentherm with the below companies in the auto supplier business, which companies Barclays deemed comparable to Gentherm and its subsidiary businesses. Barclays chose such selected comparable companies based on its experience in the auto supplier business sector and because the businesses and operating profiles of such companies (including their products, end markets and geographic footprint, as well as their respective size and valuation) are reasonably similar to Gentherm. Such selected companies were:</w:t>
      </w:r>
    </w:p>
    <w:p>
      <w:pPr>
        <w:spacing w:after="0" w:line="150"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500" w:type="dxa"/>
            <w:vAlign w:val="bottom"/>
          </w:tcPr>
          <w:p>
            <w:pPr>
              <w:spacing w:after="0"/>
              <w:rPr>
                <w:sz w:val="11"/>
                <w:szCs w:val="11"/>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EV / 2025E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EV / 2026E</w:t>
            </w:r>
          </w:p>
        </w:tc>
        <w:tc>
          <w:tcPr>
            <w:tcW w:w="0" w:type="dxa"/>
            <w:vAlign w:val="bottom"/>
          </w:tcPr>
          <w:p>
            <w:pPr>
              <w:spacing w:after="0"/>
              <w:rPr>
                <w:sz w:val="1"/>
                <w:szCs w:val="1"/>
                <w:color w:val="auto"/>
              </w:rPr>
            </w:pPr>
          </w:p>
        </w:tc>
      </w:tr>
      <w:tr>
        <w:trPr>
          <w:trHeight w:val="124"/>
        </w:trPr>
        <w:tc>
          <w:tcPr>
            <w:tcW w:w="3340" w:type="dxa"/>
            <w:vAlign w:val="bottom"/>
            <w:gridSpan w:val="3"/>
            <w:vMerge w:val="continue"/>
          </w:tcPr>
          <w:p>
            <w:pPr>
              <w:spacing w:after="0"/>
              <w:rPr>
                <w:sz w:val="10"/>
                <w:szCs w:val="10"/>
                <w:color w:val="auto"/>
              </w:rPr>
            </w:pPr>
          </w:p>
        </w:tc>
        <w:tc>
          <w:tcPr>
            <w:tcW w:w="2280" w:type="dxa"/>
            <w:vAlign w:val="bottom"/>
            <w:gridSpan w:val="3"/>
          </w:tcPr>
          <w:p>
            <w:pPr>
              <w:jc w:val="right"/>
              <w:ind w:right="920"/>
              <w:spacing w:after="0" w:line="124" w:lineRule="exact"/>
              <w:rPr>
                <w:sz w:val="20"/>
                <w:szCs w:val="20"/>
                <w:color w:val="auto"/>
              </w:rPr>
            </w:pPr>
            <w:r>
              <w:rPr>
                <w:rFonts w:ascii="Times New Roman" w:cs="Times New Roman" w:eastAsia="Times New Roman" w:hAnsi="Times New Roman"/>
                <w:sz w:val="11"/>
                <w:szCs w:val="11"/>
                <w:b w:val="1"/>
                <w:bCs w:val="1"/>
                <w:color w:val="auto"/>
              </w:rPr>
              <w:t>EBITDA Multiple</w:t>
            </w:r>
          </w:p>
        </w:tc>
        <w:tc>
          <w:tcPr>
            <w:tcW w:w="90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1"/>
                <w:szCs w:val="11"/>
                <w:b w:val="1"/>
                <w:bCs w:val="1"/>
                <w:color w:val="auto"/>
                <w:w w:val="98"/>
              </w:rPr>
              <w:t>EBITDA Multiple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Adient plc</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3.7x</w:t>
            </w: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3.6x</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American Axle &amp; Manufacturing Holdings, Inc.</w:t>
            </w:r>
            <w:r>
              <w:rPr>
                <w:rFonts w:ascii="Times New Roman" w:cs="Times New Roman" w:eastAsia="Times New Roman" w:hAnsi="Times New Roman"/>
                <w:sz w:val="19"/>
                <w:szCs w:val="19"/>
                <w:color w:val="auto"/>
                <w:vertAlign w:val="superscript"/>
              </w:rPr>
              <w:t>1</w:t>
            </w:r>
          </w:p>
        </w:tc>
        <w:tc>
          <w:tcPr>
            <w:tcW w:w="500" w:type="dxa"/>
            <w:vAlign w:val="bottom"/>
          </w:tcPr>
          <w:p>
            <w:pPr>
              <w:spacing w:after="0"/>
              <w:rPr>
                <w:sz w:val="14"/>
                <w:szCs w:val="14"/>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3.9x</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Aptiv PLC</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4"/>
                <w:szCs w:val="14"/>
                <w:color w:val="auto"/>
              </w:rPr>
              <w:t>6.5x</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Autoliv, Inc.</w:t>
            </w:r>
          </w:p>
        </w:tc>
        <w:tc>
          <w:tcPr>
            <w:tcW w:w="500" w:type="dxa"/>
            <w:vAlign w:val="bottom"/>
          </w:tcPr>
          <w:p>
            <w:pPr>
              <w:spacing w:after="0"/>
              <w:rPr>
                <w:sz w:val="14"/>
                <w:szCs w:val="14"/>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7.6x</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BorgWarner Inc.</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4"/>
                <w:szCs w:val="14"/>
                <w:color w:val="auto"/>
              </w:rPr>
              <w:t>5.4x</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Dana Incorporated</w:t>
            </w:r>
            <w:r>
              <w:rPr>
                <w:rFonts w:ascii="Times New Roman" w:cs="Times New Roman" w:eastAsia="Times New Roman" w:hAnsi="Times New Roman"/>
                <w:sz w:val="19"/>
                <w:szCs w:val="19"/>
                <w:color w:val="auto"/>
                <w:vertAlign w:val="superscript"/>
              </w:rPr>
              <w:t>2</w:t>
            </w:r>
          </w:p>
        </w:tc>
        <w:tc>
          <w:tcPr>
            <w:tcW w:w="500" w:type="dxa"/>
            <w:vAlign w:val="bottom"/>
          </w:tcPr>
          <w:p>
            <w:pPr>
              <w:spacing w:after="0"/>
              <w:rPr>
                <w:sz w:val="14"/>
                <w:szCs w:val="14"/>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7.2x</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Garrett Motion Inc.</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4"/>
                <w:szCs w:val="14"/>
                <w:color w:val="auto"/>
              </w:rPr>
              <w:t>7.4x</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7.0x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Gentex Corporation</w:t>
            </w:r>
          </w:p>
        </w:tc>
        <w:tc>
          <w:tcPr>
            <w:tcW w:w="500" w:type="dxa"/>
            <w:vAlign w:val="bottom"/>
          </w:tcPr>
          <w:p>
            <w:pPr>
              <w:spacing w:after="0"/>
              <w:rPr>
                <w:sz w:val="14"/>
                <w:szCs w:val="14"/>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8.0x</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Lear Corporation</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4"/>
                <w:szCs w:val="14"/>
                <w:color w:val="auto"/>
              </w:rPr>
              <w:t>4.9x</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Magna International Inc.</w:t>
            </w:r>
          </w:p>
        </w:tc>
        <w:tc>
          <w:tcPr>
            <w:tcW w:w="500" w:type="dxa"/>
            <w:vAlign w:val="bottom"/>
          </w:tcPr>
          <w:p>
            <w:pPr>
              <w:spacing w:after="0"/>
              <w:rPr>
                <w:sz w:val="14"/>
                <w:szCs w:val="14"/>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4.4x</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PHINIA Inc.</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4"/>
                <w:szCs w:val="14"/>
                <w:color w:val="auto"/>
              </w:rPr>
              <w:t>7.1x</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Sensata Technologies Holding plc</w:t>
            </w:r>
          </w:p>
        </w:tc>
        <w:tc>
          <w:tcPr>
            <w:tcW w:w="500" w:type="dxa"/>
            <w:vAlign w:val="bottom"/>
          </w:tcPr>
          <w:p>
            <w:pPr>
              <w:spacing w:after="0"/>
              <w:rPr>
                <w:sz w:val="14"/>
                <w:szCs w:val="14"/>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8.5x</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Visteon Corporation</w:t>
            </w:r>
          </w:p>
        </w:tc>
        <w:tc>
          <w:tcPr>
            <w:tcW w:w="5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4"/>
                <w:szCs w:val="14"/>
                <w:color w:val="auto"/>
              </w:rPr>
              <w:t>4.0x</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3.9x</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Barclays calculated and compared various financial multiples and ratios of Gentherm and the selected comparable companies. As part of its selected comparable company analysis, Barclays calculated and analyzed each company’s ratio of enterprise value to projected earnings before interest, taxes, depreciation, and amortization (“EBITDA”). Enterprise value and EBITDA calculations for the selected publicly traded comparable companies were based on publicly available financial data and closing prices as of January 23, 2026.</w:t>
      </w:r>
    </w:p>
    <w:p>
      <w:pPr>
        <w:spacing w:after="0" w:line="141"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Barclays selected the comparable companies listed above because their businesses and operating profiles are reasonably similar to that of Gentherm. However, because no selected comparable company is exactly the same as Gentherm,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Gentherm and the selected comparable companies that could affect the public trading values of each in order to provide a context in which to consider the results of the quantitative analysis. These qualitative judgments related primarily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60325</wp:posOffset>
            </wp:positionV>
            <wp:extent cx="59436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43" w:lineRule="exact"/>
        <w:rPr>
          <w:sz w:val="20"/>
          <w:szCs w:val="20"/>
          <w:color w:val="auto"/>
        </w:rPr>
      </w:pPr>
    </w:p>
    <w:p>
      <w:pPr>
        <w:ind w:left="1520" w:hanging="165"/>
        <w:spacing w:after="0"/>
        <w:tabs>
          <w:tab w:leader="none" w:pos="1520"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Pro forma for the acquisition of Dowlais announced on 1/29/2025.</w:t>
      </w:r>
    </w:p>
    <w:p>
      <w:pPr>
        <w:spacing w:after="0" w:line="1" w:lineRule="exact"/>
        <w:rPr>
          <w:sz w:val="20"/>
          <w:szCs w:val="20"/>
          <w:color w:val="auto"/>
        </w:rPr>
      </w:pPr>
    </w:p>
    <w:p>
      <w:pPr>
        <w:ind w:left="5540" w:right="3359" w:hanging="4185"/>
        <w:spacing w:after="0" w:line="312" w:lineRule="auto"/>
        <w:tabs>
          <w:tab w:leader="none" w:pos="1524" w:val="left"/>
        </w:tabs>
        <w:numPr>
          <w:ilvl w:val="0"/>
          <w:numId w:val="1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Pro forma for Allison’s acquisition of Dana’s Off-Highway business announced on 6/11/2025. 105</w:t>
      </w:r>
    </w:p>
    <w:p>
      <w:pPr>
        <w:sectPr>
          <w:pgSz w:w="11900" w:h="16838" w:orient="portrait"/>
          <w:cols w:equalWidth="0" w:num="1">
            <w:col w:w="10159"/>
          </w:cols>
          <w:pgMar w:left="300" w:top="386"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to the differing sizes, growth prospects, profitability levels, product portfolio, served markets and channels, and degree of operational risk between Gentherm and the companies included in the selected company analysis.</w:t>
      </w:r>
    </w:p>
    <w:p>
      <w:pPr>
        <w:spacing w:after="0" w:line="125"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Based on these judgments, Barclays selected the trading value multiples ranging from 6.0x to 7.5x for the projected 2025 calendar year adjusted EBITDA of Gentherm as set forth in the Gentherm Management Financial Projections to calculate a range of implied enterprise values for Gentherm of $1.1 billion to $1.3 billion and implied values per share of Gentherm Common Stock (rounded to the nearest dollar) as of January 23, 2026 of $33 to $41, as compared to the closing trading price of Gentherm Common Stock of $36.70 on January 23, 2026.</w:t>
      </w:r>
    </w:p>
    <w:p>
      <w:pPr>
        <w:spacing w:after="0" w:line="141"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Barclays further selected the trading value multiples ranging from 5.5x to 7.0x for the projected 2026 calendar year adjusted EBITDA of Gentherm as set forth in the Gentherm Management Financial Projections to calculate a range of implied enterprise values for Gentherm of $1.1 billion to $1.3 billion and implied values per share of Gentherm Common Stock (rounded to the nearest dollar) as of January 23, 2026 of $33 to $42, as compared to the closing trading price of Gentherm Common Stock of $36.70 on January 23, 2026.</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Performance Technologies Business</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order to assess how the public market values shares of similar companies that are publicly traded, Barclays reviewed and compared specific financial and operating data relating to the Performance Technologies Business with the following companies in the auto supplier business and commercial vehicles business sectors, which companies Barclays deemed comparable to the Performance Technologies Business. Barclays chose such selected companies based on its experience in the auto supplier and commercial vehicles business sectors and because the businesses and operating profiles of such companies (including their products, end markets and geographic footprint, as well as their respective size and valuation) are reasonably similar to the Performance Technologies Business. The selected companies were:</w:t>
      </w:r>
    </w:p>
    <w:p>
      <w:pPr>
        <w:spacing w:after="0" w:line="149"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5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EV / 2025E</w:t>
            </w:r>
          </w:p>
        </w:tc>
        <w:tc>
          <w:tcPr>
            <w:tcW w:w="820" w:type="dxa"/>
            <w:vAlign w:val="bottom"/>
          </w:tcPr>
          <w:p>
            <w:pPr>
              <w:spacing w:after="0"/>
              <w:rPr>
                <w:sz w:val="11"/>
                <w:szCs w:val="11"/>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EV / 2026E</w:t>
            </w:r>
          </w:p>
        </w:tc>
        <w:tc>
          <w:tcPr>
            <w:tcW w:w="0" w:type="dxa"/>
            <w:vAlign w:val="bottom"/>
          </w:tcPr>
          <w:p>
            <w:pPr>
              <w:spacing w:after="0"/>
              <w:rPr>
                <w:sz w:val="1"/>
                <w:szCs w:val="1"/>
                <w:color w:val="auto"/>
              </w:rPr>
            </w:pPr>
          </w:p>
        </w:tc>
      </w:tr>
      <w:tr>
        <w:trPr>
          <w:trHeight w:val="124"/>
        </w:trPr>
        <w:tc>
          <w:tcPr>
            <w:tcW w:w="3400" w:type="dxa"/>
            <w:vAlign w:val="bottom"/>
            <w:gridSpan w:val="3"/>
            <w:vMerge w:val="continue"/>
          </w:tcPr>
          <w:p>
            <w:pPr>
              <w:spacing w:after="0"/>
              <w:rPr>
                <w:sz w:val="10"/>
                <w:szCs w:val="10"/>
                <w:color w:val="auto"/>
              </w:rPr>
            </w:pPr>
          </w:p>
        </w:tc>
        <w:tc>
          <w:tcPr>
            <w:tcW w:w="1440" w:type="dxa"/>
            <w:vAlign w:val="bottom"/>
            <w:gridSpan w:val="2"/>
          </w:tcPr>
          <w:p>
            <w:pPr>
              <w:jc w:val="center"/>
              <w:ind w:left="471"/>
              <w:spacing w:after="0" w:line="124" w:lineRule="exact"/>
              <w:rPr>
                <w:sz w:val="20"/>
                <w:szCs w:val="20"/>
                <w:color w:val="auto"/>
              </w:rPr>
            </w:pPr>
            <w:r>
              <w:rPr>
                <w:rFonts w:ascii="Times New Roman" w:cs="Times New Roman" w:eastAsia="Times New Roman" w:hAnsi="Times New Roman"/>
                <w:sz w:val="11"/>
                <w:szCs w:val="11"/>
                <w:b w:val="1"/>
                <w:bCs w:val="1"/>
                <w:color w:val="auto"/>
              </w:rPr>
              <w:t>EBITDA Multiple</w:t>
            </w:r>
          </w:p>
        </w:tc>
        <w:tc>
          <w:tcPr>
            <w:tcW w:w="820" w:type="dxa"/>
            <w:vAlign w:val="bottom"/>
          </w:tcPr>
          <w:p>
            <w:pPr>
              <w:spacing w:after="0"/>
              <w:rPr>
                <w:sz w:val="10"/>
                <w:szCs w:val="10"/>
                <w:color w:val="auto"/>
              </w:rPr>
            </w:pPr>
          </w:p>
        </w:tc>
        <w:tc>
          <w:tcPr>
            <w:tcW w:w="86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98"/>
              </w:rPr>
              <w:t>EBITDA Multiple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Adient plc</w:t>
            </w: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3.7x</w:t>
            </w:r>
          </w:p>
        </w:tc>
        <w:tc>
          <w:tcPr>
            <w:tcW w:w="8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59"/>
              <w:spacing w:after="0" w:line="149" w:lineRule="exact"/>
              <w:rPr>
                <w:sz w:val="20"/>
                <w:szCs w:val="20"/>
                <w:color w:val="auto"/>
              </w:rPr>
            </w:pPr>
            <w:r>
              <w:rPr>
                <w:rFonts w:ascii="Times New Roman" w:cs="Times New Roman" w:eastAsia="Times New Roman" w:hAnsi="Times New Roman"/>
                <w:sz w:val="14"/>
                <w:szCs w:val="14"/>
                <w:color w:val="auto"/>
                <w:w w:val="89"/>
              </w:rPr>
              <w:t>3.6x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Allison Transmission Holdings, Inc.</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9.0x</w:t>
            </w:r>
          </w:p>
        </w:tc>
        <w:tc>
          <w:tcPr>
            <w:tcW w:w="168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color w:val="auto"/>
              </w:rPr>
              <w:t>7.6x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 American Axle &amp; Manufacturing Holdings, Inc.</w:t>
            </w:r>
            <w:r>
              <w:rPr>
                <w:rFonts w:ascii="Times New Roman" w:cs="Times New Roman" w:eastAsia="Times New Roman" w:hAnsi="Times New Roman"/>
                <w:sz w:val="19"/>
                <w:szCs w:val="19"/>
                <w:color w:val="auto"/>
                <w:vertAlign w:val="superscript"/>
              </w:rPr>
              <w:t>3</w:t>
            </w: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3.9x</w:t>
            </w:r>
          </w:p>
        </w:tc>
        <w:tc>
          <w:tcPr>
            <w:tcW w:w="168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color w:val="auto"/>
              </w:rPr>
              <w:t>3.9x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Aptiv PLC</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6.5x</w:t>
            </w:r>
          </w:p>
        </w:tc>
        <w:tc>
          <w:tcPr>
            <w:tcW w:w="168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color w:val="auto"/>
              </w:rPr>
              <w:t>6.2x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Autoliv, Inc.</w:t>
            </w: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7.6x</w:t>
            </w:r>
          </w:p>
        </w:tc>
        <w:tc>
          <w:tcPr>
            <w:tcW w:w="168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color w:val="auto"/>
              </w:rPr>
              <w:t>6.9x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BorgWarner Inc.</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5.4x</w:t>
            </w:r>
          </w:p>
        </w:tc>
        <w:tc>
          <w:tcPr>
            <w:tcW w:w="168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color w:val="auto"/>
              </w:rPr>
              <w:t>5.3x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Cummins Inc.</w:t>
            </w: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14.4x</w:t>
            </w:r>
          </w:p>
        </w:tc>
        <w:tc>
          <w:tcPr>
            <w:tcW w:w="168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4"/>
                <w:szCs w:val="14"/>
                <w:color w:val="auto"/>
              </w:rPr>
              <w:t>13.1x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tcPr>
          <w:p>
            <w:pPr>
              <w:spacing w:after="0" w:line="168" w:lineRule="exact"/>
              <w:rPr>
                <w:sz w:val="20"/>
                <w:szCs w:val="20"/>
                <w:color w:val="auto"/>
              </w:rPr>
            </w:pPr>
            <w:r>
              <w:rPr>
                <w:rFonts w:ascii="Times New Roman" w:cs="Times New Roman" w:eastAsia="Times New Roman" w:hAnsi="Times New Roman"/>
                <w:sz w:val="13"/>
                <w:szCs w:val="13"/>
                <w:color w:val="auto"/>
              </w:rPr>
              <w:t>• Dana Incorporated</w:t>
            </w:r>
            <w:r>
              <w:rPr>
                <w:rFonts w:ascii="Times New Roman" w:cs="Times New Roman" w:eastAsia="Times New Roman" w:hAnsi="Times New Roman"/>
                <w:sz w:val="19"/>
                <w:szCs w:val="19"/>
                <w:color w:val="auto"/>
                <w:vertAlign w:val="superscript"/>
              </w:rPr>
              <w:t>4</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7.2x</w:t>
            </w:r>
          </w:p>
        </w:tc>
        <w:tc>
          <w:tcPr>
            <w:tcW w:w="168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color w:val="auto"/>
              </w:rPr>
              <w:t>5.4x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Garrett Motion Inc.</w:t>
            </w: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7.4x</w:t>
            </w:r>
          </w:p>
        </w:tc>
        <w:tc>
          <w:tcPr>
            <w:tcW w:w="168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color w:val="auto"/>
              </w:rPr>
              <w:t>7.0x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Gentex Corporation</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8.0x</w:t>
            </w:r>
          </w:p>
        </w:tc>
        <w:tc>
          <w:tcPr>
            <w:tcW w:w="168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color w:val="auto"/>
              </w:rPr>
              <w:t>7.7x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Lear Corporation</w:t>
            </w: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4.9x</w:t>
            </w:r>
          </w:p>
        </w:tc>
        <w:tc>
          <w:tcPr>
            <w:tcW w:w="168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color w:val="auto"/>
              </w:rPr>
              <w:t>4.7x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Magna International Inc.</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4.4x</w:t>
            </w:r>
          </w:p>
        </w:tc>
        <w:tc>
          <w:tcPr>
            <w:tcW w:w="168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color w:val="auto"/>
              </w:rPr>
              <w:t>4.2x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PHINIA Inc.</w:t>
            </w: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7.1x</w:t>
            </w:r>
          </w:p>
        </w:tc>
        <w:tc>
          <w:tcPr>
            <w:tcW w:w="168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color w:val="auto"/>
              </w:rPr>
              <w:t>6.7x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Sensata Technologies Holding plc</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8.5x</w:t>
            </w:r>
          </w:p>
        </w:tc>
        <w:tc>
          <w:tcPr>
            <w:tcW w:w="168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color w:val="auto"/>
              </w:rPr>
              <w:t>8.3x</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Visteon Corporation</w:t>
            </w: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4.0x</w:t>
            </w:r>
          </w:p>
        </w:tc>
        <w:tc>
          <w:tcPr>
            <w:tcW w:w="168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color w:val="auto"/>
              </w:rPr>
              <w:t>3.9x</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Barclays calculated and compared various financial multiples and ratios of the Performance Technologies Business and the selected comparable companies. As part of its selected comparable company analysis, Barclays calculated and analyzed each company’s ratio of enterprise value to projected EBITDA. Enterprise value and EBITDA calculations for the selected publicly traded comparable companies were based on publicly available financial data, and closing prices, as of January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58420</wp:posOffset>
            </wp:positionV>
            <wp:extent cx="59436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41" w:lineRule="exact"/>
        <w:rPr>
          <w:sz w:val="20"/>
          <w:szCs w:val="20"/>
          <w:color w:val="auto"/>
        </w:rPr>
      </w:pPr>
    </w:p>
    <w:p>
      <w:pPr>
        <w:ind w:left="1520" w:hanging="165"/>
        <w:spacing w:after="0"/>
        <w:tabs>
          <w:tab w:leader="none" w:pos="1520" w:val="left"/>
        </w:tabs>
        <w:numPr>
          <w:ilvl w:val="0"/>
          <w:numId w:val="1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Pro forma for the acquisition of Dowlais announced on 1/29/2025.</w:t>
      </w:r>
    </w:p>
    <w:p>
      <w:pPr>
        <w:spacing w:after="0" w:line="1" w:lineRule="exact"/>
        <w:rPr>
          <w:sz w:val="20"/>
          <w:szCs w:val="20"/>
          <w:color w:val="auto"/>
        </w:rPr>
      </w:pPr>
    </w:p>
    <w:p>
      <w:pPr>
        <w:ind w:left="5540" w:right="3359" w:hanging="4185"/>
        <w:spacing w:after="0" w:line="312" w:lineRule="auto"/>
        <w:tabs>
          <w:tab w:leader="none" w:pos="1524" w:val="left"/>
        </w:tabs>
        <w:numPr>
          <w:ilvl w:val="0"/>
          <w:numId w:val="1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Pro forma for Allison’s acquisition of Dana’s Off-Highway business announced on 6/11/2025. 106</w:t>
      </w:r>
    </w:p>
    <w:p>
      <w:pPr>
        <w:sectPr>
          <w:pgSz w:w="11900" w:h="16838" w:orient="portrait"/>
          <w:cols w:equalWidth="0" w:num="1">
            <w:col w:w="10159"/>
          </w:cols>
          <w:pgMar w:left="300" w:top="386"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Barclays selected the comparable companies listed above because their businesses and operating profiles are reasonably similar to that of the Performance Technologies Business. However, because no selected comparable company is exactly the same as the Performance Technologies Business,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the Performance Technologies Business and the selected comparable companies that could affect the public trading values of each in order to provide a context in which to consider the results of the quantitative analysis. These qualitative judgments related primarily to the differing sizes, growth prospects, profitability levels, product portfolio, served markets and channels, and degree of operational risk between the Performance Technologies Business and the companies included in the selected company analysis.</w:t>
      </w:r>
    </w:p>
    <w:p>
      <w:pPr>
        <w:spacing w:after="0" w:line="145"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Based on these judgments, Barclays selected the trading value multiples ranging from 6.5x to 8.0x for the projected 2026 fiscal year adjusted EBITDA of the Performance Technologies Business based on the SpinCo Adjusted Financial Projections to calculate an implied enterprise value range of $0.9 billion to $1.1 billion.</w:t>
      </w:r>
    </w:p>
    <w:p>
      <w:pPr>
        <w:spacing w:after="0" w:line="136"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Barclays further selected the trading value multiples ranging from 6.0x to 7.5x for the projected 2027 fiscal year adjusted EBITDA of the Performance Technologies Business based on the SpinCo Adjusted Financial Projections to calculate an implied enterprise value range of $0.9 billion to $1.1 billion.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Selected Precedent Transactions Analysis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Performance Technologies Business</w:t>
      </w:r>
    </w:p>
    <w:p>
      <w:pPr>
        <w:spacing w:after="0" w:line="93" w:lineRule="exact"/>
        <w:rPr>
          <w:sz w:val="20"/>
          <w:szCs w:val="20"/>
          <w:color w:val="auto"/>
        </w:rPr>
      </w:pPr>
    </w:p>
    <w:p>
      <w:pPr>
        <w:ind w:left="1360" w:right="259" w:firstLine="343"/>
        <w:spacing w:after="0" w:line="287" w:lineRule="auto"/>
        <w:rPr>
          <w:sz w:val="20"/>
          <w:szCs w:val="20"/>
          <w:color w:val="auto"/>
        </w:rPr>
      </w:pPr>
      <w:r>
        <w:rPr>
          <w:rFonts w:ascii="Times New Roman" w:cs="Times New Roman" w:eastAsia="Times New Roman" w:hAnsi="Times New Roman"/>
          <w:sz w:val="13"/>
          <w:szCs w:val="13"/>
          <w:color w:val="auto"/>
        </w:rPr>
        <w:t>Barclays reviewed and compared the purchase prices and financial multiples paid in selected other transactions in the past five years with significant powertrain exposure and internal combustion engine exposure in the auto supplier and commercial vehicle industries, that Barclays, based on its experience with merger and acquisition transactions, deemed relevant. Barclays chose such transactions based on, among other things, the similarity of the applicable target companies in the transactions to the Performance Technologies Business with respect to the characteristics of their businesses.</w:t>
      </w:r>
    </w:p>
    <w:p>
      <w:pPr>
        <w:spacing w:after="0" w:line="126"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reasons for and the circumstances surrounding each of the selected precedent transactions analyzed were diverse and there are inherent differences in the business, operations, financial conditions and prospects of the Performance Technologies Business and the companies included in the selected precedent transaction analysis. Accordingly, Barclays believed that a purely quantitative selected precedent transaction analysis would not be particularly meaningful in the context of considering the Transactions. Barclays therefore made qualitative judgments concerning differences between the characteristics of the selected precedent transactions and the Transactions which would affect the acquisition values of the selected target companies and the Performance Technologies Business.</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the transactions analyzed based on such characteristics:</w:t>
      </w:r>
    </w:p>
    <w:p>
      <w:pPr>
        <w:sectPr>
          <w:pgSz w:w="11900" w:h="16838" w:orient="portrait"/>
          <w:cols w:equalWidth="0" w:num="1">
            <w:col w:w="10159"/>
          </w:cols>
          <w:pgMar w:left="300" w:top="386" w:right="1440" w:bottom="1440" w:gutter="0" w:footer="0" w:header="0"/>
        </w:sectPr>
      </w:pPr>
    </w:p>
    <w:p>
      <w:pPr>
        <w:spacing w:after="0" w:line="19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1"/>
          <w:szCs w:val="11"/>
          <w:b w:val="1"/>
          <w:bCs w:val="1"/>
          <w:color w:val="auto"/>
        </w:rPr>
        <w:t>Date</w:t>
      </w:r>
    </w:p>
    <w:p>
      <w:pPr>
        <w:spacing w:after="0" w:line="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1"/>
          <w:szCs w:val="11"/>
          <w:b w:val="1"/>
          <w:bCs w:val="1"/>
          <w:u w:val="single" w:color="auto"/>
          <w:color w:val="auto"/>
        </w:rPr>
        <w:t>Announced</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June 2025</w:t>
      </w:r>
    </w:p>
    <w:p>
      <w:pPr>
        <w:spacing w:after="0" w:line="200" w:lineRule="exact"/>
        <w:rPr>
          <w:sz w:val="20"/>
          <w:szCs w:val="20"/>
          <w:color w:val="auto"/>
        </w:rPr>
      </w:pPr>
    </w:p>
    <w:p>
      <w:pPr>
        <w:spacing w:after="0" w:line="30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color w:val="auto"/>
        </w:rPr>
        <w:t>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294005</wp:posOffset>
            </wp:positionV>
            <wp:extent cx="59436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520" w:hanging="165"/>
        <w:spacing w:after="0"/>
        <w:tabs>
          <w:tab w:leader="none" w:pos="1520" w:val="left"/>
        </w:tabs>
        <w:numPr>
          <w:ilvl w:val="0"/>
          <w:numId w:val="1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Adjusted for comparability to US GAAP.</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0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Acquiror</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6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Approx. LTM Multiples</w:t>
            </w:r>
          </w:p>
        </w:tc>
      </w:tr>
      <w:tr>
        <w:trPr>
          <w:trHeight w:val="144"/>
        </w:trPr>
        <w:tc>
          <w:tcPr>
            <w:tcW w:w="20" w:type="dxa"/>
            <w:vAlign w:val="bottom"/>
          </w:tcPr>
          <w:p>
            <w:pPr>
              <w:spacing w:after="0"/>
              <w:rPr>
                <w:sz w:val="12"/>
                <w:szCs w:val="12"/>
                <w:color w:val="auto"/>
              </w:rPr>
            </w:pPr>
          </w:p>
        </w:tc>
        <w:tc>
          <w:tcPr>
            <w:tcW w:w="120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w w:val="98"/>
              </w:rPr>
              <w:t>Allison Transmission</w:t>
            </w:r>
          </w:p>
        </w:tc>
        <w:tc>
          <w:tcPr>
            <w:tcW w:w="40" w:type="dxa"/>
            <w:vAlign w:val="bottom"/>
            <w:tcBorders>
              <w:top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Dana Incorporated</w:t>
            </w:r>
          </w:p>
        </w:tc>
        <w:tc>
          <w:tcPr>
            <w:tcW w:w="88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~6.8x</w:t>
            </w:r>
          </w:p>
        </w:tc>
      </w:tr>
      <w:tr>
        <w:trPr>
          <w:trHeight w:val="168"/>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Holdings, Inc.</w:t>
            </w:r>
          </w:p>
        </w:tc>
        <w:tc>
          <w:tcPr>
            <w:tcW w:w="40" w:type="dxa"/>
            <w:vAlign w:val="bottom"/>
          </w:tcPr>
          <w:p>
            <w:pPr>
              <w:spacing w:after="0"/>
              <w:rPr>
                <w:sz w:val="14"/>
                <w:szCs w:val="14"/>
                <w:color w:val="auto"/>
              </w:rPr>
            </w:pPr>
          </w:p>
        </w:tc>
        <w:tc>
          <w:tcPr>
            <w:tcW w:w="282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(Off-Highway</w:t>
            </w:r>
          </w:p>
        </w:tc>
        <w:tc>
          <w:tcPr>
            <w:tcW w:w="12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Drive &amp; Motion</w:t>
            </w:r>
          </w:p>
        </w:tc>
        <w:tc>
          <w:tcPr>
            <w:tcW w:w="12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2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Systems business)</w:t>
            </w:r>
          </w:p>
        </w:tc>
        <w:tc>
          <w:tcPr>
            <w:tcW w:w="1220" w:type="dxa"/>
            <w:vAlign w:val="bottom"/>
          </w:tcPr>
          <w:p>
            <w:pPr>
              <w:spacing w:after="0"/>
              <w:rPr>
                <w:sz w:val="14"/>
                <w:szCs w:val="14"/>
                <w:color w:val="auto"/>
              </w:rPr>
            </w:pPr>
          </w:p>
        </w:tc>
      </w:tr>
      <w:tr>
        <w:trPr>
          <w:trHeight w:val="168"/>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American Axle &amp;</w:t>
            </w:r>
          </w:p>
        </w:tc>
        <w:tc>
          <w:tcPr>
            <w:tcW w:w="40" w:type="dxa"/>
            <w:vAlign w:val="bottom"/>
          </w:tcPr>
          <w:p>
            <w:pPr>
              <w:spacing w:after="0"/>
              <w:rPr>
                <w:sz w:val="14"/>
                <w:szCs w:val="14"/>
                <w:color w:val="auto"/>
              </w:rPr>
            </w:pPr>
          </w:p>
        </w:tc>
        <w:tc>
          <w:tcPr>
            <w:tcW w:w="282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Dowlais Group</w:t>
            </w:r>
          </w:p>
        </w:tc>
        <w:tc>
          <w:tcPr>
            <w:tcW w:w="1220" w:type="dxa"/>
            <w:vAlign w:val="bottom"/>
          </w:tcPr>
          <w:p>
            <w:pPr>
              <w:jc w:val="center"/>
              <w:spacing w:after="0" w:line="168" w:lineRule="exact"/>
              <w:rPr>
                <w:sz w:val="20"/>
                <w:szCs w:val="20"/>
                <w:color w:val="auto"/>
              </w:rPr>
            </w:pPr>
            <w:r>
              <w:rPr>
                <w:rFonts w:ascii="Times New Roman" w:cs="Times New Roman" w:eastAsia="Times New Roman" w:hAnsi="Times New Roman"/>
                <w:sz w:val="13"/>
                <w:szCs w:val="13"/>
                <w:color w:val="auto"/>
              </w:rPr>
              <w:t>~4.1x</w:t>
            </w:r>
            <w:r>
              <w:rPr>
                <w:rFonts w:ascii="Times New Roman" w:cs="Times New Roman" w:eastAsia="Times New Roman" w:hAnsi="Times New Roman"/>
                <w:sz w:val="19"/>
                <w:szCs w:val="19"/>
                <w:color w:val="auto"/>
                <w:vertAlign w:val="superscript"/>
              </w:rPr>
              <w:t>5</w:t>
            </w:r>
          </w:p>
        </w:tc>
      </w:tr>
      <w:tr>
        <w:trPr>
          <w:trHeight w:val="168"/>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Manufacturing</w:t>
            </w:r>
          </w:p>
        </w:tc>
        <w:tc>
          <w:tcPr>
            <w:tcW w:w="40" w:type="dxa"/>
            <w:vAlign w:val="bottom"/>
          </w:tcPr>
          <w:p>
            <w:pPr>
              <w:spacing w:after="0"/>
              <w:rPr>
                <w:sz w:val="14"/>
                <w:szCs w:val="14"/>
                <w:color w:val="auto"/>
              </w:rPr>
            </w:pPr>
          </w:p>
        </w:tc>
        <w:tc>
          <w:tcPr>
            <w:tcW w:w="282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plc</w:t>
            </w:r>
          </w:p>
        </w:tc>
        <w:tc>
          <w:tcPr>
            <w:tcW w:w="1220" w:type="dxa"/>
            <w:vAlign w:val="bottom"/>
          </w:tcPr>
          <w:p>
            <w:pPr>
              <w:spacing w:after="0"/>
              <w:rPr>
                <w:sz w:val="14"/>
                <w:szCs w:val="14"/>
                <w:color w:val="auto"/>
              </w:rPr>
            </w:pPr>
          </w:p>
        </w:tc>
      </w:tr>
      <w:tr>
        <w:trPr>
          <w:trHeight w:val="183"/>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Holdings, Inc.</w:t>
            </w: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599"/>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color w:val="auto"/>
                <w:w w:val="95"/>
              </w:rPr>
              <w:t>107</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-1134110</wp:posOffset>
            </wp:positionV>
            <wp:extent cx="5006340" cy="433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06340" cy="433705"/>
                    </a:xfrm>
                    <a:prstGeom prst="rect">
                      <a:avLst/>
                    </a:prstGeom>
                    <a:noFill/>
                  </pic:spPr>
                </pic:pic>
              </a:graphicData>
            </a:graphic>
          </wp:anchor>
        </w:drawing>
      </w:r>
    </w:p>
    <w:p>
      <w:pPr>
        <w:sectPr>
          <w:pgSz w:w="11900" w:h="16838" w:orient="portrait"/>
          <w:cols w:equalWidth="0" w:num="2">
            <w:col w:w="3840" w:space="460"/>
            <w:col w:w="5859"/>
          </w:cols>
          <w:pgMar w:left="300" w:top="386" w:right="1440"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Date Announced</w:t>
            </w: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Acquiror</w:t>
            </w:r>
          </w:p>
        </w:tc>
        <w:tc>
          <w:tcPr>
            <w:tcW w:w="1060" w:type="dxa"/>
            <w:vAlign w:val="bottom"/>
          </w:tcPr>
          <w:p>
            <w:pPr>
              <w:spacing w:after="0"/>
              <w:rPr>
                <w:sz w:val="13"/>
                <w:szCs w:val="13"/>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2240" w:type="dxa"/>
            <w:vAlign w:val="bottom"/>
            <w:gridSpan w:val="2"/>
          </w:tcPr>
          <w:p>
            <w:pPr>
              <w:ind w:left="1080"/>
              <w:spacing w:after="0"/>
              <w:rPr>
                <w:sz w:val="20"/>
                <w:szCs w:val="20"/>
                <w:color w:val="auto"/>
              </w:rPr>
            </w:pPr>
            <w:r>
              <w:rPr>
                <w:rFonts w:ascii="Times New Roman" w:cs="Times New Roman" w:eastAsia="Times New Roman" w:hAnsi="Times New Roman"/>
                <w:sz w:val="11"/>
                <w:szCs w:val="11"/>
                <w:b w:val="1"/>
                <w:bCs w:val="1"/>
                <w:color w:val="auto"/>
                <w:w w:val="99"/>
              </w:rPr>
              <w:t>Approx. LTM Multiples</w:t>
            </w:r>
          </w:p>
        </w:tc>
      </w:tr>
      <w:tr>
        <w:trPr>
          <w:trHeight w:val="135"/>
        </w:trPr>
        <w:tc>
          <w:tcPr>
            <w:tcW w:w="200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November 2024</w:t>
            </w:r>
          </w:p>
        </w:tc>
        <w:tc>
          <w:tcPr>
            <w:tcW w:w="10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ABC</w:t>
            </w:r>
          </w:p>
        </w:tc>
        <w:tc>
          <w:tcPr>
            <w:tcW w:w="10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TI Fluid</w:t>
            </w:r>
          </w:p>
        </w:tc>
        <w:tc>
          <w:tcPr>
            <w:tcW w:w="108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0"/>
                <w:szCs w:val="10"/>
                <w:color w:val="auto"/>
              </w:rPr>
              <w:t>~5.7x</w:t>
            </w:r>
            <w:r>
              <w:rPr>
                <w:rFonts w:ascii="Times New Roman" w:cs="Times New Roman" w:eastAsia="Times New Roman" w:hAnsi="Times New Roman"/>
                <w:sz w:val="15"/>
                <w:szCs w:val="15"/>
                <w:color w:val="auto"/>
                <w:vertAlign w:val="superscript"/>
              </w:rPr>
              <w:t>5</w:t>
            </w:r>
          </w:p>
        </w:tc>
      </w:tr>
      <w:tr>
        <w:trPr>
          <w:trHeight w:val="183"/>
        </w:trPr>
        <w:tc>
          <w:tcPr>
            <w:tcW w:w="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w w:val="98"/>
              </w:rPr>
              <w:t>Technologies</w:t>
            </w:r>
          </w:p>
        </w:tc>
        <w:tc>
          <w:tcPr>
            <w:tcW w:w="18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Systems plc</w:t>
            </w: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53"/>
        </w:trPr>
        <w:tc>
          <w:tcPr>
            <w:tcW w:w="20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October 2023</w:t>
            </w:r>
          </w:p>
        </w:tc>
        <w:tc>
          <w:tcPr>
            <w:tcW w:w="1840" w:type="dxa"/>
            <w:vAlign w:val="bottom"/>
            <w:gridSpan w:val="2"/>
          </w:tcPr>
          <w:p>
            <w:pPr>
              <w:ind w:left="1080"/>
              <w:spacing w:after="0" w:line="153" w:lineRule="exact"/>
              <w:rPr>
                <w:sz w:val="20"/>
                <w:szCs w:val="20"/>
                <w:color w:val="auto"/>
              </w:rPr>
            </w:pPr>
            <w:r>
              <w:rPr>
                <w:rFonts w:ascii="Times New Roman" w:cs="Times New Roman" w:eastAsia="Times New Roman" w:hAnsi="Times New Roman"/>
                <w:sz w:val="14"/>
                <w:szCs w:val="14"/>
                <w:color w:val="auto"/>
              </w:rPr>
              <w:t>Schaeffler</w:t>
            </w:r>
          </w:p>
        </w:tc>
        <w:tc>
          <w:tcPr>
            <w:tcW w:w="1820" w:type="dxa"/>
            <w:vAlign w:val="bottom"/>
            <w:gridSpan w:val="2"/>
          </w:tcPr>
          <w:p>
            <w:pPr>
              <w:ind w:left="1060"/>
              <w:spacing w:after="0" w:line="153" w:lineRule="exact"/>
              <w:rPr>
                <w:sz w:val="20"/>
                <w:szCs w:val="20"/>
                <w:color w:val="auto"/>
              </w:rPr>
            </w:pPr>
            <w:r>
              <w:rPr>
                <w:rFonts w:ascii="Times New Roman" w:cs="Times New Roman" w:eastAsia="Times New Roman" w:hAnsi="Times New Roman"/>
                <w:sz w:val="14"/>
                <w:szCs w:val="14"/>
                <w:color w:val="auto"/>
              </w:rPr>
              <w:t>Vitesco</w:t>
            </w:r>
          </w:p>
        </w:tc>
        <w:tc>
          <w:tcPr>
            <w:tcW w:w="1080" w:type="dxa"/>
            <w:vAlign w:val="bottom"/>
          </w:tcPr>
          <w:p>
            <w:pPr>
              <w:spacing w:after="0"/>
              <w:rPr>
                <w:sz w:val="13"/>
                <w:szCs w:val="13"/>
                <w:color w:val="auto"/>
              </w:rPr>
            </w:pPr>
          </w:p>
        </w:tc>
        <w:tc>
          <w:tcPr>
            <w:tcW w:w="1160" w:type="dxa"/>
            <w:vAlign w:val="bottom"/>
          </w:tcPr>
          <w:p>
            <w:pPr>
              <w:jc w:val="center"/>
              <w:spacing w:after="0" w:line="154" w:lineRule="exact"/>
              <w:rPr>
                <w:sz w:val="20"/>
                <w:szCs w:val="20"/>
                <w:color w:val="auto"/>
              </w:rPr>
            </w:pPr>
            <w:r>
              <w:rPr>
                <w:rFonts w:ascii="Times New Roman" w:cs="Times New Roman" w:eastAsia="Times New Roman" w:hAnsi="Times New Roman"/>
                <w:sz w:val="12"/>
                <w:szCs w:val="12"/>
                <w:color w:val="auto"/>
              </w:rPr>
              <w:t>~5.1x</w:t>
            </w:r>
            <w:r>
              <w:rPr>
                <w:rFonts w:ascii="Times New Roman" w:cs="Times New Roman" w:eastAsia="Times New Roman" w:hAnsi="Times New Roman"/>
                <w:sz w:val="17"/>
                <w:szCs w:val="17"/>
                <w:color w:val="auto"/>
                <w:vertAlign w:val="superscript"/>
              </w:rPr>
              <w:t>5</w:t>
            </w:r>
          </w:p>
        </w:tc>
      </w:tr>
      <w:tr>
        <w:trPr>
          <w:trHeight w:val="168"/>
        </w:trPr>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AG</w:t>
            </w:r>
          </w:p>
        </w:tc>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w w:val="98"/>
              </w:rPr>
              <w:t>Technologies</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3"/>
        </w:trPr>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Group AG</w:t>
            </w: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4"/>
        </w:trPr>
        <w:tc>
          <w:tcPr>
            <w:tcW w:w="200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February 2022</w:t>
            </w:r>
          </w:p>
        </w:tc>
        <w:tc>
          <w:tcPr>
            <w:tcW w:w="1840" w:type="dxa"/>
            <w:vAlign w:val="bottom"/>
            <w:gridSpan w:val="2"/>
            <w:shd w:val="clear" w:color="auto" w:fill="CCEEFF"/>
          </w:tcPr>
          <w:p>
            <w:pPr>
              <w:ind w:left="1080"/>
              <w:spacing w:after="0" w:line="153" w:lineRule="exact"/>
              <w:rPr>
                <w:sz w:val="20"/>
                <w:szCs w:val="20"/>
                <w:color w:val="auto"/>
              </w:rPr>
            </w:pPr>
            <w:r>
              <w:rPr>
                <w:rFonts w:ascii="Times New Roman" w:cs="Times New Roman" w:eastAsia="Times New Roman" w:hAnsi="Times New Roman"/>
                <w:sz w:val="14"/>
                <w:szCs w:val="14"/>
                <w:color w:val="auto"/>
              </w:rPr>
              <w:t>Apollo</w:t>
            </w:r>
          </w:p>
        </w:tc>
        <w:tc>
          <w:tcPr>
            <w:tcW w:w="1820" w:type="dxa"/>
            <w:vAlign w:val="bottom"/>
            <w:gridSpan w:val="2"/>
            <w:shd w:val="clear" w:color="auto" w:fill="CCEEFF"/>
          </w:tcPr>
          <w:p>
            <w:pPr>
              <w:ind w:left="1060"/>
              <w:spacing w:after="0" w:line="153" w:lineRule="exact"/>
              <w:rPr>
                <w:sz w:val="20"/>
                <w:szCs w:val="20"/>
                <w:color w:val="auto"/>
              </w:rPr>
            </w:pPr>
            <w:r>
              <w:rPr>
                <w:rFonts w:ascii="Times New Roman" w:cs="Times New Roman" w:eastAsia="Times New Roman" w:hAnsi="Times New Roman"/>
                <w:sz w:val="14"/>
                <w:szCs w:val="14"/>
                <w:color w:val="auto"/>
              </w:rPr>
              <w:t>Tenneco Inc.</w:t>
            </w:r>
          </w:p>
        </w:tc>
        <w:tc>
          <w:tcPr>
            <w:tcW w:w="10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~5.4x</w:t>
            </w:r>
          </w:p>
        </w:tc>
      </w:tr>
      <w:tr>
        <w:trPr>
          <w:trHeight w:val="183"/>
        </w:trPr>
        <w:tc>
          <w:tcPr>
            <w:tcW w:w="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Funds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53"/>
        </w:trPr>
        <w:tc>
          <w:tcPr>
            <w:tcW w:w="200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February 2022</w:t>
            </w:r>
          </w:p>
        </w:tc>
        <w:tc>
          <w:tcPr>
            <w:tcW w:w="1840" w:type="dxa"/>
            <w:vAlign w:val="bottom"/>
            <w:gridSpan w:val="2"/>
          </w:tcPr>
          <w:p>
            <w:pPr>
              <w:ind w:left="1080"/>
              <w:spacing w:after="0" w:line="153" w:lineRule="exact"/>
              <w:rPr>
                <w:sz w:val="20"/>
                <w:szCs w:val="20"/>
                <w:color w:val="auto"/>
              </w:rPr>
            </w:pPr>
            <w:r>
              <w:rPr>
                <w:rFonts w:ascii="Times New Roman" w:cs="Times New Roman" w:eastAsia="Times New Roman" w:hAnsi="Times New Roman"/>
                <w:sz w:val="14"/>
                <w:szCs w:val="14"/>
                <w:color w:val="auto"/>
              </w:rPr>
              <w:t>Cummins</w:t>
            </w:r>
          </w:p>
        </w:tc>
        <w:tc>
          <w:tcPr>
            <w:tcW w:w="1820" w:type="dxa"/>
            <w:vAlign w:val="bottom"/>
            <w:gridSpan w:val="2"/>
          </w:tcPr>
          <w:p>
            <w:pPr>
              <w:ind w:left="1060"/>
              <w:spacing w:after="0" w:line="153" w:lineRule="exact"/>
              <w:rPr>
                <w:sz w:val="20"/>
                <w:szCs w:val="20"/>
                <w:color w:val="auto"/>
              </w:rPr>
            </w:pPr>
            <w:r>
              <w:rPr>
                <w:rFonts w:ascii="Times New Roman" w:cs="Times New Roman" w:eastAsia="Times New Roman" w:hAnsi="Times New Roman"/>
                <w:sz w:val="14"/>
                <w:szCs w:val="14"/>
                <w:color w:val="auto"/>
              </w:rPr>
              <w:t>Meritor, Inc.</w:t>
            </w:r>
          </w:p>
        </w:tc>
        <w:tc>
          <w:tcPr>
            <w:tcW w:w="10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~7.4x</w:t>
            </w:r>
          </w:p>
        </w:tc>
      </w:tr>
      <w:tr>
        <w:trPr>
          <w:trHeight w:val="183"/>
        </w:trPr>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Inc.</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54"/>
        </w:trPr>
        <w:tc>
          <w:tcPr>
            <w:tcW w:w="200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January 2020</w:t>
            </w:r>
          </w:p>
        </w:tc>
        <w:tc>
          <w:tcPr>
            <w:tcW w:w="1840" w:type="dxa"/>
            <w:vAlign w:val="bottom"/>
            <w:gridSpan w:val="2"/>
            <w:shd w:val="clear" w:color="auto" w:fill="CCEEFF"/>
          </w:tcPr>
          <w:p>
            <w:pPr>
              <w:ind w:left="1080"/>
              <w:spacing w:after="0" w:line="153" w:lineRule="exact"/>
              <w:rPr>
                <w:sz w:val="20"/>
                <w:szCs w:val="20"/>
                <w:color w:val="auto"/>
              </w:rPr>
            </w:pPr>
            <w:r>
              <w:rPr>
                <w:rFonts w:ascii="Times New Roman" w:cs="Times New Roman" w:eastAsia="Times New Roman" w:hAnsi="Times New Roman"/>
                <w:sz w:val="14"/>
                <w:szCs w:val="14"/>
                <w:color w:val="auto"/>
              </w:rPr>
              <w:t>BorgWarner</w:t>
            </w:r>
          </w:p>
        </w:tc>
        <w:tc>
          <w:tcPr>
            <w:tcW w:w="1820" w:type="dxa"/>
            <w:vAlign w:val="bottom"/>
            <w:gridSpan w:val="2"/>
            <w:shd w:val="clear" w:color="auto" w:fill="CCEEFF"/>
          </w:tcPr>
          <w:p>
            <w:pPr>
              <w:ind w:left="1060"/>
              <w:spacing w:after="0" w:line="153" w:lineRule="exact"/>
              <w:rPr>
                <w:sz w:val="20"/>
                <w:szCs w:val="20"/>
                <w:color w:val="auto"/>
              </w:rPr>
            </w:pPr>
            <w:r>
              <w:rPr>
                <w:rFonts w:ascii="Times New Roman" w:cs="Times New Roman" w:eastAsia="Times New Roman" w:hAnsi="Times New Roman"/>
                <w:sz w:val="14"/>
                <w:szCs w:val="14"/>
                <w:color w:val="auto"/>
              </w:rPr>
              <w:t>Delphi</w:t>
            </w:r>
          </w:p>
        </w:tc>
        <w:tc>
          <w:tcPr>
            <w:tcW w:w="10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~5.7x</w:t>
            </w:r>
          </w:p>
        </w:tc>
      </w:tr>
      <w:tr>
        <w:trPr>
          <w:trHeight w:val="183"/>
        </w:trPr>
        <w:tc>
          <w:tcPr>
            <w:tcW w:w="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Inc.</w:t>
            </w:r>
          </w:p>
        </w:tc>
        <w:tc>
          <w:tcPr>
            <w:tcW w:w="18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w w:val="98"/>
              </w:rPr>
              <w:t>Technologies</w:t>
            </w:r>
          </w:p>
        </w:tc>
        <w:tc>
          <w:tcPr>
            <w:tcW w:w="10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bl>
    <w:p>
      <w:pPr>
        <w:spacing w:after="0" w:line="153"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Barclays reviewed transaction values, calculated as the enterprise value implied for the target company based on the consideration payable in the selected transaction, as a multiple of the target company’s estimated LTM EBITDA. Barclays then applied LTM EBITDA multiples of 6.5x to 7.5x derived from the selected transactions, based on its professional judgment and experience, to the projected 2026 fiscal year adjusted EBITDA of the Performance Technologies Business. Estimated financial data of the selected transactions were based on publicly available information at the time of announcement of the relevant transaction. Estimated financial data of the Performance Technologies Business were based on the SpinCo Adjusted Financial Projections. This analysis indicated the approximate implied enterprise value range of $0.9 billion to $1.0 billion for the Performance Technologies Business on a standalone basis.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Relative Valuation</w:t>
      </w:r>
    </w:p>
    <w:p>
      <w:pPr>
        <w:spacing w:after="0" w:line="93"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By dividing the low endpoint and the high endpoint of the implied equity value range derived for Gentherm pursuant to the analysis of discounted cash flows (both with and without taking into account the Gentherm Management Estimated Synergies) by the high endpoint and the low endpoint of the implied equity value range derived for the Performance Technologies Business pursuant to the analysis of discounted cash flows (both with and without taking into account the Gentherm Management Estimated Synergies), respectively, Barclays calculated the following approximate reference ranges for the implied pro forma equity ownership of Gentherm shareholders in the combined company after the consummation of the Transactions, after deducting $210.0 million in respect of the SpinCo Cash Distribution, as compared to the equity ownership in the combined company after the consummation of the Transactions implied by the Exchange Ratio set forth in the Merger Agreement.</w:t>
      </w:r>
    </w:p>
    <w:p>
      <w:pPr>
        <w:spacing w:after="0" w:line="160" w:lineRule="exact"/>
        <w:rPr>
          <w:sz w:val="20"/>
          <w:szCs w:val="20"/>
          <w:color w:val="auto"/>
        </w:rPr>
      </w:pPr>
    </w:p>
    <w:tbl>
      <w:tblPr>
        <w:tblLayout w:type="fixed"/>
        <w:tblInd w:w="2740" w:type="dxa"/>
        <w:tblCellMar>
          <w:top w:w="0" w:type="dxa"/>
          <w:left w:w="0" w:type="dxa"/>
          <w:bottom w:w="0" w:type="dxa"/>
          <w:right w:w="0" w:type="dxa"/>
        </w:tblCellMar>
      </w:tblPr>
      <w:tr>
        <w:trPr>
          <w:trHeight w:val="135"/>
        </w:trPr>
        <w:tc>
          <w:tcPr>
            <w:tcW w:w="4580" w:type="dxa"/>
            <w:vAlign w:val="bottom"/>
            <w:gridSpan w:val="3"/>
          </w:tcPr>
          <w:p>
            <w:pPr>
              <w:ind w:left="1820"/>
              <w:spacing w:after="0"/>
              <w:rPr>
                <w:sz w:val="20"/>
                <w:szCs w:val="20"/>
                <w:color w:val="auto"/>
              </w:rPr>
            </w:pPr>
            <w:r>
              <w:rPr>
                <w:rFonts w:ascii="Times New Roman" w:cs="Times New Roman" w:eastAsia="Times New Roman" w:hAnsi="Times New Roman"/>
                <w:sz w:val="11"/>
                <w:szCs w:val="11"/>
                <w:b w:val="1"/>
                <w:bCs w:val="1"/>
                <w:color w:val="auto"/>
              </w:rPr>
              <w:t>Implied Equity Ownership Reference Range</w:t>
            </w:r>
          </w:p>
        </w:tc>
        <w:tc>
          <w:tcPr>
            <w:tcW w:w="1240" w:type="dxa"/>
            <w:vAlign w:val="bottom"/>
          </w:tcPr>
          <w:p>
            <w:pPr>
              <w:spacing w:after="0"/>
              <w:rPr>
                <w:sz w:val="11"/>
                <w:szCs w:val="11"/>
                <w:color w:val="auto"/>
              </w:rPr>
            </w:pPr>
          </w:p>
        </w:tc>
      </w:tr>
      <w:tr>
        <w:trPr>
          <w:trHeight w:val="20"/>
        </w:trPr>
        <w:tc>
          <w:tcPr>
            <w:tcW w:w="18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44"/>
        </w:trPr>
        <w:tc>
          <w:tcPr>
            <w:tcW w:w="45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Discounted Cash Flow Analysis (without Gentherm Management Estimated</w:t>
            </w:r>
          </w:p>
        </w:tc>
        <w:tc>
          <w:tcPr>
            <w:tcW w:w="1240" w:type="dxa"/>
            <w:vAlign w:val="bottom"/>
            <w:shd w:val="clear" w:color="auto" w:fill="CCEEFF"/>
          </w:tcPr>
          <w:p>
            <w:pPr>
              <w:spacing w:after="0"/>
              <w:rPr>
                <w:sz w:val="12"/>
                <w:szCs w:val="12"/>
                <w:color w:val="auto"/>
              </w:rPr>
            </w:pPr>
          </w:p>
        </w:tc>
      </w:tr>
      <w:tr>
        <w:trPr>
          <w:trHeight w:val="183"/>
        </w:trPr>
        <w:tc>
          <w:tcPr>
            <w:tcW w:w="4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Synergies)</w:t>
            </w:r>
          </w:p>
        </w:tc>
        <w:tc>
          <w:tcPr>
            <w:tcW w:w="1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58.0% – 68.0%</w:t>
            </w:r>
          </w:p>
        </w:tc>
      </w:tr>
      <w:tr>
        <w:trPr>
          <w:trHeight w:val="153"/>
        </w:trPr>
        <w:tc>
          <w:tcPr>
            <w:tcW w:w="458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Discounted Cash Flow Analysis (with Gentherm Management Estimated</w:t>
            </w:r>
          </w:p>
        </w:tc>
        <w:tc>
          <w:tcPr>
            <w:tcW w:w="1240" w:type="dxa"/>
            <w:vAlign w:val="bottom"/>
          </w:tcPr>
          <w:p>
            <w:pPr>
              <w:spacing w:after="0"/>
              <w:rPr>
                <w:sz w:val="13"/>
                <w:szCs w:val="13"/>
                <w:color w:val="auto"/>
              </w:rPr>
            </w:pPr>
          </w:p>
        </w:tc>
      </w:tr>
      <w:tr>
        <w:trPr>
          <w:trHeight w:val="183"/>
        </w:trPr>
        <w:tc>
          <w:tcPr>
            <w:tcW w:w="45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Synergies)</w:t>
            </w:r>
          </w:p>
        </w:tc>
        <w:tc>
          <w:tcPr>
            <w:tcW w:w="12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55.0% – 65.0%</w:t>
            </w:r>
          </w:p>
        </w:tc>
      </w:tr>
    </w:tbl>
    <w:p>
      <w:pPr>
        <w:spacing w:after="0" w:line="154"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By dividing the low endpoint and the high endpoint of the implied equity value range derived for Gentherm pursuant to the selected comparable companies analysis by the high endpoint and the low endpoint of the implied equity value range derived for the Performance Technologies Business pursuant to the selected comparable companies analysis — in each case using projected adjusted EBITDA figures as set forth in the Gentherm Management Financial Projections and the Gentherm Management SpinCo Adjusted Financial Projections, respectively, and comparing (x) Gentherm’s projected calendar year 2025 adjusted EBITDA with the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86"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3"/>
          <w:szCs w:val="13"/>
          <w:color w:val="auto"/>
        </w:rPr>
        <w:t>Performance Technologies Business’s projected adjusted EBITDA for the fiscal year ending March 2026, and (y) Gentherm’s projected calendar year 2026 adjusted EBITDA with the Performance Technologies Business’s projected adjusted EBITDA for the fiscal year ending March 2027 — Barclays calculated the following approximate reference ranges for the implied pro forma equity ownership of Gentherm shareholders in the combined company after the consummation of the Transactions, after deducting $210.0 million in respect of the SpinCo Cash Distribution, as compared to the equity ownership in the combined company after the consummation of the Transactions implied by the Exchange Ratio set forth in the Merger Agreement.</w:t>
      </w:r>
    </w:p>
    <w:p>
      <w:pPr>
        <w:spacing w:after="0" w:line="144" w:lineRule="exact"/>
        <w:rPr>
          <w:sz w:val="20"/>
          <w:szCs w:val="20"/>
          <w:color w:val="auto"/>
        </w:rPr>
      </w:pPr>
    </w:p>
    <w:tbl>
      <w:tblPr>
        <w:tblLayout w:type="fixed"/>
        <w:tblInd w:w="2740" w:type="dxa"/>
        <w:tblCellMar>
          <w:top w:w="0" w:type="dxa"/>
          <w:left w:w="0" w:type="dxa"/>
          <w:bottom w:w="0" w:type="dxa"/>
          <w:right w:w="0" w:type="dxa"/>
        </w:tblCellMar>
      </w:tblPr>
      <w:tr>
        <w:trPr>
          <w:trHeight w:val="135"/>
        </w:trPr>
        <w:tc>
          <w:tcPr>
            <w:tcW w:w="4560" w:type="dxa"/>
            <w:vAlign w:val="bottom"/>
            <w:gridSpan w:val="3"/>
          </w:tcPr>
          <w:p>
            <w:pPr>
              <w:ind w:left="1820"/>
              <w:spacing w:after="0"/>
              <w:rPr>
                <w:sz w:val="20"/>
                <w:szCs w:val="20"/>
                <w:color w:val="auto"/>
              </w:rPr>
            </w:pPr>
            <w:r>
              <w:rPr>
                <w:rFonts w:ascii="Times New Roman" w:cs="Times New Roman" w:eastAsia="Times New Roman" w:hAnsi="Times New Roman"/>
                <w:sz w:val="11"/>
                <w:szCs w:val="11"/>
                <w:b w:val="1"/>
                <w:bCs w:val="1"/>
                <w:color w:val="auto"/>
              </w:rPr>
              <w:t>Implied Equity Ownership Reference Range</w:t>
            </w:r>
          </w:p>
        </w:tc>
        <w:tc>
          <w:tcPr>
            <w:tcW w:w="1260" w:type="dxa"/>
            <w:vAlign w:val="bottom"/>
          </w:tcPr>
          <w:p>
            <w:pPr>
              <w:spacing w:after="0"/>
              <w:rPr>
                <w:sz w:val="11"/>
                <w:szCs w:val="11"/>
                <w:color w:val="auto"/>
              </w:rPr>
            </w:pPr>
          </w:p>
        </w:tc>
      </w:tr>
      <w:tr>
        <w:trPr>
          <w:trHeight w:val="20"/>
        </w:trPr>
        <w:tc>
          <w:tcPr>
            <w:tcW w:w="18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4"/>
        </w:trPr>
        <w:tc>
          <w:tcPr>
            <w:tcW w:w="456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Selected Comparable Companies Analysis (CY 2025 for Gentherm and FY</w:t>
            </w:r>
          </w:p>
        </w:tc>
        <w:tc>
          <w:tcPr>
            <w:tcW w:w="1260" w:type="dxa"/>
            <w:vAlign w:val="bottom"/>
            <w:shd w:val="clear" w:color="auto" w:fill="CCEEFF"/>
          </w:tcPr>
          <w:p>
            <w:pPr>
              <w:spacing w:after="0"/>
              <w:rPr>
                <w:sz w:val="12"/>
                <w:szCs w:val="12"/>
                <w:color w:val="auto"/>
              </w:rPr>
            </w:pPr>
          </w:p>
        </w:tc>
      </w:tr>
      <w:tr>
        <w:trPr>
          <w:trHeight w:val="183"/>
        </w:trPr>
        <w:tc>
          <w:tcPr>
            <w:tcW w:w="4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2026 for Platinum)</w:t>
            </w:r>
          </w:p>
        </w:tc>
        <w:tc>
          <w:tcPr>
            <w:tcW w:w="1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 – 67.0%</w:t>
            </w:r>
          </w:p>
        </w:tc>
      </w:tr>
      <w:tr>
        <w:trPr>
          <w:trHeight w:val="153"/>
        </w:trPr>
        <w:tc>
          <w:tcPr>
            <w:tcW w:w="45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Selected Comparable Companies Analysis (CY 2026 for Gentherm and FY</w:t>
            </w:r>
          </w:p>
        </w:tc>
        <w:tc>
          <w:tcPr>
            <w:tcW w:w="1260" w:type="dxa"/>
            <w:vAlign w:val="bottom"/>
          </w:tcPr>
          <w:p>
            <w:pPr>
              <w:spacing w:after="0"/>
              <w:rPr>
                <w:sz w:val="13"/>
                <w:szCs w:val="13"/>
                <w:color w:val="auto"/>
              </w:rPr>
            </w:pPr>
          </w:p>
        </w:tc>
      </w:tr>
      <w:tr>
        <w:trPr>
          <w:trHeight w:val="183"/>
        </w:trPr>
        <w:tc>
          <w:tcPr>
            <w:tcW w:w="45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2027 for Platinum)</w:t>
            </w:r>
          </w:p>
        </w:tc>
        <w:tc>
          <w:tcPr>
            <w:tcW w:w="12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54.0% – 67.0%</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Factors</w:t>
      </w:r>
    </w:p>
    <w:p>
      <w:pPr>
        <w:spacing w:after="0" w:line="93"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Barclays also reviewed and considered other factors, which were not considered part of its financial analyses in connection with rendering its advice, but were references for informational purposes, including, among other things, the following.</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Gentherm 52 Week High / Low Analysis</w:t>
      </w:r>
    </w:p>
    <w:p>
      <w:pPr>
        <w:spacing w:after="0" w:line="93"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Barclays reviewed the 52-week low and 52-week high prices of shares of Gentherm Common Stock as of January 23, 2026 (rounded to the nearest dollar), and calculated Gentherm’s implied enterprise value range therefrom. The following reflects the results of the analysis, as compared to the enterprise value of Gentherm of $1.2 billion calculated at the base stock price of $36.70 as of market close on January 23, 2026:</w:t>
      </w:r>
    </w:p>
    <w:p>
      <w:pPr>
        <w:spacing w:after="0" w:line="171" w:lineRule="exact"/>
        <w:rPr>
          <w:sz w:val="20"/>
          <w:szCs w:val="20"/>
          <w:color w:val="auto"/>
        </w:rPr>
      </w:pPr>
    </w:p>
    <w:tbl>
      <w:tblPr>
        <w:tblLayout w:type="fixed"/>
        <w:tblInd w:w="2740" w:type="dxa"/>
        <w:tblCellMar>
          <w:top w:w="0" w:type="dxa"/>
          <w:left w:w="0" w:type="dxa"/>
          <w:bottom w:w="0" w:type="dxa"/>
          <w:right w:w="0" w:type="dxa"/>
        </w:tblCellMar>
      </w:tblPr>
      <w:tr>
        <w:trPr>
          <w:trHeight w:val="16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52-Week Low - High</w:t>
            </w:r>
          </w:p>
        </w:tc>
        <w:tc>
          <w:tcPr>
            <w:tcW w:w="3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$23 – $41 per share</w:t>
            </w:r>
          </w:p>
        </w:tc>
      </w:tr>
      <w:tr>
        <w:trPr>
          <w:trHeight w:val="185"/>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Implied Enterprise Value</w:t>
            </w:r>
          </w:p>
        </w:tc>
        <w:tc>
          <w:tcPr>
            <w:tcW w:w="32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$0.8 billion – $1.3 billion</w:t>
            </w:r>
          </w:p>
        </w:tc>
      </w:tr>
    </w:tbl>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Gentherm Broker Target Prices Analysis</w:t>
      </w:r>
    </w:p>
    <w:p>
      <w:pPr>
        <w:spacing w:after="0" w:line="93"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Barclays reviewed the target prices published by five (5) brokers covering Gentherm as of January 23, 2026. The price target range for Gentherm Common Stock (rounded to the nearest dollar) was $42 per share to $53 per share.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9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Barclays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The Gentherm Board selected Barclays because of its familiarity with Gentherm and its qualifications, reputation and experience in the valuation of businesses and securities in connection with mergers and acquisitions generally, as well as substantial experience in transactions comparable to the Transactions.</w:t>
      </w:r>
    </w:p>
    <w:p>
      <w:pPr>
        <w:spacing w:after="0" w:line="14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Barclays is acting as financial advisor to Gentherm in connection with the proposed Merger. As compensation for its services in connection with the Merger, Gentherm paid Barclays a fee of $3,000,000 upon the delivery of Barclays’ opinion, which is referred to as the “Opinion Fee”. The Opinion Fee was not contingent upon the consummation of the Merger. Additional compensation of $17,000,000 will be payable on completion of the Merger, against which the amounts paid for the opinion will be credited. In addition, Gentherm has agreed</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386"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to reimburse Barclays for a portion of its reasonable out-of-pocket expenses incurred in connection with the proposed transaction and to indemnify Barclays for certain liabilities that may arise out of its engagement.</w:t>
      </w:r>
    </w:p>
    <w:p>
      <w:pPr>
        <w:spacing w:after="0" w:line="125"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Barclays has performed various investment banking and financial services for Gentherm and Modine in the past, and expects to perform such services in the future, and has received, and expects to receive, customary fees for such services. Specifically, in the two years preceding the date of its opinion, Barclays has performed the following investment banking and financial services for Modine: (i) acted as a financial advisor for Modine in connection with its acquisition of Scott Springfield Manufacturing in February 2024 and (ii) acted as a lender in Modine’s revolving credit facility and term loan credit facility, for which Barclays has received customary fees. In the two years preceding the date of its opinion, Barclays has received approximately $1.0 million in investment banking fees from Modine. In addition, Barclays is currently engaged as a financial advisor to Modine in connection with services unrelated to the Transactions for which Barclays may receive customary fees and is currently a lender in Modine’s credit facilities for which Barclays will receive customary fees. In the two years preceding the date of its opinion, Barclays has not performed any investment banking and financial services for Gentherm; however, Barclays has been engaged by Gentherm in connection with the financing transactions related to the Transactions for which Barclays will receive customary fees. The foregoing engagements were disclosed to Gentherm and considered by the Gentherm Board in connection with its appointment of Barclays as its financial advisor and in its evaluation of the Transactions.</w:t>
      </w:r>
    </w:p>
    <w:p>
      <w:pPr>
        <w:spacing w:after="0" w:line="144"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Barclays and its affiliates engage in a wide range of businesses from investment and commercial banking, lending, asset management and other financial and non-financial services. In the ordinary course of Barclays’ business, Barclays and its affiliates may actively trade and effect transactions in the equity, debt and/or other securities (and any derivatives thereof) and financial instruments (including loans and other obligations) of Gentherm and Modine for its own account and for the accounts of its customers and, accordingly, may at any time hold long or short positions and investments in such securities and financial instruments.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Overlap Shareholder Determination Process</w:t>
      </w:r>
    </w:p>
    <w:p>
      <w:pPr>
        <w:spacing w:after="0" w:line="93"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Under the Merger Agreement, Gentherm and Modine agreed that Overlap Shareholders will mean those persons that are treated as owning (for U.S. federal income tax purposes) both SpinCo Common Stock and Gentherm Common Stock as of immediately prior to the Effective Time based on</w:t>
      </w:r>
    </w:p>
    <w:p>
      <w:pPr>
        <w:spacing w:after="0" w:line="1" w:lineRule="exact"/>
        <w:rPr>
          <w:sz w:val="20"/>
          <w:szCs w:val="20"/>
          <w:color w:val="auto"/>
        </w:rPr>
      </w:pPr>
    </w:p>
    <w:p>
      <w:pPr>
        <w:ind w:left="1360" w:right="239" w:hanging="5"/>
        <w:spacing w:after="0" w:line="252" w:lineRule="auto"/>
        <w:tabs>
          <w:tab w:leader="none" w:pos="155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knowledge of Modine or Gentherm at the beginning of the day on the date that is two business days prior to the Closing Date or any earlier time specified in the IRS Ruling as the relevant time to gather information to establish the stock ownership of Overlap Shareholders or, absent such actual knowledge, (b) the most recent publicly available information at the relevant time, obtained from sources specified in the IRS Ruling as permitted sources of publicly available information to establish the stock ownership of Overlap Shareholders. Gentherm and Modine acknowledged and agreed that the formal ruling request in respect of the IRS Ruling may request that the relevant time is earlier than the date that is two business days prior to the Closing Date. The Overlap Shareholders and their respective SpinCo Overlap Ownership Percentages and Gentherm Overlap Ownership Percentages (each as defined in the Merger Agreement) will be determined in a manner that incorporates, reflects and is consistent with the parameters set forth in Schedule A of the Merger Agreement and based on the sources of publicly available information specified therein (to the extent such sources are permitted sources).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Ownership of Gentherm Following the Transactions</w:t>
      </w:r>
    </w:p>
    <w:p>
      <w:pPr>
        <w:spacing w:after="0" w:line="93"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For a discussion of the ownership of Gentherm following the Transactions, see the section entitled “The Transaction Agreements-The Merger Agreement-Merger Consideration; Gentherm Special Dividend.”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Ownership of SpinCo Following the Transactions</w:t>
      </w:r>
    </w:p>
    <w:p>
      <w:pPr>
        <w:spacing w:after="0" w:line="93"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Following the Effective Time, 100% of the outstanding shares of SpinCo Common Stock are expected to be owned by Gentherm, and SpinCo will be a wholly owned subsidiary of Gentherm.</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86"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Interests of Directors and Executive Officers in the Merger</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As of the date of this proxy statement/prospectus, Gentherm’s directors and executive officers do not have any financial interests in the Transactions that are different from, or in addition to, the financial interests of Gentherm’s shareholders generally. As with all Gentherm shareholders, Gentherm’s directors and executive officers may benefit from the Transactions as a result of their ownership of Gentherm Common Stock, including any shares of Gentherm Common Stock underlying Gentherm equity-based awards.</w:t>
      </w:r>
    </w:p>
    <w:p>
      <w:pPr>
        <w:spacing w:after="0" w:line="14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Non-employee members of the Gentherm Board do not have any compensation or benefits that will vest or become payable upon the completion of the Transactions, and accordingly, such members do not have interests that are in addition to, or different from, the interests of Gentherm’s shareholders generally. Similarly, Gentherm’s executive officers do not currently have any compensation or benefits that will vest or become payable upon the completion of the Transactions. However, by virtue of continuing to serve as executive officers of Gentherm following the Transactions, Gentherm’s executive officers may have interests in the Transactions that are different than those of Gentherm’s shareholders generally, including that Gentherm’s executive officers may, in the future, receive increased compensation to reflect increased responsibilities and the larger scale and complexity of their roles with respect to the combined company or receive compensation in connection with their successful execution of the Transactions. Any such future increases in compensation will remain subject to the Gentherm Board’s Compensation and Talent Committee procedures as described in Gentherm’s SEC filings.</w:t>
      </w:r>
    </w:p>
    <w:p>
      <w:pPr>
        <w:spacing w:after="0" w:line="149"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Outstanding Gentherm Equity Awards will remain outstanding following the Merger and the consummation of the Merger will not constitute a “change in control” under the Gentherm Equity Incentive Plan or under the terms of any Gentherm Equity Awards. As a result, the consummation of the Merger will not result in the accelerated vesting or cancellation of any outstanding Gentherm Equity Awards held by Gentherm named executive officers, and Gentherm has not taken any action with respect to any such outstanding Gentherm Equity Awards in connection with the Transactions.</w:t>
      </w:r>
    </w:p>
    <w:p>
      <w:pPr>
        <w:spacing w:after="0" w:line="14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Because, as of the date of this proxy statement/prospectus, Gentherm does not have any “golden parachute” arrangements with any of its named executive officers that would involve the payment of any compensation based on or related to the Transactions, this proxy statement/prospectus does not include tabular disclosure pursuant to Item 402(t) of the SEC’s Regulation S-K of the compensation that may be paid or become payable to Gentherm’s named executive officers in connection with the Transactions, or a proposal for a non-binding, advisory vote with respect to such compensation pursuant to Rule 14a-21(c) of the Exchange Act, on the basis that there is no such compensation as of the date of this proxy statement/prospectus.</w:t>
      </w:r>
    </w:p>
    <w:p>
      <w:pPr>
        <w:spacing w:after="0" w:line="144"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As of         , 2026 the latest practicable date prior to the date hereof, Gentherm’s directors and executive officers beneficially owned, in the aggregate,   % of the outstanding shares of Gentherm Common Stock and none of the directors or executive officers of Gentherm beneficially owned any shares of Modine Common Stock.</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Treatment of Modine Equity Awards in Connection with the Transactions</w:t>
      </w:r>
    </w:p>
    <w:p>
      <w:pPr>
        <w:spacing w:after="0" w:line="9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Equity Awards Held by Individuals Other Than SpinCo Transferred Employees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Modine equity incentive awards held by employees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former employees of Modine who are not SpinCo Transferred Employees or by non-employee directors of Modine will not be converted into or substituted with awards relating to Gentherm Common Stock. Instead, those awards will remain outstanding as awards in respect of shares of Modine Common Stock, subject to adjustment to reflect the Transactions in such manner as determined by the Modine Board or its compensation committee in its sole discretion and in accordance with the applicable Modine equity plans and agreements underlying such equity incentive awards. The Transactions will not automatically result in the accelerated vesting of any of these awards.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86"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both"/>
        <w:ind w:left="1360" w:right="319" w:firstLine="343"/>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Equity Awards Held by SpinCo Transferred Employees</w:t>
      </w:r>
      <w:r>
        <w:rPr>
          <w:rFonts w:ascii="Times New Roman" w:cs="Times New Roman" w:eastAsia="Times New Roman" w:hAnsi="Times New Roman"/>
          <w:sz w:val="14"/>
          <w:szCs w:val="14"/>
          <w:color w:val="auto"/>
        </w:rPr>
        <w:t>. Pursuant to the Employee Matters Agreement, at the Effective Time, each outstanding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Modine Option Award, Modine RSU Award and Modine PS Award held by a SpinCo Transferred Employee will be converted into, or substituted with, a corresponding award with respect to Gentherm Common Stock, as follows:</w:t>
      </w:r>
    </w:p>
    <w:p>
      <w:pPr>
        <w:spacing w:after="0" w:line="60" w:lineRule="exact"/>
        <w:rPr>
          <w:sz w:val="20"/>
          <w:szCs w:val="20"/>
          <w:color w:val="auto"/>
        </w:rPr>
      </w:pPr>
    </w:p>
    <w:p>
      <w:pPr>
        <w:ind w:left="2120" w:right="299" w:hanging="345"/>
        <w:spacing w:after="0" w:line="273" w:lineRule="auto"/>
        <w:tabs>
          <w:tab w:leader="none" w:pos="212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Modine Option Award</w:t>
      </w:r>
      <w:r>
        <w:rPr>
          <w:rFonts w:ascii="Times New Roman" w:cs="Times New Roman" w:eastAsia="Times New Roman" w:hAnsi="Times New Roman"/>
          <w:sz w:val="13"/>
          <w:szCs w:val="13"/>
          <w:color w:val="auto"/>
        </w:rPr>
        <w:t>: Each outstanding Modine Option Award (whether vested or unvested) held by a SpinCo Transferred Employee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immediately prior to the Distribution Time will be converted, as of the Effective Time, into a Gentherm stock option award (“Gentherm Option Award”), subject to the same terms and conditions (including with respect to vesting and expiration) as were applicable to the Modine Option Awards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w:t>
      </w:r>
    </w:p>
    <w:p>
      <w:pPr>
        <w:spacing w:after="0" w:line="2" w:lineRule="exact"/>
        <w:rPr>
          <w:sz w:val="20"/>
          <w:szCs w:val="20"/>
          <w:color w:val="auto"/>
        </w:rPr>
      </w:pPr>
    </w:p>
    <w:p>
      <w:pPr>
        <w:ind w:left="2120" w:right="319"/>
        <w:spacing w:after="0" w:line="300" w:lineRule="auto"/>
        <w:rPr>
          <w:sz w:val="20"/>
          <w:szCs w:val="20"/>
          <w:color w:val="auto"/>
        </w:rPr>
      </w:pPr>
      <w:r>
        <w:rPr>
          <w:rFonts w:ascii="Times New Roman" w:cs="Times New Roman" w:eastAsia="Times New Roman" w:hAnsi="Times New Roman"/>
          <w:sz w:val="13"/>
          <w:szCs w:val="13"/>
          <w:color w:val="auto"/>
        </w:rPr>
        <w:t>per-share exercise price of the corresponding Modine Option Award immediately prior to the Distribution Time, divided by (y) the Equity Award Exchange Ratio, in each case, determined in a manner consistent with the requirements of Sections 424 and 409A of the Code.</w:t>
      </w:r>
    </w:p>
    <w:p>
      <w:pPr>
        <w:spacing w:after="0" w:line="41" w:lineRule="exact"/>
        <w:rPr>
          <w:sz w:val="20"/>
          <w:szCs w:val="20"/>
          <w:color w:val="auto"/>
        </w:rPr>
      </w:pPr>
    </w:p>
    <w:p>
      <w:pPr>
        <w:ind w:left="2120" w:right="239" w:hanging="345"/>
        <w:spacing w:after="0" w:line="256" w:lineRule="auto"/>
        <w:tabs>
          <w:tab w:leader="none" w:pos="21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Modine RSU Award: </w:t>
      </w:r>
      <w:r>
        <w:rPr>
          <w:rFonts w:ascii="Times New Roman" w:cs="Times New Roman" w:eastAsia="Times New Roman" w:hAnsi="Times New Roman"/>
          <w:sz w:val="14"/>
          <w:szCs w:val="14"/>
          <w:color w:val="auto"/>
        </w:rPr>
        <w:t>Each Modine RSU Award held by a SpinCo Transferred Employee immediately prior to the Distribution Time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converted, as of the Effective Time, into a Gentherm restricted stock unit award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w:t>
      </w:r>
    </w:p>
    <w:p>
      <w:pPr>
        <w:spacing w:after="0" w:line="69" w:lineRule="exact"/>
        <w:rPr>
          <w:rFonts w:ascii="Times New Roman" w:cs="Times New Roman" w:eastAsia="Times New Roman" w:hAnsi="Times New Roman"/>
          <w:sz w:val="14"/>
          <w:szCs w:val="14"/>
          <w:color w:val="auto"/>
        </w:rPr>
      </w:pPr>
    </w:p>
    <w:p>
      <w:pPr>
        <w:ind w:left="2120" w:right="239" w:hanging="345"/>
        <w:spacing w:after="0" w:line="255" w:lineRule="auto"/>
        <w:tabs>
          <w:tab w:leader="none" w:pos="21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Modine PS Award: </w:t>
      </w:r>
      <w:r>
        <w:rPr>
          <w:rFonts w:ascii="Times New Roman" w:cs="Times New Roman" w:eastAsia="Times New Roman" w:hAnsi="Times New Roman"/>
          <w:sz w:val="14"/>
          <w:szCs w:val="14"/>
          <w:color w:val="auto"/>
        </w:rPr>
        <w:t>Each Modine PS Award held by a SpinCo Transferred Employee immediately prior to the Distribution Time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converted, as of the Effective Time, into a Gentherm RSU Award, subject to the same terms and conditions (including terms and conditions with respect to settlement and vesting, except that performance conditions will no longer apply) after the Effective Time as were applicable to such Modine PS Award immediately prior to the Distribution Time, subject to certain administrative and non-substantive changes as Gentherm determines are reasonably required to reflect the Transactions.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w:t>
      </w:r>
    </w:p>
    <w:p>
      <w:pPr>
        <w:spacing w:after="0" w:line="145"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The Employee Matters Agreement provides that, with respect to each SpinCo Transferred Employee who received a Modine PS Award in 2025 (or would have been eligible to receive such award if such SpinCo Transferred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Transferred Employee in connection with the conversion of their outstanding Modine Awards that would be eligible to vest in the 12 month period following such termination will vest and, for Gentherm Option Awards, become exercisable, as of such termination.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86"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Regulatory Approvals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HSR Act and U.S. Antitrust Matters</w:t>
      </w:r>
    </w:p>
    <w:p>
      <w:pPr>
        <w:spacing w:after="0" w:line="9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The Merger is subject to the requirements of the HSR Act, and the rules and regulations promulgated thereunder. Under the HSR Act, certain transactions, including the Merger, may not be completed unless certain waiting period requirements have expired or been terminated. The HSR Act provides that each party must file its respective HSR Act notifications with the DOJ and the FTC. A transaction notifiable under the HSR Act may not be completed until the expiration of a 30-day waiting period following the parties’ filings of their respective HSR Act notifications or the earlier termination of such waiting period. Gentherm and Modine have both filed their respective HSR Act notifications and were granted early termination of the waiting period thereunder as of 11:25 a.m., Eastern Time, on March 26, 2026. If the Merger is not completed within 12 months after the expiration of the HSR Act waiting period, Gentherm and Modine will be required to submit new information to the DOJ and the FTC, and a new HSR Act waiting period will have to expire or be terminated before the Merger could be completed.</w:t>
      </w:r>
    </w:p>
    <w:p>
      <w:pPr>
        <w:spacing w:after="0" w:line="145"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At any time before or after the Merger is completed, the DOJ or the FTC could take action to challenge the Merger on antitrust grounds, including seeking to preliminarily or permanently enjoin the Merger. In addition, U.S. state attorneys general could take such action under the antitrust laws as they deem necessary or desirable in the public interest, including, without limitation, seeking to enjoin completion of the Merger or permitting completion subject to regulatory concessions or conditions. Private parties also may seek to take legal action under the antitrust laws under certain circumstances. Neither Gentherm nor Modine believes that the Merger violates the antitrust laws, but there can be no guarantee that the DOJ, the FTC, U.S. state attorneys general or other private parties will not take a different position.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Global Antitrust and Other Regulatory Approvals</w:t>
      </w:r>
    </w:p>
    <w:p>
      <w:pPr>
        <w:spacing w:after="0" w:line="93"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In addition to antitrust approval in the United States, the completion of the Merger is conditioned on the receipt of certain consents or approvals from the competition authorities in the Czech Republic and Germany. There can be no assurance that governmental authorities in these or other jurisdictions will not assert that other notices or regulatory approvals are required or seek to preliminarily or permanently enjoin the Merger.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IRS Ruling</w:t>
      </w:r>
    </w:p>
    <w:p>
      <w:pPr>
        <w:spacing w:after="0" w:line="93"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Modine has submitted to the IRS a request for the IRS Ruling regarding, among other things, the proper time, manner and methodology for measuring Overlap Shareholders for purposes of Section 355(e) of the Code. Receipt of the IRS Ruling in form and substance reasonably satisfactory to Modine, which shall continue to be valid and in full force and effect as of the Closing, is a condition to the Distribution and the Merger.</w:t>
      </w:r>
    </w:p>
    <w:p>
      <w:pPr>
        <w:spacing w:after="0" w:line="136"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There can be no assurances when or if Modine will receive the IRS Ruling or as to the contents of the IRS Ruling, if received. The IRS has issued private letter rulings to other parties that contain rulings substantially similar to those Modine is requesting, but a private letter ruling can only be relied upon by the party to whom it is addressed and the IRS is not required to issue similar rulings to Modine. The IRS may decline to issue the IRS Ruling, in which case Modine and SpinCo will not be required to close the Merger. Depending on the rulings received and whether Modine, in its sole discretion, waives the closing condition tied to receipt of the IRS Ruling, the shares of SpinCo Common Stock could be converted into the right to receive approximately 40.0% to 50.5% of the outstanding shares of Gentherm Common Stock immediately following the consummation of the Merger, based upon the Exchange Ratio, and any adjustments thereto as provided in the Merger Agreement.</w:t>
      </w:r>
    </w:p>
    <w:p>
      <w:pPr>
        <w:spacing w:after="0" w:line="144"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The Exchange Ratio will ultimately depend on the parties’ ability to determine the Overlap Shareholders at the time of the Merger based on the principles set forth in the IRS Ruling. Further, the IRS Ruling will be based on, among other things, certain assumptions as well as the accuracy of certain factual representations and statements that Modine makes to the IRS. Although a private letter ruling from the IRS is generally binding on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86"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the IRS, if the parties do not apply the IRS Ruling correctly or any of the representations or statements that Modine makes are, or become, inaccurate or incomplete, the Distribution might not qualify as tax-free for U.S. federal income tax purposes. Receipt of the IRS Ruling is a condition to the Distribution and the Merger. In the event the IRS refuses to grant any ruling requested in the IRS Ruling, Gentherm and Modine will collaborate reasonably and in good faith to change the method or structure of effecting the Transactions so as to either (i) make likely the receipt of the IRS Ruling,</w:t>
      </w:r>
    </w:p>
    <w:p>
      <w:pPr>
        <w:spacing w:after="0" w:line="1" w:lineRule="exact"/>
        <w:rPr>
          <w:sz w:val="20"/>
          <w:szCs w:val="20"/>
          <w:color w:val="auto"/>
        </w:rPr>
      </w:pPr>
    </w:p>
    <w:p>
      <w:pPr>
        <w:ind w:left="1360" w:right="299" w:hanging="5"/>
        <w:spacing w:after="0" w:line="256" w:lineRule="auto"/>
        <w:tabs>
          <w:tab w:leader="none" w:pos="1566"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likely the receipt of the tax opinions required under the Merger Agreement or (iii) allow Modine to accomplish the same result as the structure contemplated as of the date of the Merger Agreement in a tax-free or, in the reasonable judgment of Modine, tax-efficient manner, as promptly as practicable and in any event prior to the Outside Date.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Gentherm intends to file an application with Nasdaq for the listing of the shares of Gentherm Common Stock to be issued pursuant to the Merger Agreement. It is a condition to the obligation of the parties to consummate the Merger that the shares of Gentherm Common Stock to be issued pursuant to the Gentherm Share Issuance have been approved for listing on Nasdaq. Following the completion of the Merger, it is expected that the common stock of the combined company will continue to trade under the ticker symbol “THRM.”</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Federal Securities Laws Consequences; Resale Restrictions</w:t>
      </w:r>
    </w:p>
    <w:p>
      <w:pPr>
        <w:spacing w:after="0" w:line="93"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Shares of Gentherm Common Stock issued pursuant to the Merger Agreement will not be subject to any restrictions on transfer arising under the Securities Act, except for shares issued to any Modine shareholder who may be deemed to be an “affiliate” of Gentherm for purposes of Rule 145 under the Securities Act.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Accounting Standards Codification (“ASC”) 805, Business Combinations, requires the use of the acquisition method of accounting for business combinations. In applying the acquisition method, it is necessary to identify both the accounting acquiree and the accounting acquirer. In a business combination effected through an exchange of equity interests, such as the Merger, the entity that issues the interests (Gentherm, in this case) is generally the accounting acquirer; however, all pertinent facts and circumstances must be considered, including, the following:</w:t>
      </w:r>
    </w:p>
    <w:p>
      <w:pPr>
        <w:spacing w:after="0" w:line="55" w:lineRule="exact"/>
        <w:rPr>
          <w:sz w:val="20"/>
          <w:szCs w:val="20"/>
          <w:color w:val="auto"/>
        </w:rPr>
      </w:pPr>
    </w:p>
    <w:p>
      <w:pPr>
        <w:ind w:left="1700" w:right="379"/>
        <w:spacing w:after="0" w:line="262" w:lineRule="auto"/>
        <w:rPr>
          <w:sz w:val="20"/>
          <w:szCs w:val="20"/>
          <w:color w:val="auto"/>
        </w:rPr>
      </w:pPr>
      <w:r>
        <w:rPr>
          <w:rFonts w:ascii="Times New Roman" w:cs="Times New Roman" w:eastAsia="Times New Roman" w:hAnsi="Times New Roman"/>
          <w:sz w:val="14"/>
          <w:szCs w:val="14"/>
          <w:i w:val="1"/>
          <w:iCs w:val="1"/>
          <w:color w:val="auto"/>
        </w:rPr>
        <w:t>The composition of the senior management of Gentherm after the Merger</w:t>
      </w:r>
      <w:r>
        <w:rPr>
          <w:rFonts w:ascii="Times New Roman" w:cs="Times New Roman" w:eastAsia="Times New Roman" w:hAnsi="Times New Roman"/>
          <w:sz w:val="14"/>
          <w:szCs w:val="14"/>
          <w:color w:val="auto"/>
        </w:rPr>
        <w:t>. Bill Presley, the current President and Chief Executive Officer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Gentherm, will serve as Chief Executive Officer of the combined company immediately following the Merger. It is expected that the majority of the executive committee positions in the combined company will be held by current executives of Gentherm, including the Chief Financial Officer.</w:t>
      </w:r>
    </w:p>
    <w:p>
      <w:pPr>
        <w:spacing w:after="0" w:line="54" w:lineRule="exact"/>
        <w:rPr>
          <w:sz w:val="20"/>
          <w:szCs w:val="20"/>
          <w:color w:val="auto"/>
        </w:rPr>
      </w:pPr>
    </w:p>
    <w:p>
      <w:pPr>
        <w:ind w:left="1700" w:right="259"/>
        <w:spacing w:after="0" w:line="268" w:lineRule="auto"/>
        <w:rPr>
          <w:sz w:val="20"/>
          <w:szCs w:val="20"/>
          <w:color w:val="auto"/>
        </w:rPr>
      </w:pPr>
      <w:r>
        <w:rPr>
          <w:rFonts w:ascii="Times New Roman" w:cs="Times New Roman" w:eastAsia="Times New Roman" w:hAnsi="Times New Roman"/>
          <w:sz w:val="14"/>
          <w:szCs w:val="14"/>
          <w:i w:val="1"/>
          <w:iCs w:val="1"/>
          <w:color w:val="auto"/>
        </w:rPr>
        <w:t>The composition of the governing body of Gentherm after the Merger</w:t>
      </w:r>
      <w:r>
        <w:rPr>
          <w:rFonts w:ascii="Times New Roman" w:cs="Times New Roman" w:eastAsia="Times New Roman" w:hAnsi="Times New Roman"/>
          <w:sz w:val="14"/>
          <w:szCs w:val="14"/>
          <w:color w:val="auto"/>
        </w:rPr>
        <w:t>. Following the Merger, the Gentherm Board will consist of eleven members,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nine directors who are members of the Gentherm Board then in-office immediately prior to the Merger, and two directors selected by Modine after good faith consultation with Gentherm.</w:t>
      </w:r>
    </w:p>
    <w:p>
      <w:pPr>
        <w:spacing w:after="0" w:line="49" w:lineRule="exact"/>
        <w:rPr>
          <w:sz w:val="20"/>
          <w:szCs w:val="20"/>
          <w:color w:val="auto"/>
        </w:rPr>
      </w:pPr>
    </w:p>
    <w:p>
      <w:pPr>
        <w:ind w:left="1700" w:right="319"/>
        <w:spacing w:after="0" w:line="257" w:lineRule="auto"/>
        <w:rPr>
          <w:sz w:val="20"/>
          <w:szCs w:val="20"/>
          <w:color w:val="auto"/>
        </w:rPr>
      </w:pPr>
      <w:r>
        <w:rPr>
          <w:rFonts w:ascii="Times New Roman" w:cs="Times New Roman" w:eastAsia="Times New Roman" w:hAnsi="Times New Roman"/>
          <w:sz w:val="14"/>
          <w:szCs w:val="14"/>
          <w:i w:val="1"/>
          <w:iCs w:val="1"/>
          <w:color w:val="auto"/>
        </w:rPr>
        <w:t>The relative voting interests in the combined company after the Merger</w:t>
      </w:r>
      <w:r>
        <w:rPr>
          <w:rFonts w:ascii="Times New Roman" w:cs="Times New Roman" w:eastAsia="Times New Roman" w:hAnsi="Times New Roman"/>
          <w:sz w:val="14"/>
          <w:szCs w:val="14"/>
          <w:color w:val="auto"/>
        </w:rPr>
        <w:t>. The Exchange Ratio is designed to result in the issued and outstanding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Gentherm Common Stock on a fully diluted basis immediately following the consummation of the Merger being owned approximately 40% by the former holders of SpinCo Common Stock immediately prior to the consummation of the Merger (in their capacity as such) and approximately 60% by the Gentherm shareholders immediately prior to the consummation of the Merger (in their capacity as such). It was also determined that the shareholder bases of both entities are dispersed such that no single holder or group of related holders would control the entity after the Merger.</w:t>
      </w:r>
    </w:p>
    <w:p>
      <w:pPr>
        <w:spacing w:after="0" w:line="145" w:lineRule="exact"/>
        <w:rPr>
          <w:sz w:val="20"/>
          <w:szCs w:val="20"/>
          <w:color w:val="auto"/>
        </w:rPr>
      </w:pPr>
    </w:p>
    <w:p>
      <w:pPr>
        <w:ind w:left="1360" w:right="219" w:firstLine="343"/>
        <w:spacing w:after="0" w:line="283" w:lineRule="auto"/>
        <w:rPr>
          <w:sz w:val="20"/>
          <w:szCs w:val="20"/>
          <w:color w:val="auto"/>
        </w:rPr>
      </w:pPr>
      <w:r>
        <w:rPr>
          <w:rFonts w:ascii="Times New Roman" w:cs="Times New Roman" w:eastAsia="Times New Roman" w:hAnsi="Times New Roman"/>
          <w:sz w:val="14"/>
          <w:szCs w:val="14"/>
          <w:color w:val="auto"/>
        </w:rPr>
        <w:t>After considering all pertinent facts, reviewing the criteria outlined in ASC 805 and conducting the relevant analysis, Gentherm has concluded that it is the accounting acquirer in the Merger. Gentherm’s conclusion is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86"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0" w:lineRule="auto"/>
        <w:rPr>
          <w:sz w:val="20"/>
          <w:szCs w:val="20"/>
          <w:color w:val="auto"/>
        </w:rPr>
      </w:pPr>
      <w:r>
        <w:rPr>
          <w:rFonts w:ascii="Times New Roman" w:cs="Times New Roman" w:eastAsia="Times New Roman" w:hAnsi="Times New Roman"/>
          <w:sz w:val="13"/>
          <w:szCs w:val="13"/>
          <w:color w:val="auto"/>
        </w:rPr>
        <w:t>based primarily on the fact that (i) the current Chief Executive Officer of Gentherm is expected to continue as the Chief Executive Officer of the combined company after the Transactions, (ii) nine of the eleven individuals comprising the combined company’s board of directors following the Merger will be selected by Gentherm and (iii) Gentherm is issuing its equity interests as consideration for the Merger. As a result of the identification of Gentherm as the accounting acquirer, Gentherm will apply the acquisition method of accounting to the assets acquired and liabilities of the Performance Technologies Business assumed upon consummation of the Merger. Upon completion of the Transactions, the financial statements of the combined company for financial periods prior to the completion of the Transactions will reflect only the operations and financial condition of Gentherm.</w:t>
      </w:r>
    </w:p>
    <w:p>
      <w:pPr>
        <w:spacing w:after="0" w:line="13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While the Exchange Ratio may be adjusted and increased, if necessary, based on the existing level of shareholder overlap, the adjustments to the Exchange Ratio pursuant to the mechanism set forth in the Merger Agreement and described in this proxy statement/prospectus are not expected to be triggered. If the former holders of SpinCo Common Stock do not own (for purposes of Section 355(e) of the Code (determined in a manner consistent with the IRS Ruling)) at least 50.5% (including Overlap Shareholders) of the outstanding shares of Gentherm Common Stock immediately following the consummation of the Merger, an adjustment to the exchange ratio would be triggered such that the former holders of SpinCo Common Stock will own approximately 50.5% of the outstanding shares of Gentherm Common Stock. In that instance, the aforementioned facts are deemed to outweigh the fact that the pre-Merger holders of shares of Modine Common Stock who receive shares of Gentherm Common Stock in the Merger will in the aggregate own a majority of Gentherm Common Stock and associated voting rights after the Merger. As a result, Gentherm determined it would still be the accounting acquirer.</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Dissenters’ Rights or Rights of Appraisal</w:t>
      </w:r>
    </w:p>
    <w:p>
      <w:pPr>
        <w:spacing w:after="0" w:line="93"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None of Gentherm’s shareholders, Modine’s shareholders or SpinCo stockholders will be entitled to exercise appraisal or dissenters’ rights under the MBCA or the WBCL in connection with the Separation, the Distribution or the Merger.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86"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THE TRANSACTION AGREEMENTS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Merger Agreement</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following is a summary of the material provisions of the Merger Agreement. The summary does not purport to be complete and is subject to, and is qualified in its entirety by the Merger Agreement, which is attached to this proxy statement/prospectus as Annex A and incorporated by reference herein. Gentherm shareholders and Modine shareholders are urged to read the Merger Agreement in its entirety. This summary of the Merger Agreement has been included to provide Gentherm shareholders and Modine shareholders with information regarding its terms. The rights and obligations of the parties are governed by the express terms of the Merger Agreement and not by this summary or any other information included in this proxy statement/prospectus.</w:t>
      </w:r>
    </w:p>
    <w:p>
      <w:pPr>
        <w:spacing w:after="0" w:line="143"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The Merger Agreement contains representations and warranties of Gentherm and Merger Sub that are solely for the benefit of Modine and SpinCo, and representations and warranties of Modine and SpinCo that are solely for the benefit of Gentherm and Merger Sub. The assertions embodied in those representations and warranties are qualified by information in confidential disclosure schedules that the parties have exchanged in connection with signing the Merger Agreement as of a specified date. Moreover, the representations and warranties in the Merger Agreement were made solely for the benefit of the other parties to the Merger Agreement and were used for the purpose of allocating risk among the respective parties. Therefore, Gentherm shareholders and Modine shareholders should not treat them as categorical statements of fact. Moreover, these representations and warranties may apply standards of materiality in a way that is different from what may be material to Gentherm shareholders and Modine shareholders and were made only as of the date of the Merger Agreement or such other date or dates as may be specified in the Merger Agreement and are subject to more recent developments. Accordingly, information concerning the subject matter of the representations and warranties may have changed since the date of the Merger Agreement, and Gentherm shareholders and Modine shareholders should read the representations and warranties in the Merger Agreement not in isolation but only in conjunction with the other information about Gentherm and Modine and their subsidiaries that the respective companies include in this proxy statement/prospectus and in other reports and statements they file with the SEC.</w:t>
      </w:r>
    </w:p>
    <w:p>
      <w:pPr>
        <w:spacing w:after="0" w:line="2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The Merger</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Upon the terms and subject to the conditions set forth in the Merger Agreement, at the Effective Time, Merger Sub will be merged with and into SpinCo. By virtue of the Merger, at the Effective Time, the separate existence of Merger Sub will cease and SpinCo will continue as the surviving corporation in the Merger and as a wholly owned subsidiary of Gentherm, and will succeed to and assume all the property, rights, privileges, powers and franchises and be subject to all of the restrictions, debt and duties of Merger Sub in accordance with the DGCL.</w:t>
      </w:r>
    </w:p>
    <w:p>
      <w:pPr>
        <w:spacing w:after="0" w:line="141"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The articles of incorporation and bylaws of Merger Sub in effect immediately prior to the Merger will, following the Merger, continue as the certificate of incorporation and bylaws of SpinCo as the surviving corporation until thereafter amended, except the name of the surviving corporation shall be “Gentherm Performance Technology Inc.” and except as otherwise set forth in the Merger Agreement.</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Closing; Effective Time</w:t>
      </w:r>
    </w:p>
    <w:p>
      <w:pPr>
        <w:spacing w:after="0" w:line="9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Unless the Transactions have been abandoned and the Merger Agreement is terminated pursuant to its terms, the Closing will take place at 9:00 a.m., New York City time, on the date that is three business days after the date on which the conditions set forth in the Merger Agreement (other than certain conditions set forth in the Merger Agreement that are to be satisfied at or immediately prior to the Closing, but subject to the satisfaction or waiver of such conditions at the Closing) have been satisfied or waived, by electronic exchange of documents and signatures, unless another date, time or place is agreed to in writing by Modine and Gentherm.</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86"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On the Closing Date, SpinCo and Merger Sub will file a certificate of merger relating to the Merger with the Secretary of State of the State of Delaware in accordance with the relevant provisions of the DGCL and will make all other filings or recordings required under the DGCL. The Merger will become effective at the time of filing of the certificate of merger or at such later time as may be agreed jointly by Gentherm and SpinCo and specified in such certificate of merger.</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Merger Consideration; Gentherm Special Dividend</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The Merger Agreement provides that, at the Effective Time, each share of SpinCo Common Stock issued and outstanding (except for any such shares held by SpinCo as treasury stock or held by Gentherm or Merger Sub) will be automatically converted into the right to receive a number of fully paid and nonassessable shares of Gentherm Common Stock, equal to the Exchange Ratio, and subject to the adjustments described below, if applicable and in accordance with the Merger Agreement, with cash paid in lieu of fractional shares of Gentherm Common Stock in accordance with the Merger Agreement.</w:t>
      </w:r>
    </w:p>
    <w:p>
      <w:pPr>
        <w:spacing w:after="0" w:line="144" w:lineRule="exact"/>
        <w:rPr>
          <w:sz w:val="20"/>
          <w:szCs w:val="20"/>
          <w:color w:val="auto"/>
        </w:rPr>
      </w:pPr>
    </w:p>
    <w:p>
      <w:pPr>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Prior to the adjustments provided in the Merger Agreement, the Merger Agreement provides that the Exchange Ratio is equal to a number obtained by dividing (i) the Fully Diluted SpinCo Shares minus the SpinCo Make Whole Awards by (ii) the number of outstanding shares of SpinCo Common Stock issued immediately following the Distribution.</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However, in order to preserve the tax-free nature of the Distribution for U.S. federal income tax purposes, the Merger Agreement generally provides that the Exchange Ratio will be adjusted upwards in a manner designed to ensure that, immediately following the Closing, former holders of SpinCo Common Stock (including the Overlap Shareholders) own, for applicable U.S. federal income tax purposes, at least the Threshold Percentage of the outstanding shares of Gentherm Common Stock. The Merger Agreement further provides for certain customary adjustments of the Exchange Ratio in the event of stock splits, combinations of shares, reclassifications, recapitalizations or other similar transactions with respect to Gentherm Common Stock.</w:t>
      </w:r>
    </w:p>
    <w:p>
      <w:pPr>
        <w:spacing w:after="0" w:line="143"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If the Exchange Ratio would result in the percentage of issued and outstanding shares of Gentherm Common Stock to be received in the Merger by former holders of SpinCo Common Stock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the extent necessary to result in the percentage of shares of Gentherm Common Stock to be received by the former holders of SpinCo Common Stock (including the Overlap Shareholders) being equal to the Threshold Percentage.</w:t>
      </w:r>
    </w:p>
    <w:p>
      <w:pPr>
        <w:spacing w:after="0" w:line="143"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If additional shares of Gentherm Common Stock are required to be issued as a result of the Exchange Ratio adjustment, the Merger Agreement provides that, prior to the Merger, SpinCo, subject to applicable laws, will reduce the amount of the SpinCo Cash Distribution by the Initial Adjustment Amount.</w:t>
      </w:r>
    </w:p>
    <w:p>
      <w:pPr>
        <w:spacing w:after="0" w:line="136"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In the event that the Aggregate Adjustment Amount exceeds the Initial Adjustment Cap, Gentherm will, subject to applicable law, declare the Gentherm Special Dividend in an amount equal to the Intermediate Adjustment Amount. If the Aggregate Adjustment Amount exceeds the Intermediate Adjustment Cap, then, with respect to the incremental portion of the Aggregate Adjustment Amount that exceeds the Intermediate Adjustment Cap,</w:t>
      </w:r>
    </w:p>
    <w:p>
      <w:pPr>
        <w:ind w:left="1360" w:right="339" w:hanging="5"/>
        <w:spacing w:after="0" w:line="252" w:lineRule="auto"/>
        <w:tabs>
          <w:tab w:leader="none" w:pos="1527"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SpinCo Cash Distribution will be further decreased by an amount equal to 40% of the Final Adjustment Amount, and (ii) the amount of the Gentherm Special Dividend will be increased by an amount equal to 60% of the Final Adjustment Amount. If the Aggregate Adjustment Amount exceeds the Final Adjustment Cap, with respect to the Excess Adjustment Amount, then (i) Modine, in its sole discretion, will be entitled to further decrease the amount of the SpinCo Cash Distribution up to the Excess Adjustment Amount and (ii) Gentherm, in its sole discretion, will be entitled to further increase the Gentherm Special Dividend up to the Excess Adjustment Amount. If the Aggregate Adjustment Amount exceeds the Final</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386"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Adjustment Cap and the sum of (x) the absolute value of the decrease in clause (i) of the prior sentence and (y) the increase in clause (ii) of the prior sentence is less than the Excess Adjustment Amount, then the Exchange Ratio will not be increased as contemplated, and neither Modine nor Gentherm will be obligated to consummate the transactions contemplated to occur at the Closing.</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connection with the Transactions, Modine has requested the IRS Ruling.</w:t>
      </w:r>
    </w:p>
    <w:p>
      <w:pPr>
        <w:spacing w:after="0" w:line="17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No fractional shares of Gentherm Common Stock or book-entry credit of the same will be issued pursuant to the Merger. All fractional shares of Gentherm Common Stock that a holder of SpinCo Common Stock would otherwise be entitled to receive as a result of the Merger will, in lieu of such fraction of a share, be aggregated by the Exchange Agent. The Exchange Agent will cause the whole shares obtained thereby to be sold on behalf of such holders that would otherwise have been entitled to receive a fractional share of Gentherm Common Stock pursuant to the Merger in the open market (or otherwise as reasonably directed by Gentherm), in each case, at then-prevailing market prices and in no case later than 10 business days after the Effective Time.</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Distribution of Per-Share Merger Consideration</w:t>
      </w:r>
    </w:p>
    <w:p>
      <w:pPr>
        <w:spacing w:after="0" w:line="93" w:lineRule="exact"/>
        <w:rPr>
          <w:sz w:val="20"/>
          <w:szCs w:val="20"/>
          <w:color w:val="auto"/>
        </w:rPr>
      </w:pPr>
    </w:p>
    <w:p>
      <w:pPr>
        <w:jc w:val="both"/>
        <w:ind w:left="1360" w:right="639" w:firstLine="343"/>
        <w:spacing w:after="0" w:line="267" w:lineRule="auto"/>
        <w:rPr>
          <w:sz w:val="20"/>
          <w:szCs w:val="20"/>
          <w:color w:val="auto"/>
        </w:rPr>
      </w:pPr>
      <w:r>
        <w:rPr>
          <w:rFonts w:ascii="Times New Roman" w:cs="Times New Roman" w:eastAsia="Times New Roman" w:hAnsi="Times New Roman"/>
          <w:sz w:val="14"/>
          <w:szCs w:val="14"/>
          <w:color w:val="auto"/>
        </w:rPr>
        <w:t>At or substantially concurrently with the Effective Time, SpinCo will deposit or cause to be deposited with an exchange agent appointed by Gentherm, shares of SpinCo Common Stock in book-entry form for the benefit of holders of SpinCo Common Stock entitled to such shares upon conversion of shares of SpinCo Common Stock in connection with the Merger.</w:t>
      </w:r>
    </w:p>
    <w:p>
      <w:pPr>
        <w:spacing w:after="0" w:line="136"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At the Effective Time, all issued and outstanding shares of SpinCo Common Stock (except for any such shares held by SpinCo as treasury stock or held by Gentherm or Merger Sub) will be automatically converted into the right to receive shares of Gentherm Common Stock as described above under “Merger Consideration; Gentherm Special Dividend.”</w:t>
      </w:r>
    </w:p>
    <w:p>
      <w:pPr>
        <w:spacing w:after="0" w:line="136" w:lineRule="exact"/>
        <w:rPr>
          <w:sz w:val="20"/>
          <w:szCs w:val="20"/>
          <w:color w:val="auto"/>
        </w:rPr>
      </w:pPr>
    </w:p>
    <w:p>
      <w:pPr>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As promptly as practicable after the Effective Time, the Exchange Agent will deliver to each person who was the record holder of shares of SpinCo Common Stock immediately prior to the Effective Time the shares of Gentherm Common Stock into which such shares of SpinCo Common Stock have been converted pursuant to the Merger as described above under “Merger Consideration; Gentherm Special Dividend.”</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Termination of Exchange Fund</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Any portion of the Exchange Fund deposited with the exchange agent that remains undistributed to the former holders of shares of SpinCo Common Stock on the one-year anniversary of the Effective Time will be delivered to Gentherm, and any former holders of shares of SpinCo Common Stock who have not received their shares of Gentherm Common Stock as described above may thereafter look only to Gentherm for the Merger consideration to which they are entitled, any cash in lieu of fractional shares of Gentherm Common Stock and any dividends or other distributions with respect to Gentherm Common Stock to which they are entitled.</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Representations and Warranties</w:t>
      </w:r>
    </w:p>
    <w:p>
      <w:pPr>
        <w:spacing w:after="0" w:line="9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In the Merger Agreement, Gentherm and Merger Sub have made representations and warranties to Modine and SpinCo relating to Gentherm and Merger Sub, and Modine has made representations and warranties to Gentherm and Merger Sub relating to Modine and SpinCo, in each case, as of the date of the Merger Agreement, which representations and warranties will also be made, subject to certain materiality, “material adverse effect,” knowledge and other qualifications, as of the Closing Date (except for certain representations and warranties that by their terms address matters only as of a specified date, which are made only as of such specified date), as described below. Representations and warranties with respect to SpinCo and Gentherm relate to, among other things:</w:t>
      </w:r>
    </w:p>
    <w:p>
      <w:pPr>
        <w:spacing w:after="0" w:line="69" w:lineRule="exact"/>
        <w:rPr>
          <w:sz w:val="20"/>
          <w:szCs w:val="20"/>
          <w:color w:val="auto"/>
        </w:rPr>
      </w:pPr>
    </w:p>
    <w:p>
      <w:pPr>
        <w:ind w:left="5540" w:right="4099" w:hanging="3765"/>
        <w:spacing w:after="0" w:line="455" w:lineRule="auto"/>
        <w:tabs>
          <w:tab w:leader="none" w:pos="211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organization, good standing and qualification to conduct business; 118</w:t>
      </w:r>
    </w:p>
    <w:p>
      <w:pPr>
        <w:sectPr>
          <w:pgSz w:w="11900" w:h="16838" w:orient="portrait"/>
          <w:cols w:equalWidth="0" w:num="1">
            <w:col w:w="10159"/>
          </w:cols>
          <w:pgMar w:left="300" w:top="386"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authority to enter into and perform the Merger Agreement (and the Transaction Documents);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structure, including authorized and outstanding shares and related rights;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subsidiaries free of liens, with no outstanding rights to acquire subsidiary interests;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subsidiaries’ organizational power and authority, good standing and qualification to conduct business;</w:t>
      </w:r>
    </w:p>
    <w:p>
      <w:pPr>
        <w:spacing w:after="0" w:line="101" w:lineRule="exact"/>
        <w:rPr>
          <w:rFonts w:ascii="Times New Roman" w:cs="Times New Roman" w:eastAsia="Times New Roman" w:hAnsi="Times New Roman"/>
          <w:sz w:val="14"/>
          <w:szCs w:val="14"/>
          <w:color w:val="auto"/>
        </w:rPr>
      </w:pPr>
    </w:p>
    <w:p>
      <w:pPr>
        <w:ind w:left="2120" w:right="659" w:hanging="345"/>
        <w:spacing w:after="0" w:line="283" w:lineRule="auto"/>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conflicts between the Merger Agreement and Transaction Documents and organizational documents and no violations of organizational documents, other obligations or laws;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prepared in accordance with GAAP and no undisclosed liabilities;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 in the ordinary course and absence of certain changes or events;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of SpinCo’s assets and title to operate its business (SpinCo only);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pending or threatened investigations and litigations and product warrant and product liability matters;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 title or valid leasehold interest in material real property;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matters;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valid and enforceable material contracts with no material defaults or exercise of termination rights;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labor laws with no material labor disputes or union issues;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laws (including sanctions, U.S. anti-boycott laws and anti-corruption laws);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permits;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funded, operated and administered employee benefit plans in compliance with applicable laws;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valid intellectual property rights with no material infringement or misappropriation;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environmental laws with no material environmental liabilities;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policies in full force and effect;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undisclosed affiliate matters;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accurate information provided for proxy statement and registration statements;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of director and shareholder approvals;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financial advisor opinion regarding the Exchange Ratio (Gentherm only);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fees to brokers or finders in connection with the Transactions;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valid and enforceable financing commitment letter with no undisclosed conditions or terminations;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rights plan, “poison pill” or anti-takeover plan (Gentherm only).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Adverse Effect</w:t>
      </w:r>
    </w:p>
    <w:p>
      <w:pPr>
        <w:spacing w:after="0" w:line="93"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Many of the representations and warranties contained in the Merger Agreement are subject to a “material adverse effect” standard (that is, they will not be deemed to be untrue or incorrect unless their failure to be true or correct, individually or in the aggregate, may, as the case may be, have a material adverse effect on Gentherm and its subsidiaries or the Performance Technologies Business, as applicable), knowledge qualifications, or both, and none of the representations and warranties will survive the Effective Time. The Merger Agreement does not contain any post-closing indemnification obligations with respect to these matters.</w:t>
      </w:r>
    </w:p>
    <w:p>
      <w:pPr>
        <w:spacing w:after="0" w:line="144"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Under the Merger Agreement, for Modine, a material adverse effect means any change, event, development, occurrence or effect that has a material adverse effect on the ability of Modine to consummate the Distribution or the Separation by the Outside Date.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86"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For Gentherm and SpinCo, a material adverse effect means any change, event, development, occurrence or effect that has, individually or in the aggregate, a material adverse effect on the business, financial condition or results of operations of Gentherm and its subsidiaries, taken as a whole, or the Performance Technologies Business, taken as a whole. However, none of the following will be deemed in themselves, either alone or in combination, to constitute, and none of the following will be taken into account in determining whether there has been or would reasonably be expected to be a material adverse effect (but only, other than in respect of bullet points 1, 2, 3, 4, 5, 6 or 10 below, to the extent such conditions do not have a disproportionate impact on Gentherm and its subsidiaries or SpinCo and its subsidiaries, as applicable, taken as a whole, relative to other participants in the industry in which Gentherm and its subsidiaries or SpinCo and its subsidiaries, as applicable, operate):</w:t>
      </w:r>
    </w:p>
    <w:p>
      <w:pPr>
        <w:spacing w:after="0" w:line="70" w:lineRule="exact"/>
        <w:rPr>
          <w:sz w:val="20"/>
          <w:szCs w:val="20"/>
          <w:color w:val="auto"/>
        </w:rPr>
      </w:pPr>
    </w:p>
    <w:p>
      <w:pPr>
        <w:ind w:left="2120" w:hanging="345"/>
        <w:spacing w:after="0"/>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resulting from general market, economic, financial, capital markets or regulatory conditions;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general change in the credit, debt, financial or capital markets or changes in interest or exchange rates;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applicable law or GAAP (or, in each case, authoritative interpretations thereof);</w:t>
      </w:r>
    </w:p>
    <w:p>
      <w:pPr>
        <w:spacing w:after="0" w:line="10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resulting from any hurricane, flood, tornado, earthquake or other natural disaster or weather-related event, or other force majeure event, any epidemic, pandemic or disease, or any worsening thereof;</w:t>
      </w:r>
    </w:p>
    <w:p>
      <w:pPr>
        <w:spacing w:after="0" w:line="51" w:lineRule="exact"/>
        <w:rPr>
          <w:rFonts w:ascii="Times New Roman" w:cs="Times New Roman" w:eastAsia="Times New Roman" w:hAnsi="Times New Roman"/>
          <w:sz w:val="14"/>
          <w:szCs w:val="14"/>
          <w:color w:val="auto"/>
        </w:rPr>
      </w:pPr>
    </w:p>
    <w:p>
      <w:pPr>
        <w:ind w:left="2120" w:right="579" w:hanging="345"/>
        <w:spacing w:after="0" w:line="267" w:lineRule="auto"/>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w:t>
      </w:r>
    </w:p>
    <w:p>
      <w:pPr>
        <w:spacing w:after="0" w:line="6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generally affecting the industries in which Gentherm and the Gentherm subsidiaries or the Performance Technologies Business, as applicable, operate;</w:t>
      </w:r>
    </w:p>
    <w:p>
      <w:pPr>
        <w:spacing w:after="0" w:line="5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resulting from the execution of the Merger Agreement or the Separation Agreement or the announcement or the Merger or the Separation, including, to the extent resulting therefrom, any actions of or loss of customers, suppliers, distributors, employees or other material business relationship;</w:t>
      </w:r>
    </w:p>
    <w:p>
      <w:pPr>
        <w:spacing w:after="0" w:line="61" w:lineRule="exact"/>
        <w:rPr>
          <w:rFonts w:ascii="Times New Roman" w:cs="Times New Roman" w:eastAsia="Times New Roman" w:hAnsi="Times New Roman"/>
          <w:sz w:val="14"/>
          <w:szCs w:val="14"/>
          <w:color w:val="auto"/>
        </w:rPr>
      </w:pPr>
    </w:p>
    <w:p>
      <w:pPr>
        <w:ind w:left="2120" w:right="839" w:hanging="345"/>
        <w:spacing w:after="0" w:line="283" w:lineRule="auto"/>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in Gentherm’s stock price or the trading volume of Gentherm’s stock or any change in the credit rating of Gentherm (Gentherm only);</w:t>
      </w:r>
    </w:p>
    <w:p>
      <w:pPr>
        <w:spacing w:after="0" w:line="5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resulting from any action required to be taken by the terms of the Merger Agreement (other than actions taken in accordance with the terms of the Merger Agreement between the execution of the Merger Agreement and the Closing);</w:t>
      </w:r>
    </w:p>
    <w:p>
      <w:pPr>
        <w:spacing w:after="0" w:line="5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or the imposition of any tariffs, or any action relating to any trade dispute, or change in funding policies of or spending by any Governmental Authority;</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meet internal or analysts’ expectations, projections or results of operations (but not, in each case, the underlying cause of any such failure, unless such underlying cause would otherwise be excepted by another clause of the definition); or</w:t>
      </w:r>
    </w:p>
    <w:p>
      <w:pPr>
        <w:spacing w:after="0" w:line="5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shareholder or derivative litigation arising from or relating to the Merger Agreement or the transactions contemplated by the Merger Agreement (Gentherm only).</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Conduct of Business Pending the Merger</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Each of the parties to the Merger Agreement has undertaken to perform certain covenants that place restrictions on such party and its subsidiaries until the earlier of the Closing or the termination of the Merger Agreement. In general, each of Gentherm (with respect to it and its subsidiaries) and Modine (with respect to the Performance Technologies Business) has agreed that, prior to the Closing Date or the termination of the Merger Agreement, except as contemplated by the Merger Agreement, required by applicable law or as disclosed in Gentherm’s or SpinCo’s disclosure schedules delivered to the other party concurrently with the execution of the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386"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58" w:lineRule="auto"/>
        <w:rPr>
          <w:sz w:val="20"/>
          <w:szCs w:val="20"/>
          <w:color w:val="auto"/>
        </w:rPr>
      </w:pPr>
      <w:r>
        <w:rPr>
          <w:rFonts w:ascii="Times New Roman" w:cs="Times New Roman" w:eastAsia="Times New Roman" w:hAnsi="Times New Roman"/>
          <w:sz w:val="14"/>
          <w:szCs w:val="14"/>
          <w:color w:val="auto"/>
        </w:rPr>
        <w:t>Merger Agreement (the “Gentherm Disclosure Letter” and the “SpinCo Disclosure Letter,” respectively) or consented to by the other party (which consent may not be unreasonably withheld, conditioned or delayed), subject to certain agreed exceptions, such party will use its commercially reasonable efforts to conduct its business in all material respects in the ordinary course of business and to preserve intact its business and its business relationships with key employees, significant customers, and others having significant business relationships with the Gentherm business or the Performance Technologies Business, as applicable.</w:t>
      </w:r>
    </w:p>
    <w:p>
      <w:pPr>
        <w:spacing w:after="0" w:line="144"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Modine has agreed that, prior to the Effective Time through the earlier of the Closing or termination of the Merger Agreement, solely with respect to the SpinCo Group or the Performance Technologies Business and excluding Modine’s assets and liabilities that are not assets and liabilities of the Performance Technologies Business, except as required or expressly contemplated by the Merger Agreement, applicable law, as disclosed in the SpinCo Disclosure Letter or consented to by Gentherm (which consent may not be unreasonably withheld, conditioned or delayed), subject to certain agreed exceptions, Modine will not, and will cause its subsidiaries not to, take any of the following actions:</w:t>
      </w:r>
    </w:p>
    <w:p>
      <w:pPr>
        <w:spacing w:after="0" w:line="70" w:lineRule="exact"/>
        <w:rPr>
          <w:sz w:val="20"/>
          <w:szCs w:val="20"/>
          <w:color w:val="auto"/>
        </w:rPr>
      </w:pPr>
    </w:p>
    <w:p>
      <w:pPr>
        <w:ind w:left="2120" w:right="379" w:hanging="345"/>
        <w:spacing w:after="0" w:line="267"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restate, waive, rescind or otherwise change the organizational documents of Modine or any of its subsidiaries (other than changes that would not prevent or materially impair or delay Modine’s or any of its subsidiaries’ ability to comply with its obligations under the Merger Agreement, the Separation Agreement or to consummate the Transactions);</w:t>
      </w:r>
    </w:p>
    <w:p>
      <w:pPr>
        <w:spacing w:after="0" w:line="61" w:lineRule="exact"/>
        <w:rPr>
          <w:rFonts w:ascii="Times New Roman" w:cs="Times New Roman" w:eastAsia="Times New Roman" w:hAnsi="Times New Roman"/>
          <w:sz w:val="14"/>
          <w:szCs w:val="14"/>
          <w:color w:val="auto"/>
        </w:rPr>
      </w:pPr>
    </w:p>
    <w:p>
      <w:pPr>
        <w:jc w:val="both"/>
        <w:ind w:left="2120" w:right="319" w:hanging="345"/>
        <w:spacing w:after="0" w:line="261"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transactions among wholly-owned members of the SpinCo Group, make any material acquisition of any assets or businesses in excess of $10.0 million, individually, other than acquisitions of assets (but not businesses) in the ordinary course of business or (ii) except for transactions between or among wholly owned members of the SpinCo Group, sell, pledge, dispose of or encumber any material assets or businesses other than in the ordinary course of business (solely with respect to assets);</w:t>
      </w:r>
    </w:p>
    <w:p>
      <w:pPr>
        <w:spacing w:after="0" w:line="67" w:lineRule="exact"/>
        <w:rPr>
          <w:rFonts w:ascii="Times New Roman" w:cs="Times New Roman" w:eastAsia="Times New Roman" w:hAnsi="Times New Roman"/>
          <w:sz w:val="14"/>
          <w:szCs w:val="14"/>
          <w:color w:val="auto"/>
        </w:rPr>
      </w:pPr>
    </w:p>
    <w:p>
      <w:pPr>
        <w:ind w:left="2120" w:right="279" w:hanging="345"/>
        <w:spacing w:after="0" w:line="257"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sell, pledge or transfer any equity interests of any of the members of the SpinCo Group, or securities convertible into, or exchangeable or exercisable for, or options with respect to, or warrants to purchase, or rights to subscribe for, equity interests of any of the members of the SpinCo Group, in each case other than (A) to other members of the SpinCo Group or (B) the granting of certain permitted liens described in the Merger Agreement or (ii) from the determination time through the earlier of the Closing or the termination of the Merger Agreement, issue, sell or pledge any equity interests of Modine, or securities convertible into, or exchangeable or exercisable for, or options with respect to, or warrants to purchase, or rights to subscribe for, equity interests of Modine;</w:t>
      </w:r>
    </w:p>
    <w:p>
      <w:pPr>
        <w:spacing w:after="0" w:line="69" w:lineRule="exact"/>
        <w:rPr>
          <w:rFonts w:ascii="Times New Roman" w:cs="Times New Roman" w:eastAsia="Times New Roman" w:hAnsi="Times New Roman"/>
          <w:sz w:val="14"/>
          <w:szCs w:val="14"/>
          <w:color w:val="auto"/>
        </w:rPr>
      </w:pPr>
    </w:p>
    <w:p>
      <w:pPr>
        <w:ind w:left="2120" w:right="219" w:hanging="345"/>
        <w:spacing w:after="0" w:line="257"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lease, license (as licensor), assign, dispose of, or transfer any material SpinCo Intellectual Property (other than non-exclusive licenses of such intellectual property granted in the ordinary course of business), (ii) abandon, permit to lapse, dedicate to public or permit to expire any material registered SpinCo Intellectual Property (other than at the end of its non-renewable statutory term), (iii) disclose any material confidential information or material trade secrets included in the SpinCo Intellectual Property to any Person that is not subject to reasonable obligations with respect to confidentiality and non-disclosure, or (iv) escrow or make available any material source code for any SpinCo software included in the SpinCo Intellectual Property;</w:t>
      </w:r>
    </w:p>
    <w:p>
      <w:pPr>
        <w:spacing w:after="0" w:line="69" w:lineRule="exact"/>
        <w:rPr>
          <w:rFonts w:ascii="Times New Roman" w:cs="Times New Roman" w:eastAsia="Times New Roman" w:hAnsi="Times New Roman"/>
          <w:sz w:val="14"/>
          <w:szCs w:val="14"/>
          <w:color w:val="auto"/>
        </w:rPr>
      </w:pPr>
    </w:p>
    <w:p>
      <w:pPr>
        <w:ind w:left="2120" w:right="259" w:hanging="345"/>
        <w:spacing w:after="0" w:line="261" w:lineRule="auto"/>
        <w:tabs>
          <w:tab w:leader="none" w:pos="212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contract for the purchase of real property or any lease (as lessee) of real property related to any leased property providing for annual payments in excess of $1.0 million other than any renewal or extension of a real property lease in the ordinary course of business and on substantially similar terms to the existing lease or terms no less favorable in the aggregate to the Performance Technologies Business than those in the existing lease;</w:t>
      </w:r>
    </w:p>
    <w:p>
      <w:pPr>
        <w:spacing w:after="0" w:line="67" w:lineRule="exact"/>
        <w:rPr>
          <w:rFonts w:ascii="Times New Roman" w:cs="Times New Roman" w:eastAsia="Times New Roman" w:hAnsi="Times New Roman"/>
          <w:sz w:val="14"/>
          <w:szCs w:val="14"/>
          <w:color w:val="auto"/>
        </w:rPr>
      </w:pPr>
    </w:p>
    <w:p>
      <w:pPr>
        <w:ind w:left="2120" w:right="259" w:hanging="345"/>
        <w:spacing w:after="0" w:line="277" w:lineRule="auto"/>
        <w:tabs>
          <w:tab w:leader="none" w:pos="212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any material term of, or waive any material right under, or voluntarily terminate (other than upon expiration in accordance with its terms), any SpinCo material contract or any SpinCo Transferred Property Lease (as defined in the Merger Agreement), or (ii) enter into any contract that, if in effect on the date of the Merger Agreement, would be a SpinCo material contract, other than, in each case of clauses</w:t>
      </w:r>
    </w:p>
    <w:p>
      <w:pPr>
        <w:spacing w:after="0" w:line="1" w:lineRule="exact"/>
        <w:rPr>
          <w:rFonts w:ascii="Times New Roman" w:cs="Times New Roman" w:eastAsia="Times New Roman" w:hAnsi="Times New Roman"/>
          <w:sz w:val="13"/>
          <w:szCs w:val="13"/>
          <w:color w:val="auto"/>
        </w:rPr>
      </w:pPr>
    </w:p>
    <w:p>
      <w:pPr>
        <w:ind w:left="2120" w:right="519"/>
        <w:spacing w:after="0" w:line="26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 and (ii), (A) in the ordinary course of business or (B) any modifications which are more favorable to the Performance Technologies Business;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86"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54"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any member of the SpinCo Group to repurchase, repay, prepay, refinance or incur any indebtedness for borrowed money, issue debt securities or any right to acquire any debt securities, engage in any securitization transactions or similar arrangements or assume, guarantee or endorse, or otherwise as an accommodation become responsible for (whether directly, contingently or otherwise), the obligations of any Person for borrowed money except (i) in the ordinary course of business, including pursuant to working capital facilities and commercial paper issuances, in an aggregate principal amount not to exceed $5.0 million, (ii) the Bridge Financing and/or Permanent SpinCo Financing, (iii) intercompany indebtedness among SpinCo and its wholly owned subsidiaries or among any such wholly owned subsidiaries, and (iv) intercompany indebtedness among SpinCo and its subsidiaries, on the one hand, and Modine and its subsidiaries (other than SpinCo and its subsidiaries), and the other hand, in connection with the Separation or in the ordinary course of business, which shall be settled at or prior to the Closing;</w:t>
      </w:r>
    </w:p>
    <w:p>
      <w:pPr>
        <w:spacing w:after="0" w:line="75" w:lineRule="exact"/>
        <w:rPr>
          <w:rFonts w:ascii="Times New Roman" w:cs="Times New Roman" w:eastAsia="Times New Roman" w:hAnsi="Times New Roman"/>
          <w:sz w:val="14"/>
          <w:szCs w:val="14"/>
          <w:color w:val="auto"/>
        </w:rPr>
      </w:pPr>
    </w:p>
    <w:p>
      <w:pPr>
        <w:ind w:left="2120" w:right="239" w:hanging="345"/>
        <w:spacing w:after="0" w:line="272" w:lineRule="auto"/>
        <w:tabs>
          <w:tab w:leader="none" w:pos="212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 as required by any benefit plan or collective bargaining agreement or (ii) with respect to Modine Benefit Plans (other than SpinCo Benefit Plans), in connection with any action that applies in a substantially uniform manner to SpinCo Employees and other similarly situated employees of Modine and its affiliates, (A) grant any increases in cash compensation of any SpinCo Employee or other individual service provider of the SpinCo Group, other than any actions taken in the ordinary course of business with respect to SpinCo Employees or other individual service provider of the SpinCo Group (1) below the level of Vice President, General Manager and (2) with annualized base cash compensation below $400,000; (B) enter into or adopt any new SpinCo Benefit Plan, or materially amend or terminate any existing SpinCo Benefit Plan; (C) enter into any employment, consulting, severance or termination agreement with any SpinCo Employee or other individual service provider of the SpinCo Group, other than any actions taken in the ordinary course of business</w:t>
      </w:r>
    </w:p>
    <w:p>
      <w:pPr>
        <w:spacing w:after="0" w:line="4" w:lineRule="exact"/>
        <w:rPr>
          <w:rFonts w:ascii="Times New Roman" w:cs="Times New Roman" w:eastAsia="Times New Roman" w:hAnsi="Times New Roman"/>
          <w:sz w:val="13"/>
          <w:szCs w:val="13"/>
          <w:color w:val="auto"/>
        </w:rPr>
      </w:pPr>
    </w:p>
    <w:p>
      <w:pPr>
        <w:ind w:left="21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(x) with respect to SpinCo Employees or other individual service provider of the SpinCo Group (1) below the level of Plant Manager and</w:t>
      </w:r>
    </w:p>
    <w:p>
      <w:pPr>
        <w:spacing w:after="0" w:line="7" w:lineRule="exact"/>
        <w:rPr>
          <w:rFonts w:ascii="Times New Roman" w:cs="Times New Roman" w:eastAsia="Times New Roman" w:hAnsi="Times New Roman"/>
          <w:sz w:val="13"/>
          <w:szCs w:val="13"/>
          <w:color w:val="auto"/>
        </w:rPr>
      </w:pPr>
    </w:p>
    <w:p>
      <w:pPr>
        <w:ind w:left="2120" w:right="259"/>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(D) enter into, adopt or provide for any retention, change in control or transaction bonus agreement, plan or program with any SpinCo Employee or other individual service provider of the SpinCo Group; (E) accelerate the vesting of, or the lapsing of restrictions with respect to, any equity-based or other incentive-based compensation or cause or otherwise require SpinCo or any of its subsidiaries to fund or commit to fund any compensation; (F) terminate the employment or services of any SpinCo Employee or other individual service provider of the SpinCo Group (1) at or above the level of Vice President or</w:t>
      </w:r>
    </w:p>
    <w:p>
      <w:pPr>
        <w:ind w:left="2120" w:right="379"/>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with annualized base cash compensation at or above $400,000, in each case, other than for cause or performance, in each case, as determined by Modine in good faith in the ordinary course of business consistent with past practice; (G) hire, engage or promote (other than to fill a vacancy in the ordinary course of business) any SpinCo Employee or other individual service provider of the SpinCo Group</w:t>
      </w:r>
    </w:p>
    <w:p>
      <w:pPr>
        <w:jc w:val="both"/>
        <w:ind w:left="2120" w:right="45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 at or above the level of Plant Manager or (2) with annualized base cash compensation at or above $300,000; or (H) establish, adopt, enter into, negotiate, terminate or materially amend any collective bargaining agreement, or recognize or certify any labor union, works council, or other labor organization or employee representative as the bargaining representative for any SpinCo Employees;</w:t>
      </w:r>
    </w:p>
    <w:p>
      <w:pPr>
        <w:spacing w:after="0" w:line="69" w:lineRule="exact"/>
        <w:rPr>
          <w:rFonts w:ascii="Times New Roman" w:cs="Times New Roman" w:eastAsia="Times New Roman" w:hAnsi="Times New Roman"/>
          <w:sz w:val="13"/>
          <w:szCs w:val="13"/>
          <w:color w:val="auto"/>
        </w:rPr>
      </w:pPr>
    </w:p>
    <w:p>
      <w:pPr>
        <w:ind w:left="2120" w:right="419" w:hanging="345"/>
        <w:spacing w:after="0" w:line="283"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any reduction-in-force, office or plant closing, or similar action that, in each case, would trigger notice obligations under any WARN laws;</w:t>
      </w:r>
    </w:p>
    <w:p>
      <w:pPr>
        <w:spacing w:after="0" w:line="51" w:lineRule="exact"/>
        <w:rPr>
          <w:rFonts w:ascii="Times New Roman" w:cs="Times New Roman" w:eastAsia="Times New Roman" w:hAnsi="Times New Roman"/>
          <w:sz w:val="14"/>
          <w:szCs w:val="14"/>
          <w:color w:val="auto"/>
        </w:rPr>
      </w:pPr>
    </w:p>
    <w:p>
      <w:pPr>
        <w:ind w:left="2120" w:right="299" w:hanging="345"/>
        <w:spacing w:after="0" w:line="258" w:lineRule="auto"/>
        <w:tabs>
          <w:tab w:leader="none" w:pos="21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or reassign the duties or employment of (i) any SpinCo Employee such that he or she no longer meets the definition of a SpinCo Employee or (ii) any other employee of Modine or any of its affiliates such that he or she does meet the definition of a SpinCo Employee; provided, that a termination of employment or services of any SpinCo Employee or other individual service provider of the SpinCo Group that would not be prohibited by (F) under the eighth bullet point above will not constitute a transfer or reassignment of duties for purposes of this bullet;</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86"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19" w:hanging="345"/>
        <w:spacing w:after="0" w:line="283"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the employment of any individual who is not a SpinCo Employee into the SpinCo Group, or (ii) transfer the employment of any SpinCo Employee out of the SpinCo Group;</w:t>
      </w:r>
    </w:p>
    <w:p>
      <w:pPr>
        <w:spacing w:after="0" w:line="51"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the sponsorship of, or any liabilities relating to, any Modine Benefit Plan (other than a SpinCo Benefit Plan set forth and so designated on the SpinCo Disclosure Letter or immaterial SpinCo Benefit Plans as listed within 60 days following the date of the Merger Agreement as contemplated by SpinCo or any subsidiary thereof on the SpinCo Disclosure Letter);</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an obligation of SpinCo or any subsidiary thereof to contribute to any multiemployer plan;</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52"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make any change (or file any such change) in any method of tax accounting, (ii) make (other than in a manner consistent with past practice or an initial entity classification election), change or revoke any material tax election, (iii) settle any audit, proceeding, claim or assessment with respect to material taxes of a member of the SpinCo Group, (iv) enter into a “closing agreement” within the meaning of Section 7121 of the Code or other written agreement with a Governmental Authority with respect to material taxes of a member of the SpinCo Group, (v) agree to waive, surrender or abandon any right to claim a material tax refund, offset or other reduction in liability of a member of the SpinCo Group, (vi) file any material tax return other than on a basis consistent in all material respects with past practice (except as otherwise required by a change in applicable law) with respect to a member of the SpinCo Group, (vii) file any material amended tax return or claim for refund for material taxes or (viii)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(i) through (viii), only to the extent such action (A) would be binding on the SpinCo Group or Gentherm and its subsidiaries or (B) would reasonably be expected to have an adverse impact on the taxes of the SpinCo Group or Gentherm and its subsidiaries; provided, that each of the foregoing clauses (i) through (viii) shall not apply with respect to any Modine combined tax return or any member of the Modine tax group (or any tax return of any member of the Modine tax group) or any tax return to the extent required to conform to a Modine combined tax return or a tax return of any member of the Modine tax group, in each case, other than to the extent such action would reasonably be expected to have a material adverse impact on the taxes of the SpinCo Group or Gentherm and its subsidiaries;</w:t>
      </w:r>
    </w:p>
    <w:p>
      <w:pPr>
        <w:spacing w:after="0" w:line="81" w:lineRule="exact"/>
        <w:rPr>
          <w:rFonts w:ascii="Times New Roman" w:cs="Times New Roman" w:eastAsia="Times New Roman" w:hAnsi="Times New Roman"/>
          <w:sz w:val="14"/>
          <w:szCs w:val="14"/>
          <w:color w:val="auto"/>
        </w:rPr>
      </w:pPr>
    </w:p>
    <w:p>
      <w:pPr>
        <w:jc w:val="both"/>
        <w:ind w:left="2120" w:right="359" w:hanging="345"/>
        <w:spacing w:after="0" w:line="267"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in any method of financial accounting or financial accounting practice or policy applicable to the Performance Technologies Business, other than such changes as are required by GAAP or applicable law or that otherwise apply generally to Modine and its subsidiaries;</w:t>
      </w:r>
    </w:p>
    <w:p>
      <w:pPr>
        <w:spacing w:after="0" w:line="6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settle or compromise any action, or enter into any consent decree or settlement agreement with any Governmental Authority, against any member of the SpinCo Group or primarily relating to the Performance Technologies Business or the liability of which would be SpinCo’s liability, other than settlements or compromises of any action in the ordinary course of business or where the amount paid in settlement or compromise does not exceed $1.0 million individually or $2.5 million in the aggregate (excluding any amounts covered by insurance) (this clause will not apply with respect to Tax matters or derivative, direct or other Actions brought by or on behalf of Modine’s shareholders);</w:t>
      </w:r>
    </w:p>
    <w:p>
      <w:pPr>
        <w:spacing w:after="0" w:line="54" w:lineRule="exact"/>
        <w:rPr>
          <w:rFonts w:ascii="Times New Roman" w:cs="Times New Roman" w:eastAsia="Times New Roman" w:hAnsi="Times New Roman"/>
          <w:sz w:val="13"/>
          <w:szCs w:val="13"/>
          <w:color w:val="auto"/>
        </w:rPr>
      </w:pPr>
    </w:p>
    <w:p>
      <w:pPr>
        <w:ind w:left="2120" w:right="279" w:hanging="345"/>
        <w:spacing w:after="0" w:line="267"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combine or consolidate any of the members of the SpinCo Group with any Person or adopt a plan of complete or partial liquidation or resolutions providing for a complete or partial liquidation, dissolution, restructuring, recapitalization or other reorganization of any of the members of the SpinCo Group (other than in connection with the Separation);</w:t>
      </w:r>
    </w:p>
    <w:p>
      <w:pPr>
        <w:spacing w:after="0" w:line="61" w:lineRule="exact"/>
        <w:rPr>
          <w:rFonts w:ascii="Times New Roman" w:cs="Times New Roman" w:eastAsia="Times New Roman" w:hAnsi="Times New Roman"/>
          <w:sz w:val="14"/>
          <w:szCs w:val="14"/>
          <w:color w:val="auto"/>
        </w:rPr>
      </w:pPr>
    </w:p>
    <w:p>
      <w:pPr>
        <w:ind w:left="2120" w:right="399" w:hanging="345"/>
        <w:spacing w:after="0" w:line="261" w:lineRule="auto"/>
        <w:tabs>
          <w:tab w:leader="none" w:pos="212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incur or grant a material lien (other than a permitted lien) on any assets, properties or rights of any member of the SpinCo Group that constitute SpinCo assets, in each case, except (i) liens securing obligations under the Bridge Financing and/or the Permanent SpinCo Financing, (ii) liens securing guarantees of obligations under credit agreements to which any member of the SpinCo Group is party as of the date of the Merger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liens and guarantees will be released</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386"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419"/>
        <w:spacing w:after="0" w:line="267" w:lineRule="auto"/>
        <w:rPr>
          <w:sz w:val="20"/>
          <w:szCs w:val="20"/>
          <w:color w:val="auto"/>
        </w:rPr>
      </w:pPr>
      <w:r>
        <w:rPr>
          <w:rFonts w:ascii="Times New Roman" w:cs="Times New Roman" w:eastAsia="Times New Roman" w:hAnsi="Times New Roman"/>
          <w:sz w:val="14"/>
          <w:szCs w:val="14"/>
          <w:color w:val="auto"/>
        </w:rPr>
        <w:t>prior to or in connection with the Closing, (iii) liens incurred in connection with the ordinary course factoring of receivables pursuant to agreements delivered to Gentherm, (iv) liens that will be released prior to or in connection with the Closing or (v) liens securing any intercompany indebtedness among the SpinCo Group or otherwise permitted by the Merger Agreement;</w:t>
      </w:r>
    </w:p>
    <w:p>
      <w:pPr>
        <w:spacing w:after="0" w:line="62" w:lineRule="exact"/>
        <w:rPr>
          <w:sz w:val="20"/>
          <w:szCs w:val="20"/>
          <w:color w:val="auto"/>
        </w:rPr>
      </w:pPr>
    </w:p>
    <w:p>
      <w:pPr>
        <w:ind w:left="2120" w:right="259" w:hanging="345"/>
        <w:spacing w:after="0" w:line="261" w:lineRule="auto"/>
        <w:tabs>
          <w:tab w:leader="none" w:pos="21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accordance with Modine’s annual capital expenditure budget set forth on the Modine Disclosure Letter, plus a 4% variance for the total amount budgeted under such capital expenditure budget, or pursuant to a SpinCo material contract made available to Gentherm as of the date of the Merger Agreement, make any capital expenditure or expenditures or enter into agreements or arrangements providing for any capital expenditure or expenditures or otherwise commit to do so;</w:t>
      </w:r>
    </w:p>
    <w:p>
      <w:pPr>
        <w:spacing w:after="0" w:line="67" w:lineRule="exact"/>
        <w:rPr>
          <w:rFonts w:ascii="Times New Roman" w:cs="Times New Roman" w:eastAsia="Times New Roman" w:hAnsi="Times New Roman"/>
          <w:sz w:val="14"/>
          <w:szCs w:val="14"/>
          <w:color w:val="auto"/>
        </w:rPr>
      </w:pPr>
    </w:p>
    <w:p>
      <w:pPr>
        <w:ind w:left="2120" w:right="599" w:hanging="345"/>
        <w:spacing w:after="0" w:line="267" w:lineRule="auto"/>
        <w:tabs>
          <w:tab w:leader="none" w:pos="21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material refunds, discounts, credits, rebates or allowances to customers, or (ii) take actions to delay accounts payable or accelerate accounts receivable in any material respect, in each case, other than in the ordinary course of business consistent with past practice; or</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or commit or agree to take any of the foregoing actions.</w:t>
      </w:r>
    </w:p>
    <w:p>
      <w:pPr>
        <w:spacing w:after="0" w:line="175"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In addition, Gentherm has agreed that, prior to the Effective Time, except as required or expressly contemplated by the Merger Agreement, applicable law, as disclosed in the Gentherm Disclosure Letter or consented to by Modine (which consent may not be unreasonably withheld, conditioned or delayed), subject to certain agreed exceptions, Gentherm will not, and will cause its subsidiaries (including Merger Sub) not to, take any of the following actions:</w:t>
      </w:r>
    </w:p>
    <w:p>
      <w:pPr>
        <w:spacing w:after="0" w:line="67" w:lineRule="exact"/>
        <w:rPr>
          <w:sz w:val="20"/>
          <w:szCs w:val="20"/>
          <w:color w:val="auto"/>
        </w:rPr>
      </w:pPr>
    </w:p>
    <w:p>
      <w:pPr>
        <w:ind w:left="2120" w:right="259" w:hanging="345"/>
        <w:spacing w:after="0" w:line="267" w:lineRule="auto"/>
        <w:tabs>
          <w:tab w:leader="none" w:pos="2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restate, waive, rescind or otherwise change the organizational documents of Gentherm or any of its subsidiaries (other than changes that would not prevent or materially impair or delay Gentherm’s or any of its subsidiaries’ ability to comply with its obligations under the Merger Agreement, the Separation Agreement or to consummate the Transactions);</w:t>
      </w:r>
    </w:p>
    <w:p>
      <w:pPr>
        <w:spacing w:after="0" w:line="61" w:lineRule="exact"/>
        <w:rPr>
          <w:rFonts w:ascii="Times New Roman" w:cs="Times New Roman" w:eastAsia="Times New Roman" w:hAnsi="Times New Roman"/>
          <w:sz w:val="14"/>
          <w:szCs w:val="14"/>
          <w:color w:val="auto"/>
        </w:rPr>
      </w:pPr>
    </w:p>
    <w:p>
      <w:pPr>
        <w:ind w:left="2120" w:right="399" w:hanging="345"/>
        <w:spacing w:after="0" w:line="261" w:lineRule="auto"/>
        <w:tabs>
          <w:tab w:leader="none" w:pos="2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transactions among Gentherm and any of its subsidiaries in the ordinary course of business and transactions among Gentherm and its wholly owned subsidiaries, (i) make any material acquisition of any assets or businesses in excess of $10.0 million, individually, other than acquisitions of assets (but not businesses) in the ordinary course of business or (ii) sell, pledge, dispose of or encumber any material assets or businesses other than in the ordinary course of business (solely with respect to assets);</w:t>
      </w:r>
    </w:p>
    <w:p>
      <w:pPr>
        <w:spacing w:after="0" w:line="67" w:lineRule="exact"/>
        <w:rPr>
          <w:rFonts w:ascii="Times New Roman" w:cs="Times New Roman" w:eastAsia="Times New Roman" w:hAnsi="Times New Roman"/>
          <w:sz w:val="14"/>
          <w:szCs w:val="14"/>
          <w:color w:val="auto"/>
        </w:rPr>
      </w:pPr>
    </w:p>
    <w:p>
      <w:pPr>
        <w:ind w:left="2120" w:right="239" w:hanging="345"/>
        <w:spacing w:after="0" w:line="256" w:lineRule="auto"/>
        <w:tabs>
          <w:tab w:leader="none" w:pos="2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sell, pledge or transfer any equity interests of Gentherm or its subsidiaries, or securities convertible into, or exchangeable or exercisable for, or options with respect to, or warrants to purchase, or rights to subscribe for, equity interests of Gentherm or any of its subsidiaries, in each case other than (i) to Gentherm or any of its subsidiaries, (ii) the granting of permitted liens, (iii) in respect of the settlement of Gentherm equity awards in accordance with their terms and, as applicable, the Gentherm equity incentive plan, in each case, in the ordinary course of business consistent with past practice, or (iv) in respect of the issuance of annual Gentherm equity awards and issuance of Gentherm equity awards in connection with new hires or promotions, in each case, in the ordinary course of business consistent with past practice;</w:t>
      </w:r>
    </w:p>
    <w:p>
      <w:pPr>
        <w:spacing w:after="0" w:line="69" w:lineRule="exact"/>
        <w:rPr>
          <w:rFonts w:ascii="Times New Roman" w:cs="Times New Roman" w:eastAsia="Times New Roman" w:hAnsi="Times New Roman"/>
          <w:sz w:val="14"/>
          <w:szCs w:val="14"/>
          <w:color w:val="auto"/>
        </w:rPr>
      </w:pPr>
    </w:p>
    <w:p>
      <w:pPr>
        <w:ind w:left="2120" w:right="299" w:hanging="345"/>
        <w:spacing w:after="0" w:line="257" w:lineRule="auto"/>
        <w:tabs>
          <w:tab w:leader="none" w:pos="2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lease, license (as licensor), assign, dispose of, or transfer, any material Gentherm intellectual property (other than non-exclusive licenses of such intellectual property granted in the ordinary course of business), (ii) abandon, permit to lapse, dedicate to public or permit to expire any material registered Gentherm intellectual property (other than at the end of its non-renewable statutory term), (iii) disclose any material confidential information or material trade secrets included in the Gentherm intellectual property to any person that is not subject to reasonable obligations with respect to confidentiality and non-disclosure, or (iv) escrow or make available any material source code for any Gentherm software included in the Gentherm intellectual property;</w:t>
      </w:r>
    </w:p>
    <w:p>
      <w:pPr>
        <w:spacing w:after="0" w:line="69" w:lineRule="exact"/>
        <w:rPr>
          <w:rFonts w:ascii="Times New Roman" w:cs="Times New Roman" w:eastAsia="Times New Roman" w:hAnsi="Times New Roman"/>
          <w:sz w:val="14"/>
          <w:szCs w:val="14"/>
          <w:color w:val="auto"/>
        </w:rPr>
      </w:pPr>
    </w:p>
    <w:p>
      <w:pPr>
        <w:ind w:left="2120" w:right="259" w:hanging="345"/>
        <w:spacing w:after="0" w:line="261" w:lineRule="auto"/>
        <w:tabs>
          <w:tab w:leader="none" w:pos="212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contract for the purchase of real property or any lease (as lessee) of real property related to any leased property providing for annual payments in excess of $1.0 million other than any renewal or extension of a real property lease in the ordinary course of business and on substantially similar terms to the existing lease or terms no less favorable in the aggregate to Gentherm’s business than those in the existing lease;</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85"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19" w:hanging="345"/>
        <w:spacing w:after="0" w:line="252" w:lineRule="auto"/>
        <w:tabs>
          <w:tab w:leader="none" w:pos="212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any Gentherm Benefit Plan or collective bargaining agreement: (i) grant any increases in cash compensation of any employee or individual service provider of Gentherm or its subsidiaries, other than any actions taken in the ordinary course of business with respect to employees or individual service providers of Gentherm or its subsidiaries (1) below the level of Senior Vice President or General Manager and (2) with annualized base cash compensation below $400,000; (ii) enter into or adopt any new Gentherm Benefit Plan, or materially amend or terminate any existing Gentherm Benefit Plan, other than with respect to broad-based welfare benefit plans in the ordinary course of business; (iii) enter into any employment, consulting, severance or termination agreement with any employee, individual service provider or former employee of Gentherm or its subsidiaries, other than (a) any actions taken in the ordinary course of business with respect to employees or individual service providers of Gentherm or its subsidiaries (1) below the level of Senior Vice President or General Manager and (2) with annualized base cash compensation below $400,000 or (b) with respect to employment or consulting agreements that do not provide for severance compensation benefits, service that is not “at-will” or benefits or compensation not generally available to all similarly situated employees or service providers of SpinCo and its subsidiaries; (iv) accelerate the vesting of, or the lapsing of restrictions with respect to, any equity-based or other incentive-based compensation or the funding of any other compensation; (v) terminate the employment or services of any employee or other individual service provider of Gentherm or its subsidiaries (1) at or above the level of Senior Vice President or General Manager or (2) with annualized base cash compensation at or above $400,000, in each case, other than for cause or performance, in each case, as determined by Gentherm in good faith in the ordinary course of business consistent with past practice; (vi) hire, engage or promote (other than to fill a vacancy in the ordinary course of business) any employee or other individual service provider of Gentherm or its subsidiaries (1) at or above the level of Senior Vice President or General Manager or (2) with annualized base cash compensation at or above $400,000; or (vii) establish, adopt, enter into, negotiate, terminate or materially amend any collective bargaining agreement, or recognize or certify any labor union, works council, or other labor organization or employee representative as the bargaining representative for any employees of Gentherm or its subsidiaries;</w:t>
      </w:r>
    </w:p>
    <w:p>
      <w:pPr>
        <w:spacing w:after="0" w:line="77"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any reduction-in-force, office or plant closing, or similar action that, in each case, would trigger notice obligations under any WARN laws;</w:t>
      </w:r>
    </w:p>
    <w:p>
      <w:pPr>
        <w:spacing w:after="0" w:line="51" w:lineRule="exact"/>
        <w:rPr>
          <w:rFonts w:ascii="Times New Roman" w:cs="Times New Roman" w:eastAsia="Times New Roman" w:hAnsi="Times New Roman"/>
          <w:sz w:val="14"/>
          <w:szCs w:val="14"/>
          <w:color w:val="auto"/>
        </w:rPr>
      </w:pPr>
    </w:p>
    <w:p>
      <w:pPr>
        <w:ind w:left="2120" w:right="339" w:hanging="345"/>
        <w:spacing w:after="0" w:line="261" w:lineRule="auto"/>
        <w:tabs>
          <w:tab w:leader="none" w:pos="212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any material term of, or waive any material right under, or voluntarily terminate (other than upon expiration in accordance with its terms), any Gentherm material contract, or (ii) enter into any contract that, if in effect on the date of the Merger Agreement, would be a Gentherm material contract, other than, in each case of clauses (i) and (ii), in the ordinary course of business or any modifications which are more favorable to Gentherm’s business;</w:t>
      </w:r>
    </w:p>
    <w:p>
      <w:pPr>
        <w:spacing w:after="0" w:line="67" w:lineRule="exact"/>
        <w:rPr>
          <w:rFonts w:ascii="Times New Roman" w:cs="Times New Roman" w:eastAsia="Times New Roman" w:hAnsi="Times New Roman"/>
          <w:sz w:val="14"/>
          <w:szCs w:val="14"/>
          <w:color w:val="auto"/>
        </w:rPr>
      </w:pPr>
    </w:p>
    <w:p>
      <w:pPr>
        <w:ind w:left="2120" w:right="379" w:hanging="345"/>
        <w:spacing w:after="0" w:line="256" w:lineRule="auto"/>
        <w:tabs>
          <w:tab w:leader="none" w:pos="212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repay, prepay, refinance or incur any indebtedness for borrowed money, issue any debt securities or any right to acquire debt securities, engage in any securitization transactions or similar arrangements or assume, guarantee or endorse, or otherwise as an accommodation become responsible for (whether directly, contingently or otherwise), the obligations of any Person for borrowed money except (i) in the ordinary course of business, including pursuant to working capital facilities and commercial paper issuances, in an aggregate principal amount not to exceed $5.0 million at any time outstanding, (ii) revolving borrowings pursuant to the Gentherm Revolving Credit Facility, and (iii) intercompany indebtedness among Gentherm and its wholly owned subsidiaries or among any such wholly owned subsidiaries;</w:t>
      </w:r>
    </w:p>
    <w:p>
      <w:pPr>
        <w:spacing w:after="0" w:line="69" w:lineRule="exact"/>
        <w:rPr>
          <w:rFonts w:ascii="Times New Roman" w:cs="Times New Roman" w:eastAsia="Times New Roman" w:hAnsi="Times New Roman"/>
          <w:sz w:val="14"/>
          <w:szCs w:val="14"/>
          <w:color w:val="auto"/>
        </w:rPr>
      </w:pPr>
    </w:p>
    <w:p>
      <w:pPr>
        <w:ind w:left="2120" w:right="259" w:hanging="345"/>
        <w:spacing w:after="0" w:line="257" w:lineRule="auto"/>
        <w:tabs>
          <w:tab w:leader="none" w:pos="212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(or file any such change) in any method of tax accounting, (ii) make (other than in a manner consistent with past practice and other than an initial entity classification election), change or revoke any material tax election, (iii) settle any audit, proceeding, claim or assessment with respect to material taxes, (iv) enter into a “closing agreement” within the meaning of Section 7121 of the Code or other written agreement with a Governmental Authority with respect to material taxes, (v) agree to waive, surrender or abandon any right to claim a material tax refund, offset or other reduction in liability, (vi) file any material tax return other than on a basis consistent in all material respects with</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86"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spacing w:after="0" w:line="257" w:lineRule="auto"/>
        <w:rPr>
          <w:sz w:val="20"/>
          <w:szCs w:val="20"/>
          <w:color w:val="auto"/>
        </w:rPr>
      </w:pPr>
      <w:r>
        <w:rPr>
          <w:rFonts w:ascii="Times New Roman" w:cs="Times New Roman" w:eastAsia="Times New Roman" w:hAnsi="Times New Roman"/>
          <w:sz w:val="14"/>
          <w:szCs w:val="14"/>
          <w:color w:val="auto"/>
        </w:rPr>
        <w:t>past practice (except as otherwise required by a change in applicable law), (vii) file any material amended tax return or claim for refund for material taxes or (viii)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(i) through (viii), only to the extent such action (A) would be binding on the SpinCo Group or Gentherm and its subsidiaries or (B) would reasonably be expected to have an adverse impact on the taxes of the SpinCo Group or Gentherm and its subsidiaries;</w:t>
      </w:r>
    </w:p>
    <w:p>
      <w:pPr>
        <w:spacing w:after="0" w:line="69" w:lineRule="exact"/>
        <w:rPr>
          <w:sz w:val="20"/>
          <w:szCs w:val="20"/>
          <w:color w:val="auto"/>
        </w:rPr>
      </w:pPr>
    </w:p>
    <w:p>
      <w:pPr>
        <w:ind w:left="2120" w:hanging="345"/>
        <w:spacing w:after="0"/>
        <w:tabs>
          <w:tab w:leader="none" w:pos="21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in financial accounting practice or policy, other than such changes as are required by GAAP or applicable law;</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58" w:lineRule="auto"/>
        <w:tabs>
          <w:tab w:leader="none" w:pos="21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 or compromise any Action, or enter into any consent decree or settlement agreement with any Governmental Authority, against Gentherm or its subsidiaries, other than settlements or compromises of any Action in the ordinary course of business or where the amount does not exceed $1.0 million individually or $2.5 million in the aggregate (excluding any amounts covered by insurance) (this clause will not apply with respect to Tax matters or derivative, direct or other Actions brought by or on behalf of Gentherm’s shareholders, provided that the costs associated with such derivative, direct or other Actions shall be borne solely by Gentherm);</w:t>
      </w:r>
    </w:p>
    <w:p>
      <w:pPr>
        <w:spacing w:after="0" w:line="70"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combine or consolidate with any Person or adopt a plan of complete or partial liquidation or resolutions providing for a complete or partial liquidation, dissolution, restructuring, recapitalization or other reorganization of Gentherm or any of its subsidiaries;</w:t>
      </w:r>
    </w:p>
    <w:p>
      <w:pPr>
        <w:spacing w:after="0" w:line="51" w:lineRule="exact"/>
        <w:rPr>
          <w:rFonts w:ascii="Times New Roman" w:cs="Times New Roman" w:eastAsia="Times New Roman" w:hAnsi="Times New Roman"/>
          <w:sz w:val="14"/>
          <w:szCs w:val="14"/>
          <w:color w:val="auto"/>
        </w:rPr>
      </w:pPr>
    </w:p>
    <w:p>
      <w:pPr>
        <w:ind w:left="2120" w:right="259" w:hanging="345"/>
        <w:spacing w:after="0" w:line="257" w:lineRule="auto"/>
        <w:tabs>
          <w:tab w:leader="none" w:pos="21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grant a material Lien (other than a permitted lien) on any assets, properties or rights of Gentherm or any of its subsidiaries, in each case, except (i) liens securing obligations under the Bridge Financing and/or the Permanent SpinCo Financing, (ii) liens securing guarantees of obligations under credit agreements to which Gentherm or any of its subsidiaries is party as of the date hereof; provided that any such guarantee will be released prior to or in connection with the Closing, (iii) liens incurred in connection with the ordinary course factoring of receivables pursuant to agreements delivered to Modine, (iv) liens that will be released prior to or in connection with the Closing or (v) Liens securing any intercompany indebtedness among Gentherm and its subsidiaries;</w:t>
      </w:r>
    </w:p>
    <w:p>
      <w:pPr>
        <w:spacing w:after="0" w:line="69" w:lineRule="exact"/>
        <w:rPr>
          <w:rFonts w:ascii="Times New Roman" w:cs="Times New Roman" w:eastAsia="Times New Roman" w:hAnsi="Times New Roman"/>
          <w:sz w:val="14"/>
          <w:szCs w:val="14"/>
          <w:color w:val="auto"/>
        </w:rPr>
      </w:pPr>
    </w:p>
    <w:p>
      <w:pPr>
        <w:ind w:left="2120" w:right="359" w:hanging="345"/>
        <w:spacing w:after="0" w:line="261" w:lineRule="auto"/>
        <w:tabs>
          <w:tab w:leader="none" w:pos="21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accordance with Gentherm’s annual capital expenditure budget set forth on the Gentherm Disclosure Letter, plus a 4% variance for the total amount budgeted under such capital expenditure budget, or pursuant to a Gentherm material contract made available to Modine as of the date of the Merger Agreement, make any capital expenditure or expenditures or enter into agreements or arrangements providing for any capital expenditure or expenditures or otherwise commit to do so;</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or pay any dividends on or make other distributions in respect of Gentherm Common Stock or other equity securities or</w:t>
      </w:r>
    </w:p>
    <w:p>
      <w:pPr>
        <w:spacing w:after="0" w:line="21" w:lineRule="exact"/>
        <w:rPr>
          <w:rFonts w:ascii="Times New Roman" w:cs="Times New Roman" w:eastAsia="Times New Roman" w:hAnsi="Times New Roman"/>
          <w:sz w:val="14"/>
          <w:szCs w:val="14"/>
          <w:color w:val="auto"/>
        </w:rPr>
      </w:pPr>
    </w:p>
    <w:p>
      <w:pPr>
        <w:ind w:left="2120" w:right="2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redeem, repurchase or otherwise acquire any shares of Gentherm Common Stock (including any securities convertible or exchangeable into such capital stock); or</w:t>
      </w:r>
    </w:p>
    <w:p>
      <w:pPr>
        <w:spacing w:after="0" w:line="66"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or commit or agree to take any of the foregoing actions.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Conditions to the Merger</w:t>
      </w:r>
    </w:p>
    <w:p>
      <w:pPr>
        <w:spacing w:after="0" w:line="93"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The obligations of each of the parties to effect the Closing are subject to the fulfillment or waiver of a number of conditions, including those described below.</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Mutual Conditions</w:t>
      </w:r>
    </w:p>
    <w:p>
      <w:pPr>
        <w:spacing w:after="0" w:line="93"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The respective obligations of each party to the Merger Agreement to consummate the Merger are subject to the fulfillment (or, to the extent permitted by applicable law, waiver by Modine and Gentherm) of the following conditions:</w:t>
      </w:r>
    </w:p>
    <w:p>
      <w:pPr>
        <w:spacing w:after="0" w:line="51" w:lineRule="exact"/>
        <w:rPr>
          <w:sz w:val="20"/>
          <w:szCs w:val="20"/>
          <w:color w:val="auto"/>
        </w:rPr>
      </w:pPr>
    </w:p>
    <w:p>
      <w:pPr>
        <w:ind w:left="2120" w:right="719" w:hanging="345"/>
        <w:spacing w:after="0" w:line="283" w:lineRule="auto"/>
        <w:tabs>
          <w:tab w:leader="none" w:pos="212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or termination of any applicable waiting period under the HSR Act with respect to the Merger and the receipt of any required consents, authorizations, approvals, orders, filings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0159"/>
          </w:cols>
          <w:pgMar w:left="300" w:top="386"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99"/>
        <w:spacing w:after="0" w:line="283" w:lineRule="auto"/>
        <w:rPr>
          <w:sz w:val="20"/>
          <w:szCs w:val="20"/>
          <w:color w:val="auto"/>
        </w:rPr>
      </w:pPr>
      <w:r>
        <w:rPr>
          <w:rFonts w:ascii="Times New Roman" w:cs="Times New Roman" w:eastAsia="Times New Roman" w:hAnsi="Times New Roman"/>
          <w:sz w:val="14"/>
          <w:szCs w:val="14"/>
          <w:color w:val="auto"/>
        </w:rPr>
        <w:t>declarations required to be obtained prior to the Merger from certain Governmental Authorities under applicable laws (or any applicable waiting period thereunder shall have expired or been terminated), as applicable, without the imposition of any Burdensome Condition;</w:t>
      </w:r>
    </w:p>
    <w:p>
      <w:pPr>
        <w:spacing w:after="0" w:line="51" w:lineRule="exact"/>
        <w:rPr>
          <w:sz w:val="20"/>
          <w:szCs w:val="20"/>
          <w:color w:val="auto"/>
        </w:rPr>
      </w:pPr>
    </w:p>
    <w:p>
      <w:pPr>
        <w:ind w:left="2120" w:hanging="345"/>
        <w:spacing w:after="0"/>
        <w:tabs>
          <w:tab w:leader="none" w:pos="21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the Separation and the Distribution in accordance with the terms of the Separation Agreement in all material respects;</w:t>
      </w:r>
    </w:p>
    <w:p>
      <w:pPr>
        <w:spacing w:after="0" w:line="113" w:lineRule="exact"/>
        <w:rPr>
          <w:rFonts w:ascii="Times New Roman" w:cs="Times New Roman" w:eastAsia="Times New Roman" w:hAnsi="Times New Roman"/>
          <w:sz w:val="13"/>
          <w:szCs w:val="13"/>
          <w:color w:val="auto"/>
        </w:rPr>
      </w:pPr>
    </w:p>
    <w:p>
      <w:pPr>
        <w:jc w:val="both"/>
        <w:ind w:left="2120" w:right="319" w:hanging="345"/>
        <w:spacing w:after="0" w:line="267" w:lineRule="auto"/>
        <w:tabs>
          <w:tab w:leader="none" w:pos="21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the Gentherm Registration Statement and the SpinCo Registration Statement in accordance with the Securities Act or the Exchange Act and the absence of any stop order by the SEC or actual or threatened proceedings by a Governmental Authority seeking such a stop order;</w:t>
      </w:r>
    </w:p>
    <w:p>
      <w:pPr>
        <w:spacing w:after="0" w:line="61" w:lineRule="exact"/>
        <w:rPr>
          <w:rFonts w:ascii="Times New Roman" w:cs="Times New Roman" w:eastAsia="Times New Roman" w:hAnsi="Times New Roman"/>
          <w:sz w:val="14"/>
          <w:szCs w:val="14"/>
          <w:color w:val="auto"/>
        </w:rPr>
      </w:pPr>
    </w:p>
    <w:p>
      <w:pPr>
        <w:ind w:left="2120" w:right="559" w:hanging="345"/>
        <w:spacing w:after="0" w:line="267" w:lineRule="auto"/>
        <w:tabs>
          <w:tab w:leader="none" w:pos="21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 Governmental Authority of competent jurisdiction in the United States, Czech Republic or Germany having enacted, issued or promulgated any Law or Order that remains in effect and that has the effect of restraining, enjoining or prohibiting the consummation of the Separation, the Distribution or the Merger;</w:t>
      </w:r>
    </w:p>
    <w:p>
      <w:pPr>
        <w:spacing w:after="0" w:line="6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by Gentherm shareholders of the Gentherm Share Issuance Proposal and the Charter Amendment Proposal at the Special Meeting; and</w:t>
      </w:r>
    </w:p>
    <w:p>
      <w:pPr>
        <w:spacing w:after="0" w:line="51" w:lineRule="exact"/>
        <w:rPr>
          <w:rFonts w:ascii="Times New Roman" w:cs="Times New Roman" w:eastAsia="Times New Roman" w:hAnsi="Times New Roman"/>
          <w:sz w:val="14"/>
          <w:szCs w:val="14"/>
          <w:color w:val="auto"/>
        </w:rPr>
      </w:pPr>
    </w:p>
    <w:p>
      <w:pPr>
        <w:ind w:left="2120" w:right="539" w:hanging="345"/>
        <w:spacing w:after="0" w:line="283" w:lineRule="auto"/>
        <w:tabs>
          <w:tab w:leader="none" w:pos="212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for listing (subject to official notice of issuance) on Nasdaq of the shares of Gentherm Common Stock to be issued to the holders of SpinCo Common Stock pursuant to the Merger.</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Modine’s and SpinCo’s Conditions</w:t>
      </w:r>
    </w:p>
    <w:p>
      <w:pPr>
        <w:spacing w:after="0" w:line="9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The obligations of Modine and SpinCo to consummate the Merger are subject to the fulfillment (or, to the extent permissible by applicable law, waiver by Modine and SpinCo) of the following additional conditions:</w:t>
      </w:r>
    </w:p>
    <w:p>
      <w:pPr>
        <w:spacing w:after="0" w:line="51" w:lineRule="exact"/>
        <w:rPr>
          <w:sz w:val="20"/>
          <w:szCs w:val="20"/>
          <w:color w:val="auto"/>
        </w:rPr>
      </w:pPr>
    </w:p>
    <w:p>
      <w:pPr>
        <w:ind w:left="2120" w:right="519" w:hanging="345"/>
        <w:spacing w:after="0" w:line="323" w:lineRule="auto"/>
        <w:tabs>
          <w:tab w:leader="none" w:pos="212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and compliance by Gentherm and Merger Sub in all material respects with the obligations, covenants and agreements required by the Merger Agreement to be performed or complied with by Gentherm and Merger Sub at or prior to the Closing Date;</w:t>
      </w:r>
    </w:p>
    <w:p>
      <w:pPr>
        <w:spacing w:after="0" w:line="28" w:lineRule="exact"/>
        <w:rPr>
          <w:rFonts w:ascii="Times New Roman" w:cs="Times New Roman" w:eastAsia="Times New Roman" w:hAnsi="Times New Roman"/>
          <w:sz w:val="13"/>
          <w:szCs w:val="13"/>
          <w:color w:val="auto"/>
        </w:rPr>
      </w:pPr>
    </w:p>
    <w:p>
      <w:pPr>
        <w:ind w:left="2120" w:right="359" w:hanging="345"/>
        <w:spacing w:after="0" w:line="283" w:lineRule="auto"/>
        <w:tabs>
          <w:tab w:leader="none" w:pos="21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of the representations and warranties of Gentherm and Merger Sub set forth in the Merger Agreement, generally both when made and as of the Closing Date, subject to certain specified materiality standards;</w:t>
      </w:r>
    </w:p>
    <w:p>
      <w:pPr>
        <w:spacing w:after="0" w:line="5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delivery by Gentherm and Merger Sub to Modine of a certificate dated as of the Closing Date signed by an executive officer of Gentherm and Merger Sub certifying the satisfaction of the conditions described in the preceding two bullet points;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Modine of the Modine Merger Tax Opinion;</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Modine of (i) the IRS Ruling, in form and substance reasonably satisfactory to Modine, which shall continue to be valid and in full force and effect and (ii) the Modine Distribution Tax Opinion in form and substance reasonably satisfactory to Modine;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SpinCo Cash Distribution having occurred.</w:t>
      </w:r>
    </w:p>
    <w:p>
      <w:pPr>
        <w:spacing w:after="0" w:line="2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Gentherm’s and Merger Sub’s Conditions</w:t>
      </w:r>
    </w:p>
    <w:p>
      <w:pPr>
        <w:spacing w:after="0" w:line="93"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The obligations of Gentherm and Merger Sub to consummate the Merger are subject to the fulfillment (or, to the extent permissible by applicable law, waiver by Gentherm and Merger Sub) of the following additional conditions:</w:t>
      </w:r>
    </w:p>
    <w:p>
      <w:pPr>
        <w:spacing w:after="0" w:line="51" w:lineRule="exact"/>
        <w:rPr>
          <w:sz w:val="20"/>
          <w:szCs w:val="20"/>
          <w:color w:val="auto"/>
        </w:rPr>
      </w:pPr>
    </w:p>
    <w:p>
      <w:pPr>
        <w:ind w:left="2120" w:right="579" w:hanging="345"/>
        <w:spacing w:after="0" w:line="283"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compliance by each of Modine and SpinCo in all material respects of the obligations, covenants and agreements required by the Merger Agreement to be performed or complied with by it at or prior to the Closing;</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of the representations and warranties of Modine and SpinCo set forth in the Merger Agreement, generally both when made and as of the Closing Date, subject to certain specified materiality standards;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159"/>
          </w:cols>
          <w:pgMar w:left="300" w:top="386"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539" w:hanging="345"/>
        <w:spacing w:after="0" w:line="283" w:lineRule="auto"/>
        <w:tabs>
          <w:tab w:leader="none" w:pos="21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Gentherm and Merger Sub of a certificate executed by an executive officer of Modine confirming the satisfaction of the conditions described in the preceding two bullet points;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Gentherm of the Gentherm Merger Tax Opinion.</w:t>
      </w:r>
    </w:p>
    <w:p>
      <w:pPr>
        <w:spacing w:after="0" w:line="2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No Solicitation</w:t>
      </w:r>
    </w:p>
    <w:p>
      <w:pPr>
        <w:spacing w:after="0" w:line="93"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The Merger Agreement contains provisions restricting Gentherm’s ability to seek an alternative transaction. Under these provisions, Gentherm agreed to, following execution of the Merger Agreement, immediately cease, and to cause its subsidiaries to and direct and use reasonable best efforts to cause its and their respective representatives to immediately cease, any discussions or negotiations with any person that may be ongoing with respect to a Competing Proposal, or any proposal that would reasonably be expected to lead to a Competing Proposal, and request the return or destruction of any confidential information provided in any such discussions or negotiations and terminate access to any physical or electronic data room relating to a possible Competing Proposal. Gentherm also agreed that it will not, and will not authorize or permit its subsidiaries or authorize or permit any of its or their directors, officers, and employees to, and will use reasonable best efforts to cause its and their respective representatives not to, directly or indirectly:</w:t>
      </w:r>
    </w:p>
    <w:p>
      <w:pPr>
        <w:spacing w:after="0" w:line="72" w:lineRule="exact"/>
        <w:rPr>
          <w:sz w:val="20"/>
          <w:szCs w:val="20"/>
          <w:color w:val="auto"/>
        </w:rPr>
      </w:pPr>
    </w:p>
    <w:p>
      <w:pPr>
        <w:ind w:left="2120" w:right="779" w:hanging="345"/>
        <w:spacing w:after="0" w:line="283" w:lineRule="auto"/>
        <w:tabs>
          <w:tab w:leader="none" w:pos="21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 initiate, knowingly encourage or knowingly facilitate any Competing Proposal or any inquiry, proposal or offer that would reasonably be expected to lead to a Competing Proposal; or</w:t>
      </w:r>
    </w:p>
    <w:p>
      <w:pPr>
        <w:spacing w:after="0" w:line="51" w:lineRule="exact"/>
        <w:rPr>
          <w:rFonts w:ascii="Times New Roman" w:cs="Times New Roman" w:eastAsia="Times New Roman" w:hAnsi="Times New Roman"/>
          <w:sz w:val="14"/>
          <w:szCs w:val="14"/>
          <w:color w:val="auto"/>
        </w:rPr>
      </w:pPr>
    </w:p>
    <w:p>
      <w:pPr>
        <w:ind w:left="2120" w:right="439" w:hanging="345"/>
        <w:spacing w:after="0" w:line="267" w:lineRule="auto"/>
        <w:tabs>
          <w:tab w:leader="none" w:pos="21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continue or otherwise participate in any discussions or negotiations regarding, or furnish to any Person any nonpublic information relating to Gentherm or any Gentherm subsidiary relating to any Competing Proposal (or any inquiry, proposal or offer that would reasonably be expected to lead to a Competing Proposal).</w:t>
      </w:r>
    </w:p>
    <w:p>
      <w:pPr>
        <w:spacing w:after="0" w:line="61" w:lineRule="exact"/>
        <w:rPr>
          <w:rFonts w:ascii="Times New Roman" w:cs="Times New Roman" w:eastAsia="Times New Roman" w:hAnsi="Times New Roman"/>
          <w:sz w:val="14"/>
          <w:szCs w:val="14"/>
          <w:color w:val="auto"/>
        </w:rPr>
      </w:pPr>
    </w:p>
    <w:p>
      <w:pPr>
        <w:ind w:left="2460" w:right="299" w:hanging="254"/>
        <w:spacing w:after="0" w:line="256" w:lineRule="auto"/>
        <w:tabs>
          <w:tab w:leader="none" w:pos="2460" w:val="left"/>
        </w:tabs>
        <w:numPr>
          <w:ilvl w:val="1"/>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However, if, prior to obtaining the approval of Gentherm’s shareholders and following the receipt of a bona fide written Competing Proposal after the date of the Merger Agreement that was not, directly or indirectly, solicited, initiated, knowingly encouraged or knowingly facilitated and that the Gentherm Board determines in good faith (after receiving advice of its financial advisor and of its outside legal counsel) is or would reasonably be expected to lead to a Superior Proposal and that the Gentherm Board determines in good faith, after consultation with outside legal counsel, that a failure to take action with respect to such Competing Proposal would be reasonably expected to be inconsistent with the fiduciary duties that the Gentherm Board owes to Gentherm and its shareholders under applicable law, then Gentherm may:</w:t>
      </w:r>
    </w:p>
    <w:p>
      <w:pPr>
        <w:spacing w:after="0" w:line="69" w:lineRule="exact"/>
        <w:rPr>
          <w:rFonts w:ascii="Times New Roman" w:cs="Times New Roman" w:eastAsia="Times New Roman" w:hAnsi="Times New Roman"/>
          <w:sz w:val="14"/>
          <w:szCs w:val="14"/>
          <w:color w:val="auto"/>
        </w:rPr>
      </w:pPr>
    </w:p>
    <w:p>
      <w:pPr>
        <w:ind w:left="2120" w:right="279" w:hanging="345"/>
        <w:spacing w:after="0" w:line="323" w:lineRule="auto"/>
        <w:tabs>
          <w:tab w:leader="none" w:pos="21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 information regarding Gentherm, its subsidiaries and affiliates to the Person making the Competing Proposal pursuant to an Acceptable Confidentiality Agreement, subject to certain restrictions set forth in the Merger Agreement if such person is a competitor; and</w:t>
      </w:r>
    </w:p>
    <w:p>
      <w:pPr>
        <w:spacing w:after="0" w:line="28"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discussions or negotiations with such Person regarding such Competing Proposal.</w:t>
      </w:r>
    </w:p>
    <w:p>
      <w:pPr>
        <w:spacing w:after="0" w:line="175"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The Merger Agreement provides that the term “Superior Proposal” means a bona fide written Competing Proposal (except the references therein to “20%” will be replaced by “50%”) made by a third party that was not solicited in violation of the no-solicitation provisions in the Merger Agreement and that, in the good-faith judgment of the Gentherm Board after consultation with its financial advisor and outside legal counsel, taking into account the various legal, financial and regulatory aspects of the Competing Proposal, (i) if accepted, is reasonably likely to be consummated on the terms proposed, taking into account any legal, financial and regulatory requirements, and the identity of the person or persons making the proposal and (ii) if consummated, would result in a transaction that is more favorable to Gentherm shareholders from a financial point of view than the Merger and the other transactions contemplated by the Merger Agreement (after giving effect to all adjustment or modification to the terms thereof which may be agreed in writing to be made by Modine and SpinCo pursuant to the terms of the Merger Agreement).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159"/>
          </w:cols>
          <w:pgMar w:left="300" w:top="386"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Board Recommendation</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Gentherm has agreed in the Merger Agreement that the Gentherm Board will not, from the date of the Merger Agreement until the earlier of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Effective Time or termination of the Merger Agreement in accordance with its terms:</w:t>
      </w:r>
    </w:p>
    <w:p>
      <w:pPr>
        <w:spacing w:after="0" w:line="87" w:lineRule="exact"/>
        <w:rPr>
          <w:sz w:val="20"/>
          <w:szCs w:val="20"/>
          <w:color w:val="auto"/>
        </w:rPr>
      </w:pPr>
    </w:p>
    <w:p>
      <w:pPr>
        <w:ind w:left="2120" w:right="879" w:hanging="345"/>
        <w:spacing w:after="0" w:line="283"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authorize, approve, endorse or recommend, or publicly propose to adopt, authorize, approve, endorse or recommend, any Competing Proposal;</w:t>
      </w:r>
    </w:p>
    <w:p>
      <w:pPr>
        <w:spacing w:after="0" w:line="5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 change, amend, modify or qualify, or publicly propose to withdraw, change, amend, modify or qualify, in a manner adverse to Modine or SpinCo, the Gentherm Board Recommendation;</w:t>
      </w:r>
    </w:p>
    <w:p>
      <w:pPr>
        <w:spacing w:after="0" w:line="5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Competing Proposal that is structured as a tender offer or exchange offer for the outstanding shares of Gentherm Common Stock is commenced pursuant to Rule 14d-12 under the Exchange Act, fail to recommend against any such Competing Proposal within 10 business days after such commencement (or, if earlier, by the second business day prior to the then-scheduled Special Meeting);</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include the Gentherm Board Recommendation in this proxy statement/prospectus;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96" w:lineRule="auto"/>
        <w:tabs>
          <w:tab w:leader="none" w:pos="212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 or authorize, or cause or permit Gentherm or any Gentherm subsidiary to enter into, any merger agreement, acquisition agreement, reorganization agreement, joint venture agreement, partnership agreement, letter of intent, memorandum of understanding, agreement in principle, or similar agreement with respect to any Competing Proposal (other than an Acceptable Confidentiality Agreement); or</w:t>
      </w:r>
    </w:p>
    <w:p>
      <w:pPr>
        <w:spacing w:after="0" w:line="46" w:lineRule="exact"/>
        <w:rPr>
          <w:rFonts w:ascii="Times New Roman" w:cs="Times New Roman" w:eastAsia="Times New Roman" w:hAnsi="Times New Roman"/>
          <w:sz w:val="13"/>
          <w:szCs w:val="13"/>
          <w:color w:val="auto"/>
        </w:rPr>
      </w:pPr>
    </w:p>
    <w:p>
      <w:pPr>
        <w:ind w:left="2120" w:right="1119" w:hanging="345"/>
        <w:spacing w:after="0" w:line="283" w:lineRule="auto"/>
        <w:tabs>
          <w:tab w:leader="none" w:pos="21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 or agree to do any of the foregoing (any act described in the first four clauses and this clause, a “Gentherm Adverse Recommendation Change”).</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However, the Gentherm Board, at any time prior to the receipt of the approval of Gentherm shareholders, may make a Change in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Recommendation in response to:</w:t>
      </w:r>
    </w:p>
    <w:p>
      <w:pPr>
        <w:spacing w:after="0" w:line="87" w:lineRule="exact"/>
        <w:rPr>
          <w:sz w:val="20"/>
          <w:szCs w:val="20"/>
          <w:color w:val="auto"/>
        </w:rPr>
      </w:pPr>
    </w:p>
    <w:p>
      <w:pPr>
        <w:ind w:left="2120" w:right="739" w:hanging="345"/>
        <w:spacing w:after="0" w:line="283" w:lineRule="auto"/>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by Gentherm of a bona fide written Competing Proposal that was not directly or indirectly solicited, initiated or knowingly encouraged in breach of the provisions described under “-No Solicitation” above; or</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 Intervening Event, which is defined below.</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ability of the Gentherm Board to effect a Gentherm Adverse Recommendation Change is subject to the following conditions being met:</w:t>
      </w:r>
    </w:p>
    <w:p>
      <w:pPr>
        <w:spacing w:after="0" w:line="22" w:lineRule="exact"/>
        <w:rPr>
          <w:sz w:val="20"/>
          <w:szCs w:val="20"/>
          <w:color w:val="auto"/>
        </w:rPr>
      </w:pPr>
    </w:p>
    <w:p>
      <w:pPr>
        <w:ind w:left="1360" w:right="299" w:hanging="5"/>
        <w:spacing w:after="0" w:line="251" w:lineRule="auto"/>
        <w:tabs>
          <w:tab w:leader="none" w:pos="1589"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the Gentherm Board concludes in good faith, after consultation with Gentherm’s outside financial advisor and outside legal counsel, that, in the case of a Competing, such Competing Proposal constitutes a Superior Proposal or, (2) in the case of an Intervening Event, that an Intervening Event has occurred and is continuing, (B) the Gentherm Board determines in good faith, after consultation with Gentherm’s outside legal counsel, that the failure to take such action would reasonably be expected to be inconsistent with the fiduciary duties that the directors owe to Gentherm and its shareholders in their capacity as directors of Gentherm under applicable laws; (C) the Gentherm Board provides Modine four business days’ prior written notice of its intention to take such action, (D) during the four business days following such written notice (the “Negotiation Period”), if requested by Modine, Gentherm will, and will direct its representatives to, negotiate in good faith with Modine regarding any revisions to the terms of the Transactions proposed by Modine in response to such Competing Proposal or Intervening Event, and (E) at the end of the Negotiation Period, the Gentherm Board concludes in good faith, (x) after consultation with Gentherm’s outside legal counsel and financial advisor, that such Competing Proposal continues to be a Superior Proposal or (y) after consultation with Gentherm’s outside legal counsel and financial advisor (and taking into account any change to the Merger Agreement or the other Transaction Documents to which Modine and SpinCo have agreed in writing), that the failure to make a Gentherm Adverse Recommendation Change would reasonably be expected to be inconsistent with the fiduciary duties that the directors owe to Gentherm and its shareholders in their capacity as directors of Gentherm under applicable laws.</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159"/>
          </w:cols>
          <w:pgMar w:left="300" w:top="386"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Under the Merger Agreement, Gentherm must, as promptly as reasonably practical, (and in no event later than 48 hours), after receipt of any Competing Proposal or any proposals or inquiries that would reasonably be expected to lead to a Competing Proposal, any inquiry or request for nonpublic information relating Gentherm or its subsidiaries relating to, or from any person that has made, has indicated in writing that it is reasonably likely to make, or would reasonably be expected to make, a Competing Proposal, or any inquiry or request for discussions or negotiations regarding any Competing Proposal or that would reasonably be expected to lead to a Competing Proposal, notify Modine (which notice, if provided orally, will be confirmed in writing) of any of the foregoing occurrences (including the identity of the person or entity making or submitting such request, inquiry or Competing Proposal and a copy of such request, inquiry or Competing Proposal (or if no copy is available, a reasonably detailed description of the material terms and conditions thereof and facts surrounding such request, inquiry or Competing Proposal), including any modification thereto. Gentherm must also keep Modine reasonably informed on a reasonably prompt and current basis with respect to the status and the terms of any material modifications related to such matters (and in any event not later than 24 hours after any such change or any material development, discussions and negotiations with respect thereto). Gentherm has also agreed that it will provide to Modine prior to or substantially concurrently with the time it is provided to any third parties, any nonpublic information furnished or made available to any third party in connection with any Competing Proposal that was not previously provided to Modine and SpinCo.</w:t>
      </w:r>
    </w:p>
    <w:p>
      <w:pPr>
        <w:spacing w:after="0" w:line="149"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The Merger Agreement provides that the term “Intervening Event” means any change, event, development or occurrence with respect to Gentherm that is material to Gentherm and its subsidiaries (taken as a whole) that was not known by or was not reasonably foreseeable to, the Gentherm Board as of the date of the Merger Agreement (or which was known or reasonably foreseeable but in respect of which the probability or magnitude of the consequences were neither known nor reasonably foreseeable as of the date of the Merger Agreement). However, none of the following events (or the consequences thereof) will constitute an “Intervening Event”:</w:t>
      </w:r>
    </w:p>
    <w:p>
      <w:pPr>
        <w:spacing w:after="0" w:line="70" w:lineRule="exact"/>
        <w:rPr>
          <w:sz w:val="20"/>
          <w:szCs w:val="20"/>
          <w:color w:val="auto"/>
        </w:rPr>
      </w:pPr>
    </w:p>
    <w:p>
      <w:pPr>
        <w:ind w:left="2120" w:hanging="345"/>
        <w:spacing w:after="0"/>
        <w:tabs>
          <w:tab w:leader="none" w:pos="21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existence or terms of a Competing Proposal or Superior Proposal;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developments, occurrences or changes in circumstances of Modine or the members of the SpinCo Group;</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status of the Merger under the HSR Act or of any of the other required regulatory approvals;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price, or change in trading volume, of Gentherm Common Stock, or any change in the credit rating of Gentherm;</w:t>
      </w:r>
    </w:p>
    <w:p>
      <w:pPr>
        <w:spacing w:after="0" w:line="10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Gentherm’s meeting or exceeding internal or analysts’ expectations, projections, forecasts, guidance, estimates, budgets or results of operations; or</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political or financial conditions or markets (including changes in interest rates, exchange rates, stock, bond or debt prices).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SpinCo’s Exclusivity</w:t>
      </w:r>
    </w:p>
    <w:p>
      <w:pPr>
        <w:spacing w:after="0" w:line="93" w:lineRule="exact"/>
        <w:rPr>
          <w:sz w:val="20"/>
          <w:szCs w:val="20"/>
          <w:color w:val="auto"/>
        </w:rPr>
      </w:pPr>
    </w:p>
    <w:p>
      <w:pPr>
        <w:ind w:left="1360" w:right="299" w:firstLine="343"/>
        <w:spacing w:after="0" w:line="253" w:lineRule="auto"/>
        <w:rPr>
          <w:sz w:val="20"/>
          <w:szCs w:val="20"/>
          <w:color w:val="auto"/>
        </w:rPr>
      </w:pPr>
      <w:r>
        <w:rPr>
          <w:rFonts w:ascii="Times New Roman" w:cs="Times New Roman" w:eastAsia="Times New Roman" w:hAnsi="Times New Roman"/>
          <w:sz w:val="14"/>
          <w:szCs w:val="14"/>
          <w:color w:val="auto"/>
        </w:rPr>
        <w:t>Modine will, and will cause its subsidiaries to (and will direct and use reasonable best effort to cause its representatives to), immediately cease, any discussions or negotiations (other than with Gentherm or its affiliates) that may be ongoing with respect to a SpinCo Proposal (as defined below) and will request to have returned or destroyed reasonably promptly any confidential information that has been provided in any such discussions or negotiations. From the date of the Merger Agreement until the earlier of (a) termination of the Merger Agreement and (b) the Closing, Modine will not, and will cause its subsidiaries not to (and will direct and use reasonable best efforts to cause its representatives not to): (i) solicit, initiate, knowingly encourage or knowingly facilitate any proposal from a third party relating to the acquisition, exclusive license, recapitalization, liquidation, dissolution or other transaction that constitutes 20% or more of the net revenues, net income or assets of the Performance Technologies Business (taken as a whole) (any of the foregoing, a “SpinCo Proposal”) or any inquiry, offer or proposal that would reasonably be expected to lead to a SpinCo Proposal,</w:t>
      </w:r>
    </w:p>
    <w:p>
      <w:pPr>
        <w:spacing w:after="0" w:line="3" w:lineRule="exact"/>
        <w:rPr>
          <w:sz w:val="20"/>
          <w:szCs w:val="20"/>
          <w:color w:val="auto"/>
        </w:rPr>
      </w:pPr>
    </w:p>
    <w:p>
      <w:pPr>
        <w:ind w:left="5540" w:right="1479" w:hanging="4185"/>
        <w:spacing w:after="0" w:line="433" w:lineRule="auto"/>
        <w:tabs>
          <w:tab w:leader="none" w:pos="1562"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any discussions or negotiations relating to the Performance Technologies Business, the SpinCo Assets or the SpinCo 130</w:t>
      </w:r>
    </w:p>
    <w:p>
      <w:pPr>
        <w:sectPr>
          <w:pgSz w:w="11900" w:h="16838" w:orient="portrait"/>
          <w:cols w:equalWidth="0" w:num="1">
            <w:col w:w="10159"/>
          </w:cols>
          <w:pgMar w:left="300" w:top="386"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Group in connection with any SpinCo Proposal or any inquiry that would reasonably be expected to lead to, a SpinCo Proposal, (iii) adopt, approve or recommend any SpinCo Proposal or (iv) approve or authorize or cause or permit Modine or any of its subsidiaries to enter into, any merger agreement, acquisition agreement, reorganization agreement, joint venture agreement, partnership agreement, letter of intent, memorandum of understanding, agreement in principle or similar agreement or document relating to, or providing for, any SpinCo Proposal; provided, nothing listed above will limit Modine’s ability to pursue any transaction relating to substantially all of the business of Modine (as opposed to solely the Performance Technologies Business), so long as such transaction would not prevent or materially impair or delay Modine’s ability to comply with its obligations under the Merger Agreement, the Separation Agreement and the other Transaction Documents, or to consummate the transactions contemplated by the Merger Agreement, the Separation Agreement and the other Transaction Documents.</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Employee Nonsolicitation; Noncompetition</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The Merger Agreement contains provisions restricting both Modine’s and Gentherm’s ability to solicit for employment or hire employees of Modine or Gentherm, as applicable. For a period of two years following the Closing, Modine and Gentherm will not, and will cause its subsidiaries or affiliates (including the members of the SpinCo Group), respectively, not to, directly or indirectly solicit for employment or hire or induce or cause, or attempt to induce or cause, to leave the employ of the other party or any of Gentherm’s affiliates or Modine’s subsidiaries, as applicable any employee with a title of Manager or higher of the Performance Technologies Business as of the Closing or certain scheduled employees, and in the case of Gentherm’s obligations, any employee with a title of Vice President or higher of Modine or its subsidiaries or certain scheduled employees;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such obligations do not restrict any (i) general solicitation for employees or (ii) solicitation or employment of anyone whose employment with Gentherm or Modine or their respective subsidiaries, as applicable, was terminated prior to any solicitation by Modine or its subsidiaries, on one hand, or Gentherm or its affiliates, on the other hand, provided that neither Gentherm nor Modine may hire any scheduled employee set forth in the SpinCo Disclosure Letter or Gentherm Disclosure Letter, respectively.</w:t>
      </w:r>
    </w:p>
    <w:p>
      <w:pPr>
        <w:spacing w:after="0" w:line="146"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Until the fourth anniversary of the Closing Date (the “Restricted Period”), Modine may not, and must cause the members of the Modine Group not to, directly or indirectly, engage in the Performance Technologies Business or certain specified products (the “Competitive Business”). However, such obligations do not prohibit (A) any member of the Modine Group from engaging in the businesses conducted by the Modine Group (excluding the Performance Technologies Business) at the Effective Time; (B) any member of the Modine Group from directly or indirectly acquiring any interest in a Person or business engaged in a Competitive Business, and operating and managing such Person or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Competitive Business represents 15% or more of the net revenues or net income of such acquired Person or business, as applicable, for such acquired business’s or Person’s most recently completed fiscal year, then the applicable member of the Modine Group must within 18 months after the consummation of the acquisition of such Person or business so long as the Restricted Period is still in effect, either (x) dispose of such Person or business or the relevant portion thereof that is engaged in the Competitive Business or (y) discontinue the operation of such Competitive Business; (C) the acquisition and ownership by Modine or any of its subsidiaries, directly or indirectly, of less than 5% in the aggregate of the equity interests of any Person engaged in a Competitive Business; (D) any member of the Modine Group from performing their obligations under the Merger Agreement or the Transaction Documents; or (E) any Person who acquires fifty percent (50%) or more of the consolidated assets or issued and outstanding shares of Modine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from engaging in a Competitive Business if such Person is engaging in such Competitive Business prior to such acquisition; provided, that these restrictions and obligations shall continue to apply to Modine and its subsidiaries (as of immediately prior to such acquisition) until the fourth (4th) anniversary of the Closing Date.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0159"/>
          </w:cols>
          <w:pgMar w:left="300" w:top="386"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SEC Filings</w:t>
      </w:r>
    </w:p>
    <w:p>
      <w:pPr>
        <w:spacing w:after="0" w:line="93"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The Merger Agreement provides that, as promptly as reasonably practicable (i) Modine and Gentherm will jointly prepare and cause to be filed with the SEC this proxy statement/prospectus, (ii) Modine and Gentherm will jointly prepare and Gentherm will cause to be filed with the SEC the registration statement of which this proxy statement/prospectus is a part and (iii) Modine and Gentherm will jointly prepare and Modine will cause SpinCo to file with the SEC a registration statement to register the shares of SpinCo Common Stock to be distributed in the Distribution.</w:t>
      </w:r>
    </w:p>
    <w:p>
      <w:pPr>
        <w:spacing w:after="0" w:line="14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Gentherm is required under the terms of the Merger Agreement to cause this proxy statement/prospectus to be mailed to Gentherm shareholders as promptly as reasonably practicable after the registration statement of which this proxy statement/prospectus is a part becomes effective under the Securities Act.</w:t>
      </w:r>
    </w:p>
    <w:p>
      <w:pPr>
        <w:spacing w:after="0" w:line="136"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Each of Gentherm, Modine, and SpinCo will use its reasonable best efforts to have the Gentherm Registration Statement and the SpinCo Registration Statement declared effective as promptly as practicable after such filing and, prior to the effective date of the Gentherm Registration Statement and the SpinCo Registration Statement, each of Gentherm, Modine and SpinCo will take all action reasonably required (subject to certain exceptions) to be taken under any applicable securities laws in connection with, in the case of Gentherm, the Gentherm Share Issuance and, in the case of Modine and SpinCo, the Distribution. The parties will cooperate in preparing and filing with the SEC the Gentherm Registration Statement, the SpinCo Registration Statement and this proxy statement/prospectus and any necessary amendments or supplements thereto. Following the effective date of the Gentherm Registration Statement and the SpinCo Registration Statement, each of Gentherm, Modine and SpinCo will take all action reasonably required (subject to certain exceptions) to keep the Gentherm Registration Statement and the SpinCo Registration Statement effective for as long as is necessary in order to consummate the Merger, the Transactions and any other transactions contemplated by the Transaction Documents. As promptly as practicable after the SpinCo Registration Statement will have become effective, Modine will cause this proxy statement/prospectus, the Gentherm Registration Statement, the SpinCo Registration Statement or the documents relating to the Distribution that are filed with the SEC to be mailed or made available to Modine’s shareholders pursuant to applicable law.</w:t>
      </w:r>
    </w:p>
    <w:p>
      <w:pPr>
        <w:spacing w:after="0" w:line="150"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No filing of, or amendment or supplement to, the Gentherm Registration Statement or this proxy statement/prospectus or the SpinCo Registration Statement will be made by Gentherm, Modine or SpinCo without providing the other parties with a reasonable opportunity to review and comment thereon.</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Gentherm Special Meeting</w:t>
      </w:r>
    </w:p>
    <w:p>
      <w:pPr>
        <w:spacing w:after="0" w:line="93"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Under the terms of the Merger Agreement, Gentherm is required to, as promptly as practicable following the date on which the SEC has declared effective the registration statement of which this document forms a part, take all action necessary under applicable law to call, give notice of and hold a meeting of its shareholder for the purpose of obtaining the Gentherm Shareholder Approval.</w:t>
      </w:r>
    </w:p>
    <w:p>
      <w:pPr>
        <w:spacing w:after="0" w:line="136"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Merger Agreement provides that, unless the Merger Agreement has been terminated according to its terms (as further described in the section titled “Termination” below), Gentherm is obligated to hold the Special Meeting whether or not (i) the Gentherm Board has effected a Gentherm Adverse Recommendation Change or (ii) any Competing Proposal has been publicly proposed or announced or otherwise submitted to Gentherm or any of its representatives.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Regulatory Matters</w:t>
      </w:r>
    </w:p>
    <w:p>
      <w:pPr>
        <w:spacing w:after="0" w:line="93"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Merger Agreement provides that each party to the Merger Agreement will use reasonable best efforts to promptly take, or cause to be taken, all actions, and to promptly do, or cause to be done, and to assist and cooperate with the other in doing, all things reasonably necessary, proper or advisable under applicable laws to consummate and make effective the Merger and the other Transactions, as promptly as practicable and in any</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38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event prior to the Outside Date, including: (i) preparing and filing of all forms, registrations, and notifications required to be filed to consummate the</w:t>
      </w:r>
    </w:p>
    <w:p>
      <w:pPr>
        <w:spacing w:after="0" w:line="22" w:lineRule="exact"/>
        <w:rPr>
          <w:sz w:val="20"/>
          <w:szCs w:val="20"/>
          <w:color w:val="auto"/>
        </w:rPr>
      </w:pPr>
    </w:p>
    <w:p>
      <w:pPr>
        <w:jc w:val="both"/>
        <w:ind w:left="1360" w:right="699"/>
        <w:spacing w:after="0" w:line="254" w:lineRule="auto"/>
        <w:rPr>
          <w:sz w:val="20"/>
          <w:szCs w:val="20"/>
          <w:color w:val="auto"/>
        </w:rPr>
      </w:pPr>
      <w:r>
        <w:rPr>
          <w:rFonts w:ascii="Times New Roman" w:cs="Times New Roman" w:eastAsia="Times New Roman" w:hAnsi="Times New Roman"/>
          <w:sz w:val="14"/>
          <w:szCs w:val="14"/>
          <w:color w:val="auto"/>
        </w:rPr>
        <w:t>Merger and the other Transactions; and, except as set forth in the Merger Agreement: (ii) obtaining all necessary actions or non-actions, waivers, consents, clearances, approvals, and expirations or terminations of waiting periods, from Governmental Authorities; (iii) obtaining all necessary consents, approvals or waivers from third parties; and (iv) defending any lawsuits or other legal proceedings, whether judicial or administrative, challenging the Transactions. </w:t>
      </w:r>
    </w:p>
    <w:p>
      <w:pPr>
        <w:spacing w:after="0" w:line="145" w:lineRule="exact"/>
        <w:rPr>
          <w:sz w:val="20"/>
          <w:szCs w:val="20"/>
          <w:color w:val="auto"/>
        </w:rPr>
      </w:pPr>
    </w:p>
    <w:p>
      <w:pPr>
        <w:ind w:left="1360" w:right="519" w:firstLine="343"/>
        <w:spacing w:after="0" w:line="258" w:lineRule="auto"/>
        <w:rPr>
          <w:sz w:val="20"/>
          <w:szCs w:val="20"/>
          <w:color w:val="auto"/>
        </w:rPr>
      </w:pPr>
      <w:r>
        <w:rPr>
          <w:rFonts w:ascii="Times New Roman" w:cs="Times New Roman" w:eastAsia="Times New Roman" w:hAnsi="Times New Roman"/>
          <w:sz w:val="14"/>
          <w:szCs w:val="14"/>
          <w:color w:val="auto"/>
        </w:rPr>
        <w:t>Gentherm and Modine also agreed to (i) promptly, but in no event later than 25 business days after the date of the Merger Agreement, file (or cause to be filed) any and all required pre-merger notifications and report forms under the HSR Act with respect to the Merger and the other Transactions contemplated in the Merger Agreement, the Separation Agreement and the other Transaction Documents, (ii) as soon as reasonably practicable file (or cause to be filed) any and all filings or notifications under applicable foreign investment laws or antitrust laws, as set forth in the Gentherm Disclosure Letter.</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Modine and Gentherm have also agreed to request early termination of any applicable waiting periods under the antitrust laws and foreign investment laws and will respectively use their reasonable best efforts to cause the expiration or termination of such waiting periods, and will provide an appropriate response to any request for additional information or documents that may be requested pursuant to any applicable law or by any Governmental Authority as promptly as practicable. However, none of Gentherm, SpinCo nor Modine will commit to or agree with any Governmental Authority to (i) stay, toll or extend any applicable waiting period under the HSR Act, (ii) pull and refile or resubmit the notification and report forms pursuant to the HSR Act, (iii) not consummate the Merger or any other transactions contemplated therein or in the other Transaction Documents before an agreed-to date, or (iv) any timing agreement, in each case relating to the Merger and the other transactions contemplated by the other Transaction Documents, without the prior written consent of the other parties.</w:t>
      </w:r>
    </w:p>
    <w:p>
      <w:pPr>
        <w:spacing w:after="0" w:line="145" w:lineRule="exact"/>
        <w:rPr>
          <w:sz w:val="20"/>
          <w:szCs w:val="20"/>
          <w:color w:val="auto"/>
        </w:rPr>
      </w:pPr>
    </w:p>
    <w:p>
      <w:pPr>
        <w:ind w:left="1360" w:right="419" w:firstLine="343"/>
        <w:spacing w:after="0" w:line="258" w:lineRule="auto"/>
        <w:rPr>
          <w:sz w:val="20"/>
          <w:szCs w:val="20"/>
          <w:color w:val="auto"/>
        </w:rPr>
      </w:pPr>
      <w:r>
        <w:rPr>
          <w:rFonts w:ascii="Times New Roman" w:cs="Times New Roman" w:eastAsia="Times New Roman" w:hAnsi="Times New Roman"/>
          <w:sz w:val="14"/>
          <w:szCs w:val="14"/>
          <w:color w:val="auto"/>
        </w:rPr>
        <w:t>Gentherm’s obligations to use reasonable best efforts (as described above) to take or cause to be taken all actions necessary, proper or advisable under applicable laws to consummate and make effective the Merger and the other Transactions, includes, among other things, committing to and effecting, divestitures, hold separate arrangements, the termination, transfer or creation of contractual rights or obligations or relationships, the acceptance of restrictions on business operations and the entry into other commitments and limitations with respect to the Performance Technologies Business. However, Gentherm, Modine and SpinCo are not required to agree to any such actions that would result in a Burdensome Condition.</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Tax Matters</w:t>
      </w:r>
    </w:p>
    <w:p>
      <w:pPr>
        <w:spacing w:after="0" w:line="93" w:lineRule="exact"/>
        <w:rPr>
          <w:sz w:val="20"/>
          <w:szCs w:val="20"/>
          <w:color w:val="auto"/>
        </w:rPr>
      </w:pPr>
    </w:p>
    <w:p>
      <w:pPr>
        <w:ind w:left="1360" w:right="419" w:firstLine="343"/>
        <w:spacing w:after="0" w:line="257" w:lineRule="auto"/>
        <w:rPr>
          <w:sz w:val="20"/>
          <w:szCs w:val="20"/>
          <w:color w:val="auto"/>
        </w:rPr>
      </w:pPr>
      <w:r>
        <w:rPr>
          <w:rFonts w:ascii="Times New Roman" w:cs="Times New Roman" w:eastAsia="Times New Roman" w:hAnsi="Times New Roman"/>
          <w:sz w:val="14"/>
          <w:szCs w:val="14"/>
          <w:color w:val="auto"/>
        </w:rPr>
        <w:t>Pursuant to the Merger Agreement, each of Modine, SpinCo and Gentherm has agreed to certain cooperation covenants with respect to the IRS Ruling request, Modine Distribution Tax Opinion, Modine Merger Tax Opinion and Gentherm Merger Tax Opinion, including to cooperate and use reasonable best efforts to cause the delivery of the IRS Ruling request, Modine Distribution Tax Opinion, Modine Merger Tax Opinion and Gentherm Merger Tax Opinion. Modine is required to provide Gentherm with draft copies of the IRS pre-submission conference memorandum, the IRS Ruling request and each material IRS Submission in order to provide Gentherm the opportunity to review and comment on each such submission, and to consider in good faith any comments provided by Gentherm on such draft copies prior to filing or submission.</w:t>
      </w:r>
    </w:p>
    <w:p>
      <w:pPr>
        <w:spacing w:after="0" w:line="143" w:lineRule="exact"/>
        <w:rPr>
          <w:sz w:val="20"/>
          <w:szCs w:val="20"/>
          <w:color w:val="auto"/>
        </w:rPr>
      </w:pPr>
    </w:p>
    <w:p>
      <w:pPr>
        <w:ind w:left="1360" w:right="459" w:firstLine="343"/>
        <w:spacing w:after="0" w:line="261" w:lineRule="auto"/>
        <w:rPr>
          <w:sz w:val="20"/>
          <w:szCs w:val="20"/>
          <w:color w:val="auto"/>
        </w:rPr>
      </w:pPr>
      <w:r>
        <w:rPr>
          <w:rFonts w:ascii="Times New Roman" w:cs="Times New Roman" w:eastAsia="Times New Roman" w:hAnsi="Times New Roman"/>
          <w:sz w:val="14"/>
          <w:szCs w:val="14"/>
          <w:color w:val="auto"/>
        </w:rPr>
        <w:t>The Merger Agreement contains certain additional representations, warranties and covenants relating to the preservation of the intended tax treatment of the Separation, the Contribution, the Distribution and the Merger. Additional representations, warranties and covenants relating to the intended tax treatment of the Transactions are contained in the Tax Matters Agreement. Indemnification for taxes generally is governed by the terms, provisions and procedures described in the Tax Matters Agreement.</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38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Listing</w:t>
      </w:r>
    </w:p>
    <w:p>
      <w:pPr>
        <w:spacing w:after="0" w:line="9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Under the terms of the Merger Agreement, Gentherm is required to use its reasonable best efforts to cause the shares of Gentherm Common Stock to be issued pursuant to the Merger to be approved for listing (subject to official notice of issuance) on Nasdaq prior to the Effective Time.</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Management of the Combined Company</w:t>
      </w:r>
    </w:p>
    <w:p>
      <w:pPr>
        <w:spacing w:after="0" w:line="93"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Gentherm will cause the Gentherm Board to take all action necessary such that, effective as of the Effective Time, the Gentherm Board will consist of 11 individuals, including (a) two individuals selected by Modine after good-faith consultation with Gentherm that meet the requirements under the rules and regulations of Nasdaq to be considered an independent director of the Gentherm Board and (b) nine individuals from the Gentherm Board immediately prior to Closing.</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Name of the Combined Company and Headquarters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name of Gentherm and its headquarters will not be changed at the Effective Time as a result of the Merger or any of the other Transactions.</w:t>
      </w:r>
    </w:p>
    <w:p>
      <w:pPr>
        <w:spacing w:after="0" w:line="2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Financing</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The Merger Agreement provides that each of Gentherm and SpinCo will (and Modine will cause SpinCo to) use reasonable best efforts to obtain the financing contemplated by the Commitment Letter (other than any portion of such financing that is replaced with previously or concurrently funded permanent financing), subject to the right to obtain alternative financing under certain circumstances. The Merger Agreement also requires each of Modine, SpinCo and Gentherm to cooperate in the arrangement, marketing and consummation of SpinCo’s and Gentherm’s respective financing (or, if applicable, alternative financing), subject to the limitations set forth in the Merger Agreement.</w:t>
      </w:r>
    </w:p>
    <w:p>
      <w:pPr>
        <w:spacing w:after="0" w:line="144" w:lineRule="exact"/>
        <w:rPr>
          <w:sz w:val="20"/>
          <w:szCs w:val="20"/>
          <w:color w:val="auto"/>
        </w:rPr>
      </w:pPr>
    </w:p>
    <w:p>
      <w:pPr>
        <w:ind w:left="1360" w:right="339" w:firstLine="343"/>
        <w:spacing w:after="0" w:line="254" w:lineRule="auto"/>
        <w:rPr>
          <w:sz w:val="20"/>
          <w:szCs w:val="20"/>
          <w:color w:val="auto"/>
        </w:rPr>
      </w:pPr>
      <w:r>
        <w:rPr>
          <w:rFonts w:ascii="Times New Roman" w:cs="Times New Roman" w:eastAsia="Times New Roman" w:hAnsi="Times New Roman"/>
          <w:sz w:val="14"/>
          <w:szCs w:val="14"/>
          <w:color w:val="auto"/>
        </w:rPr>
        <w:t>If the Merger Agreement is terminated pursuant to its terms (other than a termination by Gentherm for certain breaches by Modine or SpinCo, in which case Modine shall be responsible for 100% of the Reimbursement Obligations), Gentherm will, and will cause its subsidiaries to, pay to Modine an amount of cash equal to 100% of the aggregate amount of the Reimbursement Obligations and the Audit Reimbursement Obligations (as defined in the Merger Agreement) and without duplication of the foregoing, Gentherm will, and will cause its subsidiaries to, indemnify and hold harmless Modine, its subsidiaries and its and their representatives from and against 100% of losses actually suffered or incurred by them in connection with obtaining the financings contemplated in the Merger Agreement, except any such losses to the extent suffered or incurred as a result of the bad faith, gross negligence, willful misconduct or material breach of the Merger Agreement and the Commitment Letter or any other agreement executed in connection with such financings by Modine, its subsidiaries or it and their representatives. In addition, if Modine delivers SpinCo audited financial statements for the fiscal years ended March 31, 2024 and 2025 by the dates set forth in the Merger Agreement, Gentherm shall pay Modine an amount of cash equal to 50% of the aggregate amount of the reasonable and documented out-of-pocket costs incurred by Modine and its subsidiaries in connection with the preparation of such audited financial statements, up to a cap of $4.0 million.</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Certain Other Covenants and Agreements</w:t>
      </w:r>
    </w:p>
    <w:p>
      <w:pPr>
        <w:spacing w:after="0" w:line="93"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The Merger Agreement contains certain other covenants and agreements, including covenants (with certain exceptions specified in the Merger Agreement) relating to:</w:t>
      </w:r>
    </w:p>
    <w:p>
      <w:pPr>
        <w:spacing w:after="0" w:line="51" w:lineRule="exact"/>
        <w:rPr>
          <w:sz w:val="20"/>
          <w:szCs w:val="20"/>
          <w:color w:val="auto"/>
        </w:rPr>
      </w:pPr>
    </w:p>
    <w:p>
      <w:pPr>
        <w:ind w:left="2120" w:hanging="345"/>
        <w:spacing w:after="0"/>
        <w:tabs>
          <w:tab w:leader="none" w:pos="21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advanced consultation requirements for press releases or public statements regarding the Merger Agreement or the Transactions;</w:t>
      </w:r>
    </w:p>
    <w:p>
      <w:pPr>
        <w:spacing w:after="0" w:line="122"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386"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79" w:hanging="345"/>
        <w:spacing w:after="0" w:line="267" w:lineRule="auto"/>
        <w:tabs>
          <w:tab w:leader="none" w:pos="21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steps required to cause any disposition of SpinCo Common Stock or acquisition of Gentherm Common Stock resulting from the Transactions by each individual who is subject to reporting requirements of Section 16(a) of the Exchange Act with respect to SpinCo or Gentherm to be exempt under Rule 16b-3 promulgated under the Exchange Act;</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brought against Modine, Gentherm and/or their respective boards of directors relating to the Transactions;</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satisfaction of all notification and consultation obligations in works council matters with respect to the Separation, the Distribution and the Merger;</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for the Performance Technologies Business that Modine will provide to Gentherm between the signing of the Merger Agreement and the Closing;</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certain information of Modine and its affiliates and Gentherm and its affiliates;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obligations with respect to former directors or officers of any member of the SpinCo Group.</w:t>
      </w:r>
    </w:p>
    <w:p>
      <w:pPr>
        <w:spacing w:after="0" w:line="2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Termination</w:t>
      </w:r>
    </w:p>
    <w:p>
      <w:pPr>
        <w:spacing w:after="0" w:line="93" w:lineRule="exact"/>
        <w:rPr>
          <w:sz w:val="20"/>
          <w:szCs w:val="20"/>
          <w:color w:val="auto"/>
        </w:rPr>
      </w:pPr>
    </w:p>
    <w:p>
      <w:pPr>
        <w:ind w:left="1360" w:right="279" w:firstLine="343"/>
        <w:spacing w:after="0" w:line="323" w:lineRule="auto"/>
        <w:rPr>
          <w:sz w:val="20"/>
          <w:szCs w:val="20"/>
          <w:color w:val="auto"/>
        </w:rPr>
      </w:pPr>
      <w:r>
        <w:rPr>
          <w:rFonts w:ascii="Times New Roman" w:cs="Times New Roman" w:eastAsia="Times New Roman" w:hAnsi="Times New Roman"/>
          <w:sz w:val="13"/>
          <w:szCs w:val="13"/>
          <w:color w:val="auto"/>
        </w:rPr>
        <w:t>The Merger Agreement may be terminated at any time prior to the Effective Time by the mutual written consent of Gentherm and Modine. Also, subject to specified qualifications and exceptions, Gentherm or Modine may terminate the Merger Agreement if, at any time prior to the Effective Time:</w:t>
      </w:r>
    </w:p>
    <w:p>
      <w:pPr>
        <w:spacing w:after="0" w:line="29" w:lineRule="exact"/>
        <w:rPr>
          <w:sz w:val="20"/>
          <w:szCs w:val="20"/>
          <w:color w:val="auto"/>
        </w:rPr>
      </w:pPr>
    </w:p>
    <w:p>
      <w:pPr>
        <w:ind w:left="2120" w:right="279" w:hanging="345"/>
        <w:spacing w:after="0" w:line="267" w:lineRule="auto"/>
        <w:tabs>
          <w:tab w:leader="none" w:pos="21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has not been consummated on or prior to the Outside Date, which date is subject to extension to June 30, 2027 in the event that conditions to Closing relating to outstanding regulatory approvals have not been received but all other conditions to Closing have been satisfied or waived, subject to the exceptions set forth in the Merger Agreement;</w:t>
      </w:r>
    </w:p>
    <w:p>
      <w:pPr>
        <w:spacing w:after="0" w:line="6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governmental order or other action permanently preventing or prohibiting the consummation of the Merger or the Separation becomes final and non-appealable;</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requisite Gentherm shareholders fail to approve the Gentherm Share Issuance Proposal and the Charter Amendment at the Special Meeting (including any adjournment or postponement thereof).</w:t>
      </w:r>
    </w:p>
    <w:p>
      <w:pPr>
        <w:spacing w:after="0" w:line="12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In addition, subject to specified qualifications and exceptions, Gentherm may terminate the Merger Agreement upon written notice if, at any time prior to the Effective Time:</w:t>
      </w:r>
    </w:p>
    <w:p>
      <w:pPr>
        <w:spacing w:after="0" w:line="51" w:lineRule="exact"/>
        <w:rPr>
          <w:sz w:val="20"/>
          <w:szCs w:val="20"/>
          <w:color w:val="auto"/>
        </w:rPr>
      </w:pPr>
    </w:p>
    <w:p>
      <w:pPr>
        <w:ind w:left="2120" w:right="279" w:hanging="345"/>
        <w:spacing w:after="0" w:line="261" w:lineRule="auto"/>
        <w:tabs>
          <w:tab w:leader="none" w:pos="21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any representation, warranty, covenant or agreement occurs on the part of Modine or SpinCo as of the date of signing or the Closing such that an applicable condition to closing would not be satisfied at the Closing and such breach is incapable of being cured prior to the Outside Date or, if curable, is not cured within the earlier of (i) 60 days after written notice thereof is given by Gentherm to Modine and (ii) the Outside Date.</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subject to specified qualifications and exceptions, Modine may terminate the Merger Agreement upon written notice if:</w:t>
      </w:r>
    </w:p>
    <w:p>
      <w:pPr>
        <w:spacing w:after="0" w:line="102" w:lineRule="exact"/>
        <w:rPr>
          <w:sz w:val="20"/>
          <w:szCs w:val="20"/>
          <w:color w:val="auto"/>
        </w:rPr>
      </w:pPr>
    </w:p>
    <w:p>
      <w:pPr>
        <w:ind w:left="2120" w:right="299" w:hanging="345"/>
        <w:spacing w:after="0" w:line="261" w:lineRule="auto"/>
        <w:tabs>
          <w:tab w:leader="none" w:pos="21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the Effective Time, a breach of any representation, warranty, covenant or agreement occurs on the part of Gentherm or Merger Sub as of the date of signing or the Closing such that an applicable condition to closing would not be satisfied at the Closing and such breach is incapable of being cured prior to the Outside Date or, if curable, is not cured within the earlier of (i) 60 days after written notice thereof is given by Modine to Gentherm and (ii) the Outside Date; or</w:t>
      </w:r>
    </w:p>
    <w:p>
      <w:pPr>
        <w:spacing w:after="0" w:line="67" w:lineRule="exact"/>
        <w:rPr>
          <w:rFonts w:ascii="Times New Roman" w:cs="Times New Roman" w:eastAsia="Times New Roman" w:hAnsi="Times New Roman"/>
          <w:sz w:val="14"/>
          <w:szCs w:val="14"/>
          <w:color w:val="auto"/>
        </w:rPr>
      </w:pPr>
    </w:p>
    <w:p>
      <w:pPr>
        <w:ind w:left="2120" w:right="939" w:hanging="345"/>
        <w:spacing w:after="0" w:line="283" w:lineRule="auto"/>
        <w:tabs>
          <w:tab w:leader="none" w:pos="21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obtaining the requisite approval of Gentherm shareholders of the Gentherm Share Issuance and the Charter Amendment Proposal, the Gentherm Board effects a Gentherm Adverse Recommendation Change.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0159"/>
          </w:cols>
          <w:pgMar w:left="300" w:top="386"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If the Merger Agreement is terminated, the Merger Agreement will become null and void and have no effect, without any liability on the part of any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such termination will not relieve any party from any liability from fraud or willful and material breach of any covenant, obligation or other provision contained in the Merger Agreement except as described below under “The Merger Agreement-Termination Fee Payable in Certain Circumstances.”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Termination Fee Payable in Certain Circumstances</w:t>
      </w:r>
    </w:p>
    <w:p>
      <w:pPr>
        <w:spacing w:after="0" w:line="93"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Merger Agreement provides that in the event of termination of the Merger Agreement prior to the Closing Date under certain circumstances described below, Gentherm may be required to pay a termination fee equal to $45.0 million to Modine. Modine is not required to pay a termination fee under the Merger Agreement.</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Gentherm has agreed to pay the Termination Fee to Modine in the following circumstances, subject to certain specified conditions:</w:t>
      </w:r>
    </w:p>
    <w:p>
      <w:pPr>
        <w:spacing w:after="0" w:line="102" w:lineRule="exact"/>
        <w:rPr>
          <w:sz w:val="20"/>
          <w:szCs w:val="20"/>
          <w:color w:val="auto"/>
        </w:rPr>
      </w:pPr>
    </w:p>
    <w:p>
      <w:pPr>
        <w:ind w:left="2120" w:hanging="345"/>
        <w:spacing w:after="0"/>
        <w:tabs>
          <w:tab w:leader="none" w:pos="21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Modine terminates the Merger Agreement following a Gentherm Adverse Recommendation Change; or</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55" w:lineRule="auto"/>
        <w:tabs>
          <w:tab w:leader="none" w:pos="21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Competing Proposal is publicly made (or otherwise communicated to the Gentherm Board) and, if made publicly, not publicly withdrawn at least five business days prior to certain specified events, (1) the Merger Agreement is terminated (A) if Gentherm shareholders do not approve the Gentherm Share Issuance and the Charter Amendment Proposal upon a vote duly taken at the Gentherm Special Meeting, (B) because Gentherm has committed an uncured or incurable breach of any representation, warranty, covenant or agreement in the Merger Agreement such that conditions to the closing of the Merger would not be satisfied or (C) because the Closing has not occurred prior to the Outside Date and (2) Gentherm consummates, or enters into a definitive agreement with respect to a Competing Proposal (substituting “50%” for each reference to “20%” in the definition of “Competing Proposal”) within twelve months of the termination of the Merger Agreement.</w:t>
      </w:r>
    </w:p>
    <w:p>
      <w:pPr>
        <w:spacing w:after="0" w:line="145"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In no event will Gentherm be required to pay the Termination Fee more than once. The Termination Fee will be the sole and exclusive remedy of Modine and SpinCo against Gentherm, Merger Sub and their respective subsidiaries in circumstances where such Termination Fee is payable.</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Governing Law</w:t>
      </w:r>
    </w:p>
    <w:p>
      <w:pPr>
        <w:spacing w:after="0" w:line="9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parties to the Merger Agreement have agreed that the Merger Agreement, and all claims, disputes, controversies or causes of action (whether in contract, tort, equity or otherwise) that may be based upon, arise out of or relate to the Merger Agreement (including any schedule or exhibit thereto) or the negotiation, execution or performance of the Merger Agreement (including any claim, dispute, controversy or cause of action related to any representation or warranty made in or in connection with the Merger Agreement) will be governed by and construed in accordance with the laws of the State of Delaware, without regard to any choice or conflict of law provision or rule that would cause the application of the laws of any jurisdiction other than the State of Delaware.</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Forum</w:t>
      </w:r>
    </w:p>
    <w:p>
      <w:pPr>
        <w:spacing w:after="0" w:line="93"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parties to the Merger Agreement have agreed that any action related to the Merger Agreement will be brought exclusively in the Court of Chancery of the State of Delaware or if under applicable law, exclusive jurisdiction over such matter is vested in the federal courts, any federal court in the State of Delaware and any appellate court from any thereof.</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Specific Performance</w:t>
      </w:r>
    </w:p>
    <w:p>
      <w:pPr>
        <w:spacing w:after="0" w:line="93"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parties to the Merger Agreement have agreed that the parties to the Merger Agreement are entitled to specific performance and injunctive or other equitable relief to prevent breaches of the Merger Agreement and to enforce specifically the terms and provisions of the Merger Agreement without posting any bond.</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0159"/>
          </w:cols>
          <w:pgMar w:left="300" w:top="386"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The Separation Agreement</w:t>
      </w:r>
    </w:p>
    <w:p>
      <w:pPr>
        <w:spacing w:after="0" w:line="9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following is a summary of the material provisions of the Separation Agreement. This summary does not purport to be complete and is subject to, and is qualified in its entirety by the Separation Agreement, which is attached to this proxy statement/prospectus as Annex B and is incorporated by reference herein. Gentherm shareholders and Modine shareholders are urged to read the Separation Agreement in its entirety. This summary of the Separation Agreement has been included to provide Gentherm shareholders and Modine shareholders with information regarding its terms. The rights and obligations of the parties are governed by the express terms and conditions of the Separation Agreement and not by this summary or any other information included in this proxy statement/prospectus.</w:t>
      </w:r>
    </w:p>
    <w:p>
      <w:pPr>
        <w:spacing w:after="0" w:line="14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Descriptions regarding the assets and liabilities conveyed to (and assumed by) SpinCo and retained by Modine contained in the Separation Agreement are qualified by certain information that has been exchanged separately between Modine and Gentherm and that is not expressly enumerated in the Separation Agreement. Accordingly, Gentherm shareholders and Modine shareholders should not rely on the general descriptions of assets and liabilities in the Separation Agreement, as they may have been modified in important ways by the information exchanged separately between Modine and Gentherm. For the avoidance of doubt, the Separation Agreement does not contain any representations or warranties other than representations by each of Modine, SpinCo and Gentherm regarding their requisite power and authority to enter into and perform the Transaction Documents and the validity and enforceability of the Transaction Documents entered into by such party.</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9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The Separation Agreement provides for the separation of the Performance Technologies Business from Modine. Among other things, the Separation Agreement specifies which assets of Modine related to the Performance Technologies Business are to be transferred to, and which liabilities of Modine related to the Performance Technologies Business are to be assumed by, SpinCo and its subsidiaries, and sets forth when and how these transfers and assumptions will occur. The Separation Agreement also includes procedures by which Modine and SpinCo will become separate and independent companies (subject only to the Transition Services Agreement and the Technical Services Agreement). The matters addressed by the Separation Agreement include the matters described below.</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Transfer of Assets and Assumption of Liabilities</w:t>
      </w:r>
    </w:p>
    <w:p>
      <w:pPr>
        <w:spacing w:after="0" w:line="93"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Separation Agreement identifies assets to be transferred (including contracts to be assigned) and liabilities to be assumed by each of Modine and SpinCo as part of the separation of the Performance Technologies Business into an independent company, and it provides for when and how these transfers, assumptions and assignments will occur.</w:t>
      </w:r>
    </w:p>
    <w:p>
      <w:pPr>
        <w:spacing w:after="0" w:line="136"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In particular, the Separation Agreement provides that Modine and its subsidiaries will transfer each of their respective right, title and interest in the following assets (the “SpinCo Assets”) to SpinCo:</w:t>
      </w:r>
    </w:p>
    <w:p>
      <w:pPr>
        <w:spacing w:after="0" w:line="51" w:lineRule="exact"/>
        <w:rPr>
          <w:sz w:val="20"/>
          <w:szCs w:val="20"/>
          <w:color w:val="auto"/>
        </w:rPr>
      </w:pPr>
    </w:p>
    <w:p>
      <w:pPr>
        <w:ind w:left="2120" w:right="259" w:hanging="345"/>
        <w:spacing w:after="0" w:line="267" w:lineRule="auto"/>
        <w:tabs>
          <w:tab w:leader="none" w:pos="21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issued and outstanding capital stock or other equity interests of the existing Modine entities to be transferred to SpinCo and other equity investments or other securities in joint ventures, minority investments, partnerships or similar persons owned by SpinCo or any other members of the SpinCo Group as of the Distribution Time primarily related to the Performance Technologies Business;</w:t>
      </w:r>
    </w:p>
    <w:p>
      <w:pPr>
        <w:spacing w:after="0" w:line="61" w:lineRule="exact"/>
        <w:rPr>
          <w:rFonts w:ascii="Times New Roman" w:cs="Times New Roman" w:eastAsia="Times New Roman" w:hAnsi="Times New Roman"/>
          <w:sz w:val="14"/>
          <w:szCs w:val="14"/>
          <w:color w:val="auto"/>
        </w:rPr>
      </w:pPr>
    </w:p>
    <w:p>
      <w:pPr>
        <w:jc w:val="both"/>
        <w:ind w:left="2120" w:right="299" w:hanging="345"/>
        <w:spacing w:after="0" w:line="261" w:lineRule="auto"/>
        <w:tabs>
          <w:tab w:leader="none" w:pos="21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cash, cash equivalents or marketable securities paid to SpinCo by Modine in respect of the Cash Transfer, if any,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(ii) SpinCo Cash (as defined in the Separation Agreement)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(iii) restricted cash of any member of the SpinCo Group as of 11:59 p.m. on the day prior to the Distribution Date (the “Cut-off Time”) held in escrow or as collateral or subject to any legal restriction on the ability to freely transfer or use such cash for any lawful purpose, subject to specified limits set forth in the Separation Agreement;</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386"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359" w:hanging="345"/>
        <w:spacing w:after="0" w:line="283"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assets that are expressly provided by the Separation Agreement, the Merger Agreement or any of the other Transaction Documents (or the schedules thereto) as assets to be transferred to SpinCo or any other member of the SpinCo Group;</w:t>
      </w:r>
    </w:p>
    <w:p>
      <w:pPr>
        <w:spacing w:after="0" w:line="51" w:lineRule="exact"/>
        <w:rPr>
          <w:rFonts w:ascii="Times New Roman" w:cs="Times New Roman" w:eastAsia="Times New Roman" w:hAnsi="Times New Roman"/>
          <w:sz w:val="14"/>
          <w:szCs w:val="14"/>
          <w:color w:val="auto"/>
        </w:rPr>
      </w:pPr>
    </w:p>
    <w:p>
      <w:pPr>
        <w:ind w:left="2120" w:right="419" w:hanging="345"/>
        <w:spacing w:after="0" w:line="267"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SpinCo owned real property, SpinCo owned real property leases and SpinCo transferred leased property leases, together with any tangible personal property or inventory located at such properties and any prepaid rent, security deposits and related options to renew or purchase, and all related interests, including easements;</w:t>
      </w:r>
    </w:p>
    <w:p>
      <w:pPr>
        <w:spacing w:after="0" w:line="6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inventory of either Modine or SpinCo or any member of the Modine Group or SpinCo Group as of the Distribution Time to the extent primarily related to, primarily used in or primarily held for use for the Performance Technologies Business;</w:t>
      </w:r>
    </w:p>
    <w:p>
      <w:pPr>
        <w:spacing w:after="0" w:line="51" w:lineRule="exact"/>
        <w:rPr>
          <w:rFonts w:ascii="Times New Roman" w:cs="Times New Roman" w:eastAsia="Times New Roman" w:hAnsi="Times New Roman"/>
          <w:sz w:val="14"/>
          <w:szCs w:val="14"/>
          <w:color w:val="auto"/>
        </w:rPr>
      </w:pPr>
    </w:p>
    <w:p>
      <w:pPr>
        <w:ind w:left="2120" w:right="679" w:hanging="345"/>
        <w:spacing w:after="0" w:line="283"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contracts of the Performance Technologies Business as of the Distribution Time and all rights, interests or claims of either Modine or SpinCo or any of the members of the Modine Group or the SpinCo Group thereunder as of the Distribution Time;</w:t>
      </w:r>
    </w:p>
    <w:p>
      <w:pPr>
        <w:spacing w:after="0" w:line="51" w:lineRule="exact"/>
        <w:rPr>
          <w:rFonts w:ascii="Times New Roman" w:cs="Times New Roman" w:eastAsia="Times New Roman" w:hAnsi="Times New Roman"/>
          <w:sz w:val="14"/>
          <w:szCs w:val="14"/>
          <w:color w:val="auto"/>
        </w:rPr>
      </w:pPr>
    </w:p>
    <w:p>
      <w:pPr>
        <w:ind w:left="2120" w:right="399" w:hanging="345"/>
        <w:spacing w:after="0" w:line="267"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intellectual property owned by either Modine or SpinCo or any of the members of the Modine Group or the SpinCo Group as of the Distribution Time that are primarily used or primarily held for use by the Performance Technologies Business, including trademarks and internet properties containing the “Modine” trademark (collectively, “SpinCo Intellectual Property”);</w:t>
      </w:r>
    </w:p>
    <w:p>
      <w:pPr>
        <w:spacing w:after="0" w:line="61" w:lineRule="exact"/>
        <w:rPr>
          <w:rFonts w:ascii="Times New Roman" w:cs="Times New Roman" w:eastAsia="Times New Roman" w:hAnsi="Times New Roman"/>
          <w:sz w:val="14"/>
          <w:szCs w:val="14"/>
          <w:color w:val="auto"/>
        </w:rPr>
      </w:pPr>
    </w:p>
    <w:p>
      <w:pPr>
        <w:ind w:left="2120" w:right="479" w:hanging="345"/>
        <w:spacing w:after="0" w:line="258"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technology equipment used or held for use by Modine or SpinCo or any of the members of the Modine Group or the SpinCo Group that is (i) located, installed or contained in or on the SpinCo-owned real property or SpinCo-transferred leased property, except to the extent such information technology equipment is exclusively used or exclusively held for use by the Modine Business or (ii) exclusively used or exclusively held for use by the Performance Technologies Business; as of the Distribution Date (“SpinCo Information Technology”);</w:t>
      </w:r>
    </w:p>
    <w:p>
      <w:pPr>
        <w:spacing w:after="0" w:line="70"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SpinCo permits as of the Distribution Time and all rights, interests or claims of either Modine or SpinCo or any of the members of the Modine Group or SpinCo Group thereunder (the “SpinCo Permits”);</w:t>
      </w:r>
    </w:p>
    <w:p>
      <w:pPr>
        <w:spacing w:after="0" w:line="5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copies of any and all SpinCo books and records in the possession of either Modine or SpinCo as of immediately prior to the Distribution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Modine will be permitted to retain and use copies of certain such books and records;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tangible personal property primarily used for the Performance Technologies Business, subject to certain exceptions;</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claims, warranties, guarantees, refunds, actions, defenses, rights of recovery, rights of set-off or counterclaim and rights of recoupment of every kind and nature against third parties and to the extent arising out of the SpinCo Assets or SpinCo Liabilities;</w:t>
      </w:r>
    </w:p>
    <w:p>
      <w:pPr>
        <w:spacing w:after="0" w:line="51" w:lineRule="exact"/>
        <w:rPr>
          <w:rFonts w:ascii="Times New Roman" w:cs="Times New Roman" w:eastAsia="Times New Roman" w:hAnsi="Times New Roman"/>
          <w:sz w:val="14"/>
          <w:szCs w:val="14"/>
          <w:color w:val="auto"/>
        </w:rPr>
      </w:pPr>
    </w:p>
    <w:p>
      <w:pPr>
        <w:ind w:left="2120" w:right="259" w:hanging="345"/>
        <w:spacing w:after="0" w:line="258"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conditions and net of certain amounts, all proceeds of third-party insurance policies received (to the extent such proceeds are pending as of the date of the Merger Agreement or otherwise received after such date) or receivable by Modine or any member of the SpinCo Group and monies received from third parties (to the extent such monies are pending as of the date of the Separation Agreement or otherwise received after such date) in the nature of contribution or indemnification, in each case, as a result of any damage, destruction or other casualty loss in respect of any SpinCo Asset, net of certain amounts (“Excluded Cash”);</w:t>
      </w:r>
    </w:p>
    <w:p>
      <w:pPr>
        <w:spacing w:after="0" w:line="70"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that accrue or will accrue to SpinCo or any member of the SpinCo Group pursuant to the Separation Agreement, the Merger Agreement or any other Transaction Document;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assets included in the Final Net Working Capital; and</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assets of either Modine or SpinCo or any member of the Modine Group or SpinCo Group as of the Distribution Time that are primarily related to or are primarily used in or primarily held for use for the Performance Technologies Business (other than those that are of a type described above).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386"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All of the assets other than the assets allocated to SpinCo will generally be retained by, or transferred to, Modine. The Separation Agreement identifies the Modine Assets, including, subject to certain exceptions:</w:t>
      </w:r>
    </w:p>
    <w:p>
      <w:pPr>
        <w:spacing w:after="0" w:line="51" w:lineRule="exact"/>
        <w:rPr>
          <w:sz w:val="20"/>
          <w:szCs w:val="20"/>
          <w:color w:val="auto"/>
        </w:rPr>
      </w:pPr>
    </w:p>
    <w:p>
      <w:pPr>
        <w:ind w:left="2120" w:right="279" w:hanging="345"/>
        <w:spacing w:after="0" w:line="267" w:lineRule="auto"/>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assets of either Modine or SpinCo or any of the members of the Modine Group or SpinCo Group as of the Distribution Time that are contemplated by the Separation Agreement, the Merger Agreement or any other Transaction Document (or the schedules thereto) as assets to be retained by Modine or any other member of the Modine Group;</w:t>
      </w:r>
    </w:p>
    <w:p>
      <w:pPr>
        <w:spacing w:after="0" w:line="6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inventory of either Modine or SpinCo or any of the members of the Modine Group or the SpinCo Group other than inventory that is a SpinCo Asset;</w:t>
      </w:r>
    </w:p>
    <w:p>
      <w:pPr>
        <w:spacing w:after="0" w:line="51" w:lineRule="exact"/>
        <w:rPr>
          <w:rFonts w:ascii="Times New Roman" w:cs="Times New Roman" w:eastAsia="Times New Roman" w:hAnsi="Times New Roman"/>
          <w:sz w:val="14"/>
          <w:szCs w:val="14"/>
          <w:color w:val="auto"/>
        </w:rPr>
      </w:pPr>
    </w:p>
    <w:p>
      <w:pPr>
        <w:ind w:left="2120" w:right="299" w:hanging="345"/>
        <w:spacing w:after="0" w:line="261" w:lineRule="auto"/>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real property, whether owned, leased, subleased, licensed, or otherwise occupied by either Modine or SpinCo or any of the members of the Modine Group or the SpinCo Group as of the Distribution Time other than the SpinCo owned real property, SpinCo owned real property leases and SpinCo transferred leased property leases, and tangible personal property located thereon, (other than any tangible personal property that is a SpinCo Asset) and any prepaid rent, security deposits or options to renew or purchase related thereto;</w:t>
      </w:r>
    </w:p>
    <w:p>
      <w:pPr>
        <w:spacing w:after="0" w:line="67" w:lineRule="exact"/>
        <w:rPr>
          <w:rFonts w:ascii="Times New Roman" w:cs="Times New Roman" w:eastAsia="Times New Roman" w:hAnsi="Times New Roman"/>
          <w:sz w:val="14"/>
          <w:szCs w:val="14"/>
          <w:color w:val="auto"/>
        </w:rPr>
      </w:pPr>
    </w:p>
    <w:p>
      <w:pPr>
        <w:ind w:left="2120" w:right="399" w:hanging="345"/>
        <w:spacing w:after="0" w:line="267" w:lineRule="auto"/>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contracts of either Modine or SpinCo or any of the members of the Modine Group or the SpinCo Group as of the Distribution Time, other than specified contracts of the Performance Technologies Business (including the portion of any shared contracts that are specified contracts of the Performance Technologies Business);</w:t>
      </w:r>
    </w:p>
    <w:p>
      <w:pPr>
        <w:spacing w:after="0" w:line="6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intellectual property owned by either Modine or SpinCo or any of the members of the Modine Group or the SpinCo Group, other than the SpinCo Intellectual Property;</w:t>
      </w:r>
    </w:p>
    <w:p>
      <w:pPr>
        <w:spacing w:after="0" w:line="5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technology owned or used by either Modine or SpinCo or any member of the Modine Group or the SpinCo Group as of immediately prior to the Distribution Time (other than SpinCo Information Technology);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permits of either Modine or SpinCo or any of the members of the Modine Group or SpinCo Group other than the SpinCo Permits;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Modine’s books and records;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67" w:lineRule="auto"/>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cash equivalents and marketable securities of either Modine or SpinCo or any of the members of its Group as of the Distribution Time, other than any cash that is a SpinCo Asset and any Excluded Cash received by any member of the Modine Group or any member of the SpinCo Group prior to the Cut-Off Time;</w:t>
      </w:r>
    </w:p>
    <w:p>
      <w:pPr>
        <w:spacing w:after="0" w:line="61" w:lineRule="exact"/>
        <w:rPr>
          <w:rFonts w:ascii="Times New Roman" w:cs="Times New Roman" w:eastAsia="Times New Roman" w:hAnsi="Times New Roman"/>
          <w:sz w:val="14"/>
          <w:szCs w:val="14"/>
          <w:color w:val="auto"/>
        </w:rPr>
      </w:pPr>
    </w:p>
    <w:p>
      <w:pPr>
        <w:ind w:left="2120" w:right="359" w:hanging="345"/>
        <w:spacing w:after="0" w:line="296" w:lineRule="auto"/>
        <w:tabs>
          <w:tab w:leader="none" w:pos="2120"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attorney-client privilege and attorney-work-product protection of Modine or any member of its Group as a result of legal counsel representing them in connection with the Transactions and documents subject to such attorney-client privilege and work-product protection, and all documents maintained by Modine, the Modine Group or their representatives in connection with the Transactions; and</w:t>
      </w:r>
    </w:p>
    <w:p>
      <w:pPr>
        <w:spacing w:after="0" w:line="46" w:lineRule="exact"/>
        <w:rPr>
          <w:rFonts w:ascii="Times New Roman" w:cs="Times New Roman" w:eastAsia="Times New Roman" w:hAnsi="Times New Roman"/>
          <w:sz w:val="13"/>
          <w:szCs w:val="13"/>
          <w:color w:val="auto"/>
        </w:rPr>
      </w:pPr>
    </w:p>
    <w:p>
      <w:pPr>
        <w:ind w:left="2120" w:right="539" w:hanging="345"/>
        <w:spacing w:after="0" w:line="283" w:lineRule="auto"/>
        <w:tabs>
          <w:tab w:leader="none" w:pos="21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that accrue or will accrue to Modine or any member of the Modine Group pursuant to the Separation Agreement, the Merger Agreement or any other Transaction Document.</w:t>
      </w:r>
    </w:p>
    <w:p>
      <w:pPr>
        <w:spacing w:after="0" w:line="125" w:lineRule="exact"/>
        <w:rPr>
          <w:sz w:val="20"/>
          <w:szCs w:val="20"/>
          <w:color w:val="auto"/>
        </w:rPr>
      </w:pPr>
    </w:p>
    <w:p>
      <w:pPr>
        <w:ind w:left="1360" w:right="679" w:firstLine="343"/>
        <w:spacing w:after="0" w:line="267" w:lineRule="auto"/>
        <w:rPr>
          <w:sz w:val="20"/>
          <w:szCs w:val="20"/>
          <w:color w:val="auto"/>
        </w:rPr>
      </w:pPr>
      <w:r>
        <w:rPr>
          <w:rFonts w:ascii="Times New Roman" w:cs="Times New Roman" w:eastAsia="Times New Roman" w:hAnsi="Times New Roman"/>
          <w:sz w:val="14"/>
          <w:szCs w:val="14"/>
          <w:color w:val="auto"/>
        </w:rPr>
        <w:t>The Separation Agreement provides that liabilities related to the Performance Technologies Business or the assets allocated to SpinCo will generally be retained by or transferred to SpinCo, including, except to the extent constituting liabilities to be retained by Modine (the “SpinCo Liabilities”), the following, subject to certain exceptions:</w:t>
      </w:r>
    </w:p>
    <w:p>
      <w:pPr>
        <w:spacing w:after="0" w:line="62" w:lineRule="exact"/>
        <w:rPr>
          <w:sz w:val="20"/>
          <w:szCs w:val="20"/>
          <w:color w:val="auto"/>
        </w:rPr>
      </w:pPr>
    </w:p>
    <w:p>
      <w:pPr>
        <w:ind w:left="2120" w:right="259" w:hanging="345"/>
        <w:spacing w:after="0" w:line="283" w:lineRule="auto"/>
        <w:tabs>
          <w:tab w:leader="none" w:pos="21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including any environmental liabilities, to the extent relating to (i) the Performance Technologies Business or (ii) any SpinCo Asset;</w:t>
      </w:r>
    </w:p>
    <w:p>
      <w:pPr>
        <w:spacing w:after="0" w:line="5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of either Modine or SpinCo or any of the members of the Modine Group or the SpinCo Group to the extent expressly provided by the Separation Agreement, the Merger Agreement or any of</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159"/>
          </w:cols>
          <w:pgMar w:left="300" w:top="386"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39"/>
        <w:spacing w:after="0" w:line="267" w:lineRule="auto"/>
        <w:rPr>
          <w:sz w:val="20"/>
          <w:szCs w:val="20"/>
          <w:color w:val="auto"/>
        </w:rPr>
      </w:pPr>
      <w:r>
        <w:rPr>
          <w:rFonts w:ascii="Times New Roman" w:cs="Times New Roman" w:eastAsia="Times New Roman" w:hAnsi="Times New Roman"/>
          <w:sz w:val="14"/>
          <w:szCs w:val="14"/>
          <w:color w:val="auto"/>
        </w:rPr>
        <w:t>the other Transaction Documents (or the schedules thereto) as liabilities that are to be assumed by SpinCo or any other member of the SpinCo Group, and all agreements, obligations and liabilities of any member of the SpinCo Group under the Separation Agreement, the Merger Agreement or any other Transaction Document;</w:t>
      </w:r>
    </w:p>
    <w:p>
      <w:pPr>
        <w:spacing w:after="0" w:line="62" w:lineRule="exact"/>
        <w:rPr>
          <w:sz w:val="20"/>
          <w:szCs w:val="20"/>
          <w:color w:val="auto"/>
        </w:rPr>
      </w:pPr>
    </w:p>
    <w:p>
      <w:pPr>
        <w:ind w:left="2120" w:right="459" w:hanging="345"/>
        <w:spacing w:after="0" w:line="283" w:lineRule="auto"/>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relating to the specified contracts of the Performance Technologies Business, the SpinCo Intellectual Property, the SpinCo Information Technology or SpinCo Permits;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relating to, arising out of or resulting from the Bridge Financing and/or the Permanent SpinCo Financing;</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relating to, arising out of or resulting from any financing or refinancing in connection with the Distribution;</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resulting from information regarding SpinCo, Gentherm or their respective businesses and operations contained in any of the Disclosure Documents (as defined in the Separation Agreement), other than information relating to the Performance Technologies Business;</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expressly included in the Final Net Working Capital;</w:t>
      </w:r>
    </w:p>
    <w:p>
      <w:pPr>
        <w:spacing w:after="0" w:line="101" w:lineRule="exact"/>
        <w:rPr>
          <w:rFonts w:ascii="Times New Roman" w:cs="Times New Roman" w:eastAsia="Times New Roman" w:hAnsi="Times New Roman"/>
          <w:sz w:val="14"/>
          <w:szCs w:val="14"/>
          <w:color w:val="auto"/>
        </w:rPr>
      </w:pPr>
    </w:p>
    <w:p>
      <w:pPr>
        <w:jc w:val="both"/>
        <w:ind w:left="2120" w:right="579" w:hanging="345"/>
        <w:spacing w:after="0" w:line="267" w:lineRule="auto"/>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fifty percent (50%) of the out-of-pocket cost of the premium or premiums actually incurred by any member of Modine or the SpinCo Group with respect to obtaining the prepaid directors’ and officers’ liability insurance policy or policies contemplated by the Merger Agreement and (b) all unpaid reimbursement obligations owed by Gentherm to Modine as of the Closing;</w:t>
      </w:r>
    </w:p>
    <w:p>
      <w:pPr>
        <w:spacing w:after="0" w:line="6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arising out of claims made by any third party against any member of the Modine Group or the SpinCo Group relating to the Performance Technologies Business or any SpinCo Asset;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certain restrictions, any liabilities relating to the operation of the Performance Technologies Business after the Distribution Time;</w:t>
      </w:r>
    </w:p>
    <w:p>
      <w:pPr>
        <w:spacing w:after="0" w:line="113"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related to the SpinCo portion of any Shared Contract (as defined below);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scheduled liabilities.</w:t>
      </w:r>
    </w:p>
    <w:p>
      <w:pPr>
        <w:spacing w:after="0" w:line="175"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All of the liabilities other than the liabilities allocated to SpinCo will generally be retained by or transferred to Modine. The Separation Agreement identifies specific liabilities that will not be allocated to SpinCo (the “Modine Liabilities”), including:</w:t>
      </w:r>
    </w:p>
    <w:p>
      <w:pPr>
        <w:spacing w:after="0" w:line="51" w:lineRule="exact"/>
        <w:rPr>
          <w:sz w:val="20"/>
          <w:szCs w:val="20"/>
          <w:color w:val="auto"/>
        </w:rPr>
      </w:pPr>
    </w:p>
    <w:p>
      <w:pPr>
        <w:ind w:left="2120" w:right="399" w:hanging="345"/>
        <w:spacing w:after="0" w:line="283" w:lineRule="auto"/>
        <w:tabs>
          <w:tab w:leader="none" w:pos="21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of either Modine or SpinCo or any member of the Modine Group or the SpinCo Group, in each case, to the extent that such liabilities are not SpinCo Liabilities;</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arising out of claims made by any third party against any member of the Modine Group or the SpinCo Group to the extent relating to the Modine Business or Modine Assets;</w:t>
      </w:r>
    </w:p>
    <w:p>
      <w:pPr>
        <w:spacing w:after="0" w:line="5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restrictions, any liabilities to the extent relating to the operation of any business conducted by or on behalf of any member of the Modine Group after the Distribution Time;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related to the Modine portion of any Shared Contract;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scheduled liabilities.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Consents and Delayed Transfers</w:t>
      </w:r>
    </w:p>
    <w:p>
      <w:pPr>
        <w:spacing w:after="0" w:line="93" w:lineRule="exact"/>
        <w:rPr>
          <w:sz w:val="20"/>
          <w:szCs w:val="20"/>
          <w:color w:val="auto"/>
        </w:rPr>
      </w:pPr>
    </w:p>
    <w:p>
      <w:pPr>
        <w:ind w:left="1360" w:right="439" w:firstLine="343"/>
        <w:spacing w:after="0" w:line="258" w:lineRule="auto"/>
        <w:rPr>
          <w:sz w:val="20"/>
          <w:szCs w:val="20"/>
          <w:color w:val="auto"/>
        </w:rPr>
      </w:pPr>
      <w:r>
        <w:rPr>
          <w:rFonts w:ascii="Times New Roman" w:cs="Times New Roman" w:eastAsia="Times New Roman" w:hAnsi="Times New Roman"/>
          <w:sz w:val="14"/>
          <w:szCs w:val="14"/>
          <w:color w:val="auto"/>
        </w:rPr>
        <w:t>The Separation Agreement provides that the parties will use their commercially reasonable efforts to seek and obtain any approvals, consents, ratifications, permissions, waivers or authorizations with applicable regulatory requirements (including governmental authorizations) required for the transfer or assignment of any assets or the assumption of any liabilities under the Separation Agreement, and Modine and Gentherm shall pay eighty percent (80%) and twenty percent (20%), respectively, of any reasonable and documented out-of-pocket costs and expenses incurred by Modine or SpinCo or any member of their Groups in connection with such efforts).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0159"/>
          </w:cols>
          <w:pgMar w:left="300" w:top="386"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The transfer or assignment of assets or the assumption of liabilities, as the case may be, will be automatically deemed deferred and any such purported transfer, assignment or assumption will be null and void until such time as all legal impediments are removed or such approval or notification has been obtained or made if and to the extent that the valid, complete and perfected transfer or assignment of such assets would be a violation of applicable law or require any approvals or notifications that have not been made or obtained at or prior to the Distribution Time. The party retaining such asset will hold such asset in trust for the use and benefit of the other (at the expense of the member of the SpinCo Group or the Modine Group, as applicable, entitled thereto) until properly conveyed. From and after the Distribution Time, all the benefits and burdens relating to such asset or liability, including use, risk of loss, potential for gain, and dominion, control and all related costs and expenses, will inure to the SpinCo Group or the Modine Group, as applicable. Except as required by applicable law (including pursuant to a “determination” within the meaning of Section 1313(a) of the Code or similar provision of state, local or foreign law), each of Modine and SpinCo will, and will cause the members of the Modine Group or the SpinCo Group, as applicable, to, (i) treat such asset for all tax purposes as owned by the party entitled to such asset and any liability as a liability of the party intended to be responsible for such liability and (ii) neither report nor take any tax position (on a tax return or otherwise) inconsistent with such treatment.</w:t>
      </w:r>
    </w:p>
    <w:p>
      <w:pPr>
        <w:spacing w:after="0" w:line="2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Shared Contracts</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Subject to applicable law, unless the parties otherwise agree or the benefits of the relevant contracts are expressly conveyed to the applicable party (other than pursuant to the Transition Services Agreement), any contract, a portion of which is a SpinCo Contract, but the remainder of which is a Modine Asset (such contracts, the “Shared Contracts”), will be assigned in relevant part to the applicable member(s) of the Modine Group or the SpinCo Group, as applicable, if so assignable, or appropriately amended so that each applicable member of the Modine Group or SpinCo Group will be entitled to the rights and benefits, and will assume the related portion of any liabilities, inuring to the Modine Business or the Performance Technologies Business, as applicable. In no event will Modine or SpinCo be required to assign or amend any Shared Contract that is not assignable or that cannot be amended without consent of the counterparty. For any Shared Contract that cannot be so assigned or amended, the party that is a party to such Shared Contract will take commercially reasonable and permissible actions to cause the other party to receive the rights and benefits of that portion of the Shared Contract that relates to the Modine Business or the Performance Technologies Business, as applicable, as if such Shared Contract had been assigned or amended, and to bear the burden of the corresponding liabilities as if such liabilities had been assumed. Each of Modine and SpinCo will use its commercially reasonable efforts to complete the assignment or amendment of all Shared Contracts described above.</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Financing</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See the section entitled “The Transaction Agreements-Debt Financing.”</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Contribution</w:t>
      </w:r>
    </w:p>
    <w:p>
      <w:pPr>
        <w:spacing w:after="0" w:line="9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As part of the Separation and prior to the Distribution, Modine will contribute the SpinCo Assets the Cash Transfer (if the Cash Transfer Amount is a negative number) to SpinCo in exchange for (a) the assumption of the SpinCo Liabilities by SpinCo, (b) the actual or deemed issuance by SpinCo to Modine of shares of SpinCo Common Stock, (c) the payment by SpinCo to Modine of the SpinCo Cash Distribution and (d) the payment by SpinCo to Modine of the Cash Transfer Amount (if the Cash Transfer Amount is a positive number).</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0159"/>
          </w:cols>
          <w:pgMar w:left="300" w:top="386"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The Distribution</w:t>
      </w:r>
    </w:p>
    <w:p>
      <w:pPr>
        <w:spacing w:after="0" w:line="93"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In the Distribution, Modine will distribute all of the outstanding shares of SpinCo Common Stock to Modine’s shareholders, without consideration on a pro rata basis on the Distribution Date.</w:t>
      </w:r>
    </w:p>
    <w:p>
      <w:pPr>
        <w:spacing w:after="0" w:line="125"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The Modine Board, in accordance with applicable law, will establish the Distribution Record Date and the Distribution Date, and Modine will establish appropriate procedures in connection with, and to effectuate in accordance with applicable law, the Distribution. All shares of SpinCo Common Stock held by Modine on the Distribution Date will be distributed to the holders of record of Modine Common Stock in the manner determined by Modine and in accordance with the distribution formula set forth below. Each holder of Modine Common Stock on the Distribution Record Date will be entitled to receive for all shares of Modine Common Stock held by such holder as of the Distribution Record Date a number of shares of SpinCo Common Stock equal to (i) the total number of shares of SpinCo Common Stock held by Modine on the Distribution Date,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a fraction, the numerator of which is the number of shares of Modine Common Stock held by such record holder on the Distribution Record Date and the denominator of which is the total number of shares of Modine Common Stock outstanding on the record date (excluding treasury shares held by any member of the Modine Group).</w:t>
      </w:r>
    </w:p>
    <w:p>
      <w:pPr>
        <w:spacing w:after="0" w:line="149" w:lineRule="exact"/>
        <w:rPr>
          <w:sz w:val="20"/>
          <w:szCs w:val="20"/>
          <w:color w:val="auto"/>
        </w:rPr>
      </w:pPr>
    </w:p>
    <w:p>
      <w:pPr>
        <w:ind w:left="1360" w:right="599" w:firstLine="343"/>
        <w:spacing w:after="0" w:line="267" w:lineRule="auto"/>
        <w:rPr>
          <w:sz w:val="20"/>
          <w:szCs w:val="20"/>
          <w:color w:val="auto"/>
        </w:rPr>
      </w:pPr>
      <w:r>
        <w:rPr>
          <w:rFonts w:ascii="Times New Roman" w:cs="Times New Roman" w:eastAsia="Times New Roman" w:hAnsi="Times New Roman"/>
          <w:sz w:val="14"/>
          <w:szCs w:val="14"/>
          <w:color w:val="auto"/>
        </w:rPr>
        <w:t>Upon the consummation of the Distribution, Modine will deliver to the distribution agent a global certificate or book-entry authorization representing the shares of SpinCo Common Stock being distributed, which the distribution agent will hold for the account of Modine shareholders pending the Merger, in accordance with the Merger Agreement.</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Conditions to the Distribution</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obligation of Modine to complete the Distribution is subject to the satisfaction or waiver of the following conditions:</w:t>
      </w:r>
    </w:p>
    <w:p>
      <w:pPr>
        <w:spacing w:after="0" w:line="102" w:lineRule="exact"/>
        <w:rPr>
          <w:sz w:val="20"/>
          <w:szCs w:val="20"/>
          <w:color w:val="auto"/>
        </w:rPr>
      </w:pPr>
    </w:p>
    <w:p>
      <w:pPr>
        <w:ind w:left="2120" w:hanging="345"/>
        <w:spacing w:after="0"/>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Modine of the Modine Distribution Tax Opinion in form and substance reasonably satisfactory to Modine;</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Modine of the IRS Ruling, in form and substance reasonably satisfactory to Modine, which shall continue to be valid and in full force and effect;</w:t>
      </w:r>
    </w:p>
    <w:p>
      <w:pPr>
        <w:spacing w:after="0" w:line="5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completion of the Reorganization substantially in accordance with the Reorganization step plan (other than those steps that are expressly contemplated to occur at or after the Distribution);</w:t>
      </w:r>
    </w:p>
    <w:p>
      <w:pPr>
        <w:spacing w:after="0" w:line="51" w:lineRule="exact"/>
        <w:rPr>
          <w:rFonts w:ascii="Times New Roman" w:cs="Times New Roman" w:eastAsia="Times New Roman" w:hAnsi="Times New Roman"/>
          <w:sz w:val="14"/>
          <w:szCs w:val="14"/>
          <w:color w:val="auto"/>
        </w:rPr>
      </w:pPr>
    </w:p>
    <w:p>
      <w:pPr>
        <w:ind w:left="2120" w:right="459" w:hanging="345"/>
        <w:spacing w:after="0" w:line="261" w:lineRule="auto"/>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delivery by an independent firm mutually acceptable to Modine and Gentherm of an opinion, in form and substance reasonably acceptable to Modine, to the Modine Board confirming that Modine is solvent immediately prior to the Distribution and of Modine and SpinCo immediately after giving effect to the consummation of the Bridge Financing and/or the Permanent SpinCo Financing, SpinCo Cash Distribution, Cash Transfer and Distribution;</w:t>
      </w:r>
    </w:p>
    <w:p>
      <w:pPr>
        <w:spacing w:after="0" w:line="67" w:lineRule="exact"/>
        <w:rPr>
          <w:rFonts w:ascii="Times New Roman" w:cs="Times New Roman" w:eastAsia="Times New Roman" w:hAnsi="Times New Roman"/>
          <w:sz w:val="14"/>
          <w:szCs w:val="14"/>
          <w:color w:val="auto"/>
        </w:rPr>
      </w:pPr>
    </w:p>
    <w:p>
      <w:pPr>
        <w:ind w:left="2120" w:right="399" w:hanging="345"/>
        <w:spacing w:after="0" w:line="323" w:lineRule="auto"/>
        <w:tabs>
          <w:tab w:leader="none" w:pos="212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the Bridge Financing and/or the Permanent SpinCo Financing in accordance with the Separation Agreement and receipt by SpinCo of net cash proceeds in respect of such financing equal to or greater than the amount of the SpinCo Cash Distribution;</w:t>
      </w:r>
    </w:p>
    <w:p>
      <w:pPr>
        <w:spacing w:after="0" w:line="28"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or waiver of conditions to Modine’s, SpinCo’s, Gentherm’s and Merger Sub’s obligations to effect the Merger;</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irrevocable confirmation by Gentherm that conditions to it and Merger Sub’s obligations to effect the Merger have been satisfied or waived by Gentherm;</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the SpinCo Cash Distribution by SpinCo to Modine;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the Cash Transfer prior to or concurrently with the Distribution.</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0159"/>
          </w:cols>
          <w:pgMar w:left="300" w:top="386"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In accordance with the Separation Agreement, Modine and SpinCo will cooperate and use their reasonable best efforts to cause the conditions to the Distribution to be satisfied as promptly as practicable, but in any event, prior to the Outside Date. In addition, Modine is required to use its reasonable best efforts to obtain the opinions referenced in bullets one and four above to consummate the Distribution.</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Initial Adjustment Statement; Post-Closing Adjustments</w:t>
      </w:r>
    </w:p>
    <w:p>
      <w:pPr>
        <w:spacing w:after="0" w:line="93"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Prior to the Closing Date, Modine will deliver to Gentherm, for Gentherm’s review, a statement (the “Initial Adjustment Statement”), which will set forth in reasonable detail Modine’s calculation of the estimated amounts of the following, in each case (other than the SpinCo Expense Reimbursement), as of the Cut-Off Time:</w:t>
      </w:r>
    </w:p>
    <w:p>
      <w:pPr>
        <w:spacing w:after="0" w:line="62" w:lineRule="exact"/>
        <w:rPr>
          <w:sz w:val="20"/>
          <w:szCs w:val="20"/>
          <w:color w:val="auto"/>
        </w:rPr>
      </w:pPr>
    </w:p>
    <w:p>
      <w:pPr>
        <w:ind w:left="2120" w:hanging="345"/>
        <w:spacing w:after="0"/>
        <w:tabs>
          <w:tab w:leader="none" w:pos="21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Working Capital of SpinCo;</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Indebtedness;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Expense Reimbursement;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Cash;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Transfer Amount.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Modine must consider any comments to the Initial Adjustment Statement proposed by Gentherm in good faith.</w:t>
      </w:r>
    </w:p>
    <w:p>
      <w:pPr>
        <w:spacing w:after="0" w:line="175" w:lineRule="exact"/>
        <w:rPr>
          <w:sz w:val="20"/>
          <w:szCs w:val="20"/>
          <w:color w:val="auto"/>
        </w:rPr>
      </w:pPr>
    </w:p>
    <w:p>
      <w:pPr>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The Separation Agreement provides for the post-closing review and potential adjustment of the Initial Adjustment Statement. Within 120 days following the Closing, Gentherm will prepare and deliver to Modine a statement (the “Preliminary Adjustment Statement”), which will set forth in reasonable detail Gentherm’s calculation of the components of the Initial Adjustment Statement.</w:t>
      </w:r>
    </w:p>
    <w:p>
      <w:pPr>
        <w:spacing w:after="0" w:line="136"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If Modine disagrees with the calculations set forth in the Preliminary Adjustment Statement, Modine will deliver to Gentherm, within 60 days after receipt by Modine of the Preliminary Adjustment Statement, a written statement of its disagreement, including reasonable detail the particulars of the disagreement, including the nature and amount of any disputes as to the Preliminary Adjustment Statement. Modine will be deemed to have agreed with the items and amounts in the Preliminary Adjustment Statement not specifically identified in such notice. If Modine does not deliver the notice within the 60 days, the Preliminary Adjustment Statement will become final and binding as the “Final Adjustment Statement” for purposes of the payment contemplated by the Separation Agreement based on the Final Adjustment Statement.</w:t>
      </w:r>
    </w:p>
    <w:p>
      <w:pPr>
        <w:spacing w:after="0" w:line="143" w:lineRule="exact"/>
        <w:rPr>
          <w:sz w:val="20"/>
          <w:szCs w:val="20"/>
          <w:color w:val="auto"/>
        </w:rPr>
      </w:pPr>
    </w:p>
    <w:p>
      <w:pPr>
        <w:ind w:left="1360" w:right="359" w:firstLine="343"/>
        <w:spacing w:after="0" w:line="296" w:lineRule="auto"/>
        <w:rPr>
          <w:sz w:val="20"/>
          <w:szCs w:val="20"/>
          <w:color w:val="auto"/>
        </w:rPr>
      </w:pPr>
      <w:r>
        <w:rPr>
          <w:rFonts w:ascii="Times New Roman" w:cs="Times New Roman" w:eastAsia="Times New Roman" w:hAnsi="Times New Roman"/>
          <w:sz w:val="13"/>
          <w:szCs w:val="13"/>
          <w:color w:val="auto"/>
        </w:rPr>
        <w:t>If Modine delivers a notice of disagreement to Gentherm, Modine and Gentherm will attempt to resolve the dispute within 30 days after Gentherm’s receipt of Modine’s notice. If the parties do not reach a resolution during that 30 day period, Modine and Gentherm will retain a nationally recognized independent certified public accounting firm in the United States who will make a final determination with respect to disputed items.</w:t>
      </w:r>
    </w:p>
    <w:p>
      <w:pPr>
        <w:spacing w:after="0" w:line="120"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Within five business days after the determination of the Final Cash Transfer Amount, if the Final Cash Transfer Amount exceeds the Cash Transfer Amount, SpinCo will pay Modine the amount of such excess. If the Cash Transfer Amount exceeds the Final Cash Transfer Amount, Modine will pay SpinCo the amount of such excess.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Access to Information and Record Retention</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Separation Agreement provides for the following access to information:</w:t>
      </w:r>
    </w:p>
    <w:p>
      <w:pPr>
        <w:spacing w:after="0" w:line="102" w:lineRule="exact"/>
        <w:rPr>
          <w:sz w:val="20"/>
          <w:szCs w:val="20"/>
          <w:color w:val="auto"/>
        </w:rPr>
      </w:pPr>
    </w:p>
    <w:p>
      <w:pPr>
        <w:jc w:val="both"/>
        <w:ind w:left="2120" w:right="399" w:hanging="345"/>
        <w:spacing w:after="0" w:line="267" w:lineRule="auto"/>
        <w:tabs>
          <w:tab w:leader="none" w:pos="21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the seven-year anniversary of the Distribution Date, each party agrees that it will not destroy or otherwise dispose of, or permit the destruction or disposal of, any of SpinCo’s books and records or any of Modine’s books and records in its or its subsidiaries’ possession without first giving SpinCo and Gentherm, on the one hand, or Modine, on the other hand, written notice of such intended destruction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0159"/>
          </w:cols>
          <w:pgMar w:left="300" w:top="386"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239"/>
        <w:spacing w:after="0" w:line="267" w:lineRule="auto"/>
        <w:rPr>
          <w:sz w:val="20"/>
          <w:szCs w:val="20"/>
          <w:color w:val="auto"/>
        </w:rPr>
      </w:pPr>
      <w:r>
        <w:rPr>
          <w:rFonts w:ascii="Times New Roman" w:cs="Times New Roman" w:eastAsia="Times New Roman" w:hAnsi="Times New Roman"/>
          <w:sz w:val="14"/>
          <w:szCs w:val="14"/>
          <w:color w:val="auto"/>
        </w:rPr>
        <w:t>or disposition no later than 20 days prior to the date of such destruction or disposition and offering such other party the opportunity to copy any of SpinCo’s books and records or Modine’s books and records, as applicable, or to deliver to such other party, at such other party’s expense, custody of such books and records.</w:t>
      </w:r>
    </w:p>
    <w:p>
      <w:pPr>
        <w:spacing w:after="0" w:line="62" w:lineRule="exact"/>
        <w:rPr>
          <w:sz w:val="20"/>
          <w:szCs w:val="20"/>
          <w:color w:val="auto"/>
        </w:rPr>
      </w:pPr>
    </w:p>
    <w:p>
      <w:pPr>
        <w:ind w:left="2120" w:right="239" w:hanging="345"/>
        <w:spacing w:after="0" w:line="254" w:lineRule="auto"/>
        <w:tabs>
          <w:tab w:leader="none" w:pos="21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Distribution Time, subject to certain applicable confidentiality obligations, Gentherm and/or SpinCo, or any members of the Gentherm Group or the SpinCo Group, each of Modine, on the one hand, and Gentherm and/or SpinCo, on the other hand, will use its commercially reasonable efforts to make available to the other party, upon written request, the former, current and future directors, officers, employees, other personnel and agents of the members of the Gentherm Group, the SpinCo Group or the Modine Group as witnesses and any books, records or other documents that are within its control or that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the Gentherm Group, the SpinCo Group or the Modine Group) may from time to time be involved, regardless of whether such action is a matter with respect to which indemnification may be sought hereunder. The requesting party will bear all costs and expenses in connection therewith.</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Treatment of Intercompany Agreements, Receivables and Payables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Separation Agreement provides that all agreements that are between members of the SpinCo Group, on the one hand, and Modine and its other subsidiaries, on the other hand, other than certain specified contracts, will be terminated as of the time of the Distribution without any further liability to Modine, SpinCo or any member of the Modine Group or the SpinCo Group. The Separation Agreement provides that all intercompany receivables owed and intercompany payables due solely between members of the SpinCo Group, on the one hand, and Modine and its other subsidiaries, on the other hand, that are outstanding immediately prior to the time of the Distribution will be repaid, settled or otherwise eliminated in full, without any further liability thereunder to either party thereto.</w:t>
      </w:r>
    </w:p>
    <w:p>
      <w:pPr>
        <w:spacing w:after="0" w:line="14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Separation Agreement also provides that at the time of the Distribution, or such earlier time as the parties agree, the parties will take all actions necessary to cause all bank and brokerage accounts owned by a member of the SpinCo Group to be de-linked from the accounts owned by Modine or any of its other subsidiaries, and all bank and brokerage accounts owned by Modine or any of its other subsidiaries to be de-linked from the accounts owned by a member of the SpinCo Group. Further, any outstanding checks issued by Modine, SpinCo or any of their respective subsidiaries prior to the time of the Distribution will be honored from and after the time of the Distribution by a Person or entity or a group owning the account on which the check is drawn, without limiting the ultimate allocation of liability for such amounts under the Separation Agreement or any other Transaction Document.</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Releases</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Separation Agreement provides that, subject to certain exceptions specified in the Separation Agreement, Gentherm and SpinCo, on one hand, and Modine, on the other hand, each on behalf of itself and each member of the SpinCo Group or the Modine Group and their respective successors, assigns and certain other persons, will release and discharge (i) Modine and the members of the Modine Group or SpinCo and the members of the SpinCo Group, as applicable, and their respective successors and assigns; (ii) all persons who at any time prior to the Distribution Time have been shareholders, directors, officers, agents or employees of any member of the Modine Group or the SpinCo Group (in each case, in their respective capacities as such), as applicable, and their respective heirs, executors, administrators, successors and assigns; and (iii) in the case of Gentherm and SpinCo only, all persons who at any time prior to the Distribution Time are or have been shareholders, directors, officers, agents or employees of an existing Modine entity to be transferred to SpinCo and who are not, as of immediately following the Distribution Time, directors, officers or employees of SpinCo</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0159"/>
          </w:cols>
          <w:pgMar w:left="300" w:top="38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or a member of the SpinCo Group, in each case from (A) all SpinCo Liabilities or Modine Liabilities, as applicable, (B) any and all liabilities arising from or in connection with the transactions and all other activities to implement the Separation and the Distribution, the Bridge Financing and/or the Permanent SpinCo Financing, the Merger and any of the other transactions contemplated by the Separation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the case of Gentherm and SpinCo, to the extent relating to, arising out of or resulting from, the Performance Technologies Business, the SpinCo Assets or the SpinCo Liabilities, and in the case of Modine, to the extent relating to, arising out of or resulting from the Modine Business, the Modine Assets and the Modine Liabilities.</w:t>
      </w:r>
    </w:p>
    <w:p>
      <w:pPr>
        <w:spacing w:after="0" w:line="2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Indemnification</w:t>
      </w:r>
    </w:p>
    <w:p>
      <w:pPr>
        <w:spacing w:after="0" w:line="9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The Separation Agreement provides that SpinCo will, and will cause each member of the SpinCo Group to, indemnify defend and hold harmless, Modine, each member of the Modine Group and Modine’s affiliates and each of their respective past, present and future directors, officers, employees and agents, in each case, in their respective capacities as such, including their respective heirs, executors, successors and assigns from and against all liabilities of such indemnitees relating to any of the following:</w:t>
      </w:r>
    </w:p>
    <w:p>
      <w:pPr>
        <w:spacing w:after="0" w:line="67" w:lineRule="exact"/>
        <w:rPr>
          <w:sz w:val="20"/>
          <w:szCs w:val="20"/>
          <w:color w:val="auto"/>
        </w:rPr>
      </w:pPr>
    </w:p>
    <w:p>
      <w:pPr>
        <w:ind w:left="2120" w:hanging="345"/>
        <w:spacing w:after="0"/>
        <w:tabs>
          <w:tab w:leader="none" w:pos="21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SpinCo Liability;</w:t>
      </w:r>
    </w:p>
    <w:p>
      <w:pPr>
        <w:spacing w:after="0" w:line="10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of SpinCo, any other member of the SpinCo Group or any other person to pay, perform or otherwise promptly discharge any SpinCo Liabilities in accordance with their terms;</w:t>
      </w:r>
    </w:p>
    <w:p>
      <w:pPr>
        <w:spacing w:after="0" w:line="51" w:lineRule="exact"/>
        <w:rPr>
          <w:rFonts w:ascii="Times New Roman" w:cs="Times New Roman" w:eastAsia="Times New Roman" w:hAnsi="Times New Roman"/>
          <w:sz w:val="14"/>
          <w:szCs w:val="14"/>
          <w:color w:val="auto"/>
        </w:rPr>
      </w:pPr>
    </w:p>
    <w:p>
      <w:pPr>
        <w:ind w:left="2120" w:right="479" w:hanging="345"/>
        <w:spacing w:after="0" w:line="261" w:lineRule="auto"/>
        <w:tabs>
          <w:tab w:leader="none" w:pos="21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breach by SpinCo or any other member of the SpinCo Group of the Merger Agreement or any of the Transaction Documents(other than any Transaction Document that expressly contains indemnification provisions, which shall be subject to the indemnification provisions contained in such Transaction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Modine indemnitees will not be entitled to indemnification for SpinCo’s, or a member of the SpinCo Group’s, breach prior to the Distribution Time;</w:t>
      </w:r>
    </w:p>
    <w:p>
      <w:pPr>
        <w:spacing w:after="0" w:line="67" w:lineRule="exact"/>
        <w:rPr>
          <w:rFonts w:ascii="Times New Roman" w:cs="Times New Roman" w:eastAsia="Times New Roman" w:hAnsi="Times New Roman"/>
          <w:sz w:val="14"/>
          <w:szCs w:val="14"/>
          <w:color w:val="auto"/>
        </w:rPr>
      </w:pPr>
    </w:p>
    <w:p>
      <w:pPr>
        <w:ind w:left="2120" w:right="299" w:hanging="345"/>
        <w:spacing w:after="0" w:line="261" w:lineRule="auto"/>
        <w:tabs>
          <w:tab w:leader="none" w:pos="21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it relates to a Modine Liability, any guarantee, indemnification or contribution obligation, surety bond or other credit support agreement, arrangement, commitment or understanding to the extent discharged or performed by any member of the Modine Group for the benefit of any member of the SpinCo Group that survives following the Distribution (other than as a result of breach thereof by any member of the SpinCo Group prior to the Effective Time or breach thereof by any member of the Modine Group);</w:t>
      </w:r>
    </w:p>
    <w:p>
      <w:pPr>
        <w:spacing w:after="0" w:line="67"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liabilities arising out of claims made by the securityholders or lenders of a party or any of their Affiliates to the extent relating to the use of any information provided by or on behalf of Gentherm in writing prior to the Distribution in connection with the Bridge Financing and/or the Permanent SpinCo Financing (other than with respect to information that was initially disclosed or provided to Gentherm by any member of the Modine Group); and</w:t>
      </w:r>
    </w:p>
    <w:p>
      <w:pPr>
        <w:spacing w:after="0" w:line="67"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untrue statement or alleged untrue statement of a material fact or omission or alleged omission to state a material fact required to be stated therein or necessary to make the statements therein not misleading, with respect to statements made explicitly in Gentherm’s name in specified securities filings to be made by the parties in connection with the Transactions.</w:t>
      </w:r>
    </w:p>
    <w:p>
      <w:pPr>
        <w:spacing w:after="0" w:line="136" w:lineRule="exact"/>
        <w:rPr>
          <w:sz w:val="20"/>
          <w:szCs w:val="20"/>
          <w:color w:val="auto"/>
        </w:rPr>
      </w:pPr>
    </w:p>
    <w:p>
      <w:pPr>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The Separation Agreement provides that Modine will, and will cause other members of the Modine Group to, indemnify, defend and hold harmless SpinCo, each member of the SpinCo Group and affiliates, all persons who are or have been their respective directors, partners, agents or employees, in their respective capacities as such, and each of their respective heirs, executors, successors and permitted assigns, from and against all liabilities relating to, arising out of or resulting from:</w:t>
      </w:r>
    </w:p>
    <w:p>
      <w:pPr>
        <w:spacing w:after="0" w:line="67" w:lineRule="exact"/>
        <w:rPr>
          <w:sz w:val="20"/>
          <w:szCs w:val="20"/>
          <w:color w:val="auto"/>
        </w:rPr>
      </w:pPr>
    </w:p>
    <w:p>
      <w:pPr>
        <w:ind w:left="2120" w:hanging="345"/>
        <w:spacing w:after="0"/>
        <w:tabs>
          <w:tab w:leader="none" w:pos="21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Modine Liability;</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0159"/>
          </w:cols>
          <w:pgMar w:left="300" w:top="386"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19" w:hanging="345"/>
        <w:spacing w:after="0" w:line="283" w:lineRule="auto"/>
        <w:tabs>
          <w:tab w:leader="none" w:pos="21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of Modine, any other member of the Modine Group or any other person to pay, perform or otherwise promptly discharge any Modine Liability;</w:t>
      </w:r>
    </w:p>
    <w:p>
      <w:pPr>
        <w:spacing w:after="0" w:line="51" w:lineRule="exact"/>
        <w:rPr>
          <w:rFonts w:ascii="Times New Roman" w:cs="Times New Roman" w:eastAsia="Times New Roman" w:hAnsi="Times New Roman"/>
          <w:sz w:val="14"/>
          <w:szCs w:val="14"/>
          <w:color w:val="auto"/>
        </w:rPr>
      </w:pPr>
    </w:p>
    <w:p>
      <w:pPr>
        <w:ind w:left="2120" w:right="279" w:hanging="345"/>
        <w:spacing w:after="0" w:line="261" w:lineRule="auto"/>
        <w:tabs>
          <w:tab w:leader="none" w:pos="21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breach by Modine or any other member of the Modine Group of the Separation Agreement or any of the other Transaction Documents (other than any Transaction Document that expressly contains indemnification provisions, which will be subject to the indemnification provisions contained in such Transaction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SpinCo indemnitees will not be entitled to indemnification for Modine’s, or a member of the Modine Group’s, breach prior to the Distribution Time;</w:t>
      </w:r>
    </w:p>
    <w:p>
      <w:pPr>
        <w:spacing w:after="0" w:line="67" w:lineRule="exact"/>
        <w:rPr>
          <w:rFonts w:ascii="Times New Roman" w:cs="Times New Roman" w:eastAsia="Times New Roman" w:hAnsi="Times New Roman"/>
          <w:sz w:val="14"/>
          <w:szCs w:val="14"/>
          <w:color w:val="auto"/>
        </w:rPr>
      </w:pPr>
    </w:p>
    <w:p>
      <w:pPr>
        <w:ind w:left="2120" w:right="219" w:hanging="345"/>
        <w:spacing w:after="0" w:line="261" w:lineRule="auto"/>
        <w:tabs>
          <w:tab w:leader="none" w:pos="21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it relates to a SpinCo Liability, any guarantee, indemnification or contribution obligation, surety bond or other credit support agreement, arrangement, commitment or understanding to the extent discharged or performed by any member of the SpinCo Group for the benefit of any member of the Modine Group that survives following the Distribution (other than as a result of a breach thereof by any member of the SpinCo Group after the Effective Time);</w:t>
      </w:r>
    </w:p>
    <w:p>
      <w:pPr>
        <w:spacing w:after="0" w:line="67"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arising out of claims made by the securityholders or lenders of a party or any of their affiliates to the extent relating to the use of any information relating to the Modine Business provided by or on behalf of Modine, SpinCo, or any of their subsidiaries in writing prior to the Distribution in connection with the Bridge Financing and/or the Permanent SpinCo Financing (other than with respect to information that was initially disclosed or provided to Modine by Gentherm or any of its subsidiaries); and</w:t>
      </w:r>
    </w:p>
    <w:p>
      <w:pPr>
        <w:spacing w:after="0" w:line="67"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untrue statement or alleged untrue statement of a material fact or omission or alleged omission to state a material fact required to be stated therein or necessary to make the statements therein not misleading, with respect to statements made explicitly in Modine’s name in specified securities filings to be made by the parties in connection with the Transactions.</w:t>
      </w:r>
    </w:p>
    <w:p>
      <w:pPr>
        <w:spacing w:after="0" w:line="136"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Under the Separation Agreement, each indemnifying party’s indemnification obligations are uncapped and the amount of any indemnifiable loss will be net of any insurance proceeds or other amounts actually recovered from any person in respect of the indemnifiable liability. Each indemnified party must use its commercially reasonable efforts to collect or recover any insurance proceeds or other proceeds to which the indemnified party is entitled in connection with any liability for which the indemnified party seeks indemnification pursuant to the Separation Agreement.</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Insurance</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Following the time of the Distribution, the SpinCo Group and the Gentherm Group will not be covered by or have access to the insurance policies of the Modine Group;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SpinCo Group will have the right to access occurrence-based coverage, to the extent available, for claims arising out of acts, omissions, events or circumstances that occurred or existed prior to the time of the Distribution, and SpinCo will indemnify and reimburse Modine for any deductibles, self-insured retention and other expenses incurred by Modine to the extent resulting from such claims.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Dispute Resolution</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Separation Agreement provides that following the Closing, any party seeking resolution of any dispute, controversy or claim related to the Separation Agreement or any other Transaction Document shall provide notice of the same to Modine or Gentherm, as appropriate. As soon as reasonably practicable, an appropriate executive or other representative at a senior level of management of each of Modine and Gentherm will begin conducting good faith negotiations with respect to such dispute. If Modine and Gentherm are unable to resolve a dispute through negotiation within thirty (30) days of receiving a negotiation request or such longer period of time as Modine and Gentherm may mutually agree in writing, the dispute will be submitted the applicable courts in accordance with the terms in the Separation Agreement.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0159"/>
          </w:cols>
          <w:pgMar w:left="300" w:top="38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Termination</w:t>
      </w:r>
    </w:p>
    <w:p>
      <w:pPr>
        <w:spacing w:after="0" w:line="9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Separation Agreement will terminate immediately upon termination of the Merger Agreement prior to the Distribution. In the event of such a termination, none of the parties will have any liability to any person by reason of the Separation Agreement, except under provisions in the Separation Agreement regarding the allocation between the parties of certain costs in connection with the separation of the Performance Technologies Business and SpinCo Assets from the Modine Business and Modine Assets.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Governing Law</w:t>
      </w:r>
    </w:p>
    <w:p>
      <w:pPr>
        <w:spacing w:after="0" w:line="93" w:lineRule="exact"/>
        <w:rPr>
          <w:sz w:val="20"/>
          <w:szCs w:val="20"/>
          <w:color w:val="auto"/>
        </w:rPr>
      </w:pPr>
    </w:p>
    <w:p>
      <w:pPr>
        <w:jc w:val="both"/>
        <w:ind w:left="1360" w:right="759" w:firstLine="343"/>
        <w:spacing w:after="0" w:line="267" w:lineRule="auto"/>
        <w:rPr>
          <w:sz w:val="20"/>
          <w:szCs w:val="20"/>
          <w:color w:val="auto"/>
        </w:rPr>
      </w:pPr>
      <w:r>
        <w:rPr>
          <w:rFonts w:ascii="Times New Roman" w:cs="Times New Roman" w:eastAsia="Times New Roman" w:hAnsi="Times New Roman"/>
          <w:sz w:val="14"/>
          <w:szCs w:val="14"/>
          <w:color w:val="auto"/>
        </w:rPr>
        <w:t>The parties to the Separation Agreement have agreed that the Separation Agreement will be governed by and construed and interpreted in accordance with the laws of the State of Delaware irrespective of choice of law principles including all matters of validity, construction, effect, enforceability, performance and remedies.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Forum</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The parties to the Separation Agreement have agreed that any litigation relating to any dispute with respect to the Separation Agreement, or for recognition and enforcement of any judgment in respect of the Separation Agreement and the rights and obligations arising under the Separation Agreement brought by the other party or its successors or assigns, will be brought and determined exclusively in the Delaware Court of Chancery (or, solely in the case that the Delaware Court of Chancery declines to accept jurisdiction over a particular matter, any state or federal court within the State of Delaware).</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Specific Performance</w:t>
      </w:r>
    </w:p>
    <w:p>
      <w:pPr>
        <w:spacing w:after="0" w:line="93"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The parties to the Separation Agreement are entitled to specific performance and injunctive or other equitable relief to prevent breaches of the Separation Agreement and to enforce specifically the terms and provisions of the Separation Agreement without posting any bond.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Debt Financing</w:t>
      </w:r>
    </w:p>
    <w:p>
      <w:pPr>
        <w:spacing w:after="0" w:line="93"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Concurrently with the execution of the Merger Agreement, SpinCo and Gentherm entered into a commitment letter with certain financial institutions, which commitment letter was amended and restated as the Commitment Letter, pursuant to which the Commitment Parties committed to provide bridge loans under a 364-day senior secured bridge loan credit facility in an aggregate principal amount of up to $290.0 million, subject to the terms and conditions of the Commitment Letter.</w:t>
      </w:r>
    </w:p>
    <w:p>
      <w:pPr>
        <w:spacing w:after="0" w:line="141" w:lineRule="exact"/>
        <w:rPr>
          <w:sz w:val="20"/>
          <w:szCs w:val="20"/>
          <w:color w:val="auto"/>
        </w:rPr>
      </w:pPr>
    </w:p>
    <w:p>
      <w:pPr>
        <w:ind w:left="1360" w:right="319" w:firstLine="343"/>
        <w:spacing w:after="0" w:line="254" w:lineRule="auto"/>
        <w:rPr>
          <w:sz w:val="20"/>
          <w:szCs w:val="20"/>
          <w:color w:val="auto"/>
        </w:rPr>
      </w:pPr>
      <w:r>
        <w:rPr>
          <w:rFonts w:ascii="Times New Roman" w:cs="Times New Roman" w:eastAsia="Times New Roman" w:hAnsi="Times New Roman"/>
          <w:sz w:val="14"/>
          <w:szCs w:val="14"/>
          <w:color w:val="auto"/>
        </w:rPr>
        <w:t>On June 29, 2026, SpinCo entered into the Permanent SpinCo Financing, and SpinCo and Gentherm reduced the commitments under the Commitment Letter in full, $40 million of which was reduced by the Gentherm Revolving Credit Facility. The proceeds of the Permanent SpinCo Financing will be used by SpinCo on the Closing Date to make the SpinCo Cash Distribution, subject to certain potential adjustments set forth in the Merger Agreement. The definitive documentation governing the Permanent SpinCo Financing contains negative covenants customary for financing transactions of a similar nature, including limitations on liens, investments, indebtedness, fundamental changes, dispositions, restricted payments, changes in nature of business, transactions with affiliates, burdensome agreements, use of proceeds, financial covenants, amendments of organizational documents and material IP rights, accounting changes, prepayments of junior indebtedness, sanctions, anti-corruption laws and permitted activities, as well as affirmative covenants and events of default customary for financing transactions of a similar nature and similar to the Gentherm Revolving Credit Facility. Following the Merger, Gentherm and certain of its subsidiaries are expected to guarantee all indebtedness incurred by SpinCo under the Permanent SpinCo Financing.</w:t>
      </w:r>
    </w:p>
    <w:p>
      <w:pPr>
        <w:spacing w:after="0" w:line="146"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Gentherm expects to use available and committed financing pursuant to the Gentherm Revolving Credit Facility to fund the Gentherm Special Dividend (if any) and to pay fees, commissions and expenses related to the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0159"/>
          </w:cols>
          <w:pgMar w:left="300" w:top="386"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Transactions and the excess of the Final Cash Transfer Amount over the Cash Transfer Amount, if any, to Modine. After the consummation of the Transactions, SpinCo and certain of its subsidiaries are expected to guarantee the obligations under the Gentherm Revolving Credit Facility.</w:t>
      </w:r>
    </w:p>
    <w:p>
      <w:pPr>
        <w:spacing w:after="0" w:line="125"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This proxy statement/prospectus is not intended to and does not constitute an offer to sell or the solicitation of an offer to subscribe for or buy or an invitation to purchase or subscribe for any debt securities of Gentherm or SpinCo. No offer of debt securities will be made in the United States absent registration under the Securities Act, or pursuant to an exemption from, or in a transaction not subject to, such registration requirements.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0159"/>
          </w:cols>
          <w:pgMar w:left="300" w:top="386"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ADDITIONAL AGREEMENTS RELATED TO THE SEPARATION, THE DISTRIBUTION AND THE MERGER</w:t>
      </w:r>
    </w:p>
    <w:p>
      <w:pPr>
        <w:spacing w:after="0" w:line="175"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i w:val="1"/>
          <w:iCs w:val="1"/>
          <w:color w:val="auto"/>
        </w:rPr>
        <w:t>Gentherm, Modine, SpinCo and Merger Sub and certain of their respective subsidiaries, shareholders, directors and officers, in each case as applicable, have entered into or, before the consummation of the Transactions, will enter into, certain other agreements relating to the Transactions and various interim and ongoing relationships among Gentherm, SpinCo and Modine. The material terms of these agreements are summarized below. The summaries below are qualified in their entirety by the contents of the respective agreements, which are incorporated by reference in this proxy statement/prospectus. Shareholders of Gentherm and Modine are urged to read these agreements in their entirety. The summary of the agreements described below has been included to provide Gentherm shareholders and Modine shareholders with information regarding their terms. The rights and obligations of the parties to these agreements are governed by the express terms of the agreements and not by this summary or any other information included in this document. This summary is not intended to provide any other factual information about Gentherm, Merger Sub, Modine or SpinCo. Information about Gentherm, Merger Sub, Modine and SpinCo can be found elsewhere in this proxy statement/prospectus and in the documents incorporated by reference into this proxy statement/prospectus.</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Matters Agreement</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SpinCo, Modine and Gentherm will enter into a Tax Matters Agreement that governs the parties’ respective rights, responsibilities and obligations with respect to taxes of SpinCo, Modine and their respective subsidiaries (including taxes arising in the ordinary course of business and taxes, if any, incurred as a result of any failure of the Separation or the Distribution to qualify for their intended tax treatment), tax benefits and attributes, the preparation and filing of tax returns, the control of audits and other tax proceedings, and assistance and cooperation in respect of tax matters. This summary is qualified by reference to the complete text of the Tax Matters Agreement, which is incorporated by reference and is filed as an exhibit to the registration statement of which this proxy statement/prospectus is a part.</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general, under the Tax Matters Agreement:</w:t>
      </w:r>
    </w:p>
    <w:p>
      <w:pPr>
        <w:spacing w:after="0" w:line="102" w:lineRule="exact"/>
        <w:rPr>
          <w:sz w:val="20"/>
          <w:szCs w:val="20"/>
          <w:color w:val="auto"/>
        </w:rPr>
      </w:pPr>
    </w:p>
    <w:p>
      <w:pPr>
        <w:ind w:left="2120" w:right="239" w:hanging="345"/>
        <w:spacing w:after="0" w:line="253" w:lineRule="auto"/>
        <w:tabs>
          <w:tab w:leader="none" w:pos="21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Modine will be responsible for and indemnify SpinCo for (i) any taxes (and any related interest, penalties or audit adjustments) imposed on any consolidated, combined or unitary tax group of Modine for any period; (ii) any taxes (including indirect taxes on controlled foreign corporations) (and any related interest, penalties or audit adjustments) imposed on SpinCo or any of its subsidiaries for any tax period or portion thereof ending on or prior to the end of the day on which the Distribution Time occurs; (iii) any taxes (and any related interest, penalties or audit adjustments) attributable to assets or activities of businesses operated by the Modine Group and its subsidiaries other than the Performance Technologies Business; (iv) any taxes associated with an excess loss account with respect to the stock of SpinCo or any of its subsidiaries or associated with deferred intercompany transactions between SpinCo or any of its subsidiaries and Modine or any of its subsidiaries; (v) any taxes (and any related interest, penalties or audit adjustments) with respect to the Separation or the Distribution (other than taxes resulting from a failure of the Transactions to qualify for the intended tax treatment set forth in the Tax Matters Agreement); and (vi) generally, 100% of any taxes (and any related interest, penalties or audit adjustments) resulting from a failure of the Transactions to qualify for the intended tax treatment set forth in the Tax Matters Agreement, except that (a) Modine is generally not responsible for any such taxes caused by specified actions of (or relating to) SpinCo (unless such taxes were also caused by specified actions of (or relating to) Modine, in which case Modine remains liable to the extent of its relative fault) and (b) Modine is only responsible for its pro rata share of any such taxes that result from an issue with the computation or availability of Overlap Shareholders (described more fully below); and</w:t>
      </w:r>
    </w:p>
    <w:p>
      <w:pPr>
        <w:spacing w:after="0" w:line="72"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will be responsible for and indemnify Modine for (i) any taxes (and any related interest, penalties or audit adjustments) imposed on SpinCo for any period or portion thereof beginning on the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0159"/>
          </w:cols>
          <w:pgMar w:left="300" w:top="386"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79"/>
        <w:spacing w:after="0" w:line="255" w:lineRule="auto"/>
        <w:rPr>
          <w:sz w:val="20"/>
          <w:szCs w:val="20"/>
          <w:color w:val="auto"/>
        </w:rPr>
      </w:pPr>
      <w:r>
        <w:rPr>
          <w:rFonts w:ascii="Times New Roman" w:cs="Times New Roman" w:eastAsia="Times New Roman" w:hAnsi="Times New Roman"/>
          <w:sz w:val="14"/>
          <w:szCs w:val="14"/>
          <w:color w:val="auto"/>
        </w:rPr>
        <w:t>day after the day on which the Distribution Time occurs; (ii) generally, 100% of any taxes (and any related interest, penalties or audit adjustments) resulting from a failure of the Transactions to qualify for the intended tax treatment set forth in the Tax Matters Agreement that is caused by specified actions of (or involving) SpinCo (unless such taxes were also caused by specified actions of (or involving) Modine, in which case SpinCo and Gentherm are responsible only to the extent of their relative fault); (iii) any taxes attributable to an action by SpinCo or a member of the SpinCo Group at the direction of Gentherm (or a subsidiary or Affiliate of Gentherm) that is not in the ordinary course of business (and not expressly required by the Merger Agreement or the Transaction Documents or part of the separation transaction) effected after the Distribution and on the date of the Distribution; and (iv) its pro rata share of such taxes that result from an issue with the computation or availability of Overlap Shareholders (described more fully below).</w:t>
      </w:r>
    </w:p>
    <w:p>
      <w:pPr>
        <w:spacing w:after="0" w:line="14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As described more fully below under “Material U.S. Federal Income Tax Considerations of the Distribution and the Merger,” under Section 355(e) of the Code, Modine is required to recognize corporate-level tax on the Distribution if, as a result of the Merger and any other Transactions considered part of a plan with the Distribution, there is a direct or indirect acquisition by one or more persons of equity representing a 50% or greater interest in SpinCo. For purposes of determining whether one or more persons will acquire directly or indirectly equity representing a 50% or greater interest in Modine or SpinCo for purposes of Section 355(e) of the Code, if a holder of SpinCo Common Stock is also a shareholder of Gentherm immediately prior to the Merger (an Overlap Shareholder), the amount of such Overlap Shareholder’s ownership percentage in SpinCo immediately prior to the Effective Time that does not decrease as a result of the Merger is not taken into account as an acquisition of interests for these purposes.</w:t>
      </w:r>
    </w:p>
    <w:p>
      <w:pPr>
        <w:spacing w:after="0" w:line="14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Modine has requested the IRS Ruling regarding the proper time, manner and methodology for measuring Overlap Shareholders for these purposes. If, notwithstanding the IRS Ruling, any taxes (and any related interest, penalties or audit adjustments) are attributable to an error in the determination of the Overlap Shareholders or otherwise to the failure of the Contribution or the Distribution to qualify for their intended tax treatment because of an issue with respect to the computation or availability of Overlap Shareholders (and such taxes are not attributable to certain specified actions of Modine or Gentherm that result in such taxes being allocated to Modine and/or Gentherm), then the Tax Matters Agreement provides that Modine will bear 40% and SpinCo and Gentherm will bear 60% of such taxes. The parties’ obligations under the Tax Matters Agreement are not limited in amount or subject to any cap. The Tax Matters Agreement does not provide for an indemnity to any holder of SpinCo Common Stock (as determined immediately after the Distribution Time but prior to the Merger) or any Modine shareholder or Gentherm shareholder as a result of any failure of the Separation, the Distribution or the Merger to qualify for their intended tax treatment.</w:t>
      </w:r>
    </w:p>
    <w:p>
      <w:pPr>
        <w:spacing w:after="0" w:line="149"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The Tax Matters Agreement also assigns responsibilities for administrative matters, such as the filing of returns, payment of taxes due, retention of records and conduct of audits, examinations or similar proceedings. In general, the party that would be primarily liable under the Tax Matters Agreement to pay the applicable taxes resulting from a tax contest will administer and control such tax contest. However, Modine will administer and control any tax proceeding with respect to the intended tax treatment or the tax treatment of any separation transaction; provided, that SpinCo will have joint control and consent rights in any tax proceeding that involves taxes for which SpinCo may reasonably be expected to become liable to make an indemnification payment, to the extent relating to such taxes. In the case of any tax proceeding related to any Tax Return required to be filed by a member of the SpinCo Group for which Modine controls the tax proceeding, SpinCo and Gentherm will have information and consent rights to the extent SpinCo or Gentherm may reasonably be expected to become liable to make an indemnification payment or would otherwise reasonably be expected to materially and adversely impact the Tax liability of the SpinCo Group for any post-closing tax period. In addition, the Tax Matters Agreement provides for cooperation and information sharing with respect to tax matters.</w:t>
      </w:r>
    </w:p>
    <w:p>
      <w:pPr>
        <w:spacing w:after="0" w:line="146"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The Tax Matters Agreement also imposes certain restrictions on Gentherm, SpinCo and Modine with respect to actions that could cause the Separation and the Distribution to fail to qualify for their intended tax</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0159"/>
          </w:cols>
          <w:pgMar w:left="300" w:top="386"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519"/>
        <w:spacing w:after="0" w:line="267" w:lineRule="auto"/>
        <w:rPr>
          <w:sz w:val="20"/>
          <w:szCs w:val="20"/>
          <w:color w:val="auto"/>
        </w:rPr>
      </w:pPr>
      <w:r>
        <w:rPr>
          <w:rFonts w:ascii="Times New Roman" w:cs="Times New Roman" w:eastAsia="Times New Roman" w:hAnsi="Times New Roman"/>
          <w:sz w:val="14"/>
          <w:szCs w:val="14"/>
          <w:color w:val="auto"/>
        </w:rPr>
        <w:t>treatment. Unless a favorable ruling or an unqualified will-level opinion (of counsel or an accounting firm) is received that is in form and substance satisfactory to Modine in its discretion, or Modine waives the requirement to obtain such favorable ruling or will-level opinion, during the two-year period following the day on which the Distribution Time occurs, Gentherm and SpinCo may not:</w:t>
      </w:r>
    </w:p>
    <w:p>
      <w:pPr>
        <w:spacing w:after="0" w:line="62" w:lineRule="exact"/>
        <w:rPr>
          <w:sz w:val="20"/>
          <w:szCs w:val="20"/>
          <w:color w:val="auto"/>
        </w:rPr>
      </w:pPr>
    </w:p>
    <w:p>
      <w:pPr>
        <w:ind w:left="2120" w:hanging="345"/>
        <w:spacing w:after="0"/>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or consolidate with another Person other than pursuant to certain permitted restructuring transactions;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56" w:lineRule="auto"/>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or allow the sale, disposition or other transfer (including discontinuance or cessation) of more than 30% of SpinCo’s gross assets (or the gross assets of the trade or business relied upon to satisfy the requirements of Section 355 of the Code) (other than for sales or dispositions (i) in the ordinary course, (ii) to a disregarded entity of the transferor for U.S. federal income tax purposes, (iii) of any cash paid to acquire assets from an unrelated person in an arm’s length transaction or repayment of any indebtedness of a member of SpinCo’s “separate affiliated group” within the meaning of Section 355(b)(3) of the Code, (iv) to another member of SpinCo’s “separate affiliated group” within the meaning of Section 355(b)(3) of the Code, (v) in connection with certain permitted restructuring transactions and (vi) of certain cash to Gentherm to fund any Gentherm Special Dividend in connection with the Transactions);</w:t>
      </w:r>
    </w:p>
    <w:p>
      <w:pPr>
        <w:spacing w:after="0" w:line="69" w:lineRule="exact"/>
        <w:rPr>
          <w:rFonts w:ascii="Times New Roman" w:cs="Times New Roman" w:eastAsia="Times New Roman" w:hAnsi="Times New Roman"/>
          <w:sz w:val="14"/>
          <w:szCs w:val="14"/>
          <w:color w:val="auto"/>
        </w:rPr>
      </w:pPr>
    </w:p>
    <w:p>
      <w:pPr>
        <w:ind w:left="2120" w:right="399" w:hanging="345"/>
        <w:spacing w:after="0" w:line="261" w:lineRule="auto"/>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 transaction or series of transactions that results in any person acquiring any shares of Gentherm or SpinCo, subject to certain exceptions, including (i) for the adoption of a shareholder rights plan, (ii) in connection with a person’s performance of services,</w:t>
      </w:r>
    </w:p>
    <w:p>
      <w:pPr>
        <w:ind w:left="2120" w:right="2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 relating to acquisitions by a retirement plan of an employee, (iv) relating to public trading, (v) for certain share repurchases (if specific requirements are satisfied), and (vi) for certain permitted restructuring transactions;</w:t>
      </w:r>
    </w:p>
    <w:p>
      <w:pPr>
        <w:spacing w:after="0" w:line="66"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liquidate or partially liquidate Gentherm or SpinCo;</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SpinCo’s certificate of incorporation or take any action that affects voting rights with respect to its stock;</w:t>
      </w:r>
    </w:p>
    <w:p>
      <w:pPr>
        <w:spacing w:after="0" w:line="101" w:lineRule="exact"/>
        <w:rPr>
          <w:rFonts w:ascii="Times New Roman" w:cs="Times New Roman" w:eastAsia="Times New Roman" w:hAnsi="Times New Roman"/>
          <w:sz w:val="14"/>
          <w:szCs w:val="14"/>
          <w:color w:val="auto"/>
        </w:rPr>
      </w:pPr>
    </w:p>
    <w:p>
      <w:pPr>
        <w:jc w:val="both"/>
        <w:ind w:left="2120" w:right="659" w:hanging="345"/>
        <w:spacing w:after="0" w:line="267" w:lineRule="auto"/>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shares of a new class of nonvoting stock, or otherwise issue shares of stock that could reasonably be expected to have adverse consequences on the tax-free status of the Distribution for U.S. federal income tax purposes (which does not include issuances (i) in connection with a person’s performance of services or (ii) relating to a retirement plan of an employee);</w:t>
      </w:r>
    </w:p>
    <w:p>
      <w:pPr>
        <w:spacing w:after="0" w:line="6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equity of Gentherm, subject to certain exceptions, including (i) for certain share repurchases (if specific requirements are satisfied) and (ii) for certain permitted restructuring transactions;</w:t>
      </w:r>
    </w:p>
    <w:p>
      <w:pPr>
        <w:spacing w:after="0" w:line="5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or fail to take any action inconsistent with any applicable representation or covenant made in the tax opinions, IRS rulings or IRS ruling request; or</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individually or in the aggregate is reasonably likely to adversely affect the intended tax treatment of the Separation, SpinCo Cash Distribution, Distribution or Merger.</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during the two-year period following the Distribution Time, Modine and any member of the Modine Group may not:</w:t>
      </w:r>
    </w:p>
    <w:p>
      <w:pPr>
        <w:spacing w:after="0" w:line="102" w:lineRule="exact"/>
        <w:rPr>
          <w:sz w:val="20"/>
          <w:szCs w:val="20"/>
          <w:color w:val="auto"/>
        </w:rPr>
      </w:pPr>
    </w:p>
    <w:p>
      <w:pPr>
        <w:ind w:left="2120" w:right="399" w:hanging="345"/>
        <w:spacing w:after="0" w:line="283" w:lineRule="auto"/>
        <w:tabs>
          <w:tab w:leader="none" w:pos="21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or fail to take any action that is inconsistent with any representation or covenant made in the tax opinions, IRS rulings or IRS ruling request; or</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would be reasonably likely to adversely affect the intended tax treatment of the Separation, Distribution or Merger.</w:t>
      </w:r>
    </w:p>
    <w:p>
      <w:pPr>
        <w:spacing w:after="0" w:line="175"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In the event that the Distribution does not qualify for the intended tax treatment set forth in the Tax Matters Agreement, Gentherm may receive the benefits of a step-up in the tax basis of its assets as a result of a protective tax election to be made in Modine’s discretion by Gentherm and Modine pursuant to the Tax Matters Agreement. If this were to occur and any of the associated taxes were borne by Modine, then the Tax Matters Agreement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0159"/>
          </w:cols>
          <w:pgMar w:left="300" w:top="386"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requires the tax benefits realized from such step-up in tax basis to be allocated between Modine and Gentherm in a manner that is proportionate to the amount of taxes associated with the failure of the intended tax treatment that are paid by Modine and Gentherm, as applicable, pursuant to the terms of the Tax Matters Agreement (after giving effect to any indemnification payments made pursuant to the Tax Matters Agreement).</w:t>
      </w:r>
    </w:p>
    <w:p>
      <w:pPr>
        <w:spacing w:after="0" w:line="136" w:lineRule="exact"/>
        <w:rPr>
          <w:sz w:val="20"/>
          <w:szCs w:val="20"/>
          <w:color w:val="auto"/>
        </w:rPr>
      </w:pPr>
    </w:p>
    <w:p>
      <w:pPr>
        <w:jc w:val="both"/>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 Tax Matters Agreement is binding on and will inure to the benefit of any successor to any of the parties of the Tax Matters Agreement to the same extent as if such successor had been an original party to the Tax Matters Agreement.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Technical Services Agreements</w:t>
      </w:r>
    </w:p>
    <w:p>
      <w:pPr>
        <w:spacing w:after="0" w:line="93"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Modine and SpinCo may enter into one or more Technical Services Agreements, pursuant to which Modine will be permitted to use certain test equipment transferred to SpinCo in the Separation. Certain terms of the Technical Services Agreements have been agreed among the parties and the final Technical Services Agreements may be executed on or after the Closing Date from time to time.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Intellectual Property Matters Agreement</w:t>
      </w:r>
    </w:p>
    <w:p>
      <w:pPr>
        <w:spacing w:after="0" w:line="9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Gentherm, Modine and SpinCo will enter into an Intellectual Property Matters Agreement in connection with the Separation, pursuant to which Modine and SpinCo will license to each other certain intellectual property used in their respective businesses.</w:t>
      </w:r>
    </w:p>
    <w:p>
      <w:pPr>
        <w:spacing w:after="0" w:line="125"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Pursuant to the Intellectual Property Matters Agreement, Modine and SpinCo each grant the other a worldwide, fully paid-up, royalty-free, irrevocable, non-exclusive license under the intellectual property (other than trademarks, Internet domain names and social media accounts) owned by the licensor and used in the operation of the licensee’s business to use, make, have made, sell and otherwise exploit the licensee’s products or services in the licensee’s field of business and the improvements, enhancements and natural evolutions and extensions thereof (but excluding the field of the licensor’s business as of the Separation). The licenses are granted without representations or warranties. The term of the Intellectual Property Matters Agreement continues with respect to each licensed intellectual property right for so long as the intellectual property right remains in force.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Lease Agreement</w:t>
      </w:r>
    </w:p>
    <w:p>
      <w:pPr>
        <w:spacing w:after="0" w:line="93"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SpinCo and Modine will enter into a Lease Agreement pursuant to which certain property in Racine, Wisconsin transferred to SpinCo in the Separation will be leased back to Modine. Certain terms of the Lease Agreement have been agreed to among the parties and the final Lease Agreement will be executed on the Closing Date.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Trademark Matters Agreement</w:t>
      </w:r>
    </w:p>
    <w:p>
      <w:pPr>
        <w:spacing w:after="0" w:line="9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SpinCo and Modine will enter into a Trademark Matters Agreement, pursuant to which SpinCo will grant to Modine a royalty-free license to use the “Modine” trademark to advertise, market, distribute and sell certain products and services for Modine’s commercial, industrial, and building heating, ventilation, air conditioning, and refrigeration (“HVAC&amp;R”) and heat transfer products businesses. The license will be exclusive for the first four years, then become non-exclusive, in the field of Modine’s HVAC&amp;R business. The license will be non-exclusive with respect to Modine’s heat transfer business. In addition, SpinCo will grant Modine a royalty-free, non-exclusive transitional license to use the “Modine” trademark as otherwise used in Modine’s business as of the Separation: (a) for up to two years after the Distribution Time, with three months thereafter to sell off inventory manufactured or labeled with the trademarks; and (b) for up to two years after the Distribution Time to exhaust existing stock of signs, advertising, promotional and other materials bearing the “Modine” trademark. The initial term of the license will be four years for the HVAC&amp;R business, renewing thereafter for successive two-year periods unless Modine notifies SpinCo of non-renewal, provided that Modine is not in material breach of the agreement. The term of the license will be two years for the heat transfer business.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0159"/>
          </w:cols>
          <w:pgMar w:left="300" w:top="386"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Transition Services Agreement</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SpinCo and Modine will enter into a Transition Services Agreement, pursuant to which each party will provide services to the other party on a transitional basis to facilitate the transition of the Performance Technologies Business to Gentherm and the standalone operation of Modine’s remaining businesses. Modine will provide to SpinCo various services (which may include HR, legal, supply chain, administrative, finance and accounting and IT) for durations anticipated to range from one to three months up to 12 months. SpinCo will provide to Modine certain IT-related services for durations anticipated to range up to 12 months. The service recipient may terminate any service early on 45 days’ notice. The service recipient may also extend any service for up to six months unless the applicable service schedule provides otherwise.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Employee Matters Agreement</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Prior to or upon the Separation, Modine, SpinCo and Gentherm will enter into an Employee Matters Agreement with respect to the transfer of the employment of certain employees of the Modine Group and the SpinCo Group and other employee-related matters, including allocation among the parties of assets, liabilities and responsibilities related to employee benefit plan and compensation arrangements and with respect to terms of employment, benefit plan transition and coverage and other compensation and labor matters, as well as responsibility for employee and benefit plan liabilities for certain current and former employees of the Modine Group and SpinCo. This summary is qualified by reference to the complete text of the Employee Matters Agreement, which is filed as Exhibit 10.4 hereto.</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Transfer of Employees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respect to transfer of employment, the Employee Matters Agreement generally provides that:</w:t>
      </w:r>
    </w:p>
    <w:p>
      <w:pPr>
        <w:spacing w:after="0" w:line="102" w:lineRule="exact"/>
        <w:rPr>
          <w:sz w:val="20"/>
          <w:szCs w:val="20"/>
          <w:color w:val="auto"/>
        </w:rPr>
      </w:pPr>
    </w:p>
    <w:p>
      <w:pPr>
        <w:ind w:left="2120" w:right="239" w:hanging="345"/>
        <w:spacing w:after="0" w:line="256" w:lineRule="auto"/>
        <w:tabs>
          <w:tab w:leader="none" w:pos="21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and except as otherwise provided, effective as of no later than the Distribution Time, Modine will, or will cause the respective members of the Modine Group to, cause (i) each SpinCo Employee (other than employees on certain leaves of absence and employees who cannot transfer to or be employed by the SpinCo Group as of the Distribution Time) to be employed by a member of the SpinCo Group to the extent such employees are not already employed by the SpinCo Group; and (ii) any employee who is not a SpinCo Employee but is employed by a member of the SpinCo Group to be employed by a member of the Modine Group. In connection with the transfers, prior to the Distribution Time, Modine shall assign to the SpinCo Group all individual agreements (including all employment, offer letter, retention, severance, expatriate or restrictive covenant agreements) relating to SpinCo Employees.</w:t>
      </w:r>
    </w:p>
    <w:p>
      <w:pPr>
        <w:spacing w:after="0" w:line="69" w:lineRule="exact"/>
        <w:rPr>
          <w:rFonts w:ascii="Times New Roman" w:cs="Times New Roman" w:eastAsia="Times New Roman" w:hAnsi="Times New Roman"/>
          <w:sz w:val="14"/>
          <w:szCs w:val="14"/>
          <w:color w:val="auto"/>
        </w:rPr>
      </w:pPr>
    </w:p>
    <w:p>
      <w:pPr>
        <w:ind w:left="2120" w:right="299" w:hanging="345"/>
        <w:spacing w:after="0" w:line="258" w:lineRule="auto"/>
        <w:tabs>
          <w:tab w:leader="none" w:pos="21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SpinCo Group is responsible for any severance, termination indemnities or other similar payments or similar benefits arising out of, relating to SpinCo Employees who (i) can be transferred to the SpinCo Group only with consent and (ii) refuse to consent to such transfer, and the Modine Group is responsible for any severance, termination indemnities or other similar payments or similar benefits arising out of, relating to Modine Employees who (i) can be transferred to the Modine Group only with consent and (ii) refuse to consent to such transfer to the Modine Group.</w:t>
      </w:r>
    </w:p>
    <w:p>
      <w:pPr>
        <w:spacing w:after="0" w:line="70" w:lineRule="exact"/>
        <w:rPr>
          <w:rFonts w:ascii="Times New Roman" w:cs="Times New Roman" w:eastAsia="Times New Roman" w:hAnsi="Times New Roman"/>
          <w:sz w:val="14"/>
          <w:szCs w:val="14"/>
          <w:color w:val="auto"/>
        </w:rPr>
      </w:pPr>
    </w:p>
    <w:p>
      <w:pPr>
        <w:ind w:left="2120" w:right="259" w:hanging="345"/>
        <w:spacing w:after="0" w:line="255" w:lineRule="auto"/>
        <w:tabs>
          <w:tab w:leader="none" w:pos="21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SpinCo Employee is employed by a member of the Modine Group as of immediately prior to the Distribution Time and such individual’s employment cannot commence with, or be transferred to, the SpinCo Group or whose transfer of employment to the SpinCo Group is otherwise delayed, the parties will cooperate in good faith to cause such individual to provide services to the SpinCo Group until such time as such individual’s employment can be transferred to the SpinCo Group or otherwise terminates with the Modine Group. The parties will cooperate in good faith to cause each such individual to commence employment with a member of the SpinCo Group as soon as reasonably practicable following the Distribution Time. Except as described in the Transition Services Agreement, any liability related to a SpinCo Employee for the period between the Distribution Time and the time when such individual actually transfers to the SpinCo Group will be borne by the SpinCo Group</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153</w:t>
      </w:r>
    </w:p>
    <w:p>
      <w:pPr>
        <w:sectPr>
          <w:pgSz w:w="11900" w:h="16838" w:orient="portrait"/>
          <w:cols w:equalWidth="0" w:num="1">
            <w:col w:w="10159"/>
          </w:cols>
          <w:pgMar w:left="300" w:top="386"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19"/>
        <w:spacing w:after="0" w:line="283" w:lineRule="auto"/>
        <w:rPr>
          <w:sz w:val="20"/>
          <w:szCs w:val="20"/>
          <w:color w:val="auto"/>
        </w:rPr>
      </w:pPr>
      <w:r>
        <w:rPr>
          <w:rFonts w:ascii="Times New Roman" w:cs="Times New Roman" w:eastAsia="Times New Roman" w:hAnsi="Times New Roman"/>
          <w:sz w:val="14"/>
          <w:szCs w:val="14"/>
          <w:color w:val="auto"/>
        </w:rPr>
        <w:t>(provided that the liabilities are not a result of the Modine Group’s breach of the Transition Services Agreement, or the Modine Group’s gross negligence or willful misconduct).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Allocation of Certain Employment and Benefits Liabilities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respect to the assumption of liabilities, the Employee Matters Agreement generally provides that:</w:t>
      </w:r>
    </w:p>
    <w:p>
      <w:pPr>
        <w:spacing w:after="0" w:line="102" w:lineRule="exact"/>
        <w:rPr>
          <w:sz w:val="20"/>
          <w:szCs w:val="20"/>
          <w:color w:val="auto"/>
        </w:rPr>
      </w:pPr>
    </w:p>
    <w:p>
      <w:pPr>
        <w:ind w:left="2120" w:right="239" w:hanging="345"/>
        <w:spacing w:after="0" w:line="261" w:lineRule="auto"/>
        <w:tabs>
          <w:tab w:leader="none" w:pos="21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will assume all liabilities (i) for wages, salaries, incentive compensation and other compensation or benefits payable to any SpinCo Employees following the Distribution Time (except to the extent earned or accrued prior to the Distribution Time and included in Net Working Capital or SpinCo Indebtedness, (ii) under all SpinCo Benefit Plans and (iii) otherwise expressly assumed or retained by the SpinCo Group under the Employee Matters Agreement.</w:t>
      </w:r>
    </w:p>
    <w:p>
      <w:pPr>
        <w:spacing w:after="0" w:line="67" w:lineRule="exact"/>
        <w:rPr>
          <w:rFonts w:ascii="Times New Roman" w:cs="Times New Roman" w:eastAsia="Times New Roman" w:hAnsi="Times New Roman"/>
          <w:sz w:val="14"/>
          <w:szCs w:val="14"/>
          <w:color w:val="auto"/>
        </w:rPr>
      </w:pPr>
    </w:p>
    <w:p>
      <w:pPr>
        <w:ind w:left="2120" w:right="299" w:hanging="345"/>
        <w:spacing w:after="0" w:line="257" w:lineRule="auto"/>
        <w:tabs>
          <w:tab w:leader="none" w:pos="21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Modine will retain all liabilities (i) for wages, salaries, incentive compensation and other compensation or benefits payable to any Modine Employees at any time or earned or accrued by any SpinCo Employees prior to the Distribution Time (to the extent not included in Net Working Capital or SpinCo Indebtedness), (ii) under all Modine Benefit Plans (other than those related to a SpinCo Employee that are included in Net Working Capital or SpinCo Indebtedness, but including the Modine Defined Benefit Plan), (iii) expressly assumed or retained by Modine under the Employee Matters Agreement and (iv) associated with (a) SpinCo Employees to the extent related to any period prior to the Distribution Time and not assumed by SpinCo and (b) Modine Employees and former employees.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Post-Closing Preservation of Compensation and Benefits</w:t>
      </w:r>
    </w:p>
    <w:p>
      <w:pPr>
        <w:spacing w:after="0" w:line="93"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During the 12-month period following the Distribution Time, the Employee Matters Agreement generally provides that Gentherm will, or will cause SpinCo to, provide each SpinCo Employee who is employed by SpinCo or its affiliates after the Distribution Time (the “Continuing Employees”) with compensation and benefits at certain levels, including (i) a base salary or wage rate that is no less favorable than that in effect for such Continuing Employee immediately prior to the Distribution Time, (ii) target annual cash incentive compensation and other short-term cash incentive opportunities that are no less favorable than those in effect for such Continuing Employee immediately prior to the Distribution Time, (iii) other employee benefits (subject to certain customary exclusions) that are substantially comparable, in the aggregate, to those in effect for such Continuing Employee immediately prior to the Distribution Time and (iv) in connection with a qualifying termination of employment, severance benefits that are no less favorable than the greater of those in effect for such Continuing Employee immediately prior to the Distribution Time and those provided to similarly situated employees of Gentherm and its affiliates at the time of such termination.</w:t>
      </w:r>
    </w:p>
    <w:p>
      <w:pPr>
        <w:spacing w:after="0" w:line="149"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In addition, if the Distribution Date occurs prior to the date long-term incentives are provided by Modine to its employees in calendar year 2027, Gentherm will provide certain equity-eligible SpinCo Employees with long-term compensation awards in such calendar year that are substantially similar in grant date fair value to the equity awards such SpinCo Employee received from Modine in calendar year 2025 (or would have received had they been eligible at such time) (subject to certain exclusions for non-ordinary course grants); provided, for any such SpinCo Employee who did not receive a Modine PS Award in calendar year 2025, such award may be made in the form of cash or a cash-based award.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Treatment of Equity Incentive Awards</w:t>
      </w:r>
    </w:p>
    <w:p>
      <w:pPr>
        <w:spacing w:after="0" w:line="93"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The Employee Matters Agreement provides generally that, prior to the Effective Time, Modine and Gentherm will take all actions that are determined to be necessary or advisable to effectuate the specified treatment of certain Modine equity incentive awards granted to SpinCo Employees under the Modine equity plans.</w:t>
      </w:r>
    </w:p>
    <w:p>
      <w:pPr>
        <w:spacing w:after="0" w:line="136" w:lineRule="exact"/>
        <w:rPr>
          <w:sz w:val="20"/>
          <w:szCs w:val="20"/>
          <w:color w:val="auto"/>
        </w:rPr>
      </w:pPr>
    </w:p>
    <w:p>
      <w:pPr>
        <w:ind w:left="1360" w:right="859" w:firstLine="343"/>
        <w:spacing w:after="0" w:line="283" w:lineRule="auto"/>
        <w:rPr>
          <w:sz w:val="20"/>
          <w:szCs w:val="20"/>
          <w:color w:val="auto"/>
        </w:rPr>
      </w:pPr>
      <w:r>
        <w:rPr>
          <w:rFonts w:ascii="Times New Roman" w:cs="Times New Roman" w:eastAsia="Times New Roman" w:hAnsi="Times New Roman"/>
          <w:sz w:val="14"/>
          <w:szCs w:val="14"/>
          <w:color w:val="auto"/>
        </w:rPr>
        <w:t>Modine equity incentive awards held by employees or former employees of Modine who are not SpinCo Employees or held by Modine non-employee directors, will not be converted into or substituted with awards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154</w:t>
      </w:r>
    </w:p>
    <w:p>
      <w:pPr>
        <w:sectPr>
          <w:pgSz w:w="11900" w:h="16838" w:orient="portrait"/>
          <w:cols w:equalWidth="0" w:num="1">
            <w:col w:w="10159"/>
          </w:cols>
          <w:pgMar w:left="300" w:top="386"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relating to Gentherm Common Stock. Instead, those awards will remain outstanding as awards in respect of shares of Modine Common Stock, subject to adjustment to reflect the Transactions in such manner as determined by Modine in its sole discretion and in accordance with the applicable Modine equity plans and agreements underlying such equity incentive awards. The Transactions will not automatically result in the accelerated vesting of any of these awards.</w:t>
      </w:r>
    </w:p>
    <w:p>
      <w:pPr>
        <w:spacing w:after="0" w:line="141"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Pursuant to the Employee Matters Agreement, at the Effective Time, each outstanding Modine Option Award, Modine RSU Award and Modine PS Award held by a SpinCo Employee will be converted into, or substituted with, a corresponding award with respect to Gentherm Common Stock, as follows:</w:t>
      </w:r>
    </w:p>
    <w:p>
      <w:pPr>
        <w:spacing w:after="0" w:line="62" w:lineRule="exact"/>
        <w:rPr>
          <w:sz w:val="20"/>
          <w:szCs w:val="20"/>
          <w:color w:val="auto"/>
        </w:rPr>
      </w:pPr>
    </w:p>
    <w:p>
      <w:pPr>
        <w:ind w:left="2120" w:right="239" w:hanging="345"/>
        <w:spacing w:after="0" w:line="254" w:lineRule="auto"/>
        <w:tabs>
          <w:tab w:leader="none" w:pos="212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Modine Option Award: Each outstanding Modine Option Award (whether vested or unvested) held by a SpinCo Employee as of immediately prior to the Distribution Time will be converted, as of the Effective Time, into a Gentherm Option Award, subject to the same terms and conditions (including with respect to vesting and expiration) as were applicable to the Modine Option Award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w:t>
      </w:r>
    </w:p>
    <w:p>
      <w:pPr>
        <w:spacing w:after="0" w:line="72" w:lineRule="exact"/>
        <w:rPr>
          <w:rFonts w:ascii="Times New Roman" w:cs="Times New Roman" w:eastAsia="Times New Roman" w:hAnsi="Times New Roman"/>
          <w:sz w:val="14"/>
          <w:szCs w:val="14"/>
          <w:color w:val="auto"/>
        </w:rPr>
      </w:pPr>
    </w:p>
    <w:p>
      <w:pPr>
        <w:ind w:left="2120" w:right="219" w:hanging="345"/>
        <w:spacing w:after="0" w:line="256" w:lineRule="auto"/>
        <w:tabs>
          <w:tab w:leader="none" w:pos="212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Modine RSU Award: Each Modine RSU Award held by a SpinCo Employee immediately prior to the Distribution Time will be converted, as of the Effective Time, into a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w:t>
      </w:r>
    </w:p>
    <w:p>
      <w:pPr>
        <w:spacing w:after="0" w:line="69" w:lineRule="exact"/>
        <w:rPr>
          <w:rFonts w:ascii="Times New Roman" w:cs="Times New Roman" w:eastAsia="Times New Roman" w:hAnsi="Times New Roman"/>
          <w:sz w:val="14"/>
          <w:szCs w:val="14"/>
          <w:color w:val="auto"/>
        </w:rPr>
      </w:pPr>
    </w:p>
    <w:p>
      <w:pPr>
        <w:ind w:left="2120" w:right="239" w:hanging="345"/>
        <w:spacing w:after="0" w:line="254" w:lineRule="auto"/>
        <w:tabs>
          <w:tab w:leader="none" w:pos="212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Modine PS Award: Each Modine PS Award held by a SpinCo Employee immediately prior to the Distribution Time will be converted, as of the Effective Time, into a Gentherm RSU Award, subject to the same terms and conditions (including with respect to settlement and vesting, except that performance conditions will no longer apply) after the Effective Time as were applicable to such Modine PS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w:t>
      </w:r>
    </w:p>
    <w:p>
      <w:pPr>
        <w:spacing w:after="0" w:line="149"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The Employee Matters Agreement provides that, with respect to each SpinCo Employee who received a Modine PS Award in 2025 (or would have been eligible to receive such award if such SpinCo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Employee in connection with the conversion of their outstanding Modine Awards that would be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155</w:t>
      </w:r>
    </w:p>
    <w:p>
      <w:pPr>
        <w:sectPr>
          <w:pgSz w:w="11900" w:h="16838" w:orient="portrait"/>
          <w:cols w:equalWidth="0" w:num="1">
            <w:col w:w="10159"/>
          </w:cols>
          <w:pgMar w:left="300" w:top="386"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859"/>
        <w:spacing w:after="0" w:line="283" w:lineRule="auto"/>
        <w:rPr>
          <w:sz w:val="20"/>
          <w:szCs w:val="20"/>
          <w:color w:val="auto"/>
        </w:rPr>
      </w:pPr>
      <w:r>
        <w:rPr>
          <w:rFonts w:ascii="Times New Roman" w:cs="Times New Roman" w:eastAsia="Times New Roman" w:hAnsi="Times New Roman"/>
          <w:sz w:val="14"/>
          <w:szCs w:val="14"/>
          <w:color w:val="auto"/>
        </w:rPr>
        <w:t>eligible to vest in the 12 month period following such termination will vest and, for Gentherm Option Awards, become exercisable, as of such termination.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Treatment of Other Forms of Employee Compensation and Benefits</w:t>
      </w:r>
    </w:p>
    <w:p>
      <w:pPr>
        <w:spacing w:after="0" w:line="102" w:lineRule="exact"/>
        <w:rPr>
          <w:sz w:val="20"/>
          <w:szCs w:val="20"/>
          <w:color w:val="auto"/>
        </w:rPr>
      </w:pPr>
    </w:p>
    <w:p>
      <w:pPr>
        <w:ind w:left="2120" w:right="279" w:hanging="345"/>
        <w:spacing w:after="0" w:line="262" w:lineRule="auto"/>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Service Crediting</w:t>
      </w:r>
      <w:r>
        <w:rPr>
          <w:rFonts w:ascii="Times New Roman" w:cs="Times New Roman" w:eastAsia="Times New Roman" w:hAnsi="Times New Roman"/>
          <w:sz w:val="14"/>
          <w:szCs w:val="14"/>
          <w:color w:val="auto"/>
        </w:rPr>
        <w:t>. As of the Distribution Time or, if later, the end date of benefits coverage pursuant to the Transition Services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SpinCo Benefit Plans shall, and Gentherm or SpinCo will cause the Gentherm Benefit Plans to, recognize the prior service of each Continuing Employee with Modine or any of its subsidiaries for purposes of eligibility to participate, vesting, determining the level of severance and paid-time-off benefits and for any other purposes required by applicable non-U.S. Law, subject to certain exceptions.</w:t>
      </w:r>
    </w:p>
    <w:p>
      <w:pPr>
        <w:spacing w:after="0" w:line="64" w:lineRule="exact"/>
        <w:rPr>
          <w:rFonts w:ascii="Times New Roman" w:cs="Times New Roman" w:eastAsia="Times New Roman" w:hAnsi="Times New Roman"/>
          <w:sz w:val="14"/>
          <w:szCs w:val="14"/>
          <w:color w:val="auto"/>
        </w:rPr>
      </w:pPr>
    </w:p>
    <w:p>
      <w:pPr>
        <w:ind w:left="2120" w:right="259" w:hanging="345"/>
        <w:spacing w:after="0" w:line="255" w:lineRule="auto"/>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Pre-Existing Conditions and Deductible Crediting</w:t>
      </w:r>
      <w:r>
        <w:rPr>
          <w:rFonts w:ascii="Times New Roman" w:cs="Times New Roman" w:eastAsia="Times New Roman" w:hAnsi="Times New Roman"/>
          <w:sz w:val="14"/>
          <w:szCs w:val="14"/>
          <w:color w:val="auto"/>
        </w:rPr>
        <w:t>. Gentherm or SpinCo will (a) waive (or, solely with respect to fully insured benefit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plans, use commercially reasonable efforts to waive) as of and after the Distribution Time (or, if later, the end date of the applicable benefits coverage pursuant to the Transition Services Agreement) any limitation on health and welfare benefit coverage due to pre-existing conditions, waiting periods, active employment requirements and requirements to show evidence of good health and (b) if the Distribution Date (or, if later, the end date of the applicable benefits coverage pursuant to the Transition Services Agreement) does not occur at the end of the plan year of the applicable Modine Benefit Plan, use commercially reasonable efforts to credit Continuing Employees with all deductible payments, co-payments and coinsurance paid by and credited to the Continuing Employee under the corresponding Modine Benefit Plan prior to the Distribution Date (or, if later, the end date of the applicable benefits coverage pursuant to the Transition Services Agreement).</w:t>
      </w:r>
    </w:p>
    <w:p>
      <w:pPr>
        <w:spacing w:after="0" w:line="68" w:lineRule="exact"/>
        <w:rPr>
          <w:rFonts w:ascii="Times New Roman" w:cs="Times New Roman" w:eastAsia="Times New Roman" w:hAnsi="Times New Roman"/>
          <w:sz w:val="14"/>
          <w:szCs w:val="14"/>
          <w:color w:val="auto"/>
        </w:rPr>
      </w:pPr>
    </w:p>
    <w:p>
      <w:pPr>
        <w:ind w:left="2120" w:right="239" w:hanging="345"/>
        <w:spacing w:after="0" w:line="254" w:lineRule="auto"/>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Cash Incentive Awards</w:t>
      </w:r>
      <w:r>
        <w:rPr>
          <w:rFonts w:ascii="Times New Roman" w:cs="Times New Roman" w:eastAsia="Times New Roman" w:hAnsi="Times New Roman"/>
          <w:sz w:val="14"/>
          <w:szCs w:val="14"/>
          <w:color w:val="auto"/>
        </w:rPr>
        <w:t>. For all non-equity incentive awards or entitlements that may become payable to SpinCo Employees for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periods that are open as of the Distribution Date (the “Cash Incentive Awards”), Modine will establish corresponding plans at SpinCo to govern such Cash Incentive Awards through the Distribution Date. The performance period under such plans will be deemed to end as of the Distribution Date and will be measured based on actual performance through such date, with amounts earned to be paid on the earlier of (i) the date such Cash Incentive Awards would have otherwise been paid under the Modine plan and (ii) the date Gentherm customarily pays annual incentive compensation under Gentherm’s short-term incentive arrangements (such date, the “STI Payment Date”). From the Distribution Date, Gentherm will continue all Cash Incentive Awards until the earlier of (i) the end of the calendar year in which the Distribution Date occurs and (ii) the end of the original performance period for the applicable Cash Incentive Award at SpinCo; provided, that Gentherm will make the associated payments on the STI Payment Date assuming target performance and, to the extent actual performance for the period exceeds target, make an additional “true up” payment for such excess at the time Gentherm customarily pays annual incentive compensation under Gentherm’s short-term incentive arrangements.</w:t>
      </w:r>
    </w:p>
    <w:p>
      <w:pPr>
        <w:spacing w:after="0" w:line="70" w:lineRule="exact"/>
        <w:rPr>
          <w:rFonts w:ascii="Times New Roman" w:cs="Times New Roman" w:eastAsia="Times New Roman" w:hAnsi="Times New Roman"/>
          <w:sz w:val="14"/>
          <w:szCs w:val="14"/>
          <w:color w:val="auto"/>
        </w:rPr>
      </w:pPr>
    </w:p>
    <w:p>
      <w:pPr>
        <w:ind w:left="2120" w:right="339" w:hanging="345"/>
        <w:spacing w:after="0" w:line="255" w:lineRule="auto"/>
        <w:tabs>
          <w:tab w:leader="none" w:pos="212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Reimbursement Account Plans</w:t>
      </w:r>
      <w:r>
        <w:rPr>
          <w:rFonts w:ascii="Times New Roman" w:cs="Times New Roman" w:eastAsia="Times New Roman" w:hAnsi="Times New Roman"/>
          <w:sz w:val="14"/>
          <w:szCs w:val="14"/>
          <w:color w:val="auto"/>
        </w:rPr>
        <w:t>. Effective on the Distribution Time (or if later, the end date of the applicable benefits coverage under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Transition Services Agreement), Continuing Employees who are participating in the Modine Reimbursement Account Plan will cease participation in such plan and become eligible to commence participation in a reimbursement account plan adopted or designated by SpinCo or its affiliates (including Gentherm). If the Distribution Time (or if later, the end date of the applicable benefits coverage under a Transition Services Agreement), does not occur at the end of the plan year for the Modine flexible reimbursement account plans, Modine and Gentherm will use commercially reasonable efforts to transfer account balances under such plans into a corresponding flexible reimbursement account plan of Gentherm or its affiliates (including, after the Distribution Time, SpinCo) and Gentherm or its applicable affiliate will assume responsibility for all outstanding claims under the Modine Reimbursement Account Plan for the year in which the Distribution Time (or if later, the end date of the applicable benefits coverage under a Transition Services Agreement) occurs.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156</w:t>
      </w:r>
    </w:p>
    <w:p>
      <w:pPr>
        <w:sectPr>
          <w:pgSz w:w="11900" w:h="16838" w:orient="portrait"/>
          <w:cols w:equalWidth="0" w:num="1">
            <w:col w:w="10159"/>
          </w:cols>
          <w:pgMar w:left="300" w:top="386"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120" w:right="239" w:hanging="345"/>
        <w:spacing w:after="0" w:line="281" w:lineRule="auto"/>
        <w:tabs>
          <w:tab w:leader="none" w:pos="2120"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Nonqualified Deferred Compensation Plans</w:t>
      </w:r>
      <w:r>
        <w:rPr>
          <w:rFonts w:ascii="Times New Roman" w:cs="Times New Roman" w:eastAsia="Times New Roman" w:hAnsi="Times New Roman"/>
          <w:sz w:val="13"/>
          <w:szCs w:val="13"/>
          <w:color w:val="auto"/>
        </w:rPr>
        <w:t>. Prior to the Distribution Time, Gentherm or its affiliate will assume all obligations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Continuing Employees under the Modine Manufacturing Company Deferred Compensation Plan and roll over, on a book-entry basis, such account balances in a manner intended to comply with Section 409A. In addition to the extent reflected in SpinCo Indebtedness as provided under the Separation Agreement, for 2026, Gentherm will make a contribution under the Gentherm Deferred Compensation Plan for any Continuing Employee who would have received a contribution under the Modine Manufacturing Company Deferred Compensation Plan had he or she remained employed by Modine, prorated to reflect the portion of the plan year prior to the Distribution Time.</w:t>
      </w:r>
    </w:p>
    <w:p>
      <w:pPr>
        <w:spacing w:after="0" w:line="53" w:lineRule="exact"/>
        <w:rPr>
          <w:rFonts w:ascii="Times New Roman" w:cs="Times New Roman" w:eastAsia="Times New Roman" w:hAnsi="Times New Roman"/>
          <w:sz w:val="13"/>
          <w:szCs w:val="13"/>
          <w:color w:val="auto"/>
        </w:rPr>
      </w:pPr>
    </w:p>
    <w:p>
      <w:pPr>
        <w:ind w:left="2120" w:right="259" w:hanging="345"/>
        <w:spacing w:after="0" w:line="255" w:lineRule="auto"/>
        <w:tabs>
          <w:tab w:leader="none" w:pos="21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401(k) Plans</w:t>
      </w:r>
      <w:r>
        <w:rPr>
          <w:rFonts w:ascii="Times New Roman" w:cs="Times New Roman" w:eastAsia="Times New Roman" w:hAnsi="Times New Roman"/>
          <w:sz w:val="14"/>
          <w:szCs w:val="14"/>
          <w:color w:val="auto"/>
        </w:rPr>
        <w:t>. Effective on the Distribution Date, Continuing Employees who are participating in the Modine 401(k) Plan will cease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participation in such plan and become eligible to commence participation in a 401(k) plan adopted or designated by SpinCo or its affiliates (including Gentherm) (the “SpinCo 401(k) Plan”) and be entitled to receive a distribution of their account balances under the Modine 401(k) Plan, and Modine will cause such individuals to become fully vested in their account balances under the Modine 401(k) Plan. As soon as practicable after the Distribution Date, the parties shall take all actions as may be reasonably required to permit each Continuing Employee to make rollover contributions in cash (and, subject to certain requirements, loan notes) in an amount equal to the entire rollover distribution distributable to such Continuing Employee from the Modine 401(k) Plan to the SpinCo 401(k) Plan, in accordance with the requirements of Section 402(c) of the Code and the terms of the Modine 401(k) Plan and the SpinCo 401(k) Plan.</w:t>
      </w:r>
    </w:p>
    <w:p>
      <w:pPr>
        <w:spacing w:after="0" w:line="71" w:lineRule="exact"/>
        <w:rPr>
          <w:rFonts w:ascii="Times New Roman" w:cs="Times New Roman" w:eastAsia="Times New Roman" w:hAnsi="Times New Roman"/>
          <w:sz w:val="14"/>
          <w:szCs w:val="14"/>
          <w:color w:val="auto"/>
        </w:rPr>
      </w:pPr>
    </w:p>
    <w:p>
      <w:pPr>
        <w:ind w:left="2120" w:right="259" w:hanging="345"/>
        <w:spacing w:after="0" w:line="262" w:lineRule="auto"/>
        <w:tabs>
          <w:tab w:leader="none" w:pos="21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Foreign Pension Plans</w:t>
      </w:r>
      <w:r>
        <w:rPr>
          <w:rFonts w:ascii="Times New Roman" w:cs="Times New Roman" w:eastAsia="Times New Roman" w:hAnsi="Times New Roman"/>
          <w:sz w:val="14"/>
          <w:szCs w:val="14"/>
          <w:color w:val="auto"/>
        </w:rPr>
        <w:t>. Effective as of no later than the Distribution Time, to the extent required by applicable law, SpinCo will assume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liabilities relating to non-U.S. SpinCo Employees under benefit plans of Modine that provide defined benefit pension, termination indemnities or similar retirement or post-employment benefits (including post-employment medical and life insurance benefits), and, where funded, an associated transfer of assets will occur in accordance with applicable law.</w:t>
      </w:r>
    </w:p>
    <w:p>
      <w:pPr>
        <w:spacing w:after="0" w:line="64" w:lineRule="exact"/>
        <w:rPr>
          <w:rFonts w:ascii="Times New Roman" w:cs="Times New Roman" w:eastAsia="Times New Roman" w:hAnsi="Times New Roman"/>
          <w:sz w:val="14"/>
          <w:szCs w:val="14"/>
          <w:color w:val="auto"/>
        </w:rPr>
      </w:pPr>
    </w:p>
    <w:p>
      <w:pPr>
        <w:ind w:left="2120" w:right="319" w:hanging="345"/>
        <w:spacing w:after="0" w:line="262" w:lineRule="auto"/>
        <w:tabs>
          <w:tab w:leader="none" w:pos="21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Paid Time Off</w:t>
      </w:r>
      <w:r>
        <w:rPr>
          <w:rFonts w:ascii="Times New Roman" w:cs="Times New Roman" w:eastAsia="Times New Roman" w:hAnsi="Times New Roman"/>
          <w:sz w:val="14"/>
          <w:szCs w:val="14"/>
          <w:color w:val="auto"/>
        </w:rPr>
        <w:t>. From and after the Distribution Time, unless otherwise required by applicable law, the SpinCo Group will credit and allow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each SpinCo Employee to use any vacation or other paid time off accrued as of the Distribution Time in accordance with the terms of the SpinCo Benefit Plan or applicable Gentherm Benefit Plan as in effect as of immediately after the Distribution Time. The Modine Group will retain all such liabilities with respect to the Modine Employees and former employees.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157</w:t>
      </w:r>
    </w:p>
    <w:p>
      <w:pPr>
        <w:sectPr>
          <w:pgSz w:w="11900" w:h="16838" w:orient="portrait"/>
          <w:cols w:equalWidth="0" w:num="1">
            <w:col w:w="10159"/>
          </w:cols>
          <w:pgMar w:left="300" w:top="386"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DESCRIPTION OF CAPITAL STOCK OF GENTHERM AND THE COMBINED COMPANY</w:t>
      </w:r>
    </w:p>
    <w:p>
      <w:pPr>
        <w:spacing w:after="0" w:line="175"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As a result of the Distribution, all of the issued and outstanding shares of SpinCo Common Stock held by Modine will be distributed to the holders of Modine Common Stock. Immediately after the Distribution, Merger Sub will merge with and into SpinCo and all shares of SpinCo Common Stock (other than shares held by Modine, SpinCo, Gentherm, Merger Sub or their respective subsidiaries, if any, which shares will be cancelled) will be converted into the right to receive shares of Gentherm Common Stock equal to the Exchange Ratio. The following description of the material terms of the Gentherm Common Stock is a summary only and is not a complete description of such terms. This description is subject to, and is qualified in its entirety by reference to, the applicable provisions of Michigan law, the Gentherm Charter and the Gentherm Bylaws. Each of the Gentherm Charter and the Gentherm Bylaws are incorporated by reference into this the registration statement of which this proxy statement/prospectus is a part. To find out where copies of these documents can be obtained, see the section entitled “Where You Can Find More Information; Incorporation by Reference.”</w:t>
      </w:r>
    </w:p>
    <w:p>
      <w:pPr>
        <w:spacing w:after="0" w:line="23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Under the Gentherm Charter, as in effect as of the date hereof, Gentherm has the authority to issue up to 55,000,000 shares of common stock, no par value, and 4,991,000 shares of preferred stock, no par value. As of the date of this proxy statement/prospectus,        shares of Gentherm Common Stock are issued and outstanding. As of the Record Date,        shares of Gentherm Common Stock were issued and outstanding. Gentherm Common Stock is registered under the Exchange Act and is listed on Nasdaq under the symbol “THRM.”</w:t>
      </w:r>
    </w:p>
    <w:p>
      <w:pPr>
        <w:spacing w:after="0" w:line="141"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The rights, preferences and privileges of holders of Gentherm Common Stock are subject to the rights of the holders of shares of any series of preferred stock that Gentherm may designate and issue in the future.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Holders of Gentherm Common Stock are entitled to one vote for each share held on all matters submitted to a vote of shareholders and do not have cumulative voting rights. The Gentherm Bylaws provide that director nominees will be elected by a plurality of the votes cast by holders of shares entitled to vote thereon. Each other matter to be voted on by shareholders requires the affirmative vote of a majority of the votes cast by holders of shares entitled to vote on the action to be approved, unless the affirmative vote of a greater number or voting by classes is required by the MBCA or the Gentherm Charter.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 Rights</w:t>
      </w:r>
    </w:p>
    <w:p>
      <w:pPr>
        <w:spacing w:after="0" w:line="9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Subject to the rights of holders of any outstanding shares of preferred stock, holders of Gentherm Common Stock are entitled to receive dividends, if any, as may be declared from time to time by the Gentherm Board in its discretion out of funds legally available for the payment of dividends. Dividends may be paid in cash, in property, or in shares of Gentherm’s capital stock, subject to the Gentherm Charter.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9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Subject to the rights of holders of any outstanding shares of preferred stock, holders of Gentherm Common Stock will share ratably in all assets legally available for distribution to Gentherm shareholders in the event of dissolution.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Effects of the Michigan Business Corporation Act and Gentherm’s Charter and Gentherm Bylaws</w:t>
      </w:r>
    </w:p>
    <w:p>
      <w:pPr>
        <w:spacing w:after="0" w:line="93" w:lineRule="exact"/>
        <w:rPr>
          <w:sz w:val="20"/>
          <w:szCs w:val="20"/>
          <w:color w:val="auto"/>
        </w:rPr>
      </w:pPr>
    </w:p>
    <w:p>
      <w:pPr>
        <w:ind w:left="1360" w:right="899" w:firstLine="343"/>
        <w:spacing w:after="0" w:line="283" w:lineRule="auto"/>
        <w:rPr>
          <w:sz w:val="20"/>
          <w:szCs w:val="20"/>
          <w:color w:val="auto"/>
        </w:rPr>
      </w:pPr>
      <w:r>
        <w:rPr>
          <w:rFonts w:ascii="Times New Roman" w:cs="Times New Roman" w:eastAsia="Times New Roman" w:hAnsi="Times New Roman"/>
          <w:sz w:val="14"/>
          <w:szCs w:val="14"/>
          <w:color w:val="auto"/>
        </w:rPr>
        <w:t>The MBCA, Gentherm Charter and the Gentherm Bylaws contain certain provisions that may discourage, delay, or prevent a change in Gentherm’s management or control over Gentherm. Gentherm expects that these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158</w:t>
      </w:r>
    </w:p>
    <w:p>
      <w:pPr>
        <w:sectPr>
          <w:pgSz w:w="11900" w:h="16838" w:orient="portrait"/>
          <w:cols w:equalWidth="0" w:num="1">
            <w:col w:w="10159"/>
          </w:cols>
          <w:pgMar w:left="300" w:top="386"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provisions, which are summarized below, will discourage coercive takeover practices or inadequate takeover bids. These provisions are also designed to encourage persons seeking to acquire control of Gentherm to first negotiate with the Gentherm Board, which Gentherm believes may result in an improvement of the terms of any such acquisition in favor of its shareholders. However, they may also discourage acquisitions that some shareholders may favor.</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Special Meeting of Shareholders and Advance Notice Requirements for Shareholder Proposals</w:t>
      </w:r>
    </w:p>
    <w:p>
      <w:pPr>
        <w:spacing w:after="0" w:line="93"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Gentherm Bylaws provide that a special meeting of Gentherm shareholders may only be called by the Gentherm Board, the Chairman of the Gentherm Board or Gentherm’s Chief Executive Officer, or by Gentherm at the request in writing of shareholders holding at least twenty-five percent (25%) of the number of shares of stock outstanding and entitled to vote at such meeting.</w:t>
      </w:r>
    </w:p>
    <w:p>
      <w:pPr>
        <w:spacing w:after="0" w:line="136" w:lineRule="exact"/>
        <w:rPr>
          <w:sz w:val="20"/>
          <w:szCs w:val="20"/>
          <w:color w:val="auto"/>
        </w:rPr>
      </w:pPr>
    </w:p>
    <w:p>
      <w:pPr>
        <w:ind w:left="1360" w:right="259" w:firstLine="343"/>
        <w:spacing w:after="0" w:line="233" w:lineRule="auto"/>
        <w:rPr>
          <w:sz w:val="20"/>
          <w:szCs w:val="20"/>
          <w:color w:val="auto"/>
        </w:rPr>
      </w:pPr>
      <w:r>
        <w:rPr>
          <w:rFonts w:ascii="Times New Roman" w:cs="Times New Roman" w:eastAsia="Times New Roman" w:hAnsi="Times New Roman"/>
          <w:sz w:val="14"/>
          <w:szCs w:val="14"/>
          <w:color w:val="auto"/>
        </w:rPr>
        <w:t>The Gentherm Bylaws provide that nominations of persons for election to the Gentherm Board and the proposal of any other business to be considered by Gentherm shareholders, may be made at any annual meeting of shareholders, or at any special meeting of shareholders called for such purpose, (i) by or at the direction of the Gentherm Board or (ii) by any shareholder of Gentherm who (a) is a shareholder of record on the date that the notice required by the Gentherm Bylaws is given, on the record date for the determination of shareholders entitled to vote at such meeting and at the time of the meeting, (b) is entitled to vote at such meeting and (c) who complies with the notice procedures set forth in the Gentherm Bylaws. In addition to any other applicable requirements, for a nomination to be made or other business to be properly brought before an annual or special meeting by a shareholder pursuant to the Gentherm Bylaws, such shareholder must give timely notice of any such proposal in proper written form to the Gentherm Secretary. To be timely, a shareholder’s notice must be delivered to the Secretary (1) in the case of an annual meeting, not earlier than the close of business on the 120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calendar day prior to the first anniversary of the date of the preceding year’s annual meeting and no later than the close of business on the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calendar day prior to the first anniversary of the date of the preceding year’s annual meeting; provided, however, that in the event that the date of the annual meeting is more than 30 calendar days before or more than 60 calendar days after the anniversary date of the preceding year’s annual meeting, or if no annual meeting was held in the preceding year, notice by the shareholder to be timely must be so delivered no earlier than the close of business on the 120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calendar day prior to the date of such annual meeting and no later than the close of business on the later of the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calendar day prior to the date of such annual meeting or the tenth calendar day following the calendar day on which Gentherm first makes public announcement of the date of such meeting; and (2) in the case of a special meeting of shareholders, no earlier than the close of business on the 120th calendar day prior to the date of such special meeting and no later than the close of business on the later of the 90th calendar day prior to the date of such special meeting or the tenth calendar day following the calendar day on which Gentherm first makes public announcement of the date of such meeting. In no event shall the public announcement of an adjournment or postponement of an annual or a special meeting commence a new time period (or extend any time period) for the giving of a shareholder’s notice as described above.</w:t>
      </w:r>
    </w:p>
    <w:p>
      <w:pPr>
        <w:spacing w:after="0" w:line="160"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These provisions could have the effect of delaying until the next shareholder meeting any shareholder actions that are favored by the holders of a majority of Gentherm’s outstanding voting securities.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Removal and Interim Election of Directors</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shareholders may remove, with or without cause, any director and fill the vacancy by vote of holders of a majority of shares entitled to vote at an election of directors, unless the Gentherm Charter or MBCA require a higher vote for the removal of a director without cause. Vacancies caused by any such removal and not filled by the shareholders at the meeting at which such removal was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or if the number of directors in office constitutes less than a quorum, by the affirmative vote of a</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159</w:t>
      </w:r>
    </w:p>
    <w:p>
      <w:pPr>
        <w:sectPr>
          <w:pgSz w:w="11900" w:h="16838" w:orient="portrait"/>
          <w:cols w:equalWidth="0" w:num="1">
            <w:col w:w="10159"/>
          </w:cols>
          <w:pgMar w:left="300" w:top="386"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majority of directors or the director remaining in office, or by the shareholders. Any director so elected to fill any such vacancy or newly created directorship will hold office until his successor is elected and qualified or until his earlier death, resignation or removal.</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Amendment to Gentherm Charter and Gentherm Bylaws</w:t>
      </w:r>
    </w:p>
    <w:p>
      <w:pPr>
        <w:spacing w:after="0" w:line="93"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The Gentherm Bylaws, other than a bylaw or an amendment of a bylaw changing the authorized number of directors, may be amended or repealed, or new bylaws may be adopted, by the Gentherm Board by unanimous written consent of the Gentherm Board or at any regular or special meeting by the affirmative vote of a majority of the members of the Gentherm Board present at such meeting provided that a quorum is present at such meeting. The Gentherm Bylaws may be altered, amended or repealed and other bylaws may be adopted by the holders of a majority of the total outstanding stock of Gentherm entitled to vote at any meeting of shareholders.</w:t>
      </w:r>
    </w:p>
    <w:p>
      <w:pPr>
        <w:spacing w:after="0" w:line="14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Any provision of the Gentherm Charter may be amended or repealed from time to time and at any time in the manner prescribed by the laws of the state of Michigan. The MBCA provides generally that the affirmative vote of a majority of the outstanding stock entitled to vote on amendments to a corporation’s articles of incorporation is required to approve such amendment.</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Exclusive Jurisdiction of Certain Actions</w:t>
      </w:r>
    </w:p>
    <w:p>
      <w:pPr>
        <w:spacing w:after="0" w:line="93"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Unless Gentherm consents in writing to the selection of an alternative forum, the Gentherm Bylaws require that the courts of the State of Michigan located in Oakland County and the United States District Court for the Eastern District of Michigan be the sole and exclusive forum for (i) any derivative action or proceeding brought on Gentherm’s behalf, (ii) any action asserting a claim of breach of fiduciary duty owed by any of Gentherm’s directors, officers or employees to Gentherm or to Gentherm’s shareholders, (iii) any action asserting a claim arising pursuant to any provision of the MBCA, or (iv) any action asserting a claim otherwise governed by the State of Michigan’s “internal affairs doctrine.” Although Gentherm believes this provision benefits Gentherm by providing increased consistency in the application of Michigan law in the types of lawsuits to which it applies, the provision may have the effect of discouraging lawsuits against Gentherm’s directors, officers or employees.</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Shares</w:t>
      </w:r>
    </w:p>
    <w:p>
      <w:pPr>
        <w:spacing w:after="0" w:line="93" w:lineRule="exact"/>
        <w:rPr>
          <w:sz w:val="20"/>
          <w:szCs w:val="20"/>
          <w:color w:val="auto"/>
        </w:rPr>
      </w:pPr>
    </w:p>
    <w:p>
      <w:pPr>
        <w:ind w:left="1360" w:right="219" w:firstLine="343"/>
        <w:spacing w:after="0" w:line="283" w:lineRule="auto"/>
        <w:rPr>
          <w:sz w:val="20"/>
          <w:szCs w:val="20"/>
          <w:color w:val="auto"/>
        </w:rPr>
      </w:pPr>
      <w:r>
        <w:rPr>
          <w:rFonts w:ascii="Times New Roman" w:cs="Times New Roman" w:eastAsia="Times New Roman" w:hAnsi="Times New Roman"/>
          <w:sz w:val="13"/>
          <w:szCs w:val="13"/>
          <w:color w:val="auto"/>
        </w:rPr>
        <w:t>The Gentherm Board is authorized to issue preferred stock in one or more series and to determine the terms of Gentherm’s preferred stock without shareholder approval (unless required by applicable law or the rules of any stock exchange on which Gentherm’s securities are listed or traded). The terms of a series of preferred stock could impede the completion of a merger, tender offer or other takeover attempt, or otherwise discourage attempts by third parties to obtain control of Gentherm, including by making such attempts more difficult or costly. For example, the Gentherm Board may be able to issue preferred stock with voting rights or conversion rights that, if exercised, could adversely affect the voting power of the holders of common stock.</w:t>
      </w:r>
    </w:p>
    <w:p>
      <w:pPr>
        <w:spacing w:after="0" w:line="2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93"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The MBCA provides that shareholders of a Michigan corporation do not have the right to cumulate their votes in the election of directors unless the company’s articles of incorporation provide otherwise. The Gentherm Charter does not provide for cumulative voting.</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Michigan Fair Price Statute</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Gentherm is subject to the provisions contained in Sections 780 to 784 of the MBCA, which contain Michigan’s fair price statute. In general, these sections of the MBCA provide that, in addition to any other vote required by the MBCA or a company’s articles of incorporation, a Michigan corporation subject to the statute cannot engage in any business combination with an interested shareholder (generally, a beneficial owner of 10% or more of the voting power of the corporation), unless:</w:t>
      </w:r>
    </w:p>
    <w:p>
      <w:pPr>
        <w:spacing w:after="0" w:line="67" w:lineRule="exact"/>
        <w:rPr>
          <w:sz w:val="20"/>
          <w:szCs w:val="20"/>
          <w:color w:val="auto"/>
        </w:rPr>
      </w:pPr>
    </w:p>
    <w:p>
      <w:pPr>
        <w:ind w:left="5540" w:right="2859" w:hanging="3765"/>
        <w:spacing w:after="0" w:line="455" w:lineRule="auto"/>
        <w:tabs>
          <w:tab w:leader="none" w:pos="2113"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issues an advisory statement in favor of the business combination; and 160</w:t>
      </w:r>
    </w:p>
    <w:p>
      <w:pPr>
        <w:sectPr>
          <w:pgSz w:w="11900" w:h="16838" w:orient="portrait"/>
          <w:cols w:equalWidth="0" w:num="1">
            <w:col w:w="10159"/>
          </w:cols>
          <w:pgMar w:left="300" w:top="386"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2120" w:right="299" w:hanging="345"/>
        <w:spacing w:after="0" w:line="267" w:lineRule="auto"/>
        <w:tabs>
          <w:tab w:leader="none" w:pos="21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is approved by at least (i) 90% of the votes of each class of stock that is entitled to vote and (ii) two-thirds of the votes of each class of stock entitled to vote, excluding any shares that are beneficially owned by the interested shareholder or any affiliate or associate of the interested shareholder.</w:t>
      </w:r>
    </w:p>
    <w:p>
      <w:pPr>
        <w:spacing w:after="0" w:line="136"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This shareholder approval requirement does not apply if (i) the Gentherm Board approves or exempts the transaction with a particular interested shareholder from such requirements prior to the time the person became an interested shareholder or (ii) certain minimum price and specified fairness conditions are satisfied, and the person involved in the business combination has been an interested shareholder for at least 5 years.</w:t>
      </w:r>
    </w:p>
    <w:p>
      <w:pPr>
        <w:spacing w:after="0" w:line="136"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Michigan’s fair price statute may have the effect of delaying or discouraging a person who would be an interested shareholder from effecting various business combinations with Gentherm and may encourage persons interested in acquiring Gentherm to negotiate in advance with the Gentherm Board. It is possible that these provisions could make it more difficult to accomplish transactions which Gentherm’s shareholders may otherwise deem to be in their best interests.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Computershare Trust Company, N.A. is the transfer agent and registrar for Gentherm Common Stock.</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161</w:t>
      </w:r>
    </w:p>
    <w:p>
      <w:pPr>
        <w:sectPr>
          <w:pgSz w:w="11900" w:h="16838" w:orient="portrait"/>
          <w:cols w:equalWidth="0" w:num="1">
            <w:col w:w="10159"/>
          </w:cols>
          <w:pgMar w:left="300" w:top="386"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DESCRIPTION OF SPINCO COMMON STOCK</w:t>
      </w:r>
    </w:p>
    <w:p>
      <w:pPr>
        <w:spacing w:after="0" w:line="177"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following description of the material terms of the SpinCo Common Stock includes a summary of certain provisions of SpinCo’s certificate of incorporation and by-laws. The summaries and descriptions below do not purport to be complete statements of the relevant provisions of SpinCo’s certificate of incorporation or SpinCo’s by-laws.</w:t>
      </w:r>
    </w:p>
    <w:p>
      <w:pPr>
        <w:spacing w:after="0" w:line="136"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SpinCo’s authorized capital stock currently consists of 5,000 shares of common stock, par value $0.001 per share. A holder of SpinCo Common Stock is entitled to one vote for each share on all matters to be voted upon by the holders of SpinCo Common Stock, and there are no cumulative voting rights. The holders of SpinCo Common Stock are entitled to receive ratably the dividends, if any, as may be declared from time to time by SpinCo’s board of directors out of funds legally available for that purpose. If there is a liquidation, dissolution or winding up of SpinCo, then the holders of SpinCo Common Stock will be entitled to ratable distribution of its assets remaining after the payment in full of its liabilities. Holders of SpinCo Common Stock have no preemptive or conversion rights or other subscription rights, and there are no redemption or sinking fund provisions applicable to the SpinCo Common Stock.</w:t>
      </w:r>
    </w:p>
    <w:p>
      <w:pPr>
        <w:spacing w:after="0" w:line="144"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 xml:space="preserve">Prior to the Distribution, SpinCo will amend its certificate of incorporation to increase the number of authorized shares of SpinCo Common Stock so that it exceeds the number of shares to be distributed to Modine shareholders in connection with the Distribution. Modine will cause Modine’s shareholders on the Distribution Record Date to receive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all of the outstanding shares of SpinCo Common Stock. Holders of Modine Common Stock will retain all of their shares of Modine Common Stock, and the Transactions will not affect any rights of Modine shareholders with respect to those shares.</w:t>
      </w:r>
    </w:p>
    <w:p>
      <w:pPr>
        <w:spacing w:after="0" w:line="144"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As a result of the Merger, each issued and outstanding share of SpinCo Common Stock will be automatically converted into the right to receive a number of fully paid and non-assessable shares of Gentherm Common Stock based on the Exchange Ratio set forth in the Merger Agreement. See the section entitled “The Transactions—Calculation and Adjustments to the Exchange Ratio; Amount of Gentherm Special Dividend.”</w:t>
      </w:r>
    </w:p>
    <w:p>
      <w:pPr>
        <w:spacing w:after="0" w:line="136"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No trading market currently exists or ever will exist for SpinCo Common Stock. Modine and Modine shareholders will not be able to trade SpinCo Common Stock before or after it is automatically converted into the right to receive Gentherm Common Stock in the Merger.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162</w:t>
      </w:r>
    </w:p>
    <w:p>
      <w:pPr>
        <w:sectPr>
          <w:pgSz w:w="11900" w:h="16838" w:orient="portrait"/>
          <w:cols w:equalWidth="0" w:num="1">
            <w:col w:w="10159"/>
          </w:cols>
          <w:pgMar w:left="300" w:top="386"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COMPARISON OF SHAREHOLDERS’ RIGHTS</w:t>
      </w:r>
    </w:p>
    <w:p>
      <w:pPr>
        <w:spacing w:after="0" w:line="177"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Gentherm is incorporated in the State of Michigan and the rights of Gentherm shareholders are governed by Michigan law, including the MBCA, and by the Gentherm Charter and the Gentherm Bylaws. Modine is incorporated in the State of Wisconsin and the rights of Modine shareholders are governed by Wisconsin law, including the WBCL, and by Modine’s amended and restated articles of incorporation (the “Modine Charter”) and Modine’s amended and restated bylaws (the “Modine Bylaws”). Holders of Modine Common Stock will, with respect to the shares of SpinCo Common Stock they receive in the Distribution, receive shares of Gentherm Common Stock in the Merger and become Gentherm shareholders, and their rights with respect to the Gentherm Common Stock will be governed by Michigan law, the Gentherm Charter and the Gentherm Bylaws.</w:t>
      </w:r>
    </w:p>
    <w:p>
      <w:pPr>
        <w:spacing w:after="0" w:line="143"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The following description summarizes the material differences between the rights associated with Modine Common Stock and Gentherm Common Stock that may affect Modine shareholders who obtain shares of Gentherm Common Stock in connection with the Merger. While Modine and Gentherm believe this summary covers the material provisions and differences between the rights associated with Modine Common Stock and Gentherm Common Stock, this summary may not contain all of the information that is important to you and does not purport to be a complete discussion of shareholders’ rights. The following description is qualified in its entirety by, and Modine shareholders should read carefully, the relevant provisions of the MBCA, WBCL, the Modine Charter, the Modine Bylaws, the Gentherm Charter and the Gentherm Bylaws. The Modine Charter has been publicly filed with the SEC as Exhibit 3.1 to Modine’s Annual Report on Form 10-K filed on May 24, 2018 (the amended and restated articles of incorporation). The Modine Bylaws have been publicly filed with the SEC as Exhibit 3.1 to Modine’s Current Report on Form 8-K filed on January 19, 2023. You should carefully read this entire proxy statement/prospectus and the other documents referenced in this proxy statement/prospectus for a more complete understanding of the differences between being a shareholder of Gentherm and being a shareholder of Modine. Copies of the respective companies’ constituent documents have been filed with the SEC. To find out where copies of these documents can be obtained, see the section entitled “Where You Can Find More Information; Incorporation by Reference.”</w:t>
      </w:r>
    </w:p>
    <w:p>
      <w:pPr>
        <w:spacing w:after="0" w:line="150"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6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The following table sets forth the authorized and issued capital stock of Gentherm as of             ,        </w:t>
            </w:r>
          </w:p>
        </w:tc>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   and the estimated pro forma</w:t>
            </w:r>
          </w:p>
        </w:tc>
      </w:tr>
      <w:tr>
        <w:trPr>
          <w:trHeight w:val="18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authorized and issued capital stock of Modine as of             ,             , after giving effect to the Transactions.</w:t>
            </w:r>
          </w:p>
        </w:tc>
        <w:tc>
          <w:tcPr>
            <w:tcW w:w="2260" w:type="dxa"/>
            <w:vAlign w:val="bottom"/>
          </w:tcPr>
          <w:p>
            <w:pPr>
              <w:spacing w:after="0"/>
              <w:rPr>
                <w:sz w:val="15"/>
                <w:szCs w:val="15"/>
                <w:color w:val="auto"/>
              </w:rPr>
            </w:pPr>
          </w:p>
        </w:tc>
      </w:tr>
      <w:tr>
        <w:trPr>
          <w:trHeight w:val="315"/>
        </w:trPr>
        <w:tc>
          <w:tcPr>
            <w:tcW w:w="63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1"/>
                <w:szCs w:val="11"/>
                <w:color w:val="auto"/>
              </w:rPr>
              <w:t>Modine</w:t>
            </w:r>
          </w:p>
        </w:tc>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Gentherm</w:t>
            </w:r>
          </w:p>
        </w:tc>
      </w:tr>
      <w:tr>
        <w:trPr>
          <w:trHeight w:val="316"/>
        </w:trPr>
        <w:tc>
          <w:tcPr>
            <w:tcW w:w="6320" w:type="dxa"/>
            <w:vAlign w:val="bottom"/>
          </w:tcPr>
          <w:p>
            <w:pPr>
              <w:ind w:left="3000"/>
              <w:spacing w:after="0"/>
              <w:rPr>
                <w:sz w:val="20"/>
                <w:szCs w:val="20"/>
                <w:color w:val="auto"/>
              </w:rPr>
            </w:pPr>
            <w:r>
              <w:rPr>
                <w:rFonts w:ascii="Times New Roman" w:cs="Times New Roman" w:eastAsia="Times New Roman" w:hAnsi="Times New Roman"/>
                <w:sz w:val="14"/>
                <w:szCs w:val="14"/>
                <w:b w:val="1"/>
                <w:bCs w:val="1"/>
                <w:color w:val="auto"/>
              </w:rPr>
              <w:t>Authorized and Outstanding Capital Stock</w:t>
            </w:r>
          </w:p>
        </w:tc>
        <w:tc>
          <w:tcPr>
            <w:tcW w:w="2260" w:type="dxa"/>
            <w:vAlign w:val="bottom"/>
          </w:tcPr>
          <w:p>
            <w:pPr>
              <w:spacing w:after="0"/>
              <w:rPr>
                <w:sz w:val="24"/>
                <w:szCs w:val="24"/>
                <w:color w:val="auto"/>
              </w:rPr>
            </w:pPr>
          </w:p>
        </w:tc>
      </w:tr>
    </w:tbl>
    <w:p>
      <w:pPr>
        <w:spacing w:after="0" w:line="69" w:lineRule="exact"/>
        <w:rPr>
          <w:sz w:val="20"/>
          <w:szCs w:val="20"/>
          <w:color w:val="auto"/>
        </w:rPr>
      </w:pPr>
    </w:p>
    <w:p>
      <w:pPr>
        <w:sectPr>
          <w:pgSz w:w="11900" w:h="16838" w:orient="portrait"/>
          <w:cols w:equalWidth="0" w:num="1">
            <w:col w:w="10159"/>
          </w:cols>
          <w:pgMar w:left="300" w:top="386" w:right="1440" w:bottom="1440" w:gutter="0" w:footer="0" w:header="0"/>
        </w:sectPr>
      </w:pPr>
    </w:p>
    <w:p>
      <w:pPr>
        <w:ind w:left="1360" w:right="40"/>
        <w:spacing w:after="0" w:line="267" w:lineRule="auto"/>
        <w:rPr>
          <w:sz w:val="20"/>
          <w:szCs w:val="20"/>
          <w:color w:val="auto"/>
        </w:rPr>
      </w:pPr>
      <w:r>
        <w:rPr>
          <w:rFonts w:ascii="Times New Roman" w:cs="Times New Roman" w:eastAsia="Times New Roman" w:hAnsi="Times New Roman"/>
          <w:sz w:val="14"/>
          <w:szCs w:val="14"/>
          <w:color w:val="auto"/>
        </w:rPr>
        <w:t>The authorized capital stock of Modine currently is comprised of (i) 80,000,000 shares of common stock, $0.625 par value per share and (ii) 16,000,000 shares of preferred stock, $0.025 par value per share.</w:t>
      </w:r>
    </w:p>
    <w:p>
      <w:pPr>
        <w:spacing w:after="0" w:line="157" w:lineRule="exact"/>
        <w:rPr>
          <w:sz w:val="20"/>
          <w:szCs w:val="20"/>
          <w:color w:val="auto"/>
        </w:rPr>
      </w:pPr>
    </w:p>
    <w:p>
      <w:pPr>
        <w:ind w:left="1360"/>
        <w:spacing w:after="0" w:line="283" w:lineRule="auto"/>
        <w:rPr>
          <w:sz w:val="20"/>
          <w:szCs w:val="20"/>
          <w:color w:val="auto"/>
        </w:rPr>
      </w:pPr>
      <w:r>
        <w:rPr>
          <w:rFonts w:ascii="Times New Roman" w:cs="Times New Roman" w:eastAsia="Times New Roman" w:hAnsi="Times New Roman"/>
          <w:sz w:val="14"/>
          <w:szCs w:val="14"/>
          <w:color w:val="auto"/>
        </w:rPr>
        <w:t>As of the Record Date, there were         shares of Modine Common Stock outstanding.</w:t>
      </w:r>
    </w:p>
    <w:p>
      <w:pPr>
        <w:spacing w:after="0" w:line="20" w:lineRule="exact"/>
        <w:rPr>
          <w:sz w:val="20"/>
          <w:szCs w:val="20"/>
          <w:color w:val="auto"/>
        </w:rPr>
      </w:pPr>
      <w:r>
        <w:rPr>
          <w:sz w:val="20"/>
          <w:szCs w:val="20"/>
          <w:color w:val="auto"/>
        </w:rPr>
        <w:br w:type="column"/>
      </w:r>
    </w:p>
    <w:p>
      <w:pPr>
        <w:jc w:val="both"/>
        <w:ind w:right="279"/>
        <w:spacing w:after="0" w:line="267" w:lineRule="auto"/>
        <w:rPr>
          <w:sz w:val="20"/>
          <w:szCs w:val="20"/>
          <w:color w:val="auto"/>
        </w:rPr>
      </w:pPr>
      <w:r>
        <w:rPr>
          <w:rFonts w:ascii="Times New Roman" w:cs="Times New Roman" w:eastAsia="Times New Roman" w:hAnsi="Times New Roman"/>
          <w:sz w:val="14"/>
          <w:szCs w:val="14"/>
          <w:color w:val="auto"/>
        </w:rPr>
        <w:t>Under the Gentherm Charter, Gentherm has the authority to issue up to 55,000,000 shares of common stock and 4,991,000 shares of preferred stock.</w:t>
      </w:r>
    </w:p>
    <w:p>
      <w:pPr>
        <w:spacing w:after="0" w:line="157" w:lineRule="exact"/>
        <w:rPr>
          <w:sz w:val="20"/>
          <w:szCs w:val="20"/>
          <w:color w:val="auto"/>
        </w:rPr>
      </w:pPr>
    </w:p>
    <w:p>
      <w:pPr>
        <w:ind w:right="259"/>
        <w:spacing w:after="0" w:line="267" w:lineRule="auto"/>
        <w:rPr>
          <w:sz w:val="20"/>
          <w:szCs w:val="20"/>
          <w:color w:val="auto"/>
        </w:rPr>
      </w:pPr>
      <w:r>
        <w:rPr>
          <w:rFonts w:ascii="Times New Roman" w:cs="Times New Roman" w:eastAsia="Times New Roman" w:hAnsi="Times New Roman"/>
          <w:sz w:val="14"/>
          <w:szCs w:val="14"/>
          <w:color w:val="auto"/>
        </w:rPr>
        <w:t>Under the Charter Amendment Proposal, if approved, Gentherm would have the authority to issue up to 110,000,000 shares of common stock and 4,991,000 shares of preferred stock.</w:t>
      </w:r>
    </w:p>
    <w:p>
      <w:pPr>
        <w:spacing w:after="0" w:line="157" w:lineRule="exact"/>
        <w:rPr>
          <w:sz w:val="20"/>
          <w:szCs w:val="20"/>
          <w:color w:val="auto"/>
        </w:rPr>
      </w:pPr>
    </w:p>
    <w:p>
      <w:pPr>
        <w:ind w:right="619"/>
        <w:spacing w:after="0" w:line="283" w:lineRule="auto"/>
        <w:rPr>
          <w:sz w:val="20"/>
          <w:szCs w:val="20"/>
          <w:color w:val="auto"/>
        </w:rPr>
      </w:pPr>
      <w:r>
        <w:rPr>
          <w:rFonts w:ascii="Times New Roman" w:cs="Times New Roman" w:eastAsia="Times New Roman" w:hAnsi="Times New Roman"/>
          <w:sz w:val="14"/>
          <w:szCs w:val="14"/>
          <w:color w:val="auto"/>
        </w:rPr>
        <w:t>As of the Record Date, there were         shares of Gentherm Common Stock outstanding.</w:t>
      </w:r>
    </w:p>
    <w:p>
      <w:pPr>
        <w:spacing w:after="0" w:line="133" w:lineRule="exact"/>
        <w:rPr>
          <w:sz w:val="20"/>
          <w:szCs w:val="20"/>
          <w:color w:val="auto"/>
        </w:rPr>
      </w:pPr>
    </w:p>
    <w:p>
      <w:pPr>
        <w:sectPr>
          <w:pgSz w:w="11900" w:h="16838" w:orient="portrait"/>
          <w:cols w:equalWidth="0" w:num="2">
            <w:col w:w="5420" w:space="480"/>
            <w:col w:w="4259"/>
          </w:cols>
          <w:pgMar w:left="300" w:top="386" w:right="1440" w:bottom="1440" w:gutter="0" w:footer="0" w:header="0"/>
          <w:type w:val="continuous"/>
        </w:sectPr>
      </w:pPr>
    </w:p>
    <w:p>
      <w:pPr>
        <w:ind w:left="5180"/>
        <w:spacing w:after="0"/>
        <w:rPr>
          <w:sz w:val="20"/>
          <w:szCs w:val="20"/>
          <w:color w:val="auto"/>
        </w:rPr>
      </w:pPr>
      <w:r>
        <w:rPr>
          <w:rFonts w:ascii="Times New Roman" w:cs="Times New Roman" w:eastAsia="Times New Roman" w:hAnsi="Times New Roman"/>
          <w:sz w:val="13"/>
          <w:szCs w:val="13"/>
          <w:b w:val="1"/>
          <w:bCs w:val="1"/>
          <w:color w:val="auto"/>
        </w:rPr>
        <w:t>Preferred Stock</w:t>
      </w:r>
    </w:p>
    <w:p>
      <w:pPr>
        <w:sectPr>
          <w:pgSz w:w="11900" w:h="16838" w:orient="portrait"/>
          <w:cols w:equalWidth="0" w:num="1">
            <w:col w:w="10159"/>
          </w:cols>
          <w:pgMar w:left="300" w:top="386" w:right="1440" w:bottom="1440" w:gutter="0" w:footer="0" w:header="0"/>
          <w:type w:val="continuous"/>
        </w:sectPr>
      </w:pPr>
    </w:p>
    <w:p>
      <w:pPr>
        <w:spacing w:after="0" w:line="105" w:lineRule="exact"/>
        <w:rPr>
          <w:sz w:val="20"/>
          <w:szCs w:val="20"/>
          <w:color w:val="auto"/>
        </w:rPr>
      </w:pPr>
    </w:p>
    <w:p>
      <w:pPr>
        <w:ind w:left="1360" w:right="120"/>
        <w:spacing w:after="0" w:line="261" w:lineRule="auto"/>
        <w:rPr>
          <w:sz w:val="20"/>
          <w:szCs w:val="20"/>
          <w:color w:val="auto"/>
        </w:rPr>
      </w:pPr>
      <w:r>
        <w:rPr>
          <w:rFonts w:ascii="Times New Roman" w:cs="Times New Roman" w:eastAsia="Times New Roman" w:hAnsi="Times New Roman"/>
          <w:sz w:val="14"/>
          <w:szCs w:val="14"/>
          <w:color w:val="auto"/>
        </w:rPr>
        <w:t>The Modine Charter grants, subject to certain limitations, the Modine Board authority to fix, by resolution or resolutions adopted prior to the issuance of any shares of each particular series of the preferred stock, the designation, powers, privileges, preferences,</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99"/>
        <w:spacing w:after="0" w:line="261" w:lineRule="auto"/>
        <w:rPr>
          <w:sz w:val="20"/>
          <w:szCs w:val="20"/>
          <w:color w:val="auto"/>
        </w:rPr>
      </w:pPr>
      <w:r>
        <w:rPr>
          <w:rFonts w:ascii="Times New Roman" w:cs="Times New Roman" w:eastAsia="Times New Roman" w:hAnsi="Times New Roman"/>
          <w:sz w:val="14"/>
          <w:szCs w:val="14"/>
          <w:color w:val="auto"/>
        </w:rPr>
        <w:t>Under the Gentherm Charter, the Gentherm Board is authorized to issue one or more series of preferred stock and to fix the designations, voting and other rights, preferences, privileges and restrictions granted to or imposed upon such preferred stock.</w:t>
      </w:r>
    </w:p>
    <w:p>
      <w:pPr>
        <w:sectPr>
          <w:pgSz w:w="11900" w:h="16838" w:orient="portrait"/>
          <w:cols w:equalWidth="0" w:num="2">
            <w:col w:w="5740" w:space="160"/>
            <w:col w:w="4259"/>
          </w:cols>
          <w:pgMar w:left="300" w:top="386" w:right="1440"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62" w:lineRule="exact"/>
        <w:rPr>
          <w:sz w:val="20"/>
          <w:szCs w:val="20"/>
          <w:color w:val="auto"/>
        </w:rPr>
      </w:pPr>
    </w:p>
    <w:p>
      <w:pPr>
        <w:ind w:left="1360"/>
        <w:spacing w:after="0" w:line="283" w:lineRule="auto"/>
        <w:rPr>
          <w:sz w:val="20"/>
          <w:szCs w:val="20"/>
          <w:color w:val="auto"/>
        </w:rPr>
      </w:pPr>
      <w:r>
        <w:rPr>
          <w:rFonts w:ascii="Times New Roman" w:cs="Times New Roman" w:eastAsia="Times New Roman" w:hAnsi="Times New Roman"/>
          <w:sz w:val="14"/>
          <w:szCs w:val="14"/>
          <w:color w:val="auto"/>
        </w:rPr>
        <w:t>and relative participating, optional or other rights, if any, of the shares of each such series and the qualifications, limitations or restrictions thereof.</w:t>
      </w:r>
    </w:p>
    <w:p>
      <w:pPr>
        <w:spacing w:after="0" w:line="146" w:lineRule="exact"/>
        <w:rPr>
          <w:sz w:val="20"/>
          <w:szCs w:val="20"/>
          <w:color w:val="auto"/>
        </w:rPr>
      </w:pPr>
    </w:p>
    <w:p>
      <w:pPr>
        <w:ind w:left="1360" w:right="500"/>
        <w:spacing w:after="0" w:line="283" w:lineRule="auto"/>
        <w:rPr>
          <w:sz w:val="20"/>
          <w:szCs w:val="20"/>
          <w:color w:val="auto"/>
        </w:rPr>
      </w:pPr>
      <w:r>
        <w:rPr>
          <w:rFonts w:ascii="Times New Roman" w:cs="Times New Roman" w:eastAsia="Times New Roman" w:hAnsi="Times New Roman"/>
          <w:sz w:val="14"/>
          <w:szCs w:val="14"/>
          <w:color w:val="auto"/>
        </w:rPr>
        <w:t>As of the Record Date, there are no shares of Modine preferred stock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right="259"/>
        <w:spacing w:after="0" w:line="283" w:lineRule="auto"/>
        <w:rPr>
          <w:sz w:val="20"/>
          <w:szCs w:val="20"/>
          <w:color w:val="auto"/>
        </w:rPr>
      </w:pPr>
      <w:r>
        <w:rPr>
          <w:rFonts w:ascii="Times New Roman" w:cs="Times New Roman" w:eastAsia="Times New Roman" w:hAnsi="Times New Roman"/>
          <w:sz w:val="14"/>
          <w:szCs w:val="14"/>
          <w:color w:val="auto"/>
        </w:rPr>
        <w:t>As of the Record Date, there are no shares of Gentherm preferred stock outstanding.</w:t>
      </w:r>
    </w:p>
    <w:p>
      <w:pPr>
        <w:spacing w:after="0" w:line="469" w:lineRule="exact"/>
        <w:rPr>
          <w:sz w:val="20"/>
          <w:szCs w:val="20"/>
          <w:color w:val="auto"/>
        </w:rPr>
      </w:pPr>
    </w:p>
    <w:p>
      <w:pPr>
        <w:sectPr>
          <w:pgSz w:w="11900" w:h="16838" w:orient="portrait"/>
          <w:cols w:equalWidth="0" w:num="2">
            <w:col w:w="5720" w:space="180"/>
            <w:col w:w="4259"/>
          </w:cols>
          <w:pgMar w:left="300" w:top="386" w:right="1440" w:bottom="1440" w:gutter="0" w:footer="0" w:header="0"/>
          <w:type w:val="continuous"/>
        </w:sectPr>
      </w:pPr>
    </w:p>
    <w:p>
      <w:pPr>
        <w:ind w:left="5240"/>
        <w:spacing w:after="0"/>
        <w:rPr>
          <w:sz w:val="20"/>
          <w:szCs w:val="20"/>
          <w:color w:val="auto"/>
        </w:rPr>
      </w:pPr>
      <w:r>
        <w:rPr>
          <w:rFonts w:ascii="Times New Roman" w:cs="Times New Roman" w:eastAsia="Times New Roman" w:hAnsi="Times New Roman"/>
          <w:sz w:val="13"/>
          <w:szCs w:val="13"/>
          <w:b w:val="1"/>
          <w:bCs w:val="1"/>
          <w:color w:val="auto"/>
        </w:rPr>
        <w:t>Voting Rights</w:t>
      </w:r>
    </w:p>
    <w:p>
      <w:pPr>
        <w:sectPr>
          <w:pgSz w:w="11900" w:h="16838" w:orient="portrait"/>
          <w:cols w:equalWidth="0" w:num="1">
            <w:col w:w="10159"/>
          </w:cols>
          <w:pgMar w:left="300" w:top="386" w:right="1440" w:bottom="1440" w:gutter="0" w:footer="0" w:header="0"/>
          <w:type w:val="continuous"/>
        </w:sectPr>
      </w:pPr>
    </w:p>
    <w:p>
      <w:pPr>
        <w:spacing w:after="0" w:line="105" w:lineRule="exact"/>
        <w:rPr>
          <w:sz w:val="20"/>
          <w:szCs w:val="20"/>
          <w:color w:val="auto"/>
        </w:rPr>
      </w:pPr>
    </w:p>
    <w:p>
      <w:pPr>
        <w:jc w:val="both"/>
        <w:ind w:left="1360" w:right="100"/>
        <w:spacing w:after="0" w:line="267" w:lineRule="auto"/>
        <w:rPr>
          <w:sz w:val="20"/>
          <w:szCs w:val="20"/>
          <w:color w:val="auto"/>
        </w:rPr>
      </w:pPr>
      <w:r>
        <w:rPr>
          <w:rFonts w:ascii="Times New Roman" w:cs="Times New Roman" w:eastAsia="Times New Roman" w:hAnsi="Times New Roman"/>
          <w:sz w:val="14"/>
          <w:szCs w:val="14"/>
          <w:color w:val="auto"/>
        </w:rPr>
        <w:t>Every shareholder of Modine Common Stock is entitled to one vote for each share of common stock held by the shareholder on each matter voted on at a meeting of shareholders of Modine.</w:t>
      </w:r>
    </w:p>
    <w:p>
      <w:pPr>
        <w:spacing w:after="0" w:line="157" w:lineRule="exact"/>
        <w:rPr>
          <w:sz w:val="20"/>
          <w:szCs w:val="20"/>
          <w:color w:val="auto"/>
        </w:rPr>
      </w:pPr>
    </w:p>
    <w:p>
      <w:pPr>
        <w:ind w:left="1360"/>
        <w:spacing w:after="0" w:line="254" w:lineRule="auto"/>
        <w:rPr>
          <w:sz w:val="20"/>
          <w:szCs w:val="20"/>
          <w:color w:val="auto"/>
        </w:rPr>
      </w:pPr>
      <w:r>
        <w:rPr>
          <w:rFonts w:ascii="Times New Roman" w:cs="Times New Roman" w:eastAsia="Times New Roman" w:hAnsi="Times New Roman"/>
          <w:sz w:val="14"/>
          <w:szCs w:val="14"/>
          <w:color w:val="auto"/>
        </w:rPr>
        <w:t>If a quorum exists, all matters (other than the election of directors) shall be approved if the votes cast favoring the matter exceed the votes cast opposing the matter unless a greater number of affirmative votes is required by law, the Modine Charter or the Modine Bylaws. In a non-contested election, directors shall be elected by a majority of the votes cast by holders of shares of Modine Common Stock entitled to vote in the election at a shareholder meeting at which a quorum is present. In a contested election, directors shall be elected by a plurality of the votes cast by holders of shares of Modine Common Stock entitled to vote in the election at a shareholder meeting at which a quorum is present.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79"/>
        <w:spacing w:after="0" w:line="257" w:lineRule="auto"/>
        <w:rPr>
          <w:sz w:val="20"/>
          <w:szCs w:val="20"/>
          <w:color w:val="auto"/>
        </w:rPr>
      </w:pPr>
      <w:r>
        <w:rPr>
          <w:rFonts w:ascii="Times New Roman" w:cs="Times New Roman" w:eastAsia="Times New Roman" w:hAnsi="Times New Roman"/>
          <w:sz w:val="14"/>
          <w:szCs w:val="14"/>
          <w:color w:val="auto"/>
        </w:rPr>
        <w:t>Holders of Gentherm Common Stock are entitled to one vote per share on all matters submitted to a shareholder vote and do not have cumulative voting rights. If the articles of incorporation authorize cumulative voting, a shareholder intending to cumulate votes for the election of directions in accordance with the articles of incorporation must provide timely notice to Gentherm.</w:t>
      </w:r>
    </w:p>
    <w:p>
      <w:pPr>
        <w:spacing w:after="0" w:line="1518" w:lineRule="exact"/>
        <w:rPr>
          <w:sz w:val="20"/>
          <w:szCs w:val="20"/>
          <w:color w:val="auto"/>
        </w:rPr>
      </w:pPr>
    </w:p>
    <w:p>
      <w:pPr>
        <w:sectPr>
          <w:pgSz w:w="11900" w:h="16838" w:orient="portrait"/>
          <w:cols w:equalWidth="0" w:num="2">
            <w:col w:w="5740" w:space="160"/>
            <w:col w:w="4259"/>
          </w:cols>
          <w:pgMar w:left="300" w:top="386" w:right="1440" w:bottom="1440" w:gutter="0" w:footer="0" w:header="0"/>
          <w:type w:val="continuous"/>
        </w:sectPr>
      </w:pPr>
    </w:p>
    <w:p>
      <w:pPr>
        <w:ind w:left="4180"/>
        <w:spacing w:after="0"/>
        <w:rPr>
          <w:sz w:val="20"/>
          <w:szCs w:val="20"/>
          <w:color w:val="auto"/>
        </w:rPr>
      </w:pPr>
      <w:r>
        <w:rPr>
          <w:rFonts w:ascii="Times New Roman" w:cs="Times New Roman" w:eastAsia="Times New Roman" w:hAnsi="Times New Roman"/>
          <w:sz w:val="14"/>
          <w:szCs w:val="14"/>
          <w:b w:val="1"/>
          <w:bCs w:val="1"/>
          <w:color w:val="auto"/>
        </w:rPr>
        <w:t>Number and Classification of Board of Directors</w:t>
      </w:r>
    </w:p>
    <w:p>
      <w:pPr>
        <w:sectPr>
          <w:pgSz w:w="11900" w:h="16838" w:orient="portrait"/>
          <w:cols w:equalWidth="0" w:num="1">
            <w:col w:w="10159"/>
          </w:cols>
          <w:pgMar w:left="300" w:top="386" w:right="1440" w:bottom="1440" w:gutter="0" w:footer="0" w:header="0"/>
          <w:type w:val="continuous"/>
        </w:sectPr>
      </w:pPr>
    </w:p>
    <w:p>
      <w:pPr>
        <w:spacing w:after="0" w:line="91" w:lineRule="exact"/>
        <w:rPr>
          <w:sz w:val="20"/>
          <w:szCs w:val="20"/>
          <w:color w:val="auto"/>
        </w:rPr>
      </w:pPr>
    </w:p>
    <w:p>
      <w:pPr>
        <w:ind w:left="136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Number of Directors. </w:t>
      </w:r>
      <w:r>
        <w:rPr>
          <w:rFonts w:ascii="Times New Roman" w:cs="Times New Roman" w:eastAsia="Times New Roman" w:hAnsi="Times New Roman"/>
          <w:sz w:val="14"/>
          <w:szCs w:val="14"/>
          <w:color w:val="auto"/>
        </w:rPr>
        <w:t>The Modine Charter and Modine Bylaws provide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Modine Board will consist of at least seven and no more than 12 directors, with the total number of directors set by the board of directors from time to time. The Modine Board currently consists of 10 directors.</w:t>
      </w:r>
    </w:p>
    <w:p>
      <w:pPr>
        <w:spacing w:after="0" w:line="159" w:lineRule="exact"/>
        <w:rPr>
          <w:sz w:val="20"/>
          <w:szCs w:val="20"/>
          <w:color w:val="auto"/>
        </w:rPr>
      </w:pPr>
    </w:p>
    <w:p>
      <w:pPr>
        <w:ind w:left="1360" w:right="4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Classified Board. </w:t>
      </w:r>
      <w:r>
        <w:rPr>
          <w:rFonts w:ascii="Times New Roman" w:cs="Times New Roman" w:eastAsia="Times New Roman" w:hAnsi="Times New Roman"/>
          <w:sz w:val="14"/>
          <w:szCs w:val="14"/>
          <w:color w:val="auto"/>
        </w:rPr>
        <w:t>The Modine Charter provides that the Modine Board shall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divided into three (3) classes, (divided as evenly in number as possible) with not more than one class of directors to be elected at each annual meeting of shareholders, excluding election to fill vacancies.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39"/>
        <w:spacing w:after="0" w:line="261" w:lineRule="auto"/>
        <w:rPr>
          <w:sz w:val="20"/>
          <w:szCs w:val="20"/>
          <w:color w:val="auto"/>
        </w:rPr>
      </w:pPr>
      <w:r>
        <w:rPr>
          <w:rFonts w:ascii="Times New Roman" w:cs="Times New Roman" w:eastAsia="Times New Roman" w:hAnsi="Times New Roman"/>
          <w:sz w:val="14"/>
          <w:szCs w:val="14"/>
          <w:color w:val="auto"/>
        </w:rPr>
        <w:t>The Gentherm Bylaws provide that the number of directors shall not be less than seven nor more than 11 with the exact number of directors to be specified by a resolution duly adopted by the Gentherm Board or Gentherm’s shareholders.</w:t>
      </w:r>
    </w:p>
    <w:p>
      <w:pPr>
        <w:spacing w:after="0" w:line="162" w:lineRule="exact"/>
        <w:rPr>
          <w:sz w:val="20"/>
          <w:szCs w:val="20"/>
          <w:color w:val="auto"/>
        </w:rPr>
      </w:pPr>
    </w:p>
    <w:p>
      <w:pPr>
        <w:ind w:right="239"/>
        <w:spacing w:after="0" w:line="258" w:lineRule="auto"/>
        <w:rPr>
          <w:sz w:val="20"/>
          <w:szCs w:val="20"/>
          <w:color w:val="auto"/>
        </w:rPr>
      </w:pPr>
      <w:r>
        <w:rPr>
          <w:rFonts w:ascii="Times New Roman" w:cs="Times New Roman" w:eastAsia="Times New Roman" w:hAnsi="Times New Roman"/>
          <w:sz w:val="14"/>
          <w:szCs w:val="14"/>
          <w:color w:val="auto"/>
        </w:rPr>
        <w:t>The Gentherm Bylaws provide that, except as otherwise provided in the Gentherm Bylaws for filling vacancies, all directors shall be elected to hold office for a term expiring at the next annual meeting of shareholders and shall hold office until their successors have been elected and qualified or until their earlier death, resignation or removal.</w:t>
      </w:r>
    </w:p>
    <w:p>
      <w:pPr>
        <w:spacing w:after="0" w:line="152" w:lineRule="exact"/>
        <w:rPr>
          <w:sz w:val="20"/>
          <w:szCs w:val="20"/>
          <w:color w:val="auto"/>
        </w:rPr>
      </w:pPr>
    </w:p>
    <w:p>
      <w:pPr>
        <w:sectPr>
          <w:pgSz w:w="11900" w:h="16838" w:orient="portrait"/>
          <w:cols w:equalWidth="0" w:num="2">
            <w:col w:w="5740" w:space="160"/>
            <w:col w:w="4259"/>
          </w:cols>
          <w:pgMar w:left="300" w:top="386" w:right="1440" w:bottom="1440" w:gutter="0" w:footer="0" w:header="0"/>
          <w:type w:val="continuous"/>
        </w:sectPr>
      </w:pPr>
    </w:p>
    <w:p>
      <w:pPr>
        <w:ind w:left="5020"/>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ectPr>
          <w:pgSz w:w="11900" w:h="16838" w:orient="portrait"/>
          <w:cols w:equalWidth="0" w:num="1">
            <w:col w:w="10159"/>
          </w:cols>
          <w:pgMar w:left="300" w:top="386" w:right="1440" w:bottom="1440" w:gutter="0" w:footer="0" w:header="0"/>
          <w:type w:val="continuous"/>
        </w:sectPr>
      </w:pPr>
    </w:p>
    <w:p>
      <w:pPr>
        <w:spacing w:after="0" w:line="93" w:lineRule="exact"/>
        <w:rPr>
          <w:sz w:val="20"/>
          <w:szCs w:val="20"/>
          <w:color w:val="auto"/>
        </w:rPr>
      </w:pPr>
    </w:p>
    <w:p>
      <w:pPr>
        <w:ind w:left="1360" w:right="20"/>
        <w:spacing w:after="0" w:line="257" w:lineRule="auto"/>
        <w:rPr>
          <w:sz w:val="20"/>
          <w:szCs w:val="20"/>
          <w:color w:val="auto"/>
        </w:rPr>
      </w:pPr>
      <w:r>
        <w:rPr>
          <w:rFonts w:ascii="Times New Roman" w:cs="Times New Roman" w:eastAsia="Times New Roman" w:hAnsi="Times New Roman"/>
          <w:sz w:val="14"/>
          <w:szCs w:val="14"/>
          <w:color w:val="auto"/>
        </w:rPr>
        <w:t>The Modine Charter and Modine Bylaws provide that, in a non-contested election, directors shall be elected by a majority of the votes cast by holders of shares of Modine Common Stock entitled to vote in the election at a shareholders meeting at which a quorum is present. In a contested election, directors shall be elected by a plurality of the votes cast by holders of Modine Common Stock entitled to vote in the election at a</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579"/>
        <w:spacing w:after="0" w:line="283" w:lineRule="auto"/>
        <w:rPr>
          <w:sz w:val="20"/>
          <w:szCs w:val="20"/>
          <w:color w:val="auto"/>
        </w:rPr>
      </w:pPr>
      <w:r>
        <w:rPr>
          <w:rFonts w:ascii="Times New Roman" w:cs="Times New Roman" w:eastAsia="Times New Roman" w:hAnsi="Times New Roman"/>
          <w:sz w:val="14"/>
          <w:szCs w:val="14"/>
          <w:color w:val="auto"/>
        </w:rPr>
        <w:t>The Gentherm Bylaws provide that a nominee for director will be elected by a plurality of the votes cast.</w:t>
      </w:r>
    </w:p>
    <w:p>
      <w:pPr>
        <w:sectPr>
          <w:pgSz w:w="11900" w:h="16838" w:orient="portrait"/>
          <w:cols w:equalWidth="0" w:num="2">
            <w:col w:w="5740" w:space="160"/>
            <w:col w:w="4259"/>
          </w:cols>
          <w:pgMar w:left="300" w:top="386" w:right="1440"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meeting at which a quorum is present. An election is contested if, as of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record date for the meeting at which the election is held, the number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nominees exceeds the number of directors to be elected.</w:t>
      </w:r>
    </w:p>
    <w:p>
      <w:pPr>
        <w:spacing w:after="0" w:line="159"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4"/>
          <w:szCs w:val="14"/>
          <w:b w:val="1"/>
          <w:bCs w:val="1"/>
          <w:color w:val="auto"/>
        </w:rPr>
        <w:t>Removal of Directors</w:t>
      </w:r>
    </w:p>
    <w:p>
      <w:pPr>
        <w:sectPr>
          <w:pgSz w:w="11900" w:h="16838" w:orient="portrait"/>
          <w:cols w:equalWidth="0" w:num="1">
            <w:col w:w="10159"/>
          </w:cols>
          <w:pgMar w:left="300" w:top="386" w:right="1440" w:bottom="1440" w:gutter="0" w:footer="0" w:header="0"/>
        </w:sectPr>
      </w:pPr>
    </w:p>
    <w:p>
      <w:pPr>
        <w:spacing w:after="0" w:line="93" w:lineRule="exact"/>
        <w:rPr>
          <w:sz w:val="20"/>
          <w:szCs w:val="20"/>
          <w:color w:val="auto"/>
        </w:rPr>
      </w:pPr>
    </w:p>
    <w:p>
      <w:pPr>
        <w:ind w:left="1360"/>
        <w:spacing w:after="0" w:line="258" w:lineRule="auto"/>
        <w:rPr>
          <w:sz w:val="20"/>
          <w:szCs w:val="20"/>
          <w:color w:val="auto"/>
        </w:rPr>
      </w:pPr>
      <w:r>
        <w:rPr>
          <w:rFonts w:ascii="Times New Roman" w:cs="Times New Roman" w:eastAsia="Times New Roman" w:hAnsi="Times New Roman"/>
          <w:sz w:val="14"/>
          <w:szCs w:val="14"/>
          <w:color w:val="auto"/>
        </w:rPr>
        <w:t>The Modine Bylaws provide that a director may be removed from office only upon a showing of good cause, such removal to be by affirmative vote of a majority of the outstanding shares entitled to vote for the election of such director and which removal may only be taken at a special meeting of shareholders called for that purpose.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259"/>
        <w:spacing w:after="0" w:line="267" w:lineRule="auto"/>
        <w:rPr>
          <w:sz w:val="20"/>
          <w:szCs w:val="20"/>
          <w:color w:val="auto"/>
        </w:rPr>
      </w:pPr>
      <w:r>
        <w:rPr>
          <w:rFonts w:ascii="Times New Roman" w:cs="Times New Roman" w:eastAsia="Times New Roman" w:hAnsi="Times New Roman"/>
          <w:sz w:val="14"/>
          <w:szCs w:val="14"/>
          <w:color w:val="auto"/>
        </w:rPr>
        <w:t>The Gentherm Bylaws provide that a director may be removed, with or without cause, by vote of a majority of shareholders entitled to vote at an election of directors.</w:t>
      </w:r>
    </w:p>
    <w:p>
      <w:pPr>
        <w:spacing w:after="0" w:line="470" w:lineRule="exact"/>
        <w:rPr>
          <w:sz w:val="20"/>
          <w:szCs w:val="20"/>
          <w:color w:val="auto"/>
        </w:rPr>
      </w:pPr>
    </w:p>
    <w:p>
      <w:pPr>
        <w:sectPr>
          <w:pgSz w:w="11900" w:h="16838" w:orient="portrait"/>
          <w:cols w:equalWidth="0" w:num="2">
            <w:col w:w="5700" w:space="200"/>
            <w:col w:w="4259"/>
          </w:cols>
          <w:pgMar w:left="300" w:top="386" w:right="1440"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3"/>
          <w:szCs w:val="13"/>
          <w:b w:val="1"/>
          <w:bCs w:val="1"/>
          <w:color w:val="auto"/>
        </w:rPr>
        <w:t>Vacancies on the Board of Directors</w:t>
      </w:r>
    </w:p>
    <w:p>
      <w:pPr>
        <w:sectPr>
          <w:pgSz w:w="11900" w:h="16838" w:orient="portrait"/>
          <w:cols w:equalWidth="0" w:num="1">
            <w:col w:w="10159"/>
          </w:cols>
          <w:pgMar w:left="300" w:top="386" w:right="1440" w:bottom="1440" w:gutter="0" w:footer="0" w:header="0"/>
          <w:type w:val="continuous"/>
        </w:sectPr>
      </w:pPr>
    </w:p>
    <w:p>
      <w:pPr>
        <w:spacing w:after="0" w:line="105" w:lineRule="exact"/>
        <w:rPr>
          <w:sz w:val="20"/>
          <w:szCs w:val="20"/>
          <w:color w:val="auto"/>
        </w:rPr>
      </w:pPr>
    </w:p>
    <w:p>
      <w:pPr>
        <w:ind w:left="1360"/>
        <w:spacing w:after="0" w:line="255" w:lineRule="auto"/>
        <w:rPr>
          <w:sz w:val="20"/>
          <w:szCs w:val="20"/>
          <w:color w:val="auto"/>
        </w:rPr>
      </w:pPr>
      <w:r>
        <w:rPr>
          <w:rFonts w:ascii="Times New Roman" w:cs="Times New Roman" w:eastAsia="Times New Roman" w:hAnsi="Times New Roman"/>
          <w:sz w:val="14"/>
          <w:szCs w:val="14"/>
          <w:color w:val="auto"/>
        </w:rPr>
        <w:t>The Modine Bylaws provide that vacancies on the Modine Board may be filled by a majority of the directors then in office, even if less than a quorum, by Modine/s shareholders or the Modine Board. If the vacant office was held by a director elected by a voting group of Modine shareholders (other than a group constituting all the shareholders), only the holders of shares of that voting group may vote to fill the vacancy if it is filled by the shareholders, and only the remaining directors elected by that voting group may vote to fill the vacancy if it is filled by the directors.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559"/>
        <w:spacing w:after="0" w:line="261" w:lineRule="auto"/>
        <w:rPr>
          <w:sz w:val="20"/>
          <w:szCs w:val="20"/>
          <w:color w:val="auto"/>
        </w:rPr>
      </w:pPr>
      <w:r>
        <w:rPr>
          <w:rFonts w:ascii="Times New Roman" w:cs="Times New Roman" w:eastAsia="Times New Roman" w:hAnsi="Times New Roman"/>
          <w:sz w:val="14"/>
          <w:szCs w:val="14"/>
          <w:color w:val="auto"/>
        </w:rPr>
        <w:t>The Gentherm Bylaws provide that any vacancy on the board of directors may be filled by the affirmative vote of a majority of the directors then in office, even if less than a quorum, or by a sole remaining director, or by Gentherm’s shareholders.</w:t>
      </w:r>
    </w:p>
    <w:p>
      <w:pPr>
        <w:spacing w:after="0" w:line="811" w:lineRule="exact"/>
        <w:rPr>
          <w:sz w:val="20"/>
          <w:szCs w:val="20"/>
          <w:color w:val="auto"/>
        </w:rPr>
      </w:pPr>
    </w:p>
    <w:p>
      <w:pPr>
        <w:sectPr>
          <w:pgSz w:w="11900" w:h="16838" w:orient="portrait"/>
          <w:cols w:equalWidth="0" w:num="2">
            <w:col w:w="5680" w:space="220"/>
            <w:col w:w="4259"/>
          </w:cols>
          <w:pgMar w:left="300" w:top="386" w:right="1440"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3"/>
          <w:szCs w:val="13"/>
          <w:b w:val="1"/>
          <w:bCs w:val="1"/>
          <w:color w:val="auto"/>
        </w:rPr>
        <w:t>Notice of Shareholder Meetings</w:t>
      </w:r>
    </w:p>
    <w:p>
      <w:pPr>
        <w:sectPr>
          <w:pgSz w:w="11900" w:h="16838" w:orient="portrait"/>
          <w:cols w:equalWidth="0" w:num="1">
            <w:col w:w="10159"/>
          </w:cols>
          <w:pgMar w:left="300" w:top="386" w:right="1440" w:bottom="1440" w:gutter="0" w:footer="0" w:header="0"/>
          <w:type w:val="continuous"/>
        </w:sectPr>
      </w:pPr>
    </w:p>
    <w:p>
      <w:pPr>
        <w:spacing w:after="0" w:line="105" w:lineRule="exact"/>
        <w:rPr>
          <w:sz w:val="20"/>
          <w:szCs w:val="20"/>
          <w:color w:val="auto"/>
        </w:rPr>
      </w:pPr>
    </w:p>
    <w:p>
      <w:pPr>
        <w:ind w:left="1360"/>
        <w:spacing w:after="0" w:line="277" w:lineRule="auto"/>
        <w:rPr>
          <w:sz w:val="20"/>
          <w:szCs w:val="20"/>
          <w:color w:val="auto"/>
        </w:rPr>
      </w:pPr>
      <w:r>
        <w:rPr>
          <w:rFonts w:ascii="Times New Roman" w:cs="Times New Roman" w:eastAsia="Times New Roman" w:hAnsi="Times New Roman"/>
          <w:sz w:val="13"/>
          <w:szCs w:val="13"/>
          <w:color w:val="auto"/>
        </w:rPr>
        <w:t>The Modine Bylaws require written notice of each annual or special meeting of shareholders that states the day and hour of the meeting, and in the case of a special meeting, the purpose for which the meeting is called. Unless otherwise required by law, notice must be given to each shareholder of record entitled to vote at the meeting not less than 10 nor more than 60 days before the date of the meeting. Any shareholder may at any time by a duly signed statement in writing to that effect, waive any statutory or other notice of the meeting, whether such statement is signed before or after such meeting.</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59"/>
        <w:spacing w:after="0" w:line="256" w:lineRule="auto"/>
        <w:rPr>
          <w:sz w:val="20"/>
          <w:szCs w:val="20"/>
          <w:color w:val="auto"/>
        </w:rPr>
      </w:pPr>
      <w:r>
        <w:rPr>
          <w:rFonts w:ascii="Times New Roman" w:cs="Times New Roman" w:eastAsia="Times New Roman" w:hAnsi="Times New Roman"/>
          <w:sz w:val="14"/>
          <w:szCs w:val="14"/>
          <w:color w:val="auto"/>
        </w:rPr>
        <w:t>The Gentherm Bylaws provide that written notice of each meeting of shareholders shall be given to each shareholder entitled to vote at such meeting not less than 10 or more than 60 days before the date on which the meeting is to be held. The notice of each annual or special meeting shall state the place, time and purpose of the meeting, and the notice of a special meeting shall also state by or at whose direction it is being called.</w:t>
      </w:r>
    </w:p>
    <w:p>
      <w:pPr>
        <w:spacing w:after="0" w:line="310" w:lineRule="exact"/>
        <w:rPr>
          <w:sz w:val="20"/>
          <w:szCs w:val="20"/>
          <w:color w:val="auto"/>
        </w:rPr>
      </w:pPr>
    </w:p>
    <w:p>
      <w:pPr>
        <w:sectPr>
          <w:pgSz w:w="11900" w:h="16838" w:orient="portrait"/>
          <w:cols w:equalWidth="0" w:num="2">
            <w:col w:w="5700" w:space="200"/>
            <w:col w:w="4259"/>
          </w:cols>
          <w:pgMar w:left="300" w:top="386" w:right="1440" w:bottom="1440" w:gutter="0" w:footer="0" w:header="0"/>
          <w:type w:val="continuous"/>
        </w:sectPr>
      </w:pPr>
    </w:p>
    <w:p>
      <w:pPr>
        <w:ind w:left="4460"/>
        <w:spacing w:after="0"/>
        <w:rPr>
          <w:sz w:val="20"/>
          <w:szCs w:val="20"/>
          <w:color w:val="auto"/>
        </w:rPr>
      </w:pPr>
      <w:r>
        <w:rPr>
          <w:rFonts w:ascii="Times New Roman" w:cs="Times New Roman" w:eastAsia="Times New Roman" w:hAnsi="Times New Roman"/>
          <w:sz w:val="13"/>
          <w:szCs w:val="13"/>
          <w:b w:val="1"/>
          <w:bCs w:val="1"/>
          <w:color w:val="auto"/>
        </w:rPr>
        <w:t>Shareholder Action by Written Consent</w:t>
      </w:r>
    </w:p>
    <w:p>
      <w:pPr>
        <w:sectPr>
          <w:pgSz w:w="11900" w:h="16838" w:orient="portrait"/>
          <w:cols w:equalWidth="0" w:num="1">
            <w:col w:w="10159"/>
          </w:cols>
          <w:pgMar w:left="300" w:top="386" w:right="1440" w:bottom="1440" w:gutter="0" w:footer="0" w:header="0"/>
          <w:type w:val="continuous"/>
        </w:sectPr>
      </w:pPr>
    </w:p>
    <w:p>
      <w:pPr>
        <w:spacing w:after="0" w:line="105" w:lineRule="exact"/>
        <w:rPr>
          <w:sz w:val="20"/>
          <w:szCs w:val="20"/>
          <w:color w:val="auto"/>
        </w:rPr>
      </w:pPr>
    </w:p>
    <w:p>
      <w:pPr>
        <w:jc w:val="both"/>
        <w:ind w:left="1360" w:right="100"/>
        <w:spacing w:after="0" w:line="261" w:lineRule="auto"/>
        <w:rPr>
          <w:sz w:val="20"/>
          <w:szCs w:val="20"/>
          <w:color w:val="auto"/>
        </w:rPr>
      </w:pPr>
      <w:r>
        <w:rPr>
          <w:rFonts w:ascii="Times New Roman" w:cs="Times New Roman" w:eastAsia="Times New Roman" w:hAnsi="Times New Roman"/>
          <w:sz w:val="14"/>
          <w:szCs w:val="14"/>
          <w:color w:val="auto"/>
        </w:rPr>
        <w:t>The Modine Bylaws provide that action required or permitted by the WBCL to be taken at a shareholders’ meeting may be taken without a meeting if all shareholders entitled to vote on the action sign one or more written consents describing the action taken.</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339"/>
        <w:spacing w:after="0" w:line="278" w:lineRule="auto"/>
        <w:rPr>
          <w:sz w:val="20"/>
          <w:szCs w:val="20"/>
          <w:color w:val="auto"/>
        </w:rPr>
      </w:pPr>
      <w:r>
        <w:rPr>
          <w:rFonts w:ascii="Times New Roman" w:cs="Times New Roman" w:eastAsia="Times New Roman" w:hAnsi="Times New Roman"/>
          <w:sz w:val="13"/>
          <w:szCs w:val="13"/>
          <w:color w:val="auto"/>
        </w:rPr>
        <w:t>The Gentherm Charter provides that any action required or permitted by the MBCA to be taken at an annual or special meeting of shareholders may be taken without a meeting, if consents in writing setting forth the action so taken, are signed by the holders of outstanding shares having not less than the minimum number of votes that would be necessary to authorize or take the action at a meeting at which all shares entitled to vote on the action were present and voted.</w:t>
      </w:r>
    </w:p>
    <w:p>
      <w:pPr>
        <w:sectPr>
          <w:pgSz w:w="11900" w:h="16838" w:orient="portrait"/>
          <w:cols w:equalWidth="0" w:num="2">
            <w:col w:w="5740" w:space="160"/>
            <w:col w:w="4259"/>
          </w:cols>
          <w:pgMar w:left="300" w:top="386" w:right="1440"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4"/>
          <w:szCs w:val="14"/>
          <w:b w:val="1"/>
          <w:bCs w:val="1"/>
          <w:color w:val="auto"/>
        </w:rPr>
        <w:t>Special Meetings</w:t>
      </w:r>
    </w:p>
    <w:p>
      <w:pPr>
        <w:sectPr>
          <w:pgSz w:w="11900" w:h="16838" w:orient="portrait"/>
          <w:cols w:equalWidth="0" w:num="1">
            <w:col w:w="10159"/>
          </w:cols>
          <w:pgMar w:left="300" w:top="386" w:right="1440" w:bottom="1440" w:gutter="0" w:footer="0" w:header="0"/>
        </w:sectPr>
      </w:pPr>
    </w:p>
    <w:p>
      <w:pPr>
        <w:spacing w:after="0" w:line="93" w:lineRule="exact"/>
        <w:rPr>
          <w:sz w:val="20"/>
          <w:szCs w:val="20"/>
          <w:color w:val="auto"/>
        </w:rPr>
      </w:pPr>
    </w:p>
    <w:p>
      <w:pPr>
        <w:ind w:left="1360"/>
        <w:spacing w:after="0" w:line="256" w:lineRule="auto"/>
        <w:rPr>
          <w:sz w:val="20"/>
          <w:szCs w:val="20"/>
          <w:color w:val="auto"/>
        </w:rPr>
      </w:pPr>
      <w:r>
        <w:rPr>
          <w:rFonts w:ascii="Times New Roman" w:cs="Times New Roman" w:eastAsia="Times New Roman" w:hAnsi="Times New Roman"/>
          <w:sz w:val="14"/>
          <w:szCs w:val="14"/>
          <w:color w:val="auto"/>
        </w:rPr>
        <w:t>Modine’s Bylaws provide that special meetings of shareholders may be called by a majority of the entire Modine Board, or the chairperson of the Modine Board or Lead Director, as applicable,. Subject to the terms contained in the Modine Bylaws, a special meeting of shareholders shall be called by the President at the written request of holders of record of at least 10% of all the votes entitled to be cast on each issue proposed to be considered at the special meeting.</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59"/>
        <w:spacing w:after="0" w:line="256" w:lineRule="auto"/>
        <w:rPr>
          <w:sz w:val="20"/>
          <w:szCs w:val="20"/>
          <w:color w:val="auto"/>
        </w:rPr>
      </w:pPr>
      <w:r>
        <w:rPr>
          <w:rFonts w:ascii="Times New Roman" w:cs="Times New Roman" w:eastAsia="Times New Roman" w:hAnsi="Times New Roman"/>
          <w:sz w:val="14"/>
          <w:szCs w:val="14"/>
          <w:color w:val="auto"/>
        </w:rPr>
        <w:t>The Gentherm Charter and the Gentherm Bylaws provide that a special meeting of the Gentherm shareholders may only be called by the Gentherm Board, the chair of the Gentherm Board or the Chief Executive Officer of Gentherm and shall be called by Gentherm upon the written request, duly made in accordance with the bylaws and applicable law, of shareholders holding shares representing at least 25% of all the votes entitled to be cast at such meeting.</w:t>
      </w:r>
    </w:p>
    <w:p>
      <w:pPr>
        <w:spacing w:after="0" w:line="142" w:lineRule="exact"/>
        <w:rPr>
          <w:sz w:val="20"/>
          <w:szCs w:val="20"/>
          <w:color w:val="auto"/>
        </w:rPr>
      </w:pPr>
    </w:p>
    <w:p>
      <w:pPr>
        <w:sectPr>
          <w:pgSz w:w="11900" w:h="16838" w:orient="portrait"/>
          <w:cols w:equalWidth="0" w:num="2">
            <w:col w:w="5720" w:space="180"/>
            <w:col w:w="4259"/>
          </w:cols>
          <w:pgMar w:left="300" w:top="386" w:right="1440" w:bottom="1440" w:gutter="0" w:footer="0" w:header="0"/>
          <w:type w:val="continuous"/>
        </w:sectPr>
      </w:pPr>
    </w:p>
    <w:p>
      <w:pPr>
        <w:ind w:left="4900"/>
        <w:spacing w:after="0"/>
        <w:rPr>
          <w:sz w:val="20"/>
          <w:szCs w:val="20"/>
          <w:color w:val="auto"/>
        </w:rPr>
      </w:pPr>
      <w:r>
        <w:rPr>
          <w:rFonts w:ascii="Times New Roman" w:cs="Times New Roman" w:eastAsia="Times New Roman" w:hAnsi="Times New Roman"/>
          <w:sz w:val="14"/>
          <w:szCs w:val="14"/>
          <w:b w:val="1"/>
          <w:bCs w:val="1"/>
          <w:color w:val="auto"/>
        </w:rPr>
        <w:t>Quorum of Shareholders</w:t>
      </w:r>
    </w:p>
    <w:p>
      <w:pPr>
        <w:sectPr>
          <w:pgSz w:w="11900" w:h="16838" w:orient="portrait"/>
          <w:cols w:equalWidth="0" w:num="1">
            <w:col w:w="10159"/>
          </w:cols>
          <w:pgMar w:left="300" w:top="386" w:right="1440" w:bottom="1440" w:gutter="0" w:footer="0" w:header="0"/>
          <w:type w:val="continuous"/>
        </w:sectPr>
      </w:pPr>
    </w:p>
    <w:p>
      <w:pPr>
        <w:spacing w:after="0" w:line="93" w:lineRule="exact"/>
        <w:rPr>
          <w:sz w:val="20"/>
          <w:szCs w:val="20"/>
          <w:color w:val="auto"/>
        </w:rPr>
      </w:pPr>
    </w:p>
    <w:p>
      <w:pPr>
        <w:ind w:left="1360"/>
        <w:spacing w:after="0" w:line="258" w:lineRule="auto"/>
        <w:rPr>
          <w:sz w:val="20"/>
          <w:szCs w:val="20"/>
          <w:color w:val="auto"/>
        </w:rPr>
      </w:pPr>
      <w:r>
        <w:rPr>
          <w:rFonts w:ascii="Times New Roman" w:cs="Times New Roman" w:eastAsia="Times New Roman" w:hAnsi="Times New Roman"/>
          <w:sz w:val="14"/>
          <w:szCs w:val="14"/>
          <w:color w:val="auto"/>
        </w:rPr>
        <w:t>Under the Modine Bylaws, except as otherwise provided in the Modine Charter or WBCL, the presence, in person or by proxy, of the holders of shares representing a majority of the votes entitled to vote as a separate voting group on a matter shall constitute a quorum for action on that matter at a meeting of shareholders.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39"/>
        <w:spacing w:after="0" w:line="256" w:lineRule="auto"/>
        <w:rPr>
          <w:sz w:val="20"/>
          <w:szCs w:val="20"/>
          <w:color w:val="auto"/>
        </w:rPr>
      </w:pPr>
      <w:r>
        <w:rPr>
          <w:rFonts w:ascii="Times New Roman" w:cs="Times New Roman" w:eastAsia="Times New Roman" w:hAnsi="Times New Roman"/>
          <w:sz w:val="14"/>
          <w:szCs w:val="14"/>
          <w:color w:val="auto"/>
        </w:rPr>
        <w:t>The Gentherm Bylaws provide that at any meeting of the Gentherm shareholders, holders of shares entitled to cast a majority of the votes at the meeting, present in person or by proxy, shall constitute a quorum for the transaction of business, unless the representation of a larger number of shares shall be required by law, in which case the representation of the number of shares so required shall constitute a quorum.</w:t>
      </w:r>
    </w:p>
    <w:p>
      <w:pPr>
        <w:spacing w:after="0" w:line="142" w:lineRule="exact"/>
        <w:rPr>
          <w:sz w:val="20"/>
          <w:szCs w:val="20"/>
          <w:color w:val="auto"/>
        </w:rPr>
      </w:pPr>
    </w:p>
    <w:p>
      <w:pPr>
        <w:sectPr>
          <w:pgSz w:w="11900" w:h="16838" w:orient="portrait"/>
          <w:cols w:equalWidth="0" w:num="2">
            <w:col w:w="5720" w:space="180"/>
            <w:col w:w="4259"/>
          </w:cols>
          <w:pgMar w:left="300" w:top="386" w:right="1440"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4"/>
          <w:szCs w:val="14"/>
          <w:b w:val="1"/>
          <w:bCs w:val="1"/>
          <w:color w:val="auto"/>
        </w:rPr>
        <w:t>Advance Notice of Shareholder Proposals and Director Nominations</w:t>
      </w:r>
    </w:p>
    <w:p>
      <w:pPr>
        <w:sectPr>
          <w:pgSz w:w="11900" w:h="16838" w:orient="portrait"/>
          <w:cols w:equalWidth="0" w:num="1">
            <w:col w:w="10159"/>
          </w:cols>
          <w:pgMar w:left="300" w:top="386" w:right="1440" w:bottom="1440" w:gutter="0" w:footer="0" w:header="0"/>
          <w:type w:val="continuous"/>
        </w:sectPr>
      </w:pPr>
    </w:p>
    <w:p>
      <w:pPr>
        <w:spacing w:after="0" w:line="93" w:lineRule="exact"/>
        <w:rPr>
          <w:sz w:val="20"/>
          <w:szCs w:val="20"/>
          <w:color w:val="auto"/>
        </w:rPr>
      </w:pPr>
    </w:p>
    <w:p>
      <w:pPr>
        <w:ind w:left="1360" w:right="100"/>
        <w:spacing w:after="0" w:line="258" w:lineRule="auto"/>
        <w:rPr>
          <w:sz w:val="20"/>
          <w:szCs w:val="20"/>
          <w:color w:val="auto"/>
        </w:rPr>
      </w:pPr>
      <w:r>
        <w:rPr>
          <w:rFonts w:ascii="Times New Roman" w:cs="Times New Roman" w:eastAsia="Times New Roman" w:hAnsi="Times New Roman"/>
          <w:sz w:val="14"/>
          <w:szCs w:val="14"/>
          <w:color w:val="auto"/>
        </w:rPr>
        <w:t>Modine’s Bylaws establish advance notice procedures with respect to shareholder proposals and the nomination of candidates for election as directors. The Modine Bylaws require that a shareholder give timely notice, in writing, to the secretary of Modine and provide certain required information.</w:t>
      </w:r>
    </w:p>
    <w:p>
      <w:pPr>
        <w:spacing w:after="0" w:line="165" w:lineRule="exact"/>
        <w:rPr>
          <w:sz w:val="20"/>
          <w:szCs w:val="20"/>
          <w:color w:val="auto"/>
        </w:rPr>
      </w:pPr>
    </w:p>
    <w:p>
      <w:pPr>
        <w:ind w:left="1360"/>
        <w:spacing w:after="0" w:line="253" w:lineRule="auto"/>
        <w:rPr>
          <w:sz w:val="20"/>
          <w:szCs w:val="20"/>
          <w:color w:val="auto"/>
        </w:rPr>
      </w:pPr>
      <w:r>
        <w:rPr>
          <w:rFonts w:ascii="Times New Roman" w:cs="Times New Roman" w:eastAsia="Times New Roman" w:hAnsi="Times New Roman"/>
          <w:sz w:val="14"/>
          <w:szCs w:val="14"/>
          <w:color w:val="auto"/>
        </w:rPr>
        <w:t>Such written notice must include, among other things, a brief description of the business desired to be brought before the annual meeting, the reason for conducting such business at the annual meeting, any material interest of such shareholder in such business, certain information regarding the shareholder providing the proposal, the text of the proposal or business (including the text of any resolutions proposed for consideration), a reasonably detailed description of any agreement, arrangement or understanding with any person in connection with the proposal, any information relating to such business required to be disclosed in a proxy statement or other filing required in connection with solicitations of proxies in support of such business pursuant to Section 14(a) of the Exchange Act and, if the shareholder is proposing to nominate someone to the board of directors, certain information regarding any proposed nominees for election to the board of directors, including a questionnaire, representation and a statement completed and signed by such nominee.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79"/>
        <w:spacing w:after="0" w:line="274" w:lineRule="auto"/>
        <w:rPr>
          <w:sz w:val="20"/>
          <w:szCs w:val="20"/>
          <w:color w:val="auto"/>
        </w:rPr>
      </w:pPr>
      <w:r>
        <w:rPr>
          <w:rFonts w:ascii="Times New Roman" w:cs="Times New Roman" w:eastAsia="Times New Roman" w:hAnsi="Times New Roman"/>
          <w:sz w:val="13"/>
          <w:szCs w:val="13"/>
          <w:color w:val="auto"/>
        </w:rPr>
        <w:t>The Gentherm Bylaws provide that, at an annual meeting, director nominations and proposals for other business to be conducted at a shareholder meeting may be made by any Gentherm shareholder of record at the time of giving notice, that is entitled to vote at such meeting and who complies with the notice procedures set forth in the Gentherm Bylaws. At a special meeting, only such business may be conducted as has been brought before the meeting pursuant to Gentherm’s notice of meeting or by or at the direction of the Gentherm Board, and shareholder nominations may be made only at a special meeting at which directors are to be elected pursuant to Gentherm’s notice of meeting and the shareholder complies with the applicable notice procedures set forth in the Gentherm Bylaws. The Gentherm Bylaws require a shareholder to give timely notice, in writing, to the Secretary of Gentherm and provide certain required information.</w:t>
      </w:r>
    </w:p>
    <w:p>
      <w:pPr>
        <w:spacing w:after="0" w:line="325" w:lineRule="exact"/>
        <w:rPr>
          <w:sz w:val="20"/>
          <w:szCs w:val="20"/>
          <w:color w:val="auto"/>
        </w:rPr>
      </w:pPr>
    </w:p>
    <w:p>
      <w:pPr>
        <w:ind w:right="239"/>
        <w:spacing w:after="0" w:line="257" w:lineRule="auto"/>
        <w:rPr>
          <w:sz w:val="20"/>
          <w:szCs w:val="20"/>
          <w:color w:val="auto"/>
        </w:rPr>
      </w:pPr>
      <w:r>
        <w:rPr>
          <w:rFonts w:ascii="Times New Roman" w:cs="Times New Roman" w:eastAsia="Times New Roman" w:hAnsi="Times New Roman"/>
          <w:sz w:val="14"/>
          <w:szCs w:val="14"/>
          <w:color w:val="auto"/>
        </w:rPr>
        <w:t>In the case of an annual meeting, timely notice is a shareholder’s notice delivered to the Secretary of Gentherm at the principal executive offices of Gentherm not later than the close of business on the 90th day nor earlier than the 120th day prior to the first anniversary of the preceding year’s annual meeting; provided, however, that in the event that the</w:t>
      </w:r>
    </w:p>
    <w:p>
      <w:pPr>
        <w:spacing w:after="0" w:line="101" w:lineRule="exact"/>
        <w:rPr>
          <w:sz w:val="20"/>
          <w:szCs w:val="20"/>
          <w:color w:val="auto"/>
        </w:rPr>
      </w:pPr>
    </w:p>
    <w:p>
      <w:pPr>
        <w:sectPr>
          <w:pgSz w:w="11900" w:h="16838" w:orient="portrait"/>
          <w:cols w:equalWidth="0" w:num="2">
            <w:col w:w="5700" w:space="200"/>
            <w:col w:w="4259"/>
          </w:cols>
          <w:pgMar w:left="300" w:top="386"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166</w:t>
      </w:r>
    </w:p>
    <w:p>
      <w:pPr>
        <w:sectPr>
          <w:pgSz w:w="11900" w:h="16838" w:orient="portrait"/>
          <w:cols w:equalWidth="0" w:num="1">
            <w:col w:w="10159"/>
          </w:cols>
          <w:pgMar w:left="300" w:top="386" w:right="1440"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360"/>
        <w:spacing w:after="0" w:line="231" w:lineRule="auto"/>
        <w:rPr>
          <w:sz w:val="20"/>
          <w:szCs w:val="20"/>
          <w:color w:val="auto"/>
        </w:rPr>
      </w:pPr>
      <w:r>
        <w:rPr>
          <w:rFonts w:ascii="Times New Roman" w:cs="Times New Roman" w:eastAsia="Times New Roman" w:hAnsi="Times New Roman"/>
          <w:sz w:val="14"/>
          <w:szCs w:val="14"/>
          <w:color w:val="auto"/>
        </w:rPr>
        <w:t>To be timely with respect to an annual meeting, a shareholder’s notice must be delivered to the secretary at the principal executive offices of Modine not less than 90 days nor more than 120 days prior to the anniversary date of the preceding year’s annual meeting of shareholders. However, in the event that the annual meeting is called for on a date that is not within 30 days before or more than 60 days after such anniversary date, notice by the shareholder in order to be timely must be delivered no earlier than the 120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prior to such annual meeting and not later than the close of business on the later of the 90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prior to such annual meeting, or, if later, the 10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following the day on which public disclosure of the date of the annual meeting was first made.</w:t>
      </w:r>
    </w:p>
    <w:p>
      <w:pPr>
        <w:spacing w:after="0" w:line="180" w:lineRule="exact"/>
        <w:rPr>
          <w:sz w:val="20"/>
          <w:szCs w:val="20"/>
          <w:color w:val="auto"/>
        </w:rPr>
      </w:pPr>
    </w:p>
    <w:p>
      <w:pPr>
        <w:ind w:left="1360"/>
        <w:spacing w:after="0" w:line="254" w:lineRule="auto"/>
        <w:rPr>
          <w:sz w:val="20"/>
          <w:szCs w:val="20"/>
          <w:color w:val="auto"/>
        </w:rPr>
      </w:pPr>
      <w:r>
        <w:rPr>
          <w:rFonts w:ascii="Times New Roman" w:cs="Times New Roman" w:eastAsia="Times New Roman" w:hAnsi="Times New Roman"/>
          <w:sz w:val="14"/>
          <w:szCs w:val="14"/>
          <w:color w:val="auto"/>
        </w:rPr>
        <w:t>In no event may a shareholder nominate a greater number of director nominees than are subject to election by shareholders at the applicable meeting. If Modine increases the number of directors subject to election at the meeting, notice as to any additional nominees shall be due on the later of the conclusion of the time period for timely notice described in the preceding paragraph or the tenth day following the date of public disclosure of such increase or, if the election is to occur at a special meeting, not earlier than the 120th day prior to such special meeting and not later than the 90th day prior to such special meeting or, if later, the tenth day following the day on which the date of such special meeting was first publicly disclosed.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59"/>
        <w:spacing w:after="0" w:line="253" w:lineRule="auto"/>
        <w:rPr>
          <w:sz w:val="20"/>
          <w:szCs w:val="20"/>
          <w:color w:val="auto"/>
        </w:rPr>
      </w:pPr>
      <w:r>
        <w:rPr>
          <w:rFonts w:ascii="Times New Roman" w:cs="Times New Roman" w:eastAsia="Times New Roman" w:hAnsi="Times New Roman"/>
          <w:sz w:val="14"/>
          <w:szCs w:val="14"/>
          <w:color w:val="auto"/>
        </w:rPr>
        <w:t>date of the annual meeting is more than 30 days before or more than 60 days after such anniversary date, such notice must be delivered not earlier than the 120th day prior to such annual meeting and not later than the close of business on the later of (i) the 90th day prior to such annual meeting and (ii) the 10th day following the day on which public announcement of the date of such meeting is first made by Gentherm. In the case of a special meeting at which directors are to be elected, timely notice is notice delivered to the secretary of Gentherm not earlier than the 120th day prior to such special meeting and not later than the close of business on the later of (1) the 90th day prior to such special meeting or (2) the 10th day following the day Gentherm first publicly announces the date of the special meeting and the Gentherm Board’s nominees.</w:t>
      </w:r>
    </w:p>
    <w:p>
      <w:pPr>
        <w:spacing w:after="0" w:line="1881" w:lineRule="exact"/>
        <w:rPr>
          <w:sz w:val="20"/>
          <w:szCs w:val="20"/>
          <w:color w:val="auto"/>
        </w:rPr>
      </w:pPr>
    </w:p>
    <w:p>
      <w:pPr>
        <w:sectPr>
          <w:pgSz w:w="11900" w:h="16838" w:orient="portrait"/>
          <w:cols w:equalWidth="0" w:num="2">
            <w:col w:w="5740" w:space="160"/>
            <w:col w:w="4259"/>
          </w:cols>
          <w:pgMar w:left="300" w:top="386" w:right="1440" w:bottom="1440" w:gutter="0" w:footer="0" w:header="0"/>
          <w:type w:val="continuous"/>
        </w:sectPr>
      </w:pPr>
    </w:p>
    <w:p>
      <w:pPr>
        <w:ind w:left="4400"/>
        <w:spacing w:after="0"/>
        <w:rPr>
          <w:sz w:val="20"/>
          <w:szCs w:val="20"/>
          <w:color w:val="auto"/>
        </w:rPr>
      </w:pPr>
      <w:r>
        <w:rPr>
          <w:rFonts w:ascii="Times New Roman" w:cs="Times New Roman" w:eastAsia="Times New Roman" w:hAnsi="Times New Roman"/>
          <w:sz w:val="14"/>
          <w:szCs w:val="14"/>
          <w:b w:val="1"/>
          <w:bCs w:val="1"/>
          <w:color w:val="auto"/>
        </w:rPr>
        <w:t>Amendments to Articles of Incorporation</w:t>
      </w:r>
    </w:p>
    <w:p>
      <w:pPr>
        <w:sectPr>
          <w:pgSz w:w="11900" w:h="16838" w:orient="portrait"/>
          <w:cols w:equalWidth="0" w:num="1">
            <w:col w:w="10159"/>
          </w:cols>
          <w:pgMar w:left="300" w:top="386" w:right="1440" w:bottom="1440" w:gutter="0" w:footer="0" w:header="0"/>
          <w:type w:val="continuous"/>
        </w:sectPr>
      </w:pPr>
    </w:p>
    <w:p>
      <w:pPr>
        <w:spacing w:after="0" w:line="93" w:lineRule="exact"/>
        <w:rPr>
          <w:sz w:val="20"/>
          <w:szCs w:val="20"/>
          <w:color w:val="auto"/>
        </w:rPr>
      </w:pPr>
    </w:p>
    <w:p>
      <w:pPr>
        <w:ind w:left="1360" w:right="40"/>
        <w:spacing w:after="0" w:line="257" w:lineRule="auto"/>
        <w:rPr>
          <w:sz w:val="20"/>
          <w:szCs w:val="20"/>
          <w:color w:val="auto"/>
        </w:rPr>
      </w:pPr>
      <w:r>
        <w:rPr>
          <w:rFonts w:ascii="Times New Roman" w:cs="Times New Roman" w:eastAsia="Times New Roman" w:hAnsi="Times New Roman"/>
          <w:sz w:val="14"/>
          <w:szCs w:val="14"/>
          <w:color w:val="auto"/>
        </w:rPr>
        <w:t>Generally, under the WBCL, an amendment to the articles of incorporation of a corporation generally requires the approval of the corporation’s board of directors and the approval of each voting group entitled to vote separately on such amendment by a majority of the votes entitled to be cast by such voting group unless the WBCL, the articles of incorporation, bylaws or board of directors require a higher voting requirement for any specific amendment.</w:t>
      </w:r>
    </w:p>
    <w:p>
      <w:pPr>
        <w:spacing w:after="0" w:line="164" w:lineRule="exact"/>
        <w:rPr>
          <w:sz w:val="20"/>
          <w:szCs w:val="20"/>
          <w:color w:val="auto"/>
        </w:rPr>
      </w:pPr>
    </w:p>
    <w:p>
      <w:pPr>
        <w:ind w:left="1360" w:right="60"/>
        <w:spacing w:after="0" w:line="257" w:lineRule="auto"/>
        <w:rPr>
          <w:sz w:val="20"/>
          <w:szCs w:val="20"/>
          <w:color w:val="auto"/>
        </w:rPr>
      </w:pPr>
      <w:r>
        <w:rPr>
          <w:rFonts w:ascii="Times New Roman" w:cs="Times New Roman" w:eastAsia="Times New Roman" w:hAnsi="Times New Roman"/>
          <w:sz w:val="14"/>
          <w:szCs w:val="14"/>
          <w:color w:val="auto"/>
        </w:rPr>
        <w:t>The Modine Charter provides that amendments to the Modine Charter that require Modine shareholder approval must be approved by each voting group entitled to vote separately on such amendment by the affirmative vote of two-thirds of all the votes entitled to be cast by such voting group, subject to any other voting requirements specifically set forth in the WBCL or the Modine Charter.</w:t>
      </w:r>
    </w:p>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39"/>
        <w:spacing w:after="0" w:line="255" w:lineRule="auto"/>
        <w:rPr>
          <w:sz w:val="20"/>
          <w:szCs w:val="20"/>
          <w:color w:val="auto"/>
        </w:rPr>
      </w:pPr>
      <w:r>
        <w:rPr>
          <w:rFonts w:ascii="Times New Roman" w:cs="Times New Roman" w:eastAsia="Times New Roman" w:hAnsi="Times New Roman"/>
          <w:sz w:val="14"/>
          <w:szCs w:val="14"/>
          <w:color w:val="auto"/>
        </w:rPr>
        <w:t>The MBCA generally permits amendments to the articles of incorporation if those amendments are approved by the board of directors, to the extent shareholder approval is required, and adopted by the affirmative vote of a majority of the outstanding shares entitled to vote on the proposed amendment, including any separate vote of a class or series entitled to vote separately, unless the MBCA or the articles of incorporation require a higher voting requirement for any specific amendment.</w:t>
      </w:r>
    </w:p>
    <w:p>
      <w:pPr>
        <w:spacing w:after="0" w:line="166" w:lineRule="exact"/>
        <w:rPr>
          <w:sz w:val="20"/>
          <w:szCs w:val="20"/>
          <w:color w:val="auto"/>
        </w:rPr>
      </w:pPr>
    </w:p>
    <w:p>
      <w:pPr>
        <w:ind w:right="539"/>
        <w:spacing w:after="0" w:line="283" w:lineRule="auto"/>
        <w:rPr>
          <w:sz w:val="20"/>
          <w:szCs w:val="20"/>
          <w:color w:val="auto"/>
        </w:rPr>
      </w:pPr>
      <w:r>
        <w:rPr>
          <w:rFonts w:ascii="Times New Roman" w:cs="Times New Roman" w:eastAsia="Times New Roman" w:hAnsi="Times New Roman"/>
          <w:sz w:val="14"/>
          <w:szCs w:val="14"/>
          <w:color w:val="auto"/>
        </w:rPr>
        <w:t>The Gentherm Charter does not provide for any different approval requirements for amendments.</w:t>
      </w:r>
    </w:p>
    <w:p>
      <w:pPr>
        <w:sectPr>
          <w:pgSz w:w="11900" w:h="16838" w:orient="portrait"/>
          <w:cols w:equalWidth="0" w:num="2">
            <w:col w:w="5740" w:space="160"/>
            <w:col w:w="4259"/>
          </w:cols>
          <w:pgMar w:left="300" w:top="386" w:right="1440"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4"/>
          <w:szCs w:val="14"/>
          <w:b w:val="1"/>
          <w:bCs w:val="1"/>
          <w:color w:val="auto"/>
        </w:rPr>
        <w:t>Amendments to Bylaws</w:t>
      </w:r>
    </w:p>
    <w:p>
      <w:pPr>
        <w:sectPr>
          <w:pgSz w:w="11900" w:h="16838" w:orient="portrait"/>
          <w:cols w:equalWidth="0" w:num="1">
            <w:col w:w="10159"/>
          </w:cols>
          <w:pgMar w:left="300" w:top="386" w:right="1440" w:bottom="1440" w:gutter="0" w:footer="0" w:header="0"/>
        </w:sectPr>
      </w:pPr>
    </w:p>
    <w:p>
      <w:pPr>
        <w:spacing w:after="0" w:line="93" w:lineRule="exact"/>
        <w:rPr>
          <w:sz w:val="20"/>
          <w:szCs w:val="20"/>
          <w:color w:val="auto"/>
        </w:rPr>
      </w:pPr>
    </w:p>
    <w:p>
      <w:pPr>
        <w:ind w:left="1360"/>
        <w:spacing w:after="0" w:line="257" w:lineRule="auto"/>
        <w:rPr>
          <w:sz w:val="20"/>
          <w:szCs w:val="20"/>
          <w:color w:val="auto"/>
        </w:rPr>
      </w:pPr>
      <w:r>
        <w:rPr>
          <w:rFonts w:ascii="Times New Roman" w:cs="Times New Roman" w:eastAsia="Times New Roman" w:hAnsi="Times New Roman"/>
          <w:sz w:val="14"/>
          <w:szCs w:val="14"/>
          <w:color w:val="auto"/>
        </w:rPr>
        <w:t>The Modine Bylaws provide that bylaws may be adopted, amended or repealed by the affirmative vote of holders of two-thirds of the shares entitled to vote thereon or by the affirmative vote of two-thirds of the full Modine Board. Any bylaw adopted or amended by the shareholders shall not be amended, repealed or readopted by the Modine Board if the bylaw so adopted so provides.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39"/>
        <w:spacing w:after="0" w:line="254" w:lineRule="auto"/>
        <w:rPr>
          <w:sz w:val="20"/>
          <w:szCs w:val="20"/>
          <w:color w:val="auto"/>
        </w:rPr>
      </w:pPr>
      <w:r>
        <w:rPr>
          <w:rFonts w:ascii="Times New Roman" w:cs="Times New Roman" w:eastAsia="Times New Roman" w:hAnsi="Times New Roman"/>
          <w:sz w:val="14"/>
          <w:szCs w:val="14"/>
          <w:color w:val="auto"/>
        </w:rPr>
        <w:t>The Gentherm Bylaws may be amended or repealed, or new bylaws may be adopted, other than a bylaw or an amendment of a bylaw changing the authorized number of directors, by the Gentherm Board in accordance with the Gentherm Bylaws’ general Board action provisions, including, if a quorum is present, by the affirmative vote of a majority of the members of the Gentherm Board present at the meeting, or without a meeting, by unanimous written consent of all members of the Gentherm Board then in office. The Gentherm Bylaws may be altered, amended or repealed and other bylaws may be adopted by the vote or written consent of holders of a majority of the outstanding shares entitled to vote.</w:t>
      </w:r>
    </w:p>
    <w:p>
      <w:pPr>
        <w:spacing w:after="0" w:line="142" w:lineRule="exact"/>
        <w:rPr>
          <w:sz w:val="20"/>
          <w:szCs w:val="20"/>
          <w:color w:val="auto"/>
        </w:rPr>
      </w:pPr>
    </w:p>
    <w:p>
      <w:pPr>
        <w:sectPr>
          <w:pgSz w:w="11900" w:h="16838" w:orient="portrait"/>
          <w:cols w:equalWidth="0" w:num="2">
            <w:col w:w="5720" w:space="180"/>
            <w:col w:w="4259"/>
          </w:cols>
          <w:pgMar w:left="300" w:top="386" w:right="1440" w:bottom="1440" w:gutter="0" w:footer="0" w:header="0"/>
          <w:type w:val="continuous"/>
        </w:sectPr>
      </w:pPr>
    </w:p>
    <w:p>
      <w:pPr>
        <w:ind w:left="5340"/>
        <w:spacing w:after="0"/>
        <w:rPr>
          <w:sz w:val="20"/>
          <w:szCs w:val="20"/>
          <w:color w:val="auto"/>
        </w:rPr>
      </w:pPr>
      <w:r>
        <w:rPr>
          <w:rFonts w:ascii="Times New Roman" w:cs="Times New Roman" w:eastAsia="Times New Roman" w:hAnsi="Times New Roman"/>
          <w:sz w:val="14"/>
          <w:szCs w:val="14"/>
          <w:b w:val="1"/>
          <w:bCs w:val="1"/>
          <w:color w:val="auto"/>
        </w:rPr>
        <w:t>Dividends</w:t>
      </w:r>
    </w:p>
    <w:p>
      <w:pPr>
        <w:sectPr>
          <w:pgSz w:w="11900" w:h="16838" w:orient="portrait"/>
          <w:cols w:equalWidth="0" w:num="1">
            <w:col w:w="10159"/>
          </w:cols>
          <w:pgMar w:left="300" w:top="386" w:right="1440" w:bottom="1440" w:gutter="0" w:footer="0" w:header="0"/>
          <w:type w:val="continuous"/>
        </w:sectPr>
      </w:pP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WBCL permits a corporation to make distributions on its shares.</w:t>
      </w:r>
    </w:p>
    <w:p>
      <w:pPr>
        <w:spacing w:after="0" w:line="196" w:lineRule="exact"/>
        <w:rPr>
          <w:sz w:val="20"/>
          <w:szCs w:val="20"/>
          <w:color w:val="auto"/>
        </w:rPr>
      </w:pPr>
    </w:p>
    <w:p>
      <w:pPr>
        <w:ind w:left="1360"/>
        <w:spacing w:after="0" w:line="255" w:lineRule="auto"/>
        <w:rPr>
          <w:sz w:val="20"/>
          <w:szCs w:val="20"/>
          <w:color w:val="auto"/>
        </w:rPr>
      </w:pPr>
      <w:r>
        <w:rPr>
          <w:rFonts w:ascii="Times New Roman" w:cs="Times New Roman" w:eastAsia="Times New Roman" w:hAnsi="Times New Roman"/>
          <w:sz w:val="14"/>
          <w:szCs w:val="14"/>
          <w:color w:val="auto"/>
        </w:rPr>
        <w:t>The decision whether to pay dividends on Modine Common Stock is made by its board of directors in its discretion, subject to applicable law. The WBCL provides that a corporation may not make a distribution if, after giving effect thereto, either: (i) it would be unable to pay its debts as they become due in the usual course of business; or (ii) its total assets would be less than its total liabilities plus the amount required, if the corporation were to be dissolved at that time, to satisfy the preferential rights upon dissolution of shareholders whose rights are superior to those receiving the distribution.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359"/>
        <w:spacing w:after="0" w:line="261" w:lineRule="auto"/>
        <w:rPr>
          <w:sz w:val="20"/>
          <w:szCs w:val="20"/>
          <w:color w:val="auto"/>
        </w:rPr>
      </w:pPr>
      <w:r>
        <w:rPr>
          <w:rFonts w:ascii="Times New Roman" w:cs="Times New Roman" w:eastAsia="Times New Roman" w:hAnsi="Times New Roman"/>
          <w:sz w:val="14"/>
          <w:szCs w:val="14"/>
          <w:color w:val="auto"/>
        </w:rPr>
        <w:t>The Gentherm Bylaws provide that the Gentherm Board may declare dividends to be paid in cash, in property, or in shares of the capital stock as permitted by law. Dividends shall be payable on such date or dates as the Gentherm Board shall determine.</w:t>
      </w:r>
    </w:p>
    <w:p>
      <w:pPr>
        <w:spacing w:after="0" w:line="1179" w:lineRule="exact"/>
        <w:rPr>
          <w:sz w:val="20"/>
          <w:szCs w:val="20"/>
          <w:color w:val="auto"/>
        </w:rPr>
      </w:pPr>
    </w:p>
    <w:p>
      <w:pPr>
        <w:sectPr>
          <w:pgSz w:w="11900" w:h="16838" w:orient="portrait"/>
          <w:cols w:equalWidth="0" w:num="2">
            <w:col w:w="5720" w:space="180"/>
            <w:col w:w="4259"/>
          </w:cols>
          <w:pgMar w:left="300" w:top="386" w:right="1440" w:bottom="1440" w:gutter="0" w:footer="0" w:header="0"/>
          <w:type w:val="continuous"/>
        </w:sectPr>
      </w:pPr>
    </w:p>
    <w:p>
      <w:pPr>
        <w:ind w:left="3940"/>
        <w:spacing w:after="0"/>
        <w:rPr>
          <w:sz w:val="20"/>
          <w:szCs w:val="20"/>
          <w:color w:val="auto"/>
        </w:rPr>
      </w:pPr>
      <w:r>
        <w:rPr>
          <w:rFonts w:ascii="Times New Roman" w:cs="Times New Roman" w:eastAsia="Times New Roman" w:hAnsi="Times New Roman"/>
          <w:sz w:val="14"/>
          <w:szCs w:val="14"/>
          <w:b w:val="1"/>
          <w:bCs w:val="1"/>
          <w:color w:val="auto"/>
        </w:rPr>
        <w:t>Limitation of Personal Liability of Directors and Officers</w:t>
      </w:r>
    </w:p>
    <w:p>
      <w:pPr>
        <w:sectPr>
          <w:pgSz w:w="11900" w:h="16838" w:orient="portrait"/>
          <w:cols w:equalWidth="0" w:num="1">
            <w:col w:w="10159"/>
          </w:cols>
          <w:pgMar w:left="300" w:top="386" w:right="1440" w:bottom="1440" w:gutter="0" w:footer="0" w:header="0"/>
          <w:type w:val="continuous"/>
        </w:sectPr>
      </w:pPr>
    </w:p>
    <w:p>
      <w:pPr>
        <w:spacing w:after="0" w:line="93" w:lineRule="exact"/>
        <w:rPr>
          <w:sz w:val="20"/>
          <w:szCs w:val="20"/>
          <w:color w:val="auto"/>
        </w:rPr>
      </w:pPr>
    </w:p>
    <w:p>
      <w:pPr>
        <w:ind w:left="1360"/>
        <w:spacing w:after="0" w:line="283" w:lineRule="auto"/>
        <w:rPr>
          <w:sz w:val="20"/>
          <w:szCs w:val="20"/>
          <w:color w:val="auto"/>
        </w:rPr>
      </w:pPr>
      <w:r>
        <w:rPr>
          <w:rFonts w:ascii="Times New Roman" w:cs="Times New Roman" w:eastAsia="Times New Roman" w:hAnsi="Times New Roman"/>
          <w:sz w:val="14"/>
          <w:szCs w:val="14"/>
          <w:color w:val="auto"/>
        </w:rPr>
        <w:t>Modine’s Charter does not eliminate the personal liability of directors for damages for any breach of fiduciary duty as a director.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99"/>
        <w:spacing w:after="0" w:line="258" w:lineRule="auto"/>
        <w:rPr>
          <w:sz w:val="20"/>
          <w:szCs w:val="20"/>
          <w:color w:val="auto"/>
        </w:rPr>
      </w:pPr>
      <w:r>
        <w:rPr>
          <w:rFonts w:ascii="Times New Roman" w:cs="Times New Roman" w:eastAsia="Times New Roman" w:hAnsi="Times New Roman"/>
          <w:sz w:val="14"/>
          <w:szCs w:val="14"/>
          <w:color w:val="auto"/>
        </w:rPr>
        <w:t>To the full extent permitted by the MBCA, the Gentherm Charter provides that the directors of Gentherm will not be personally liable to Gentherm or its shareholders for or with respect to any acts or omissions in the performance of his or her duties as a director of Gentherm.</w:t>
      </w:r>
    </w:p>
    <w:p>
      <w:pPr>
        <w:spacing w:after="0" w:line="142" w:lineRule="exact"/>
        <w:rPr>
          <w:sz w:val="20"/>
          <w:szCs w:val="20"/>
          <w:color w:val="auto"/>
        </w:rPr>
      </w:pPr>
    </w:p>
    <w:p>
      <w:pPr>
        <w:sectPr>
          <w:pgSz w:w="11900" w:h="16838" w:orient="portrait"/>
          <w:cols w:equalWidth="0" w:num="2">
            <w:col w:w="5460" w:space="440"/>
            <w:col w:w="4259"/>
          </w:cols>
          <w:pgMar w:left="300" w:top="386" w:right="1440" w:bottom="1440" w:gutter="0" w:footer="0" w:header="0"/>
          <w:type w:val="continuous"/>
        </w:sectPr>
      </w:pPr>
    </w:p>
    <w:p>
      <w:pPr>
        <w:ind w:left="4400"/>
        <w:spacing w:after="0"/>
        <w:rPr>
          <w:sz w:val="20"/>
          <w:szCs w:val="20"/>
          <w:color w:val="auto"/>
        </w:rPr>
      </w:pPr>
      <w:r>
        <w:rPr>
          <w:rFonts w:ascii="Times New Roman" w:cs="Times New Roman" w:eastAsia="Times New Roman" w:hAnsi="Times New Roman"/>
          <w:sz w:val="13"/>
          <w:szCs w:val="13"/>
          <w:b w:val="1"/>
          <w:bCs w:val="1"/>
          <w:color w:val="auto"/>
        </w:rPr>
        <w:t>Indemnification of Directors and Officers</w:t>
      </w:r>
    </w:p>
    <w:p>
      <w:pPr>
        <w:sectPr>
          <w:pgSz w:w="11900" w:h="16838" w:orient="portrait"/>
          <w:cols w:equalWidth="0" w:num="1">
            <w:col w:w="10159"/>
          </w:cols>
          <w:pgMar w:left="300" w:top="386" w:right="1440" w:bottom="1440" w:gutter="0" w:footer="0" w:header="0"/>
          <w:type w:val="continuous"/>
        </w:sectPr>
      </w:pPr>
    </w:p>
    <w:p>
      <w:pPr>
        <w:spacing w:after="0" w:line="105" w:lineRule="exact"/>
        <w:rPr>
          <w:sz w:val="20"/>
          <w:szCs w:val="20"/>
          <w:color w:val="auto"/>
        </w:rPr>
      </w:pPr>
    </w:p>
    <w:p>
      <w:pPr>
        <w:ind w:left="1360"/>
        <w:spacing w:after="0" w:line="254" w:lineRule="auto"/>
        <w:rPr>
          <w:sz w:val="20"/>
          <w:szCs w:val="20"/>
          <w:color w:val="auto"/>
        </w:rPr>
      </w:pPr>
      <w:r>
        <w:rPr>
          <w:rFonts w:ascii="Times New Roman" w:cs="Times New Roman" w:eastAsia="Times New Roman" w:hAnsi="Times New Roman"/>
          <w:sz w:val="14"/>
          <w:szCs w:val="14"/>
          <w:color w:val="auto"/>
        </w:rPr>
        <w:t>The Modine Bylaws provide for indemnification of Modine’s directors and officers to the extent that they have been successful on the merits or otherwise in defense of a proceeding, for all reasonable expenses incurred in the proceeding if the director or officer was a party because he or she was a director or officer of Modine. In other cases, Modine shall indemnify directors and officers against liabilities and expenses incurred by them in a proceeding to which the director or officer was a party because he or she is a director or officer of Modine, unless liability was incurred because the director or officer breached a duty owed to Modine</w:t>
      </w:r>
    </w:p>
    <w:p>
      <w:pPr>
        <w:spacing w:after="0" w:line="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39"/>
        <w:spacing w:after="0" w:line="254" w:lineRule="auto"/>
        <w:rPr>
          <w:sz w:val="20"/>
          <w:szCs w:val="20"/>
          <w:color w:val="auto"/>
        </w:rPr>
      </w:pPr>
      <w:r>
        <w:rPr>
          <w:rFonts w:ascii="Times New Roman" w:cs="Times New Roman" w:eastAsia="Times New Roman" w:hAnsi="Times New Roman"/>
          <w:sz w:val="14"/>
          <w:szCs w:val="14"/>
          <w:color w:val="auto"/>
        </w:rPr>
        <w:t>Under the MBCA, a corporation must indemnify any director or officer who has been successful on the merits or otherwise in defense of an action, suit, or proceeding (or any claim, issue or matter in any action, suit or proceeding) brought against him or her by reason of the fact that he or she is or was a director or officer of the corporation, against actual and reasonable expenses, including attorneys’ fees, incurred by him or her in connection therewith, as well as in any proceeding brought to enforce the corporation’s mandatory indemnification obligations.</w:t>
      </w:r>
    </w:p>
    <w:p>
      <w:pPr>
        <w:sectPr>
          <w:pgSz w:w="11900" w:h="16838" w:orient="portrait"/>
          <w:cols w:equalWidth="0" w:num="2">
            <w:col w:w="5740" w:space="160"/>
            <w:col w:w="4259"/>
          </w:cols>
          <w:pgMar w:left="300" w:top="386" w:right="1440"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62" w:lineRule="exact"/>
        <w:rPr>
          <w:sz w:val="20"/>
          <w:szCs w:val="20"/>
          <w:color w:val="auto"/>
        </w:rPr>
      </w:pPr>
    </w:p>
    <w:p>
      <w:pPr>
        <w:ind w:left="1360"/>
        <w:spacing w:after="0" w:line="256" w:lineRule="auto"/>
        <w:rPr>
          <w:sz w:val="20"/>
          <w:szCs w:val="20"/>
          <w:color w:val="auto"/>
        </w:rPr>
      </w:pPr>
      <w:r>
        <w:rPr>
          <w:rFonts w:ascii="Times New Roman" w:cs="Times New Roman" w:eastAsia="Times New Roman" w:hAnsi="Times New Roman"/>
          <w:sz w:val="14"/>
          <w:szCs w:val="14"/>
          <w:color w:val="auto"/>
        </w:rPr>
        <w:t>and such breach constitutes (i) a willful failure to deal fairly with Modine or its shareholders in connection with a matter in which the director or officer has a material conflict of interest, (ii) a violation of criminal law, unless the director or officer had reasonable cause to believe that his or her conduct was lawful or no reasonable cause to believe such conduct was unlawful, (iii) a transaction from which the director or officer derived an improper personal profit or (iv) willful misconduct.</w:t>
      </w:r>
    </w:p>
    <w:p>
      <w:pPr>
        <w:spacing w:after="0" w:line="165" w:lineRule="exact"/>
        <w:rPr>
          <w:sz w:val="20"/>
          <w:szCs w:val="20"/>
          <w:color w:val="auto"/>
        </w:rPr>
      </w:pPr>
    </w:p>
    <w:p>
      <w:pPr>
        <w:ind w:left="1360" w:right="180"/>
        <w:spacing w:after="0" w:line="281" w:lineRule="auto"/>
        <w:rPr>
          <w:sz w:val="20"/>
          <w:szCs w:val="20"/>
          <w:color w:val="auto"/>
        </w:rPr>
      </w:pPr>
      <w:r>
        <w:rPr>
          <w:rFonts w:ascii="Times New Roman" w:cs="Times New Roman" w:eastAsia="Times New Roman" w:hAnsi="Times New Roman"/>
          <w:sz w:val="13"/>
          <w:szCs w:val="13"/>
          <w:color w:val="auto"/>
        </w:rPr>
        <w:t>The Modine Bylaws provide that the provisions regarding indemnification shall be liberally administered to afford maximum indemnification.</w:t>
      </w:r>
    </w:p>
    <w:p>
      <w:pPr>
        <w:spacing w:after="0" w:line="1" w:lineRule="exact"/>
        <w:rPr>
          <w:sz w:val="20"/>
          <w:szCs w:val="20"/>
          <w:color w:val="auto"/>
        </w:rPr>
      </w:pPr>
    </w:p>
    <w:p>
      <w:pPr>
        <w:ind w:left="1360" w:right="40"/>
        <w:spacing w:after="0" w:line="252" w:lineRule="auto"/>
        <w:rPr>
          <w:sz w:val="20"/>
          <w:szCs w:val="20"/>
          <w:color w:val="auto"/>
        </w:rPr>
      </w:pPr>
      <w:r>
        <w:rPr>
          <w:rFonts w:ascii="Times New Roman" w:cs="Times New Roman" w:eastAsia="Times New Roman" w:hAnsi="Times New Roman"/>
          <w:sz w:val="14"/>
          <w:szCs w:val="14"/>
          <w:color w:val="auto"/>
        </w:rPr>
        <w:t>The reasonable expenses incurred by a director or officer party to a proceeding shall be paid by Modine in advance of the final disposition of such proceeding upon receipt of a written affirmation of his or her good faith belief that he or she has not breached or failed to perform his or her duties to Modine and a written undertaking by or on behalf of such director or officer to repay such amount to the extent it is ultimately determined that such Person is not entitled to be indemnified by Modine.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right="239"/>
        <w:spacing w:after="0" w:line="252" w:lineRule="auto"/>
        <w:rPr>
          <w:sz w:val="20"/>
          <w:szCs w:val="20"/>
          <w:color w:val="auto"/>
        </w:rPr>
      </w:pPr>
      <w:r>
        <w:rPr>
          <w:rFonts w:ascii="Times New Roman" w:cs="Times New Roman" w:eastAsia="Times New Roman" w:hAnsi="Times New Roman"/>
          <w:sz w:val="14"/>
          <w:szCs w:val="14"/>
          <w:color w:val="auto"/>
        </w:rPr>
        <w:t>The MBCA provides that a corporation may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shareholders, and with respect to a criminal action or proceeding, if the person had no reasonable cause to believe his or her conduct was unlawful.</w:t>
      </w:r>
    </w:p>
    <w:p>
      <w:pPr>
        <w:spacing w:after="0" w:line="175" w:lineRule="exact"/>
        <w:rPr>
          <w:sz w:val="20"/>
          <w:szCs w:val="20"/>
          <w:color w:val="auto"/>
        </w:rPr>
      </w:pPr>
    </w:p>
    <w:p>
      <w:pPr>
        <w:jc w:val="both"/>
        <w:ind w:right="459"/>
        <w:spacing w:after="0" w:line="267" w:lineRule="auto"/>
        <w:rPr>
          <w:sz w:val="20"/>
          <w:szCs w:val="20"/>
          <w:color w:val="auto"/>
        </w:rPr>
      </w:pPr>
      <w:r>
        <w:rPr>
          <w:rFonts w:ascii="Times New Roman" w:cs="Times New Roman" w:eastAsia="Times New Roman" w:hAnsi="Times New Roman"/>
          <w:sz w:val="14"/>
          <w:szCs w:val="14"/>
          <w:color w:val="auto"/>
        </w:rPr>
        <w:t>The Gentherm Charter and Bylaws also provide that Gentherm will indemnify its directors and officers for liabilities arising out of their positions to the fullest extent permitted by law.</w:t>
      </w:r>
    </w:p>
    <w:p>
      <w:pPr>
        <w:spacing w:after="0" w:line="144" w:lineRule="exact"/>
        <w:rPr>
          <w:sz w:val="20"/>
          <w:szCs w:val="20"/>
          <w:color w:val="auto"/>
        </w:rPr>
      </w:pPr>
    </w:p>
    <w:p>
      <w:pPr>
        <w:sectPr>
          <w:pgSz w:w="11900" w:h="16838" w:orient="portrait"/>
          <w:cols w:equalWidth="0" w:num="2">
            <w:col w:w="5700" w:space="200"/>
            <w:col w:w="4259"/>
          </w:cols>
          <w:pgMar w:left="300" w:top="386" w:right="1440"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3"/>
          <w:szCs w:val="13"/>
          <w:b w:val="1"/>
          <w:bCs w:val="1"/>
          <w:color w:val="auto"/>
        </w:rPr>
        <w:t>Certain Business Combinations</w:t>
      </w:r>
    </w:p>
    <w:p>
      <w:pPr>
        <w:sectPr>
          <w:pgSz w:w="11900" w:h="16838" w:orient="portrait"/>
          <w:cols w:equalWidth="0" w:num="1">
            <w:col w:w="10159"/>
          </w:cols>
          <w:pgMar w:left="300" w:top="386" w:right="1440" w:bottom="1440" w:gutter="0" w:footer="0" w:header="0"/>
          <w:type w:val="continuous"/>
        </w:sectPr>
      </w:pPr>
    </w:p>
    <w:p>
      <w:pPr>
        <w:spacing w:after="0" w:line="103" w:lineRule="exact"/>
        <w:rPr>
          <w:sz w:val="20"/>
          <w:szCs w:val="20"/>
          <w:color w:val="auto"/>
        </w:rPr>
      </w:pPr>
    </w:p>
    <w:p>
      <w:pPr>
        <w:ind w:left="1360" w:right="120"/>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Voting on Mergers. </w:t>
      </w:r>
      <w:r>
        <w:rPr>
          <w:rFonts w:ascii="Times New Roman" w:cs="Times New Roman" w:eastAsia="Times New Roman" w:hAnsi="Times New Roman"/>
          <w:sz w:val="14"/>
          <w:szCs w:val="14"/>
          <w:color w:val="auto"/>
        </w:rPr>
        <w:t>Under Wisconsin law, unless a greater vote is required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the WBCL, a corporation’s charter or bylaws, after adoption of a resolution by the board of directors, a merger or share exchange must be approved by each voting group entitled to vote separately on such merger or share exchange by the affirmative vote of a majority of all the votes entitled to be cast by such voting group.</w:t>
      </w:r>
    </w:p>
    <w:p>
      <w:pPr>
        <w:spacing w:after="0" w:line="166" w:lineRule="exact"/>
        <w:rPr>
          <w:sz w:val="20"/>
          <w:szCs w:val="20"/>
          <w:color w:val="auto"/>
        </w:rPr>
      </w:pPr>
    </w:p>
    <w:p>
      <w:pPr>
        <w:ind w:left="1360"/>
        <w:spacing w:after="0" w:line="261" w:lineRule="auto"/>
        <w:rPr>
          <w:sz w:val="20"/>
          <w:szCs w:val="20"/>
          <w:color w:val="auto"/>
        </w:rPr>
      </w:pPr>
      <w:r>
        <w:rPr>
          <w:rFonts w:ascii="Times New Roman" w:cs="Times New Roman" w:eastAsia="Times New Roman" w:hAnsi="Times New Roman"/>
          <w:sz w:val="14"/>
          <w:szCs w:val="14"/>
          <w:color w:val="auto"/>
        </w:rPr>
        <w:t>Modine’s Charter requires a merger or share exchange to be approved by each voting group entitled to vote separately on such merger or share exchange by the affirmative vote of two-thirds of all the votes entitled to be cast by such voting group.</w:t>
      </w:r>
    </w:p>
    <w:p>
      <w:pPr>
        <w:spacing w:after="0" w:line="162" w:lineRule="exact"/>
        <w:rPr>
          <w:sz w:val="20"/>
          <w:szCs w:val="20"/>
          <w:color w:val="auto"/>
        </w:rPr>
      </w:pPr>
    </w:p>
    <w:p>
      <w:pPr>
        <w:ind w:left="1360" w:right="20"/>
        <w:spacing w:after="0" w:line="267" w:lineRule="auto"/>
        <w:rPr>
          <w:sz w:val="20"/>
          <w:szCs w:val="20"/>
          <w:color w:val="auto"/>
        </w:rPr>
      </w:pPr>
      <w:r>
        <w:rPr>
          <w:rFonts w:ascii="Times New Roman" w:cs="Times New Roman" w:eastAsia="Times New Roman" w:hAnsi="Times New Roman"/>
          <w:sz w:val="14"/>
          <w:szCs w:val="14"/>
          <w:color w:val="auto"/>
        </w:rPr>
        <w:t>However, under Wisconsin law, unless the articles of incorporation require otherwise, no vote of shareholders of a corporation surviving a merger will be required in connection with the merger if:</w:t>
      </w:r>
    </w:p>
    <w:p>
      <w:pPr>
        <w:spacing w:after="0" w:line="157" w:lineRule="exact"/>
        <w:rPr>
          <w:sz w:val="20"/>
          <w:szCs w:val="20"/>
          <w:color w:val="auto"/>
        </w:rPr>
      </w:pPr>
    </w:p>
    <w:p>
      <w:pPr>
        <w:jc w:val="both"/>
        <w:ind w:left="1360" w:right="100"/>
        <w:spacing w:after="0" w:line="267" w:lineRule="auto"/>
        <w:rPr>
          <w:sz w:val="20"/>
          <w:szCs w:val="20"/>
          <w:color w:val="auto"/>
        </w:rPr>
      </w:pPr>
      <w:r>
        <w:rPr>
          <w:rFonts w:ascii="Times New Roman" w:cs="Times New Roman" w:eastAsia="Times New Roman" w:hAnsi="Times New Roman"/>
          <w:sz w:val="14"/>
          <w:szCs w:val="14"/>
          <w:color w:val="auto"/>
        </w:rPr>
        <w:t>the articles of incorporation of the surviving corporation will not differ from its articles before the merger, other than specific differences identified in the WBCL, such</w:t>
      </w:r>
    </w:p>
    <w:p>
      <w:pPr>
        <w:spacing w:after="0" w:line="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239"/>
        <w:spacing w:after="0" w:line="253" w:lineRule="auto"/>
        <w:rPr>
          <w:sz w:val="20"/>
          <w:szCs w:val="20"/>
          <w:color w:val="auto"/>
        </w:rPr>
      </w:pPr>
      <w:r>
        <w:rPr>
          <w:rFonts w:ascii="Times New Roman" w:cs="Times New Roman" w:eastAsia="Times New Roman" w:hAnsi="Times New Roman"/>
          <w:sz w:val="14"/>
          <w:szCs w:val="14"/>
          <w:color w:val="auto"/>
        </w:rPr>
        <w:t>Sections 780 to 784 of the Michigan Business Corporation Act contain Michigan’s fair price statute, which provide that, in addition to any other vote required by the MBCA or a company’s articles of incorporation, a Michigan corporation subject to the statute cannot engage in any business combination with an interested shareholder (generally, a beneficial owner of 10% or more of the voting power of the corporation), unless (a) the board of directors issues an advisory statement in favor of the business combination, and (b) the business combination is approved by at least (i) 90% of the votes of each class of stock that is entitled to vote and (ii) two-thirds of the votes of each class of stock entitled to vote, excluding any shares that are beneficially owned by the interested shareholder or any affiliate or associate of the interested shareholder.</w:t>
      </w:r>
    </w:p>
    <w:p>
      <w:pPr>
        <w:spacing w:after="0" w:line="170" w:lineRule="exact"/>
        <w:rPr>
          <w:sz w:val="20"/>
          <w:szCs w:val="20"/>
          <w:color w:val="auto"/>
        </w:rPr>
      </w:pPr>
    </w:p>
    <w:p>
      <w:pPr>
        <w:jc w:val="both"/>
        <w:ind w:right="319"/>
        <w:spacing w:after="0" w:line="267" w:lineRule="auto"/>
        <w:rPr>
          <w:sz w:val="20"/>
          <w:szCs w:val="20"/>
          <w:color w:val="auto"/>
        </w:rPr>
      </w:pPr>
      <w:r>
        <w:rPr>
          <w:rFonts w:ascii="Times New Roman" w:cs="Times New Roman" w:eastAsia="Times New Roman" w:hAnsi="Times New Roman"/>
          <w:sz w:val="14"/>
          <w:szCs w:val="14"/>
          <w:color w:val="auto"/>
        </w:rPr>
        <w:t>This shareholder approval requirement does not apply if (1) the board of the directors of the corporation approves or exempts the transaction with a particular interested shareholder from such</w:t>
      </w:r>
    </w:p>
    <w:p>
      <w:pPr>
        <w:sectPr>
          <w:pgSz w:w="11900" w:h="16838" w:orient="portrait"/>
          <w:cols w:equalWidth="0" w:num="2">
            <w:col w:w="5740" w:space="160"/>
            <w:col w:w="4259"/>
          </w:cols>
          <w:pgMar w:left="300" w:top="386" w:right="1440"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changes to the registered agent or registered office of the corporation;</w:t>
      </w:r>
    </w:p>
    <w:p>
      <w:pPr>
        <w:spacing w:after="0" w:line="196" w:lineRule="exact"/>
        <w:rPr>
          <w:sz w:val="20"/>
          <w:szCs w:val="20"/>
          <w:color w:val="auto"/>
        </w:rPr>
      </w:pPr>
    </w:p>
    <w:p>
      <w:pPr>
        <w:ind w:left="1360" w:right="60"/>
        <w:spacing w:after="0" w:line="261" w:lineRule="auto"/>
        <w:rPr>
          <w:sz w:val="20"/>
          <w:szCs w:val="20"/>
          <w:color w:val="auto"/>
        </w:rPr>
      </w:pPr>
      <w:r>
        <w:rPr>
          <w:rFonts w:ascii="Times New Roman" w:cs="Times New Roman" w:eastAsia="Times New Roman" w:hAnsi="Times New Roman"/>
          <w:sz w:val="14"/>
          <w:szCs w:val="14"/>
          <w:color w:val="auto"/>
        </w:rPr>
        <w:t>each shareholder of the surviving corporation whose shares were outstanding immediately before the effective date of the merger will hold the same number of shares, with identical designations, preferences, limitations and rights, immediately after;</w:t>
      </w:r>
    </w:p>
    <w:p>
      <w:pPr>
        <w:spacing w:after="0" w:line="162" w:lineRule="exact"/>
        <w:rPr>
          <w:sz w:val="20"/>
          <w:szCs w:val="20"/>
          <w:color w:val="auto"/>
        </w:rPr>
      </w:pPr>
    </w:p>
    <w:p>
      <w:pPr>
        <w:ind w:left="1360" w:right="20"/>
        <w:spacing w:after="0" w:line="257" w:lineRule="auto"/>
        <w:rPr>
          <w:sz w:val="20"/>
          <w:szCs w:val="20"/>
          <w:color w:val="auto"/>
        </w:rPr>
      </w:pPr>
      <w:r>
        <w:rPr>
          <w:rFonts w:ascii="Times New Roman" w:cs="Times New Roman" w:eastAsia="Times New Roman" w:hAnsi="Times New Roman"/>
          <w:sz w:val="14"/>
          <w:szCs w:val="14"/>
          <w:color w:val="auto"/>
        </w:rPr>
        <w:t>the number of voting shares outstanding immediately after the merger, plus the number of voting shares issuable as a result of the merger either by the conversion of securities issued pursuant to the merger or the exercise of rights or warrants issued pursuant to the merger, will not exceed by more than 20% the total number of voting shares of the surviving corporation outstanding immediately before the merger; and</w:t>
      </w:r>
    </w:p>
    <w:p>
      <w:pPr>
        <w:spacing w:after="0" w:line="164" w:lineRule="exact"/>
        <w:rPr>
          <w:sz w:val="20"/>
          <w:szCs w:val="20"/>
          <w:color w:val="auto"/>
        </w:rPr>
      </w:pPr>
    </w:p>
    <w:p>
      <w:pPr>
        <w:ind w:left="1360" w:right="100"/>
        <w:spacing w:after="0" w:line="257" w:lineRule="auto"/>
        <w:rPr>
          <w:sz w:val="20"/>
          <w:szCs w:val="20"/>
          <w:color w:val="auto"/>
        </w:rPr>
      </w:pPr>
      <w:r>
        <w:rPr>
          <w:rFonts w:ascii="Times New Roman" w:cs="Times New Roman" w:eastAsia="Times New Roman" w:hAnsi="Times New Roman"/>
          <w:sz w:val="14"/>
          <w:szCs w:val="14"/>
          <w:color w:val="auto"/>
        </w:rPr>
        <w:t>the number of participating shares outstanding immediately after the merger, plus the number of participating shares issuable as a result of the merger either by the conversion of securities issued pursuant to the merger or the exercise of rights or warrants issued pursuant to the merger, will not exceed by more than 20% the total number of participating shares of the surviving corporation outstanding immediately before the merger.</w:t>
      </w:r>
    </w:p>
    <w:p>
      <w:pPr>
        <w:spacing w:after="0" w:line="175" w:lineRule="exact"/>
        <w:rPr>
          <w:sz w:val="20"/>
          <w:szCs w:val="20"/>
          <w:color w:val="auto"/>
        </w:rPr>
      </w:pPr>
    </w:p>
    <w:p>
      <w:pPr>
        <w:ind w:left="1360" w:right="80"/>
        <w:spacing w:after="0" w:line="258" w:lineRule="auto"/>
        <w:rPr>
          <w:sz w:val="20"/>
          <w:szCs w:val="20"/>
          <w:color w:val="auto"/>
        </w:rPr>
      </w:pPr>
      <w:r>
        <w:rPr>
          <w:rFonts w:ascii="Times New Roman" w:cs="Times New Roman" w:eastAsia="Times New Roman" w:hAnsi="Times New Roman"/>
          <w:sz w:val="14"/>
          <w:szCs w:val="14"/>
          <w:color w:val="auto"/>
        </w:rPr>
        <w:t>Additionally, under Wisconsin law, a parent corporation owning at least 90% of the outstanding shares or interests of each class of a subsidiary business entity, may merge the subsidiary into the parent or the parent into the subsidiary without approval of the shareholders of the parent or the shareholders or other owners of the subsidiary if certain conditions are met.</w:t>
      </w:r>
    </w:p>
    <w:p>
      <w:pPr>
        <w:spacing w:after="0" w:line="163" w:lineRule="exact"/>
        <w:rPr>
          <w:sz w:val="20"/>
          <w:szCs w:val="20"/>
          <w:color w:val="auto"/>
        </w:rPr>
      </w:pPr>
    </w:p>
    <w:p>
      <w:pPr>
        <w:ind w:left="1360"/>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Transactions with Interested Shareholders. </w:t>
      </w:r>
      <w:r>
        <w:rPr>
          <w:rFonts w:ascii="Times New Roman" w:cs="Times New Roman" w:eastAsia="Times New Roman" w:hAnsi="Times New Roman"/>
          <w:sz w:val="14"/>
          <w:szCs w:val="14"/>
          <w:color w:val="auto"/>
        </w:rPr>
        <w:t>Subject to specific exceptions,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WBCL prohibits a Wisconsin corporation from engaging in a “business combination” with an “interested shareholder” (generally, a person who beneficially owns 10% or more of the voting power of the corporation’s outstanding shares) for a period of three years after the person becomes an interested shareholder unless the board of directors of the corporation approved, before the interested shareholder’s stock acquisition date, that business combination or the purchase of stock made by the interested shareholder on that stock acquisition date. After such three year period, the corporation may engage in a business combination with the interested shareholder if: (1) the board of directors of the corporation approved, before the interested shareholder’s stock acquisition date, the purchase of stock made by the interested shareholder on that stock acquisition date; (2) the business combination is</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679"/>
        <w:spacing w:after="0" w:line="258" w:lineRule="auto"/>
        <w:rPr>
          <w:sz w:val="20"/>
          <w:szCs w:val="20"/>
          <w:color w:val="auto"/>
        </w:rPr>
      </w:pPr>
      <w:r>
        <w:rPr>
          <w:rFonts w:ascii="Times New Roman" w:cs="Times New Roman" w:eastAsia="Times New Roman" w:hAnsi="Times New Roman"/>
          <w:sz w:val="14"/>
          <w:szCs w:val="14"/>
          <w:color w:val="auto"/>
        </w:rPr>
        <w:t>requirements prior to the time the person became an interested shareholder or (2) certain minimum price and specified fairness conditions are satisfied, and the person involved in the business combination has been an interested shareholder for at least five (5) years.</w:t>
      </w:r>
    </w:p>
    <w:p>
      <w:pPr>
        <w:sectPr>
          <w:pgSz w:w="11900" w:h="16838" w:orient="portrait"/>
          <w:cols w:equalWidth="0" w:num="2">
            <w:col w:w="5740" w:space="160"/>
            <w:col w:w="4259"/>
          </w:cols>
          <w:pgMar w:left="300" w:top="386"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approved by the affirmative vote of the holders of a majority of the voting</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 not beneficially owned by the interested shareholder at a meeting called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that purpose; (3) the business combination satisfies specified fair price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procedural requirements set forth in the WBCL; or (4) the business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combination satisfies other requirements set forth in the WBCL. .</w:t>
      </w:r>
    </w:p>
    <w:p>
      <w:pPr>
        <w:spacing w:after="0" w:line="159"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4"/>
          <w:szCs w:val="14"/>
          <w:b w:val="1"/>
          <w:bCs w:val="1"/>
          <w:color w:val="auto"/>
        </w:rPr>
        <w:t>Derivative Actions</w:t>
      </w:r>
    </w:p>
    <w:p>
      <w:pPr>
        <w:sectPr>
          <w:pgSz w:w="11900" w:h="16838" w:orient="portrait"/>
          <w:cols w:equalWidth="0" w:num="1">
            <w:col w:w="10159"/>
          </w:cols>
          <w:pgMar w:left="300" w:top="386" w:right="1440" w:bottom="1440" w:gutter="0" w:footer="0" w:header="0"/>
        </w:sectPr>
      </w:pPr>
    </w:p>
    <w:p>
      <w:pPr>
        <w:spacing w:after="0" w:line="93" w:lineRule="exact"/>
        <w:rPr>
          <w:sz w:val="20"/>
          <w:szCs w:val="20"/>
          <w:color w:val="auto"/>
        </w:rPr>
      </w:pPr>
    </w:p>
    <w:p>
      <w:pPr>
        <w:ind w:left="1360"/>
        <w:spacing w:after="0" w:line="254" w:lineRule="auto"/>
        <w:rPr>
          <w:sz w:val="20"/>
          <w:szCs w:val="20"/>
          <w:color w:val="auto"/>
        </w:rPr>
      </w:pPr>
      <w:r>
        <w:rPr>
          <w:rFonts w:ascii="Times New Roman" w:cs="Times New Roman" w:eastAsia="Times New Roman" w:hAnsi="Times New Roman"/>
          <w:sz w:val="14"/>
          <w:szCs w:val="14"/>
          <w:color w:val="auto"/>
        </w:rPr>
        <w:t>Under the WBCL, any of Modine’s shareholders may bring an action in Modine’s name to obtain relief on Modine’s behalf, also known as a derivative action, provided that the shareholder (i) was a holder of Modine’s shares at the time of the action or omission complained of or became a shareholder through transfer by operation of law from one who was a shareholder at that time, (ii) fairly and adequately represents the interests of the corporation in enforcing its rights, and (iii) the shareholder first makes a written demand upon Modine to take suitable action and 90 days have expired from the date of the demand, unless the demand is rejected earlier or waiting would result in irreparable injury to Modine.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39"/>
        <w:spacing w:after="0" w:line="253" w:lineRule="auto"/>
        <w:rPr>
          <w:sz w:val="20"/>
          <w:szCs w:val="20"/>
          <w:color w:val="auto"/>
        </w:rPr>
      </w:pPr>
      <w:r>
        <w:rPr>
          <w:rFonts w:ascii="Times New Roman" w:cs="Times New Roman" w:eastAsia="Times New Roman" w:hAnsi="Times New Roman"/>
          <w:sz w:val="14"/>
          <w:szCs w:val="14"/>
          <w:color w:val="auto"/>
        </w:rPr>
        <w:t>Under the MBCA, any of Gentherm’s shareholders may bring an action in Gentherm’s name to procure a judgment in Gentherm’s favor, also known as a derivative action, provided that the shareholder bringing the action was a holder of Gentherm’s shares at the time of the action or omission complained of or became a shareholder through transfer by operation of law from one who was a shareholder at that time, remains a shareholder throughout the derivative proceeding until the time of judgment and fairly and adequately represents the interests of the corporation in enforcing the right of the corporation. In addition, the shareholder must first make a written demand upon Gentherm to take suitable action, and 90 days must have expired from the date of the demand, unless Gentherm rejects the demand earlier or waiting would result in irreparable injury to Gentherm.</w:t>
      </w:r>
    </w:p>
    <w:p>
      <w:pPr>
        <w:spacing w:after="0" w:line="147" w:lineRule="exact"/>
        <w:rPr>
          <w:sz w:val="20"/>
          <w:szCs w:val="20"/>
          <w:color w:val="auto"/>
        </w:rPr>
      </w:pPr>
    </w:p>
    <w:p>
      <w:pPr>
        <w:sectPr>
          <w:pgSz w:w="11900" w:h="16838" w:orient="portrait"/>
          <w:cols w:equalWidth="0" w:num="2">
            <w:col w:w="5740" w:space="160"/>
            <w:col w:w="4259"/>
          </w:cols>
          <w:pgMar w:left="300" w:top="386" w:right="1440"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14"/>
          <w:szCs w:val="14"/>
          <w:b w:val="1"/>
          <w:bCs w:val="1"/>
          <w:color w:val="auto"/>
        </w:rPr>
        <w:t>Exclusive Forum</w:t>
      </w:r>
    </w:p>
    <w:p>
      <w:pPr>
        <w:sectPr>
          <w:pgSz w:w="11900" w:h="16838" w:orient="portrait"/>
          <w:cols w:equalWidth="0" w:num="1">
            <w:col w:w="10159"/>
          </w:cols>
          <w:pgMar w:left="300" w:top="386" w:right="1440" w:bottom="1440" w:gutter="0" w:footer="0" w:header="0"/>
          <w:type w:val="continuous"/>
        </w:sectPr>
      </w:pPr>
    </w:p>
    <w:p>
      <w:pPr>
        <w:spacing w:after="0" w:line="93" w:lineRule="exact"/>
        <w:rPr>
          <w:sz w:val="20"/>
          <w:szCs w:val="20"/>
          <w:color w:val="auto"/>
        </w:rPr>
      </w:pPr>
    </w:p>
    <w:p>
      <w:pPr>
        <w:ind w:left="1360" w:right="40"/>
        <w:spacing w:after="0" w:line="253" w:lineRule="auto"/>
        <w:rPr>
          <w:sz w:val="20"/>
          <w:szCs w:val="20"/>
          <w:color w:val="auto"/>
        </w:rPr>
      </w:pPr>
      <w:r>
        <w:rPr>
          <w:rFonts w:ascii="Times New Roman" w:cs="Times New Roman" w:eastAsia="Times New Roman" w:hAnsi="Times New Roman"/>
          <w:sz w:val="14"/>
          <w:szCs w:val="14"/>
          <w:color w:val="auto"/>
        </w:rPr>
        <w:t>Modine’s Bylaws provide that unless Modine consents in writing to the selection of an alternative forum, the Circuit Court for Racine County, Wisconsin or U.S. District Court for the Eastern District of Wisconsin – Milwaukee Division are the sole and exclusive forum for (a) any derivative action or proceeding brought on Modine’s behalf, (b) any action asserting a claim of breach of a fiduciary duty owed by any director, officer or other employee or agent of Modine to Modine or its shareholders, (c) any action asserting a claim arising pursuant to any provision of the WBCL or Modine’s Charter or Modine’s Bylaws or (d) any action asserting a claim governed by the internal affairs doctrine. Further, unless Modine consents in writing to the selection of an alternative forum, and subject to the preceding sentence, the federal district courts of the United States of America are the sole and exclusive forum for the resolution of any complaint asserting a cause or causes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239"/>
        <w:spacing w:after="0" w:line="252" w:lineRule="auto"/>
        <w:rPr>
          <w:sz w:val="20"/>
          <w:szCs w:val="20"/>
          <w:color w:val="auto"/>
        </w:rPr>
      </w:pPr>
      <w:r>
        <w:rPr>
          <w:rFonts w:ascii="Times New Roman" w:cs="Times New Roman" w:eastAsia="Times New Roman" w:hAnsi="Times New Roman"/>
          <w:sz w:val="14"/>
          <w:szCs w:val="14"/>
          <w:color w:val="auto"/>
        </w:rPr>
        <w:t>Unless Gentherm consents in writing to the selection of an alternative forum, the Gentherm Bylaws require that the courts of the State of Michigan located in Oakland County and the United States District Court for the Eastern District of Michigan, to the fullest extent permitted by law, be the sole and exclusive forum for (a) any derivative action or proceeding brought on Gentherm’s behalf, (b) any action asserting a claim of breach of a fiduciary duty owed by any director, officer or other employee of Gentherm to Gentherm or Gentherm’s shareholders, (c) any action asserting a claim arising pursuant to any provision of the MBCA, or (d) any action asserting a claim otherwise governed by the State of Michigan’s “internal affairs doctrine.” Such exclusive forum provision shall not apply to any action or proceeding asserting a claim under the Securities Act or the Exchange Act. Further, unless Gentherm consents in writing to the selection of an alternative forum, the federal district courts of the United States of America shall be the sole and exclusive forum for the resolution of any complaint asserting a cause of action arising under the Securities Act against Gentherm or any of Gentherm’s directors or officers.</w:t>
      </w:r>
    </w:p>
    <w:p>
      <w:pPr>
        <w:sectPr>
          <w:pgSz w:w="11900" w:h="16838" w:orient="portrait"/>
          <w:cols w:equalWidth="0" w:num="2">
            <w:col w:w="5740" w:space="160"/>
            <w:col w:w="4259"/>
          </w:cols>
          <w:pgMar w:left="300" w:top="386" w:right="1440"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INFORMATION ABOUT GENTHERM</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Description of Gentherm</w:t>
      </w:r>
    </w:p>
    <w:p>
      <w:pPr>
        <w:spacing w:after="0" w:line="93" w:lineRule="exact"/>
        <w:rPr>
          <w:sz w:val="20"/>
          <w:szCs w:val="20"/>
          <w:color w:val="auto"/>
        </w:rPr>
      </w:pPr>
    </w:p>
    <w:p>
      <w:pPr>
        <w:ind w:left="1360" w:right="239" w:firstLine="343"/>
        <w:spacing w:after="0" w:line="234" w:lineRule="auto"/>
        <w:rPr>
          <w:sz w:val="20"/>
          <w:szCs w:val="20"/>
          <w:color w:val="auto"/>
        </w:rPr>
      </w:pPr>
      <w:r>
        <w:rPr>
          <w:rFonts w:ascii="Times New Roman" w:cs="Times New Roman" w:eastAsia="Times New Roman" w:hAnsi="Times New Roman"/>
          <w:sz w:val="14"/>
          <w:szCs w:val="14"/>
          <w:color w:val="auto"/>
        </w:rPr>
        <w:t>Gentherm is a global market leader of innovative thermal management and pneumatic comfort technologies. Automotive products include Climate Control Seats (CCS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Climate Control Interiors (CCI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Lumbar and Massage Comfort Solutions, and Valve Systems. Medical products include patient temperature management systems. Gentherm is also developing a number of new technologies and products that will help enable improvements to existing products and to create new product applications for existing and new markets. Gentherm has more than 14,000 employees in facilities across 13 countries. Gentherm Incorporated was originally organized as a California corporation in 1991 and reincorporated as a Michigan corporation in 2005. Gentherm Incorporated became a publicly traded company with its initial public offering in June 1993.</w:t>
      </w:r>
    </w:p>
    <w:p>
      <w:pPr>
        <w:spacing w:after="0" w:line="2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Directors and Executive Officers of Gentherm</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w:t>
      </w:r>
    </w:p>
    <w:p>
      <w:pPr>
        <w:spacing w:after="0" w:line="93" w:lineRule="exact"/>
        <w:rPr>
          <w:sz w:val="20"/>
          <w:szCs w:val="20"/>
          <w:color w:val="auto"/>
        </w:rPr>
      </w:pPr>
    </w:p>
    <w:p>
      <w:pPr>
        <w:jc w:val="both"/>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Following the Merger, the Gentherm Board will consist of eleven members, including nine directors who are members of the Gentherm Board then in-office immediately prior to the Merger, and two directors selected by Modine after good faith consultation with Gentherm. Ron Hundzinski is expected to continue as chair of the Gentherm Board following the Merger.</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Following the Merger, management of the combined company is expected to be led by Gentherm’s existing Chief Executive Officer, Bill Presley.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Compensation of Gentherm’s Directors and Executive Officers</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Information on the compensation of Gentherm’s directors and officers is described on pages 14 and 34 through 69, respectively, of Gentherm’s definitive proxy statement on Schedule 14A with respect to the 2026 annual meeting of shareholders, which Gentherm filed with the SEC on April 1, 2026, which information is incorporated into this proxy statement/prospectus by reference. For more information regarding how to obtain a copy of such documents, see the section entitled “Where You Can Find More Information; Incorporation by Reference.”</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ABOUT MODINE</w:t>
      </w:r>
    </w:p>
    <w:p>
      <w:pPr>
        <w:spacing w:after="0" w:line="177" w:lineRule="exact"/>
        <w:rPr>
          <w:sz w:val="20"/>
          <w:szCs w:val="20"/>
          <w:color w:val="auto"/>
        </w:rPr>
      </w:pPr>
    </w:p>
    <w:p>
      <w:pPr>
        <w:ind w:left="1360" w:right="399" w:firstLine="343"/>
        <w:spacing w:after="0" w:line="227" w:lineRule="auto"/>
        <w:rPr>
          <w:sz w:val="20"/>
          <w:szCs w:val="20"/>
          <w:color w:val="auto"/>
        </w:rPr>
      </w:pPr>
      <w:r>
        <w:rPr>
          <w:rFonts w:ascii="Times New Roman" w:cs="Times New Roman" w:eastAsia="Times New Roman" w:hAnsi="Times New Roman"/>
          <w:sz w:val="14"/>
          <w:szCs w:val="14"/>
          <w:color w:val="auto"/>
        </w:rPr>
        <w:t xml:space="preserve">For more than 100 years, Modine has solved the toughest thermal management challenges for mission-critical applications. Its purpose of </w:t>
      </w:r>
      <w:r>
        <w:rPr>
          <w:rFonts w:ascii="Times New Roman" w:cs="Times New Roman" w:eastAsia="Times New Roman" w:hAnsi="Times New Roman"/>
          <w:sz w:val="14"/>
          <w:szCs w:val="14"/>
          <w:b w:val="1"/>
          <w:bCs w:val="1"/>
          <w:i w:val="1"/>
          <w:iCs w:val="1"/>
          <w:color w:val="auto"/>
        </w:rPr>
        <w:t>Engineering a Cleaner, Healthier World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means it is always evolving its portfolio of technologies to provide the latest heating, cooling,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ventilation solutions. Its technologies advance its purpose with systems that improve air quality, reduce energy and water consumption, lower harmful emissions, and enable the transition to a more sustainable future.</w:t>
      </w:r>
    </w:p>
    <w:p>
      <w:pPr>
        <w:spacing w:after="0" w:line="156"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Through March 31, 2026, Modine operated as two operating segments, Climate Solutions and Performance Technologies. Effective April 1, 2026, Modine’s operating segments are (i) Data Centers; (ii) Commercial HVAC; and (iii) Performance Technologies. Its Performance Technologies segment will continue to be reported as a separate segment until the consummation of the Transactions.</w:t>
      </w:r>
    </w:p>
    <w:p>
      <w:pPr>
        <w:spacing w:after="0" w:line="136"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Modine is a global company headquartered in Racine, Wisconsin (U.S.), with operations in North America, South America, Europe, and Asia, and more than 13,000 employees worldwide.  Modine was incorporated under the laws of the State of Wisconsin on June 23, 1916. Modine became a publicly traded company with its initial public offering in 1982.</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172</w:t>
      </w:r>
    </w:p>
    <w:p>
      <w:pPr>
        <w:sectPr>
          <w:pgSz w:w="11900" w:h="16838" w:orient="portrait"/>
          <w:cols w:equalWidth="0" w:num="1">
            <w:col w:w="10159"/>
          </w:cols>
          <w:pgMar w:left="300" w:top="386"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INFORMATION ABOUT THE PERFORMANCE TECHNOLOGIES BUSINESS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Performance Technologies Business provides thermal management products and solutions that enhance the performance of customer products and applications and develops solutions that provide mission critical energy for a variety of end market applications. The business provides solutions that increase fuel economy and energy consumption, reduce harmful emissions and maximize range in zero emission applications. The Performance Technologies Business designs and manufactures products and solutions for vehicular, stationary power, and industrial applications. In addition, the Performance Technologies Business provides advanced thermal solutions to zero-emission and hybrid commercial vehicle, bus, and specialty vehicle customers.</w:t>
      </w:r>
    </w:p>
    <w:p>
      <w:pPr>
        <w:spacing w:after="0" w:line="143"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The business maintains long-standing relationships with original equipment manufacturers (“OEM”) and Tier 1 customers, served by a global footprint of approximately 4,400 employees across 10 countries as of the end of fiscal 2026.</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Customers and Product Groups</w:t>
      </w:r>
    </w:p>
    <w:p>
      <w:pPr>
        <w:spacing w:after="0" w:line="93"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The Performance Technologies Business’s top five customers, in terms of sales, are in the off-highway, commercial vehicle, and automotive markets and its ten largest customers accounted for 64 percent of its net sales in fiscal 2026.</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is a summary of the Performance Technologies Business’s business segments, categorized as a percentage of its net sales:</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4000" w:type="dxa"/>
            <w:vAlign w:val="bottom"/>
          </w:tcPr>
          <w:p>
            <w:pPr>
              <w:spacing w:after="0"/>
              <w:rPr>
                <w:sz w:val="11"/>
                <w:szCs w:val="11"/>
                <w:color w:val="auto"/>
              </w:rPr>
            </w:pP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w w:val="99"/>
              </w:rPr>
              <w:t>Fiscal 2026</w:t>
            </w:r>
          </w:p>
        </w:tc>
        <w:tc>
          <w:tcPr>
            <w:tcW w:w="1260" w:type="dxa"/>
            <w:vAlign w:val="bottom"/>
            <w:gridSpan w:val="2"/>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w w:val="99"/>
              </w:rPr>
              <w:t>Fiscal 2025</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5"/>
              </w:rPr>
              <w:t>Fiscal 2024</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Heavy-Duty Equipment</w:t>
            </w: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00" w:type="dxa"/>
            <w:vAlign w:val="bottom"/>
            <w:vMerge w:val="continue"/>
            <w:shd w:val="clear" w:color="auto" w:fill="CCEEFF"/>
          </w:tcPr>
          <w:p>
            <w:pPr>
              <w:spacing w:after="0"/>
              <w:rPr>
                <w:sz w:val="13"/>
                <w:szCs w:val="13"/>
                <w:color w:val="auto"/>
              </w:rPr>
            </w:pPr>
          </w:p>
        </w:tc>
        <w:tc>
          <w:tcPr>
            <w:tcW w:w="1260" w:type="dxa"/>
            <w:vAlign w:val="bottom"/>
            <w:gridSpan w:val="2"/>
            <w:shd w:val="clear" w:color="auto" w:fill="CCEEFF"/>
          </w:tcPr>
          <w:p>
            <w:pPr>
              <w:jc w:val="right"/>
              <w:ind w:right="600"/>
              <w:spacing w:after="0" w:line="159" w:lineRule="exact"/>
              <w:rPr>
                <w:sz w:val="20"/>
                <w:szCs w:val="20"/>
                <w:color w:val="auto"/>
              </w:rPr>
            </w:pPr>
            <w:r>
              <w:rPr>
                <w:rFonts w:ascii="Times New Roman" w:cs="Times New Roman" w:eastAsia="Times New Roman" w:hAnsi="Times New Roman"/>
                <w:sz w:val="14"/>
                <w:szCs w:val="14"/>
                <w:color w:val="auto"/>
              </w:rPr>
              <w:t>46%</w:t>
            </w:r>
          </w:p>
        </w:tc>
        <w:tc>
          <w:tcPr>
            <w:tcW w:w="1260" w:type="dxa"/>
            <w:vAlign w:val="bottom"/>
            <w:gridSpan w:val="2"/>
            <w:shd w:val="clear" w:color="auto" w:fill="CCEEFF"/>
          </w:tcPr>
          <w:p>
            <w:pPr>
              <w:jc w:val="right"/>
              <w:ind w:right="600"/>
              <w:spacing w:after="0" w:line="159" w:lineRule="exact"/>
              <w:rPr>
                <w:sz w:val="20"/>
                <w:szCs w:val="20"/>
                <w:color w:val="auto"/>
              </w:rPr>
            </w:pPr>
            <w:r>
              <w:rPr>
                <w:rFonts w:ascii="Times New Roman" w:cs="Times New Roman" w:eastAsia="Times New Roman" w:hAnsi="Times New Roman"/>
                <w:sz w:val="14"/>
                <w:szCs w:val="14"/>
                <w:color w:val="auto"/>
              </w:rPr>
              <w:t>48%</w:t>
            </w:r>
          </w:p>
        </w:tc>
        <w:tc>
          <w:tcPr>
            <w:tcW w:w="6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8"/>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Commercial Vehicle</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29%</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32%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6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Automotive</w:t>
            </w: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25%</w:t>
            </w: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20%</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Competitive Position</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Performance Technologies Business competes with many manufacturers of thermal management solutions, some of which are divisions of larger companies. The markets for its products continue to be very dynamic. For example, the business’s global power generation customers, driven by new data center construction and demand for backup power for critical infrastructure, such as hospitals, mining and airports, are looking for new technologies and global manufacturing capacity to meet their growth demands. Many of the business’s customers also ask the Performance Technologies Business, as well as their other primary suppliers, to provide research and development (“R&amp;D”), design, and validation support for new potential projects. This combined work effort often results in stronger customer relationships and more partnership opportunities for the Performance Technologies Business.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Business Segments</w:t>
      </w:r>
    </w:p>
    <w:p>
      <w:pPr>
        <w:spacing w:after="0" w:line="9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The Performance Technologies Business has strategically aligned its teams around three business segments: i) Heavy-Duty Equipment; ii) Commercial Vehicle and iii) Automotive. The Performance Technologies Business’s chief operating decision maker (“CODM”), its President, reviews the separate financial results for each of these operating segments. The CODM uses segment operating income as a measure of profit and loss to evaluate the financial performance of each segment and as a basis for allocating company resources. See Note 21 to the Notes to Combined Financial Statements.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Heavy-Duty Equipment Segment</w:t>
      </w:r>
    </w:p>
    <w:p>
      <w:pPr>
        <w:spacing w:after="0" w:line="93"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The Heavy-Duty Equipment segment provides heat exchangers and cooling modules for off-highway markets, including agricultural and construction. In addition, the Heavy-Duty Equipment segment sells cooling</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173</w:t>
      </w:r>
    </w:p>
    <w:p>
      <w:pPr>
        <w:sectPr>
          <w:pgSz w:w="11900" w:h="16838" w:orient="portrait"/>
          <w:cols w:equalWidth="0" w:num="1">
            <w:col w:w="10159"/>
          </w:cols>
          <w:pgMar w:left="300" w:top="386"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modules for back-up and primary power generator sets that provide mission critical stationary power. This segment primarily serves the off-highway and power generation markets in North America, Brazil, China, India, Europe and South Korea. It primarily sells under-the-hood powertrain cooling products, such as radiators, condensers, charge air coolers, oil coolers, and engine cooling modules; and cooling modules for power generation sets (“Gensets”). Its customers include construction, agricultural, and mission critical power generation manufacturers; and industrial manufacturers of material handling equipment, Gensets and compressors.</w:t>
      </w:r>
    </w:p>
    <w:p>
      <w:pPr>
        <w:spacing w:after="0" w:line="144"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During fiscal 2026, the agriculture markets in North America, Brazil, and Europe were weak. These markets also experienced significant declines during fiscal 2025, negatively impacted by lower crop prices, higher interest rates, geopolitical trade restrictions, and impacts of the military conflict in Ukraine. As these market conditions continued to challenge the profitability of farming operations in these regions during fiscal 2026, farmers purchased less new equipment and agriculture OEMs kept production and inventory levels relatively low. The business expects that the challenging conditions for the agriculture markets will persist in fiscal 2027.</w:t>
      </w:r>
    </w:p>
    <w:p>
      <w:pPr>
        <w:spacing w:after="0" w:line="144"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global construction markets experienced declines in fiscal 2026, largely associated with relatively high construction costs and market saturation of “young” construction equipment resulting from recent strong purchasing years, reducing the need for replacement or new purchases. The business expects that these construction markets will begin to recover and experience modest growth during fiscal 2027. While dealer inventory remains relatively high, the business anticipates that large-scale infrastructure development projects, including those for data centers and artificial intelligence, and projects incentivized by government programs, such as the Inflation Reduction Act in the U.S., will benefit the construction equipment markets. The business expects these large-scale development projects will increase the need for construction equipment including loaders, excavators, cranes and bulldozers.</w:t>
      </w:r>
    </w:p>
    <w:p>
      <w:pPr>
        <w:spacing w:after="0" w:line="144"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power generation markets in North America, Europe, and India saw strong growth during fiscal 2026, driven by new data center construction and strong demand for artificial intelligence and backup power Gensets for critical infrastructure, such as data centers, hospitals, mining and airports. The business expects continued growth in fiscal 2027.</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Commercial Vehicle Segment</w:t>
      </w:r>
    </w:p>
    <w:p>
      <w:pPr>
        <w:spacing w:after="0" w:line="93"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color w:val="auto"/>
        </w:rPr>
        <w:t>The Commercial Vehicle segment provides heat exchangers and cooling systems for commercial vehicle, bus and specialty vehicle markets in North America, Europe, Brazil, China, and India. Its products and solutions include products for traditional powertrains, including aluminum and stainless steel engine oil coolers, exhaust gas recirculation (“EGR”) coolers, charge air coolers, transmission and retarder oil coolers, chillers, condensers, fan shrouds, and surge tanks. Customers for its traditional powertrain products and solutions include commercial and medium- and heavy-duty truck and engine manufacturers. In addition, this segment provides products and solutions for zero-emission and hybrid commercial vehicle, bus and specialty vehicles, including complete battery thermal management systems, electronics cooling packages, battery chillers, battery cooling plates, coolers and casings for electronics cooling, and coolers for electric axles (“e-axles”). Customers for its zero-emission and hybrid vehicles products and solutions include commercial vehicle, bus and specialty vehicle, off-highway OEMs, e-axle producers, and power electronics providers.</w:t>
      </w:r>
    </w:p>
    <w:p>
      <w:pPr>
        <w:spacing w:after="0" w:line="14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During fiscal 2026, the commercial vehicle market in India experienced strong growth, while the commercial vehicle markets in Brazil and China were relatively flat. In North America and Europe, the commercial vehicle markets experienced continued weakness during 2026. Uncertainties, including those related to the impacts of tariffs, geopolitical tensions and emissions regulations, have been negatively impacting the commercial vehicle markets. While the business expects market softness will continue in fiscal 2027, it is optimistic that the medium- and heavy-duty truck markets may begin to recover based upon recent OEM order trends and reported outlooks. In North America, the business is monitoring the U.S. Environmental Protection Agency’s upcoming Greenhouse Gas Phase 3 regulations for commercial vehicles, which include stricter</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174</w:t>
      </w:r>
    </w:p>
    <w:p>
      <w:pPr>
        <w:sectPr>
          <w:pgSz w:w="11900" w:h="16838" w:orient="portrait"/>
          <w:cols w:equalWidth="0" w:num="1">
            <w:col w:w="10159"/>
          </w:cols>
          <w:pgMar w:left="300" w:top="386"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emission regulations for heavy-duty trucks starting with the 2027 model year. If these regulations are significantly rolled back or eased, it would likely dampen the anticipated surge of heavy-duty truck orders prior to the new regulations going into effect.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Automotive Segment</w:t>
      </w:r>
    </w:p>
    <w:p>
      <w:pPr>
        <w:spacing w:after="0" w:line="93"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Automotive Segment provides heat exchangers and cooling systems for automotive markets in North America, Europe, Brazil, China, and India. Its products and solutions include products for traditional powertrains, including aluminum and stainless steel engine oil coolers, EGR coolers, charge air coolers, transmission oil coolers, chillers and condensers. Customers for its traditional powertrain products and solutions include automobile and light truck OEMs and automotive Tier 1 suppliers.</w:t>
      </w:r>
    </w:p>
    <w:p>
      <w:pPr>
        <w:spacing w:after="0" w:line="14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European and North American automotive markets experienced moderate declines during fiscal 2026, while the automotive market in China saw moderate growth compared with the prior year. The business expects the global automotive markets will remain relatively flat during fiscal 2027 and is monitoring the current uncertainty in the marketplace related to the potential impacts on vehicle sales from trade conflicts and future incentives for electric vehicles.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Geographic Areas</w:t>
      </w:r>
    </w:p>
    <w:p>
      <w:pPr>
        <w:spacing w:after="0" w:line="93"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The Performance Technologies Business maintains administrative organizations in all key geographic regions to facilitate customer support, development and testing, and other administrative functions. It operates in four continents and within the following countries:</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South America</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Europe</w:t>
            </w:r>
          </w:p>
        </w:tc>
        <w:tc>
          <w:tcPr>
            <w:tcW w:w="2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Asia</w:t>
            </w:r>
          </w:p>
        </w:tc>
      </w:tr>
      <w:tr>
        <w:trPr>
          <w:trHeight w:val="144"/>
        </w:trPr>
        <w:tc>
          <w:tcPr>
            <w:tcW w:w="20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Mexico</w:t>
            </w:r>
          </w:p>
        </w:tc>
        <w:tc>
          <w:tcPr>
            <w:tcW w:w="100" w:type="dxa"/>
            <w:vAlign w:val="bottom"/>
          </w:tcPr>
          <w:p>
            <w:pPr>
              <w:spacing w:after="0"/>
              <w:rPr>
                <w:sz w:val="12"/>
                <w:szCs w:val="12"/>
                <w:color w:val="auto"/>
              </w:rPr>
            </w:pPr>
          </w:p>
        </w:tc>
        <w:tc>
          <w:tcPr>
            <w:tcW w:w="20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Brazil</w:t>
            </w:r>
          </w:p>
        </w:tc>
        <w:tc>
          <w:tcPr>
            <w:tcW w:w="80" w:type="dxa"/>
            <w:vAlign w:val="bottom"/>
          </w:tcPr>
          <w:p>
            <w:pPr>
              <w:spacing w:after="0"/>
              <w:rPr>
                <w:sz w:val="12"/>
                <w:szCs w:val="12"/>
                <w:color w:val="auto"/>
              </w:rPr>
            </w:pPr>
          </w:p>
        </w:tc>
        <w:tc>
          <w:tcPr>
            <w:tcW w:w="214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Germany</w:t>
            </w:r>
          </w:p>
        </w:tc>
        <w:tc>
          <w:tcPr>
            <w:tcW w:w="80" w:type="dxa"/>
            <w:vAlign w:val="bottom"/>
          </w:tcPr>
          <w:p>
            <w:pPr>
              <w:spacing w:after="0"/>
              <w:rPr>
                <w:sz w:val="12"/>
                <w:szCs w:val="12"/>
                <w:color w:val="auto"/>
              </w:rPr>
            </w:pPr>
          </w:p>
        </w:tc>
        <w:tc>
          <w:tcPr>
            <w:tcW w:w="206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color w:val="auto"/>
              </w:rPr>
              <w:t>China</w:t>
            </w:r>
          </w:p>
        </w:tc>
      </w:tr>
      <w:tr>
        <w:trPr>
          <w:trHeight w:val="168"/>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United States</w:t>
            </w: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Hungary</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India</w:t>
            </w:r>
          </w:p>
        </w:tc>
      </w:tr>
      <w:tr>
        <w:trPr>
          <w:trHeight w:val="168"/>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Italy</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South Korea</w:t>
            </w:r>
          </w:p>
        </w:tc>
      </w:tr>
      <w:tr>
        <w:trPr>
          <w:trHeight w:val="183"/>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Netherlands</w:t>
            </w:r>
          </w:p>
        </w:tc>
        <w:tc>
          <w:tcPr>
            <w:tcW w:w="2060" w:type="dxa"/>
            <w:vAlign w:val="bottom"/>
          </w:tcPr>
          <w:p>
            <w:pPr>
              <w:spacing w:after="0"/>
              <w:rPr>
                <w:sz w:val="15"/>
                <w:szCs w:val="15"/>
                <w:color w:val="auto"/>
              </w:rPr>
            </w:pPr>
          </w:p>
        </w:tc>
      </w:tr>
    </w:tbl>
    <w:p>
      <w:pPr>
        <w:spacing w:after="0" w:line="1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business’s non-U.S. subsidiaries and affiliates manufacture and sell a number of products, similar to those produced in the U.S.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Exports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Export sales from the U.S. to foreign countries, as a percentage of consolidated net sales, were 10 percent in fiscal 2026.</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Customer Dependence</w:t>
      </w:r>
    </w:p>
    <w:p>
      <w:pPr>
        <w:spacing w:after="0" w:line="93"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The Performance Technologies Business’s ten largest customers, some of which are conglomerates or otherwise affiliated with one another, accounted for 64 percent of its consolidated net sales in fiscal 2026.</w:t>
      </w:r>
    </w:p>
    <w:p>
      <w:pPr>
        <w:spacing w:after="0" w:line="12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Performance Technologies Business’s top customers operate primarily in the off-highway, commercial vehicle, and automotive markets. Its top customers in fiscal 2026, listed alphabetically, include: BMW Group; Caterpillar; Daimler Truck; Deere; Mann+Hummel; Mercedes-Benz Group; Stellantis (including Chrysler, Fiat, PSA-Peugeot-Citroen, and VM Motori); Voith; Volkswagen (including Audi, MAN, Porsche, Scania, and International); and Volvo (including Mack Trucks and Renault Trucks). Generally, the Performance Technologies Business supplies products to its customers on the basis of individual purchase orders received from them. When it is in the mutual interest of the business and its customers, the business utilizes long-term sales agreements to minimize investment risks and provide the customer with a proven source of competitively-priced products. These contracts are typically three to five years in duration.</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175</w:t>
      </w:r>
    </w:p>
    <w:p>
      <w:pPr>
        <w:sectPr>
          <w:pgSz w:w="11900" w:h="16838" w:orient="portrait"/>
          <w:cols w:equalWidth="0" w:num="1">
            <w:col w:w="10159"/>
          </w:cols>
          <w:pgMar w:left="300" w:top="386"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Backlog of Orders</w:t>
      </w:r>
    </w:p>
    <w:p>
      <w:pPr>
        <w:spacing w:after="0" w:line="93"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The Performance Technologies Business believes that its team can manage its operations and production capacity effectively and efficiently based upon expected sales volume in fiscal 2027 and beyond.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Raw Materials</w:t>
      </w:r>
    </w:p>
    <w:p>
      <w:pPr>
        <w:spacing w:after="0" w:line="93"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The Performance Technologies Business purchases aluminum, copper, steel and stainless steel (nickel) from several domestic and foreign suppliers. In general, the business does not rely on any one supplier for these materials, which are, for the most part, available from numerous sources in quantities required by the business. While the business’s suppliers may become constrained due to global demand, it typically does not experience raw material shortages and believes that its suppliers’ production of these metals will be adequate throughout the next fiscal year. The Performance Technologies Business typically adjusts metals pricing with its raw material suppliers on a monthly basis and its major fabricated component suppliers on a quarterly basis. When possible, the business has included provisions within its long-term customer contracts which provide for adjustments to customer prices, on a prospective basis, based upon increases and decreases in the cost of key raw materials. When applicable, however, these contract provisions are limited to the underlying cost of the material based upon a relevant pricing source, such as the London Metal Exchange, American Metal Market, or Platts index, and typically do not include related metals premiums or fabrication costs. In addition, there can often be a three-month to one-year lag until the time that the price adjustments take effect.</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Patents and Other Intellectual Property</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Performance Technologies Business protects its intellectual property through patents, trademarks, trade secrets and copyrights. As a part of its ongoing R&amp;D activities, the business routinely seeks patents on new products and processes. The business’s Patent Review Committee manages its intellectual property strategy and portfolio. The Performance Technologies Business owns or licenses numerous patents worldwide related to its products and operations. Also, because the business has several product lines, the Performance Technologies Business believes that its business as a whole is not materially dependent upon any particular patent or license, or any particular group of patents or licenses. The Performance Technologies Business considers each of its patents, trademarks, and licenses to be of value and aggressively defends its rights throughout the world against infringement.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Research and Development and Investments in Technology</w:t>
      </w:r>
    </w:p>
    <w:p>
      <w:pPr>
        <w:spacing w:after="0" w:line="9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Performance Technologies Business is investing in products and technology to meet the challenging thermal management needs of its customers within the markets it serves. Its products are often aimed at solving difficult and complex heat transfer challenges requiring advanced thermal management solutions, while meeting the demand for increased energy efficiency and compliance with increasingly stringent regulations. The Performance Technologies Business’s heritage includes a depth and breadth of expertise in thermal management that, combined with its global manufacturing presence, standardized processes, and state-of-the-art technical resources, enables it to rapidly bring customized solutions to its customers.</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R&amp;D expenditures, including certain application engineering costs for specific customer solutions, totaled $16 million, $22 million and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$33 million in fiscal 2026, 2025, and 2024, respectively. The Performance Technologies Business’s R&amp;D teams work closely with its customers 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projects and system designs to ensure efficient and cost-effective development of technologies. Development projects include solutions to optimize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efficiency and reliability of commercial and off-highway vehicles. In addition, the business is developing solutions, including precision battery cooling,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optimize the performance of zero emission and hybrid vehicles. The Performance Technologies Business also collaborates with industry, university,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and government-sponsored research organizations that conduct research and provide data on practical applications in the markets it serves. In addition, it</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engages in external research projects that complement its strategic internal research initiatives to further leverage its significant thermal technology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expertise and capabilities.</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176</w:t>
      </w:r>
    </w:p>
    <w:p>
      <w:pPr>
        <w:sectPr>
          <w:pgSz w:w="11900" w:h="16838" w:orient="portrait"/>
          <w:cols w:equalWidth="0" w:num="1">
            <w:col w:w="10159"/>
          </w:cols>
          <w:pgMar w:left="300" w:top="386"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Quality Improvement</w:t>
      </w:r>
    </w:p>
    <w:p>
      <w:pPr>
        <w:spacing w:after="0" w:line="93" w:lineRule="exact"/>
        <w:rPr>
          <w:sz w:val="20"/>
          <w:szCs w:val="20"/>
          <w:color w:val="auto"/>
        </w:rPr>
      </w:pPr>
    </w:p>
    <w:p>
      <w:pPr>
        <w:ind w:left="1360" w:right="419" w:firstLine="343"/>
        <w:spacing w:after="0" w:line="323" w:lineRule="auto"/>
        <w:rPr>
          <w:sz w:val="20"/>
          <w:szCs w:val="20"/>
          <w:color w:val="auto"/>
        </w:rPr>
      </w:pPr>
      <w:r>
        <w:rPr>
          <w:rFonts w:ascii="Times New Roman" w:cs="Times New Roman" w:eastAsia="Times New Roman" w:hAnsi="Times New Roman"/>
          <w:sz w:val="13"/>
          <w:szCs w:val="13"/>
          <w:color w:val="auto"/>
        </w:rPr>
        <w:t>The Performance Technologies Business is committed to evolving its product portfolio in pursuit of highly engineered, mission-critical thermal solutions. The business strives to deliver customer-centric solutions with superior quality and dedicated service throughout the product lifecycle.</w:t>
      </w:r>
    </w:p>
    <w:p>
      <w:pPr>
        <w:spacing w:after="0" w:line="102"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majority of the business’s manufacturing facilities and administrative offices are registered to ISO 9001:2015 or IATF 16949:2016 standards, helping to ensure that customers receive high quality products and services. The Performance Technologies Business regularly monitors its process performance to meet or exceed rising customer expectations for products, services and quality.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Environmental &amp; Sustainability Matters</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Performance Technologies Business is focused on product and technology innovations to improve efficiency and lower carbon emissions. The business’s oil, charge-air, and EGR coolers, radiators, air conditioning condensers, and battery thermal management systems for trucks, buses, cars, specialty vehicles, and off-highway equipment allow both electric vehicle and internal combustion systems to run at optimal temperatures, which promotes better fuel efficiency, lower emissions, and improved vehicle lifespans, while still providing the vehicle performance that customers expect.</w:t>
      </w:r>
    </w:p>
    <w:p>
      <w:pPr>
        <w:spacing w:after="0" w:line="14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In its global business operations, the Performance Technologies Business works to improve energy efficiency, minimize water waste, and increase the amount of waste recycled or diverted from landfills. The business has empowered each of its global facilities to invest in facility upgrades and enhancements that support its sustainability goals. The business partners with local utilities and government entities to implement renewal energy and conservation projects. The business uses resource tracking technologies and waste management programs, installing more efficient LED lighting systems, replacing inefficient boilers and air compressors and installing improved building HVAC management systems. The majority of its facilities maintain Environmental Management System (“EMS”) certification to the international ISO14001 standard through independent third-party audits.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Seasonal Nature of Business</w:t>
      </w:r>
    </w:p>
    <w:p>
      <w:pPr>
        <w:spacing w:after="0" w:line="93"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The Performance Technologies Business’s overall operating performance is generally not subject to a significant degree of seasonality. Sales to Performance Technologies vehicular OEM customers are dependent upon market demand for new vehicles. However, the business’s second fiscal quarter production schedules are typically impacted by customer summer shutdowns and its third fiscal quarter is affected by customer holiday shutdowns.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Working Capital</w:t>
      </w:r>
    </w:p>
    <w:p>
      <w:pPr>
        <w:spacing w:after="0" w:line="93"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Performance Technologies Business manufactures products for the majority of its customers on an as-ordered basis, which makes large inventories of finished products unnecessary. In Brazil, the business maintains aftermarket product inventory in order to timely meet customer needs in the Brazilian commercial vehicle and automotive aftermarkets. The Performance Technologies Business has not experienced a significant number of returned products within any of its product lines.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Human Capital Resource Management</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 of March 31, 2026, the Performance Technologies Business employed approximately 4,400 persons worldwide.</w:t>
      </w:r>
    </w:p>
    <w:p>
      <w:pPr>
        <w:spacing w:after="0" w:line="175"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The Performance Technologies Business strives to be an employer of choice in every community in which it operates. It does this by fostering a fair, respectful, and safe work environment for its people. The Performance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177</w:t>
      </w:r>
    </w:p>
    <w:p>
      <w:pPr>
        <w:sectPr>
          <w:pgSz w:w="11900" w:h="16838" w:orient="portrait"/>
          <w:cols w:equalWidth="0" w:num="1">
            <w:col w:w="10159"/>
          </w:cols>
          <w:pgMar w:left="300" w:top="386"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Technologies Business has identified priorities that it believes are essential to attract, develop and retain highly-qualified talent. These include, among others: i) providing career development programs; ii) promoting health and safety; iii) fostering people-centric values; and iv) providing competitive compensation and benefits.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Properties</w:t>
      </w:r>
    </w:p>
    <w:p>
      <w:pPr>
        <w:spacing w:after="0" w:line="93"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Performance Technologies Business operates manufacturing facilities in the U.S. and in multiple foreign countries. Upon consummation of the Separation, Distribution and Merger, the business will be headquartered in Novi, Michigan, and it will maintain offices and laboratory, experimental and prototype facilities in Racine, Wisconsin. The business has additional technical support functions located in Mezökövesd, Hungary; Sao Paulo, Brazil; Changzhou, China; and Chennai, India.</w:t>
      </w:r>
    </w:p>
    <w:p>
      <w:pPr>
        <w:spacing w:after="0" w:line="141"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The table below summarizes the number of manufacturing facilities of the Performance Technologies Business as of March 31, 2026. These facilities include leased manufacturing space.</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16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1"/>
                <w:szCs w:val="11"/>
                <w:b w:val="1"/>
                <w:bCs w:val="1"/>
                <w:color w:val="auto"/>
              </w:rPr>
              <w:t>Americas</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1"/>
                <w:szCs w:val="11"/>
                <w:b w:val="1"/>
                <w:bCs w:val="1"/>
                <w:color w:val="auto"/>
              </w:rPr>
              <w:t>Europe</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Asia</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9"/>
        </w:trPr>
        <w:tc>
          <w:tcPr>
            <w:tcW w:w="1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3"/>
                <w:szCs w:val="13"/>
                <w:color w:val="auto"/>
              </w:rPr>
            </w:pPr>
          </w:p>
        </w:tc>
        <w:tc>
          <w:tcPr>
            <w:tcW w:w="206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18</w:t>
            </w:r>
          </w:p>
        </w:tc>
      </w:tr>
    </w:tbl>
    <w:p>
      <w:pPr>
        <w:spacing w:after="0" w:line="164"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business considers all of its facilities and equipment to be well maintained and suitable for their purposes. The business reviews its manufacturing capacity regularly and makes a determination as to the need to expand or, conversely, rationalize facilities as necessary to meet changing market conditions and operating needs.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In the normal course of business, the Performance Technologies Business is subject, from time to time, to claims and litigation, including commercial and contract disputes, employment matters, product defect claims and other matters. In its opinion, pending legal matters are not expected to have a material adverse impact on its results of operations, financial condition, liquidity or cashflows.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178</w:t>
      </w:r>
    </w:p>
    <w:p>
      <w:pPr>
        <w:sectPr>
          <w:pgSz w:w="11900" w:h="16838" w:orient="portrait"/>
          <w:cols w:equalWidth="0" w:num="1">
            <w:col w:w="10159"/>
          </w:cols>
          <w:pgMar w:left="300" w:top="386"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 OF THE</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PERFORMANCE TECHNOLOGIES BUSINESS</w:t>
      </w:r>
    </w:p>
    <w:p>
      <w:pPr>
        <w:spacing w:after="0" w:line="1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The Performance Technologies Business’s mission is to use its thermal management expertise to help customers improve fuel economy, lower harmful emissions and enable more efficient vehicles and equipment. The business operates in 10 countries and employs approximately 4,400 persons worldwide as of March 31, 2026.</w:t>
      </w:r>
    </w:p>
    <w:p>
      <w:pPr>
        <w:spacing w:after="0" w:line="136" w:lineRule="exact"/>
        <w:rPr>
          <w:sz w:val="20"/>
          <w:szCs w:val="20"/>
          <w:color w:val="auto"/>
        </w:rPr>
      </w:pPr>
    </w:p>
    <w:p>
      <w:pPr>
        <w:jc w:val="both"/>
        <w:ind w:left="1360" w:right="499" w:firstLine="343"/>
        <w:spacing w:after="0" w:line="323" w:lineRule="auto"/>
        <w:rPr>
          <w:sz w:val="20"/>
          <w:szCs w:val="20"/>
          <w:color w:val="auto"/>
        </w:rPr>
      </w:pPr>
      <w:r>
        <w:rPr>
          <w:rFonts w:ascii="Times New Roman" w:cs="Times New Roman" w:eastAsia="Times New Roman" w:hAnsi="Times New Roman"/>
          <w:sz w:val="13"/>
          <w:szCs w:val="13"/>
          <w:color w:val="auto"/>
        </w:rPr>
        <w:t>The Performance Technologies Business is a leading provider of highly engineered, mission-critical thermal management solutions across the vehicular and power generation end markets. Its operating segments include i) Heavy-Duty Equipment, ii) Commercial Vehicle and iii) Automotive.</w:t>
      </w:r>
    </w:p>
    <w:p>
      <w:pPr>
        <w:spacing w:after="0" w:line="102"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The Heavy-Duty Equipment segment provides heat exchangers and cooling modules for off-highway markets, including agricultural and construction. In addition, the Heavy-Duty Equipment business sells cooling module generator sets that provide mission critical stationary power. The Commercial Vehicle and Automotive segments provide heat exchangers and cooling systems for commercial vehicle, automotive, and specialty vehicle customers. In addition to products for traditional powertrains, the Commercial Vehicle business provides products and solutions for zero-emission and hybrid vehicles, primarily for commercial vehicle, bus and specialty vehicles.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Pending Reverse Morris Trust Transaction</w:t>
      </w:r>
    </w:p>
    <w:p>
      <w:pPr>
        <w:spacing w:after="0" w:line="93"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On January 29, 2026, Gentherm and Modine announced a plan to combine the Performance Technologies Business with Gentherm. To effect the Separation, the Distribution and the Merger, Gentherm, Merger Sub, Modine and SpinCo entered into the Merger Agreement and Gentherm, Modine and SpinCo entered into the Separation Agreement. These agreements, which are described in greater detail in this proxy statement/prospectus, provide for (1) the separation of the Performance Technologies Business from Modine’s other businesses and the subsequent transfer of the Performance Technologies Business into SpinCo and its subsidiaries, (2) the payment by SpinCo of the SpinCo Cash Distribution of $210 million to Modine, subject to decrease if additional shares of Gentherm Common Stock will be issued to result in the percentage of shares of Gentherm Common Stock received by the former holders of SpinCo Common Stock (including the Overlap Shareholders) to equal the Threshold Percentage, and the payment of the absolute value of the Cash Transfer Amount, which is based on, among other things, SpinCo’s net working capital, cash and indebtedness, by SpinCo to Modine if the Cash Transfer Amount is a positive number and by Modine to SpinCo if the Cash Transfer Amount is a negative number, (3) the delivery to Modine shareholders of all of the issued and outstanding shares of SpinCo Common Stock held by Modine by way of a pro rata distribution, and (4) the merger of SpinCo with Merger Sub, with SpinCo continuing as the surviving corporation of the Merger and becoming a wholly owned subsidiary of Gentherm.</w:t>
      </w:r>
    </w:p>
    <w:p>
      <w:pPr>
        <w:spacing w:after="0" w:line="150"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To preserve the tax-free nature of the Distribution for U.S. federal income tax purposes, the Merger Agreement generally provides that the Exchange Ratio (designed, prior to any adjustment, to result in the outstanding shares of Gentherm Common Stock on a fully diluted basis immediately following the Merger, being owned 40% by the former holders of SpinCo Common Stock immediately prior to the Merger (in their capacity as such) and 60% by the Gentherm shareholders immediately prior to the Merger (in their capacity as such) without taking into account any overlapping shareholder ownership) will be adjusted and increased if necessary to ensure that, immediately following the Closing, former holders of SpinCo Common Stock (including the Overlap Shareholders) own, for U.S. federal income tax purposes, at least the Threshold Percentage of the outstanding shares of Gentherm Common Stock.</w:t>
      </w:r>
    </w:p>
    <w:p>
      <w:pPr>
        <w:spacing w:after="0" w:line="144"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If the Exchange Ratio would result in the percentage of issued and outstanding shares of Gentherm Common Stock to be received in the Merger by former holders of SpinCo Common Stock (other than Overlap</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179</w:t>
      </w:r>
    </w:p>
    <w:p>
      <w:pPr>
        <w:sectPr>
          <w:pgSz w:w="11900" w:h="16838" w:orient="portrait"/>
          <w:cols w:equalWidth="0" w:num="1">
            <w:col w:w="10159"/>
          </w:cols>
          <w:pgMar w:left="300" w:top="386"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Shareholders), together with the share ownership percentage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being equal to the Threshold Percentage, and the SpinCo Cash Distribution would be decreased to account for the value of the additional shares of Gentherm Common stock received by the former holders of SpinCo Common Stock.</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of Presentation of Financial Information</w:t>
      </w:r>
    </w:p>
    <w:p>
      <w:pPr>
        <w:spacing w:after="0" w:line="93"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The combined financial statements of the Performance Technologies Business have been prepared on a “carve–out” basis. For the fiscal years ended March 31, 2026, 2025 and 2024, the Performance Technologies Business operated as part of Modine, and consisted of several entities for which separate financial statements have not historically been prepared. As such, the periods presented have been derived from the consolidated financial statements and accounting records of Modine, including the historical cost basis of assets and liabilities comprising the Performance Technologies Business, as well as the historical revenues, direct costs, and allocations of indirect costs attributable to the operations of the Performance Technologies Business, using the historical accounting policies applied by Modine. The combined financial statements have been prepared in accordance with GAAP and pursuant to the rules and regulations of the SEC.</w:t>
      </w:r>
    </w:p>
    <w:p>
      <w:pPr>
        <w:spacing w:after="0" w:line="14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combined financial statements include all revenues and costs directly attributable to the Performance Technologies Business and an allocation of expenses related to certain Modine corporate functions. These expenses have been allocated to the Performance Technologies Business based on direct usage or benefit where specifically identifiable, with the remainder allocated primarily on a pro rata basis on an applicable measure. The Performance Technologies Business considers these allocations to be a reasonable reflection of the utilization of services or the benefit received. However, the allocations may not be indicative of the actual expense that would have been incurred had the Performance Technologies Business operated as an independent, standalone entity, nor are they indicative of the Performance Technologies Business’s future expenses. Actual costs that may have been incurred if the Performance Technologies Business had been a standalone company would depend on a number of factors, including the chosen organizational structure and strategic decisions made in various areas, including IT, infrastructure and outsourcing of corporate functions. Refer to Note 17 of the Notes to Combined Financial Statements for further information.</w:t>
      </w:r>
    </w:p>
    <w:p>
      <w:pPr>
        <w:spacing w:after="0" w:line="149"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The combined financial statements include assets and liabilities specifically attributable to the Performance Technologies Business and certain assets and liabilities that are held by Modine that are specifically identifiable or otherwise attributable to the Performance Technologies Business. The historical results of operations, financial position and cash flows of the Performance Technologies Business presented in the combined financial statements may not be indicative of what they would have been had the Performance Technologies Business been an independent standalone entity, nor are they necessarily indicative of the Performance Technologies Business’s future results of operations, financial position and cash flows.</w:t>
      </w:r>
    </w:p>
    <w:p>
      <w:pPr>
        <w:spacing w:after="0" w:line="14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As the separate legal entities of the Performance Technologies Business were not historically held by a single legal entity, net parent investment is shown in lieu of shareholders’ equity in the combined financial statements. Net parent investment represents Modine’s interest in the recorded assets of the Performance Technologies Business and represents the cumulative investment by Modine in the Performance Technologies Business through the dates presented, inclusive of operating results.</w:t>
      </w:r>
    </w:p>
    <w:p>
      <w:pPr>
        <w:spacing w:after="0" w:line="14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Modine uses a centralized approach to cash management and financing of its operations. These arrangements are not reflective of the manner in which the Performance Technologies Business would have financed its operations had it been a standalone business separate from Modine during the periods presented. Accordingly, cash and cash equivalents held by Modine at the corporate level were not attributable to the Performance Technologies Business for any of the periods presented. Only cash amounts legally owned by</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180</w:t>
      </w:r>
    </w:p>
    <w:p>
      <w:pPr>
        <w:sectPr>
          <w:pgSz w:w="11900" w:h="16838" w:orient="portrait"/>
          <w:cols w:equalWidth="0" w:num="1">
            <w:col w:w="10159"/>
          </w:cols>
          <w:pgMar w:left="300" w:top="386"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entities dedicated to the Performance Technologies Business are reflected in the combined balance sheets. Transfers of cash, both to and from Modine’s treasury program, are reflected as a component of net parent investment on the combined balance sheets and as a financing activity on the accompanying combined statements of cash flows.</w:t>
      </w:r>
    </w:p>
    <w:p>
      <w:pPr>
        <w:spacing w:after="0" w:line="136"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Modine’s long-term debt and related interest expense have not been attributed to the Performance Technologies Business for any of the periods presented because the Performance Technologies Business is not the legal obligor of such borrowings.</w:t>
      </w:r>
    </w:p>
    <w:p>
      <w:pPr>
        <w:spacing w:after="0" w:line="125"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All intercompany transactions and balances within the Performance Technologies Business have been eliminated. Transactions between the Performance Technologies Business and Modine that will not be cash settled are included within net parent investment. Transactions between the Performance Technologies Business and Modine that have been or will be effectively settled for cash at the time the transaction is recorded through Modine’s centralized cash management system have been included in the combined financial statements. The total net effect of the settlement of these intercompany transactions is reflected in the combined statements of cash flows as a financing activity and in the combined balance sheets as net parent investment. Transactions between the Performance Technologies Business and other businesses of Modine are considered related party transactions. See Note 17 of the Notes to Combined Financial Statements for more information.</w:t>
      </w:r>
    </w:p>
    <w:p>
      <w:pPr>
        <w:spacing w:after="0" w:line="144"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Percentages presented are calculated from the underlying amounts. References to years throughout this discussion relate to the fiscal years, which end on March 31.</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Relationship with Modine</w:t>
      </w:r>
    </w:p>
    <w:p>
      <w:pPr>
        <w:spacing w:after="0" w:line="93"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Following the completion of the Transactions, certain functions previously provided by Modine to the Performance Technologies Business will either continue to be delivered to the Performance Technologies Business under the Transition Services Agreement or the other Transaction Documents or will be assumed by Gentherm, either through internal resources or third-party service providers.</w:t>
      </w:r>
    </w:p>
    <w:p>
      <w:pPr>
        <w:spacing w:after="0" w:line="136" w:lineRule="exact"/>
        <w:rPr>
          <w:sz w:val="20"/>
          <w:szCs w:val="20"/>
          <w:color w:val="auto"/>
        </w:rPr>
      </w:pPr>
    </w:p>
    <w:p>
      <w:pPr>
        <w:ind w:left="1360" w:right="619" w:firstLine="343"/>
        <w:spacing w:after="0" w:line="267" w:lineRule="auto"/>
        <w:rPr>
          <w:sz w:val="20"/>
          <w:szCs w:val="20"/>
          <w:color w:val="auto"/>
        </w:rPr>
      </w:pPr>
      <w:r>
        <w:rPr>
          <w:rFonts w:ascii="Times New Roman" w:cs="Times New Roman" w:eastAsia="Times New Roman" w:hAnsi="Times New Roman"/>
          <w:sz w:val="14"/>
          <w:szCs w:val="14"/>
          <w:color w:val="auto"/>
        </w:rPr>
        <w:t>Concurrent with the Transactions, SpinCo will enter into other agreements with Modine relating to the Transactions and various interim and ongoing relationships among Gentherm, SpinCo and Modine. See the section entitled “Additional Agreements Related to the Separation, the Distribution and the Merger.”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Key Trends Affecting Results of Operations</w:t>
      </w:r>
    </w:p>
    <w:p>
      <w:pPr>
        <w:spacing w:after="0" w:line="9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Performance Technologies Business has been closely monitoring uncertainties in the markets it serves, including the potential impacts of tariffs on its businesses, its customers, and the economy as a whole. In anticipation of continued weakness in vehicular markets, the business has been actively reducing its cost structure including through product line consolidations and headcount reductions. The Performance Technologies Business has been focused on exiting the portions of its business that do not align with its strategic plan and evaluating its manufacturing footprint and executing on operating efficiencies to optimize its production. This has been done based on 80/20 principles, which focus on the rule that 80 percent of outputs result from 20 percent of inputs. The Performance Technologies Business has employed these principles in daily decision making and strategic resource and capital allocation.</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181</w:t>
      </w:r>
    </w:p>
    <w:p>
      <w:pPr>
        <w:sectPr>
          <w:pgSz w:w="11900" w:h="16838" w:orient="portrait"/>
          <w:cols w:equalWidth="0" w:num="1">
            <w:col w:w="10159"/>
          </w:cols>
          <w:pgMar w:left="300" w:top="386"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Combined Results of Operations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780" w:type="dxa"/>
            <w:vAlign w:val="bottom"/>
            <w:gridSpan w:val="2"/>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3"/>
          </w:tcPr>
          <w:p>
            <w:pPr>
              <w:jc w:val="right"/>
              <w:ind w:right="2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3"/>
          </w:tcPr>
          <w:p>
            <w:pPr>
              <w:jc w:val="right"/>
              <w:ind w:right="4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160" w:type="dxa"/>
            <w:vAlign w:val="bottom"/>
            <w:gridSpan w:val="2"/>
            <w:vMerge w:val="continue"/>
          </w:tcPr>
          <w:p>
            <w:pPr>
              <w:spacing w:after="0"/>
              <w:rPr>
                <w:sz w:val="9"/>
                <w:szCs w:val="9"/>
                <w:color w:val="auto"/>
              </w:rPr>
            </w:pPr>
          </w:p>
        </w:tc>
        <w:tc>
          <w:tcPr>
            <w:tcW w:w="520" w:type="dxa"/>
            <w:vAlign w:val="bottom"/>
            <w:tcBorders>
              <w:top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92"/>
              </w:rPr>
              <w:t>% of sales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jc w:val="right"/>
              <w:ind w:right="154"/>
              <w:spacing w:after="0" w:line="106"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97"/>
              </w:rPr>
              <w:t>% of sales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top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97"/>
              </w:rPr>
              <w:t>% of sales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140" w:type="dxa"/>
            <w:vAlign w:val="bottom"/>
            <w:tcBorders>
              <w:right w:val="single" w:sz="8" w:color="CCEEFF"/>
            </w:tcBorders>
            <w:vMerge w:val="continue"/>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$ 1,131.8</w:t>
            </w:r>
          </w:p>
        </w:tc>
        <w:tc>
          <w:tcPr>
            <w:tcW w:w="260" w:type="dxa"/>
            <w:vAlign w:val="bottom"/>
            <w:tcBorders>
              <w:righ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$1,163.5</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$1,321.3</w:t>
            </w:r>
          </w:p>
        </w:tc>
        <w:tc>
          <w:tcPr>
            <w:tcW w:w="24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924.4</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81.7%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1,091.6</w:t>
            </w:r>
          </w:p>
        </w:tc>
        <w:tc>
          <w:tcPr>
            <w:tcW w:w="2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26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24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2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2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4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26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24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2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Related party interest expense</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(7.4)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Related party dividend income</w:t>
            </w:r>
          </w:p>
        </w:tc>
        <w:tc>
          <w:tcPr>
            <w:tcW w:w="7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Pension termination charge</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(66.2)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 net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4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gridSpan w:val="2"/>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w:t>
            </w: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gridSpan w:val="2"/>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60" w:type="dxa"/>
            <w:vAlign w:val="bottom"/>
            <w:vMerge w:val="continue"/>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2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attributable to noncontrolling interest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8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Net earnings (loss) attributable to the Performance Technologies</w:t>
            </w:r>
          </w:p>
        </w:tc>
        <w:tc>
          <w:tcPr>
            <w:tcW w:w="5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19.4)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145.0</w:t>
            </w:r>
          </w:p>
        </w:tc>
        <w:tc>
          <w:tcPr>
            <w:tcW w:w="2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63.7</w:t>
            </w:r>
          </w:p>
        </w:tc>
        <w:tc>
          <w:tcPr>
            <w:tcW w:w="2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March 31, 2026 compared with year ended March 31, 2025</w:t>
      </w:r>
    </w:p>
    <w:p>
      <w:pPr>
        <w:spacing w:after="0" w:line="9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Performance Technologies Business’s net sales decreased $32 million, or 3 percent, in fiscal 2026 compared with the prior year, primarily due to lower sales volume in North America, largely due to market weakness and its strategic exit from lower-margin business, and, to a lesser extent, the absence of sales tax credits recognized in Brazil during the prior year. These decreases were partially offset by a $25 million favorable impact of foreign currency exchanges rates and higher average selling prices. Compared with fiscal 2025, sales in the Heavy-Duty Equipment and Commercial Vehicle segments decreased $38 million and $35 million, respectively, and sales in the Automotive segment increased $41 million.</w:t>
      </w:r>
    </w:p>
    <w:p>
      <w:pPr>
        <w:spacing w:after="0" w:line="144"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Performance Technologies Business’s cost of sales decreased $8 million, or 1 percent, in fiscal 2026, primarily due to lower sales volume and, to a lesser extent, improved operating efficiencies. These drivers, which decreased cost of sales, were partially offset by higher raw material costs, which increased $10 million and included the impact of tariffs, and a $21 million unfavorable impact of foreign currency exchange rates. As a percentage of sales, cost of sales increased 150 basis points to 81.7 percent, primarily due to the higher raw material and tariff costs, partially offset by improved operating efficiencies and higher average selling prices.</w:t>
      </w:r>
    </w:p>
    <w:p>
      <w:pPr>
        <w:spacing w:after="0" w:line="144"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As a result of the lower sales and higher cost of sales as a percentage of sales, gross profit decreased $23 million and gross margin declined 150 basis points to 18.3 percent.</w:t>
      </w:r>
    </w:p>
    <w:p>
      <w:pPr>
        <w:spacing w:after="0" w:line="125"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The Performance Technologies Business’s selling, general and administrative expenses decreased $27 million, or 21 percent, compared with the prior year. As a percentage of sales, selling, general and administrative expenses decreased 210 basis points. The decrease in selling, general and administrative expenses was primarily due to lower compensation-related expenses, which included the benefits of previous restructuring actions.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182</w:t>
      </w:r>
    </w:p>
    <w:p>
      <w:pPr>
        <w:sectPr>
          <w:pgSz w:w="11900" w:h="16838" w:orient="portrait"/>
          <w:cols w:equalWidth="0" w:num="1">
            <w:col w:w="10159"/>
          </w:cols>
          <w:pgMar w:left="300" w:top="386"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Restructuring expenses during fiscal 2026 totaled $12 million, a decrease of $9 million compared with the prior year, primarily due to lower severance expenses, partially offset by higher costs related to transferring production for certain product lines.</w:t>
      </w:r>
    </w:p>
    <w:p>
      <w:pPr>
        <w:spacing w:after="0" w:line="125"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During fiscal 2026, the Performance Technologies Business recorded a $4 million loss resulting from the settlement of a loan facility that it had provided to the buyer of its Austrian automotive business in fiscal 2022.</w:t>
      </w:r>
    </w:p>
    <w:p>
      <w:pPr>
        <w:spacing w:after="0" w:line="125"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Operating income in fiscal 2026 increased $9 million to $86 million, primarily due to lower selling, general and administrative expenses and restructuring expenses, partially offset by lower gross profit.</w:t>
      </w:r>
    </w:p>
    <w:p>
      <w:pPr>
        <w:spacing w:after="0" w:line="125"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Related party interest expense in fiscal 2026 decreased $3 million compared with the prior year, primarily due to lower average outstanding borrowings with Modine. During fiscal 2026, the Performance Technologies Business did not receive any related party dividend income. In the prior year, it received a $100 million dividend from a subsidiary of Modine as a return on investment.</w:t>
      </w:r>
    </w:p>
    <w:p>
      <w:pPr>
        <w:spacing w:after="0" w:line="136"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During fiscal 2026, the Performance Technologies Business recorded a pension termination charge of $66 million, representing its allocated share of Modine’s non-cash pension termination charge resulting from the termination of its primary U.S. pension plan.</w:t>
      </w:r>
    </w:p>
    <w:p>
      <w:pPr>
        <w:spacing w:after="0" w:line="125"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The provision for income taxes was $38 million and $28 million in fiscal 2026 and 2025, respectively. The increase was primarily due to higher operating earnings and the impact of provisions of the One Big Beautiful Bill Act, which increased the income tax provision.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March 31, 2025 compared with year ended March 31, 2024</w:t>
      </w:r>
    </w:p>
    <w:p>
      <w:pPr>
        <w:spacing w:after="0" w:line="93"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The Performance Technologies Business’s net sales decreased $158 million, or 12 percent, in fiscal 2025 compared with the prior year, primarily due to lower sales volume, including a $54 million total impact from the disposition of three businesses in Germany during the third quarter of fiscal 2024, and a $17 million unfavorable impact of foreign currency exchange rates. These decreases were partially offset by higher average selling prices and, to a lesser extent, the recognition of sales tax credits in Brazil. Compared with fiscal 2024, sales in the Heavy-Duty Equipment, Automotive, and Commercial Vehicle segments decreased $64 million, $59 million, and $42 million, respectively.</w:t>
      </w:r>
    </w:p>
    <w:p>
      <w:pPr>
        <w:spacing w:after="0" w:line="144"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The Performance Technologies Business’s cost of sales decreased $159 million, or 15 percent, in fiscal 2025, primarily due to lower sales volume and a $13 million favorable impact of foreign currency exchange rate changes. In addition, cost of sales was favorably impacted, to a lesser extent, by improved operating efficiencies and lower raw material costs, which decreased $9 million. These drivers, which decreased cost of sales, were partially offset by higher labor and inflationary costs. As a percentage of sales, cost of sales decreased 240 basis points to 80.2 percent, primarily due to higher average selling prices, improved operating efficiencies, lower material costs, and the favorable impact of sales tax credits recognized in Brazil, partially offset by higher labor and inflationary costs.</w:t>
      </w:r>
    </w:p>
    <w:p>
      <w:pPr>
        <w:spacing w:after="0" w:line="143"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As a result of the lower sales and lower cost of sales as a percentage of sales, gross margin improved 240 basis points to 19.8 percent. Gross profit of $231 million increased $1 million compared with the prior year.</w:t>
      </w:r>
    </w:p>
    <w:p>
      <w:pPr>
        <w:spacing w:after="0" w:line="125" w:lineRule="exact"/>
        <w:rPr>
          <w:sz w:val="20"/>
          <w:szCs w:val="20"/>
          <w:color w:val="auto"/>
        </w:rPr>
      </w:pPr>
    </w:p>
    <w:p>
      <w:pPr>
        <w:ind w:left="1360" w:right="699" w:firstLine="343"/>
        <w:spacing w:after="0" w:line="283" w:lineRule="auto"/>
        <w:rPr>
          <w:sz w:val="20"/>
          <w:szCs w:val="20"/>
          <w:color w:val="auto"/>
        </w:rPr>
      </w:pPr>
      <w:r>
        <w:rPr>
          <w:rFonts w:ascii="Times New Roman" w:cs="Times New Roman" w:eastAsia="Times New Roman" w:hAnsi="Times New Roman"/>
          <w:sz w:val="14"/>
          <w:szCs w:val="14"/>
          <w:color w:val="auto"/>
        </w:rPr>
        <w:t>The Performance Technologies Business’s selling, general and administrative expenses were consistent compared with the prior year. As a percentage of sales, Selling, general and administrative expenses increased 130 basis points.</w:t>
      </w:r>
    </w:p>
    <w:p>
      <w:pPr>
        <w:spacing w:after="0" w:line="125"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Restructuring expenses during fiscal 2025 totaled $20 million, an increase of $8 million compared with the prior year, primarily due to higher severance expenses in North America and product line transfer costs.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183</w:t>
      </w:r>
    </w:p>
    <w:p>
      <w:pPr>
        <w:sectPr>
          <w:pgSz w:w="11900" w:h="16838" w:orient="portrait"/>
          <w:cols w:equalWidth="0" w:num="1">
            <w:col w:w="10159"/>
          </w:cols>
          <w:pgMar w:left="300" w:top="386"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Operating income in fiscal 2025 decreased $11 million to $77 million, primarily due to higher restructuring expenses.</w:t>
      </w:r>
    </w:p>
    <w:p>
      <w:pPr>
        <w:spacing w:after="0" w:line="175"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Related party interest expense in fiscal 2025 decreased $2 million compared with the prior year, primarily due to lower average outstanding borrowings with Modine. During fiscal 2025, the Performance Technologies Business received $100 million of dividend income from a subsidiary of Modine as a return on investment.</w:t>
      </w:r>
    </w:p>
    <w:p>
      <w:pPr>
        <w:spacing w:after="0" w:line="136"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The provision for income taxes was $28 million and $16 million in fiscal 2025 and 2024, respectively. The increase was primarily due to higher earnings in fiscal 2025.</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Segment Results of Operations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Heavy-Duty Equipment</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3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jc w:val="right"/>
              <w:ind w:right="350"/>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370"/>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35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600" w:type="dxa"/>
            <w:vAlign w:val="bottom"/>
            <w:gridSpan w:val="2"/>
            <w:vMerge w:val="continue"/>
          </w:tcPr>
          <w:p>
            <w:pPr>
              <w:spacing w:after="0"/>
              <w:rPr>
                <w:sz w:val="9"/>
                <w:szCs w:val="9"/>
                <w:color w:val="auto"/>
              </w:rPr>
            </w:pPr>
          </w:p>
        </w:tc>
        <w:tc>
          <w:tcPr>
            <w:tcW w:w="380" w:type="dxa"/>
            <w:vAlign w:val="bottom"/>
          </w:tcPr>
          <w:p>
            <w:pPr>
              <w:jc w:val="right"/>
              <w:ind w:right="112"/>
              <w:spacing w:after="0" w:line="106"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 of sales</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ind w:right="115"/>
              <w:spacing w:after="0" w:line="10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200"/>
              <w:spacing w:after="0" w:line="106" w:lineRule="exact"/>
              <w:rPr>
                <w:sz w:val="20"/>
                <w:szCs w:val="20"/>
                <w:color w:val="auto"/>
              </w:rPr>
            </w:pPr>
            <w:r>
              <w:rPr>
                <w:rFonts w:ascii="Times New Roman" w:cs="Times New Roman" w:eastAsia="Times New Roman" w:hAnsi="Times New Roman"/>
                <w:sz w:val="11"/>
                <w:szCs w:val="11"/>
                <w:color w:val="auto"/>
              </w:rPr>
              <w:t>% of sales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ind w:right="93"/>
              <w:spacing w:after="0" w:line="10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 of sales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580" w:type="dxa"/>
            <w:vAlign w:val="bottom"/>
            <w:tcBorders>
              <w:right w:val="single" w:sz="8" w:color="CCEEFF"/>
            </w:tcBorders>
            <w:vMerge w:val="continue"/>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8"/>
              </w:rPr>
              <w:t>$534.3</w:t>
            </w:r>
          </w:p>
        </w:tc>
        <w:tc>
          <w:tcPr>
            <w:tcW w:w="200" w:type="dxa"/>
            <w:vAlign w:val="bottom"/>
            <w:vMerge w:val="continue"/>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$580.7</w:t>
            </w:r>
          </w:p>
        </w:tc>
        <w:tc>
          <w:tcPr>
            <w:tcW w:w="220" w:type="dxa"/>
            <w:vAlign w:val="bottom"/>
            <w:vMerge w:val="continue"/>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$644.3</w:t>
            </w:r>
          </w:p>
        </w:tc>
        <w:tc>
          <w:tcPr>
            <w:tcW w:w="220" w:type="dxa"/>
            <w:vAlign w:val="bottom"/>
            <w:vMerge w:val="continue"/>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2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81.8%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80.2%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0" w:type="dxa"/>
            <w:vAlign w:val="bottom"/>
            <w:gridSpan w:val="2"/>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$ 42.9</w:t>
            </w:r>
          </w:p>
        </w:tc>
        <w:tc>
          <w:tcPr>
            <w:tcW w:w="200" w:type="dxa"/>
            <w:vAlign w:val="bottom"/>
            <w:vMerge w:val="continue"/>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$ 49.0</w:t>
            </w:r>
          </w:p>
        </w:tc>
        <w:tc>
          <w:tcPr>
            <w:tcW w:w="220" w:type="dxa"/>
            <w:vAlign w:val="bottom"/>
            <w:vMerge w:val="continue"/>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$ 58.0</w:t>
            </w:r>
          </w:p>
        </w:tc>
        <w:tc>
          <w:tcPr>
            <w:tcW w:w="220" w:type="dxa"/>
            <w:vAlign w:val="bottom"/>
            <w:vMerge w:val="continue"/>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March 31, 2026 compared with year ended March 31, 2025</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Heavy-Duty Equipment net sales decreased $46 million, or 8 percent, in fiscal 2026 compared with the prior year, primarily due to lower sales volume resulting from market weakness and the strategic exit from lower margin business and, to a lesser extent, the absence of sales tax credits in Brazil that were recognized in fiscal 2025. These decreases were partially offset by a favorable impact of foreign currency exchanges rates and higher average selling prices. Compared with the prior year, sales in the Americas decreased $72 million, while sales in Asia and Europe increased $26 million and $8 million, respectively. In addition, intersegment sales decreased $8 million.</w:t>
      </w:r>
    </w:p>
    <w:p>
      <w:pPr>
        <w:spacing w:after="0" w:line="144"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Heavy-Duty Equipment cost of sales decreased $28 million, or 6 percent, in fiscal 2026 compared with the prior year, primarily due to lower sales volume, partially offset by higher raw material costs, including the impact of tariffs, and an unfavorable impact of foreign currency exchange rates. As a percentage of sales, cost of sales increased 160 basis points to 81.8 percent, primarily due to the higher raw material and tariff costs.</w:t>
      </w:r>
    </w:p>
    <w:p>
      <w:pPr>
        <w:spacing w:after="0" w:line="136"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As a result of lower sales and higher cost of sales as a percentage of sales, gross margin decreased 160 basis points to 18.2 percent and gross profit of $97 million decreased $18 million compared with the prior year.</w:t>
      </w:r>
    </w:p>
    <w:p>
      <w:pPr>
        <w:spacing w:after="0" w:line="125" w:lineRule="exact"/>
        <w:rPr>
          <w:sz w:val="20"/>
          <w:szCs w:val="20"/>
          <w:color w:val="auto"/>
        </w:rPr>
      </w:pPr>
    </w:p>
    <w:p>
      <w:pPr>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Heavy-Duty Equipment selling, general and administrative expenses decreased $12 million, or 21 percent, compared with the prior year. As a percentage of sales, selling, general and administrative expenses decreased 140 basis points. The decrease in selling, general and administrative expenses was primarily due to lower compensation-related expenses, which included the benefits of previous restructuring actions.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Restructuring expenses during fiscal 2026 totaled $8 million, consistent with the prior year.</w:t>
      </w:r>
    </w:p>
    <w:p>
      <w:pPr>
        <w:spacing w:after="0" w:line="175"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Operating income in fiscal 2026 decreased $6 million to $43 million, primarily due to lower gross profit, partially offset by lower selling, general, and administrative expenses.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184</w:t>
      </w:r>
    </w:p>
    <w:p>
      <w:pPr>
        <w:sectPr>
          <w:pgSz w:w="11900" w:h="16838" w:orient="portrait"/>
          <w:cols w:equalWidth="0" w:num="1">
            <w:col w:w="10159"/>
          </w:cols>
          <w:pgMar w:left="300" w:top="386"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March 31, 2025 compared with year ended March 31, 2024</w:t>
      </w:r>
    </w:p>
    <w:p>
      <w:pPr>
        <w:spacing w:after="0" w:line="93"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Heavy-Duty Equipment net sales decreased $64 million, or 10 percent, in fiscal 2025 compared with the prior year, primarily due to lower sales volume resulting from market weakness and our strategic exit from lower margin business. In addition, foreign currency exchange rate changes unfavorably impacted sales. These decreases were partially offset by higher average selling prices and the recognition of sales tax credits in Brazil. Compared with the prior year, sales in the Americas, Europe, and Asia decreased $31 million, $18 million, and $5 million, respectively.</w:t>
      </w:r>
    </w:p>
    <w:p>
      <w:pPr>
        <w:spacing w:after="0" w:line="141" w:lineRule="exact"/>
        <w:rPr>
          <w:sz w:val="20"/>
          <w:szCs w:val="20"/>
          <w:color w:val="auto"/>
        </w:rPr>
      </w:pPr>
    </w:p>
    <w:p>
      <w:pPr>
        <w:ind w:left="1360" w:right="499" w:firstLine="343"/>
        <w:spacing w:after="0" w:line="261" w:lineRule="auto"/>
        <w:rPr>
          <w:sz w:val="20"/>
          <w:szCs w:val="20"/>
          <w:color w:val="auto"/>
        </w:rPr>
      </w:pPr>
      <w:r>
        <w:rPr>
          <w:rFonts w:ascii="Times New Roman" w:cs="Times New Roman" w:eastAsia="Times New Roman" w:hAnsi="Times New Roman"/>
          <w:sz w:val="14"/>
          <w:szCs w:val="14"/>
          <w:color w:val="auto"/>
        </w:rPr>
        <w:t>Heavy-Duty Equipment cost of sales decreased $64 million, or 12 percent, in fiscal 2025 compared with the prior year, primarily due to lower sales volume and a favorable impact of foreign currency exchange rates. As a percentage of sales, cost of sales decreased 200 basis points to</w:t>
      </w:r>
    </w:p>
    <w:p>
      <w:pPr>
        <w:spacing w:after="0" w:line="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80.2 percent, primarily due to higher average selling prices, improved operating efficiencies, lower material costs, and the favorable impact of sales tax credits recognized in Brazil, partially offset by higher labor and inflationary costs.</w:t>
      </w:r>
    </w:p>
    <w:p>
      <w:pPr>
        <w:spacing w:after="0" w:line="140"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As a result of lower sales and lower cost of sales as a percentage of sales, gross margin improved 200 basis points to 19.8 percent. Gross profit of $115 million was consistent with the prior year.</w:t>
      </w:r>
    </w:p>
    <w:p>
      <w:pPr>
        <w:spacing w:after="0" w:line="125"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Heavy-Duty Equipment selling, general and administrative expenses increased $1 million, or 2 percent, compared with the prior year. As a percentage of sales, selling, general and administrative expenses increased 120 basis points.</w:t>
      </w:r>
    </w:p>
    <w:p>
      <w:pPr>
        <w:spacing w:after="0" w:line="125"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Restructuring expenses during fiscal 2025 totaled $8 million, an increase of $8 million compared with the prior year, primarily due to higher severance expenses and product line transfer costs.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Operating income in fiscal 2025 decreased $9 million to $49 million, primarily due to higher restructuring expenses.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Commercial Vehicle</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10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jc w:val="right"/>
              <w:ind w:right="350"/>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370"/>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jc w:val="right"/>
              <w:ind w:right="37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jc w:val="right"/>
              <w:ind w:right="113"/>
              <w:spacing w:after="0" w:line="106"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 of sales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ind w:right="115"/>
              <w:spacing w:after="0" w:line="106"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200"/>
              <w:spacing w:after="0" w:line="106" w:lineRule="exact"/>
              <w:rPr>
                <w:sz w:val="20"/>
                <w:szCs w:val="20"/>
                <w:color w:val="auto"/>
              </w:rPr>
            </w:pPr>
            <w:r>
              <w:rPr>
                <w:rFonts w:ascii="Times New Roman" w:cs="Times New Roman" w:eastAsia="Times New Roman" w:hAnsi="Times New Roman"/>
                <w:sz w:val="11"/>
                <w:szCs w:val="11"/>
                <w:color w:val="auto"/>
              </w:rPr>
              <w:t>% of sales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jc w:val="right"/>
              <w:ind w:right="93"/>
              <w:spacing w:after="0" w:line="106"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color w:val="auto"/>
              </w:rPr>
              <w:t>% of sales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10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$340.9</w:t>
            </w:r>
          </w:p>
        </w:tc>
        <w:tc>
          <w:tcPr>
            <w:tcW w:w="200" w:type="dxa"/>
            <w:vAlign w:val="bottom"/>
            <w:vMerge w:val="continue"/>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$390.5</w:t>
            </w:r>
          </w:p>
        </w:tc>
        <w:tc>
          <w:tcPr>
            <w:tcW w:w="200" w:type="dxa"/>
            <w:vAlign w:val="bottom"/>
            <w:vMerge w:val="continue"/>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$432.1</w:t>
            </w:r>
          </w:p>
        </w:tc>
        <w:tc>
          <w:tcPr>
            <w:tcW w:w="260" w:type="dxa"/>
            <w:vAlign w:val="bottom"/>
            <w:tcBorders>
              <w:left w:val="single" w:sz="8" w:color="CCEEFF"/>
            </w:tcBorders>
            <w:vMerge w:val="continue"/>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2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78.7%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8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9.3%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lef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assets</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$ 31.2</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$ 35.0</w:t>
            </w:r>
          </w:p>
        </w:tc>
        <w:tc>
          <w:tcPr>
            <w:tcW w:w="88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March 31, 2026 compared with year ended March 31, 2025</w:t>
      </w:r>
    </w:p>
    <w:p>
      <w:pPr>
        <w:spacing w:after="0" w:line="9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Commercial Vehicle net sales decreased $50 million, or 13 percent, in fiscal 2026 compared with the prior year, primarily due to lower sales volume, largely due to market weakness and the strategic exit from lower margin business, partially offset by a favorable impact of foreign currency exchanges rates and higher average selling prices. Compared with the prior year, sales in the Americas decreased $48 million, while sales in Europe and Asia increased $12 million and $2 million, respectively. In addition, intersegment sales decreased $15 million.</w:t>
      </w:r>
    </w:p>
    <w:p>
      <w:pPr>
        <w:spacing w:after="0" w:line="141"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Commercial Vehicle cost of sales decreased $39 million, or 13 percent, in fiscal 2026 compared with the prior year, primarily due to lower sales volume and, to a lesser extent, improved operating efficiencies, partially</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185</w:t>
      </w:r>
    </w:p>
    <w:p>
      <w:pPr>
        <w:sectPr>
          <w:pgSz w:w="11900" w:h="16838" w:orient="portrait"/>
          <w:cols w:equalWidth="0" w:num="1">
            <w:col w:w="10159"/>
          </w:cols>
          <w:pgMar w:left="300" w:top="386"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offset by higher raw material costs, including the impact of tariffs, and an unfavorable impact of foreign currency exchange rates. As a percentage of sales, cost of sales decreased 10 basis points to 78.6 percent.</w:t>
      </w:r>
    </w:p>
    <w:p>
      <w:pPr>
        <w:spacing w:after="0" w:line="125" w:lineRule="exact"/>
        <w:rPr>
          <w:sz w:val="20"/>
          <w:szCs w:val="20"/>
          <w:color w:val="auto"/>
        </w:rPr>
      </w:pPr>
    </w:p>
    <w:p>
      <w:pPr>
        <w:jc w:val="both"/>
        <w:ind w:left="1360" w:right="719" w:firstLine="343"/>
        <w:spacing w:after="0" w:line="283" w:lineRule="auto"/>
        <w:rPr>
          <w:sz w:val="20"/>
          <w:szCs w:val="20"/>
          <w:color w:val="auto"/>
        </w:rPr>
      </w:pPr>
      <w:r>
        <w:rPr>
          <w:rFonts w:ascii="Times New Roman" w:cs="Times New Roman" w:eastAsia="Times New Roman" w:hAnsi="Times New Roman"/>
          <w:sz w:val="14"/>
          <w:szCs w:val="14"/>
          <w:color w:val="auto"/>
        </w:rPr>
        <w:t>As a result of lower sales and lower cost of sales as a percentage of sales, gross margin improved 10 basis points to 21.4%. Gross profit of $73 million decreased $10 million from the prior year.</w:t>
      </w:r>
    </w:p>
    <w:p>
      <w:pPr>
        <w:spacing w:after="0" w:line="125" w:lineRule="exact"/>
        <w:rPr>
          <w:sz w:val="20"/>
          <w:szCs w:val="20"/>
          <w:color w:val="auto"/>
        </w:rPr>
      </w:pPr>
    </w:p>
    <w:p>
      <w:pPr>
        <w:jc w:val="both"/>
        <w:ind w:left="1360" w:right="719" w:firstLine="343"/>
        <w:spacing w:after="0" w:line="267" w:lineRule="auto"/>
        <w:rPr>
          <w:sz w:val="20"/>
          <w:szCs w:val="20"/>
          <w:color w:val="auto"/>
        </w:rPr>
      </w:pPr>
      <w:r>
        <w:rPr>
          <w:rFonts w:ascii="Times New Roman" w:cs="Times New Roman" w:eastAsia="Times New Roman" w:hAnsi="Times New Roman"/>
          <w:sz w:val="14"/>
          <w:szCs w:val="14"/>
          <w:color w:val="auto"/>
        </w:rPr>
        <w:t>Commercial Vehicle selling, general and administrative expenses decreased $18 million, or 36 percent, compared with the prior year. As a percentage of sales, selling, general and administrative expenses decreased 330 basis points. The decrease in selling, general and administrative expenses was primarily due to lower compensation-related expenses, which included allocations from Modine for shared costs.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Restructuring expenses during fiscal 2026 totaled $2 million and primarily consisted of severance expenses and product line transfer costs.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Compared with the prior year, restructuring expenses decreased $1 million.</w:t>
      </w:r>
    </w:p>
    <w:p>
      <w:pPr>
        <w:spacing w:after="0" w:line="16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Operating income in fiscal 2026 increased $8 million, or 27 percent, primarily due to lower selling, general and administrative expenses, partially offset by lower gross profit.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March 31, 2025 compared with year ended March 31, 2024</w:t>
      </w:r>
    </w:p>
    <w:p>
      <w:pPr>
        <w:spacing w:after="0" w:line="93"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Commercial Vehicle net sales decreased $42 million, or 10 percent, in fiscal 2025 compared with the prior year, primarily due to lower sales volume, including the impact from the disposition of the three businesses in Germany during the third quarter of fiscal 2024, market weakness, and our strategic exit from lower margin business. In addition, foreign currency exchange rate changes unfavorably impacted sales. These decreases were partially offset by higher average selling prices. Compared with the prior year, sales in Europe and Asia decreased $46 million and $5 million, respectively. These decreases were partially offset by higher sales in the Americas, which increased $7 million.</w:t>
      </w:r>
    </w:p>
    <w:p>
      <w:pPr>
        <w:spacing w:after="0" w:line="144" w:lineRule="exact"/>
        <w:rPr>
          <w:sz w:val="20"/>
          <w:szCs w:val="20"/>
          <w:color w:val="auto"/>
        </w:rPr>
      </w:pPr>
    </w:p>
    <w:p>
      <w:pPr>
        <w:jc w:val="both"/>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Commercial Vehicle cost of sales decreased $54 million, or 15 percent, in fiscal 2025 compared with the prior year, primarily due to lower sales volume and a favorable impact from foreign currency exchange rates. As a percentage of sales, cost of sales decreased 480 basis points to 78.7 percent, primarily due to higher average selling prices, improved operating efficiencies, and lower material costs, partially offset by higher labor and inflationary costs.</w:t>
      </w:r>
    </w:p>
    <w:p>
      <w:pPr>
        <w:spacing w:after="0" w:line="141"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As a result of lower sales and lower cost of sales as a percentage of sales, gross margin improved 480 basis points to 21.3 percent. Gross profit of $83 million increased $12 million from the prior year.</w:t>
      </w:r>
    </w:p>
    <w:p>
      <w:pPr>
        <w:spacing w:after="0" w:line="125"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Commercial Vehicle selling, general and administrative expenses increased $12 million, or 32 percent, compared with the prior year. As a percentage of sales, selling, general and administrative expenses increased 400 basis points. The increase in Selling, general and administrative expenses was primarily due to higher compensation related expenses and increases in other general and administrative expenses.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Restructuring expenses during fiscal 2025 totaled $3 million and primarily consisted of severance expenses and product line transfer costs.</w:t>
      </w:r>
    </w:p>
    <w:p>
      <w:pPr>
        <w:spacing w:after="0" w:line="175"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Operating income in fiscal 2025 decreased $4 million to $31 million, as higher gross profit was more than offset by higher selling, general and administrative and restructuring expenses.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186</w:t>
      </w:r>
    </w:p>
    <w:p>
      <w:pPr>
        <w:sectPr>
          <w:pgSz w:w="11900" w:h="16838" w:orient="portrait"/>
          <w:cols w:equalWidth="0" w:num="1">
            <w:col w:w="10159"/>
          </w:cols>
          <w:pgMar w:left="300" w:top="386"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Automotive</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7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jc w:val="right"/>
              <w:ind w:right="390"/>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2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jc w:val="right"/>
              <w:ind w:right="11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 of sales</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3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 of sales</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3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2"/>
          </w:tcPr>
          <w:p>
            <w:pPr>
              <w:ind w:left="300"/>
              <w:spacing w:after="0" w:line="106" w:lineRule="exact"/>
              <w:rPr>
                <w:sz w:val="20"/>
                <w:szCs w:val="20"/>
                <w:color w:val="auto"/>
              </w:rPr>
            </w:pPr>
            <w:r>
              <w:rPr>
                <w:rFonts w:ascii="Times New Roman" w:cs="Times New Roman" w:eastAsia="Times New Roman" w:hAnsi="Times New Roman"/>
                <w:sz w:val="11"/>
                <w:szCs w:val="11"/>
                <w:b w:val="1"/>
                <w:bCs w:val="1"/>
                <w:color w:val="auto"/>
              </w:rPr>
              <w:t>% of sales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7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$280.7</w:t>
            </w:r>
          </w:p>
        </w:tc>
        <w:tc>
          <w:tcPr>
            <w:tcW w:w="260" w:type="dxa"/>
            <w:vAlign w:val="bottom"/>
            <w:vMerge w:val="continue"/>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vMerge w:val="continue"/>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$ 241.4</w:t>
            </w:r>
          </w:p>
        </w:tc>
        <w:tc>
          <w:tcPr>
            <w:tcW w:w="300" w:type="dxa"/>
            <w:vAlign w:val="bottom"/>
            <w:tcBorders>
              <w:left w:val="single" w:sz="8" w:color="CCEEFF"/>
            </w:tcBorders>
            <w:vMerge w:val="continue"/>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vMerge w:val="continue"/>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$ 300.6</w:t>
            </w:r>
          </w:p>
        </w:tc>
        <w:tc>
          <w:tcPr>
            <w:tcW w:w="300" w:type="dxa"/>
            <w:vAlign w:val="bottom"/>
            <w:tcBorders>
              <w:left w:val="single" w:sz="8" w:color="CCEEFF"/>
            </w:tcBorders>
            <w:vMerge w:val="continue"/>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2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86.5%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4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9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4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9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3.5</w:t>
            </w:r>
          </w:p>
        </w:tc>
        <w:tc>
          <w:tcPr>
            <w:tcW w:w="2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2.9)</w:t>
            </w:r>
          </w:p>
        </w:tc>
        <w:tc>
          <w:tcPr>
            <w:tcW w:w="1040" w:type="dxa"/>
            <w:vAlign w:val="bottom"/>
            <w:tcBorders>
              <w:lef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4.4)</w:t>
            </w:r>
          </w:p>
        </w:tc>
        <w:tc>
          <w:tcPr>
            <w:tcW w:w="960" w:type="dxa"/>
            <w:vAlign w:val="bottom"/>
            <w:tcBorders>
              <w:lef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March 31, 2026 compared with year ended March 31, 2025</w:t>
      </w:r>
    </w:p>
    <w:p>
      <w:pPr>
        <w:spacing w:after="0" w:line="93"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Automotive sales increased $39 million, or 16 percent, in fiscal 2026 compared with the prior year, primarily due to higher sales volume, a favorable impact of foreign currency exchanges rates, and higher average selling prices. Compared with the prior year, sales in Europe, the Americas, and Asia increased $22 million, $18 million, and $1 million, respectively.</w:t>
      </w:r>
    </w:p>
    <w:p>
      <w:pPr>
        <w:spacing w:after="0" w:line="136" w:lineRule="exact"/>
        <w:rPr>
          <w:sz w:val="20"/>
          <w:szCs w:val="20"/>
          <w:color w:val="auto"/>
        </w:rPr>
      </w:pPr>
    </w:p>
    <w:p>
      <w:pPr>
        <w:ind w:left="1360" w:right="559" w:firstLine="343"/>
        <w:spacing w:after="0" w:line="296" w:lineRule="auto"/>
        <w:rPr>
          <w:sz w:val="20"/>
          <w:szCs w:val="20"/>
          <w:color w:val="auto"/>
        </w:rPr>
      </w:pPr>
      <w:r>
        <w:rPr>
          <w:rFonts w:ascii="Times New Roman" w:cs="Times New Roman" w:eastAsia="Times New Roman" w:hAnsi="Times New Roman"/>
          <w:sz w:val="13"/>
          <w:szCs w:val="13"/>
          <w:color w:val="auto"/>
        </w:rPr>
        <w:t>Automotive cost of sales increased $34 million, or 16 percent, in fiscal 2026 compared with the prior year, primarily due to the higher sales volume, higher raw material costs, including the impact of tariffs, and an unfavorable impact of foreign currency exchange rates, partially offset by improved operating efficiencies. As a percentage of sales, cost of sales was 86.6 percent, a 10 basis point increase compared with the prior year.</w:t>
      </w:r>
    </w:p>
    <w:p>
      <w:pPr>
        <w:spacing w:after="0" w:line="120"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As a result of higher sales and higher cost of sales as a percentage of sales, gross margin declined 10 basis points to 13.4 percent. Gross profit of $38 million increased $5 million from the prior year.</w:t>
      </w:r>
    </w:p>
    <w:p>
      <w:pPr>
        <w:spacing w:after="0" w:line="12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Automotive selling, general and administrative expenses increased $2 million, or 8 percent, compared with the prior year, primarily due to higher compensation-related expenses.</w:t>
      </w:r>
    </w:p>
    <w:p>
      <w:pPr>
        <w:spacing w:after="0" w:line="125"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Restructuring expenses during fiscal 2026 totaled $2 million, a decrease of $8 million compared with the prior year, primarily due to lower severance expenses.</w:t>
      </w:r>
    </w:p>
    <w:p>
      <w:pPr>
        <w:spacing w:after="0" w:line="125"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During fiscal 2026, the Automotive segment recorded a $4 million loss resulting from the settlement of a loan facility that it had provided to the buyer of its Austrian automotive business in fiscal 2022.</w:t>
      </w:r>
    </w:p>
    <w:p>
      <w:pPr>
        <w:spacing w:after="0" w:line="125" w:lineRule="exact"/>
        <w:rPr>
          <w:sz w:val="20"/>
          <w:szCs w:val="20"/>
          <w:color w:val="auto"/>
        </w:rPr>
      </w:pPr>
    </w:p>
    <w:p>
      <w:pPr>
        <w:jc w:val="both"/>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Operating income in fiscal 2026 of $4 million improved $6 million compared with the operating loss in the prior year, primarily due to higher gross profit and lower restructuring expenses, partially offset by the $4 million loss related to the loan facility settlement discussed above and higher selling, general and administrative expenses.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Year ended March 31, 2025 compared with year ended March 31, 2024</w:t>
      </w:r>
    </w:p>
    <w:p>
      <w:pPr>
        <w:spacing w:after="0" w:line="93"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Automotive sales decreased $59 million, or 20 percent, in fiscal 2025 compared with the prior year, primarily due to lower sales volume, including the impact from the disposition of the three businesses in Germany during the third quarter of fiscal 2024, and market weakness. In addition, foreign currency exchange rate changes unfavorably impacted sales. Compared with the prior year, sales in Europe, Asia, and the Americas decreased $47 million and $12 million, and $1 million respectively.</w:t>
      </w:r>
    </w:p>
    <w:p>
      <w:pPr>
        <w:spacing w:after="0" w:line="14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Automotive cost of sales decreased $48 million, or 19 percent, in fiscal 2025 compared with the prior year, primarily due to lower sales volume and a favorable impact from foreign currency exchange rates. As a percentage of sales, cost of sales increased 110 basis points to 86.5 percent, primarily due to higher labor and inflationary costs, partially offset by improved operating efficiencies and lower material costs.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187</w:t>
      </w:r>
    </w:p>
    <w:p>
      <w:pPr>
        <w:sectPr>
          <w:pgSz w:w="11900" w:h="16838" w:orient="portrait"/>
          <w:cols w:equalWidth="0" w:num="1">
            <w:col w:w="10159"/>
          </w:cols>
          <w:pgMar w:left="300" w:top="386"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As a result of lower sales and higher cost of sales as a percentage of sales, gross margin declined 110 basis points to 13.5 percent. Gross profit of $33 million decreased $11 million from the prior year.</w:t>
      </w:r>
    </w:p>
    <w:p>
      <w:pPr>
        <w:spacing w:after="0" w:line="125"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Automotive selling, general and administrative expenses decreased $13 million, or 33 percent, compared with the prior year, primarily due to lower compensation-related expenses, which included the benefit of restructuring activities.</w:t>
      </w:r>
    </w:p>
    <w:p>
      <w:pPr>
        <w:spacing w:after="0" w:line="125"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Restructuring expenses during fiscal 2025 totaled $9 million, a decrease of $3 million compared with the prior year, primarily due to lower severance expenses.</w:t>
      </w:r>
    </w:p>
    <w:p>
      <w:pPr>
        <w:spacing w:after="0" w:line="12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The operating loss in fiscal 2025 decreased $1 million to $3 million. Lower gross profit during fiscal 2025 was more than offset by lower selling, general and administrative and restructuring expenses.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93" w:lineRule="exact"/>
        <w:rPr>
          <w:sz w:val="20"/>
          <w:szCs w:val="20"/>
          <w:color w:val="auto"/>
        </w:rPr>
      </w:pPr>
    </w:p>
    <w:p>
      <w:pPr>
        <w:ind w:left="1360" w:right="379" w:firstLine="343"/>
        <w:spacing w:after="0" w:line="256" w:lineRule="auto"/>
        <w:rPr>
          <w:sz w:val="20"/>
          <w:szCs w:val="20"/>
          <w:color w:val="auto"/>
        </w:rPr>
      </w:pPr>
      <w:r>
        <w:rPr>
          <w:rFonts w:ascii="Times New Roman" w:cs="Times New Roman" w:eastAsia="Times New Roman" w:hAnsi="Times New Roman"/>
          <w:sz w:val="14"/>
          <w:szCs w:val="14"/>
          <w:color w:val="auto"/>
        </w:rPr>
        <w:t>Net cash provided by operating activities in fiscal 2026 was $21 million, a decrease of $128 million from $149 million in the prior year. This decrease in operating cash flow was primarily due to lower net earnings (loss) in fiscal 2026, which decreased $164 million. The fiscal 2026 earnings (loss) was negatively impacted by the absence of related party dividend income in the current year, compared with related party dividend income of $100 million in the prior year, and a $66 million pension termination charge in fiscal 2026 related to Modine’s termination of its primary U.S. pension plan. These impacts, which negatively impacted net cash provided by operating activities, were partially offset by favorable net changes in working capital. Compared with the prior year, increases in accounts payable and lower payments for severance expenses favorably impacted operating cash flows and were partially offset by higher inventory levels.</w:t>
      </w:r>
    </w:p>
    <w:p>
      <w:pPr>
        <w:spacing w:after="0" w:line="144"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Net cash provided by operating activities in fiscal 2025 was $149 million, an increase of $85 million from $64 million in the prior year. This increase in operating cash flow was primarily due to higher net earnings in fiscal 2025, which increased $81 million and included a $100 million related party dividend from a wholly-owned subsidiary. The fiscal 2025 dividend distribution represented a return on investment and was sourced entirely from the subsidiary’s historical accumulated earnings. Although this subsidiary was owned by an entity within the Performance Technologies Business at the time of the dividend, it is not included in the combined financial statements of the Performance Technologies Business because it will not be a subsidiary of SpinCo upon completion of the Transactions. Other than its investment interest in the subsidiary, the Performance Technologies Business does not have an ongoing business relationship with the subsidiary. There was no related party dividend income in fiscal 2024. In addition, compared with the prior year, net cash provided by operating activities was favorably impacted by net changes in working capital. While accounts receivable balances were higher and accounts payable balances were lower as of March 31, 2025 compared with the prior year end, the changes in these working capital balances had less of a negative impact on cash flow than they did in fiscal 2024. Inventory levels were relatively consistent year-over-year and did not significantly impact operating cash flows. The favorable changes in working capital were partially offset by higher payments for severance expenses in fiscal 2025.</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93"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Capital expenditures of $28 million during fiscal 2026 decreased $1 million compared with fiscal 2025. Capital expenditures of $29 million during fiscal 2025 decreased $6 million compared with fiscal 2024. Capital expenditures in the Performance Technologies Business include tooling and equipment purchases in conjunction with new and renewal programs with customers.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93"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During fiscal 2026, net cash provided by financing activities was $34 million. During fiscal 2025 and 2024, net cash used for financing activities was $81 million and $19 million, respective. The financing cash flows primarily represent net transfers to/from Modine and related party borrowings.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188</w:t>
      </w:r>
    </w:p>
    <w:p>
      <w:pPr>
        <w:sectPr>
          <w:pgSz w:w="11900" w:h="16838" w:orient="portrait"/>
          <w:cols w:equalWidth="0" w:num="1">
            <w:col w:w="10159"/>
          </w:cols>
          <w:pgMar w:left="300" w:top="386"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Debt and cash management</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Modine’s long-term debt and related interest expense have not been attributed to the Performance Technologies Business for any of the periods presented because the Performance Technologies Business is not the legal obligor of such borrowings. Modine uses a centralized approach to cash management and financing of its operations. These arrangements are not reflective of the manner in which the Performance Technologies Business would have been able to finance its operations had the Performance Technologies Business been a stand-alone business separate from Modine during the periods presented. Transfers of cash, both to and from Modine’s treasury program, are reflected as a component of net parent investment in the combined balance sheets and as investing and financing activities in the accompanying combined statements of cash flows.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Future liquidity</w:t>
      </w:r>
    </w:p>
    <w:p>
      <w:pPr>
        <w:spacing w:after="0" w:line="9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As described elsewhere in this proxy statement/prospectus, prior to the Distribution and the Merger, SpinCo expects to incur indebtedness under the Permanent SpinCo Financing in an aggregate committed principal amount of $250 million, the proceeds of which will be used on the Closing Date to make the SpinCo Cash Distribution, subject to certain potential adjustments set forth in the Merger Agreement, and to pay certain other amounts relating to the Transactions. Following the Separation, Performance Technologies Business will make the SpinCo Cash Distribution to Modine equal to $210 million, subject to adjustment. See the section entitled “The Transaction Agreements—The Separation Agreement—Post-Closing Adjustments” for further description of adjustments to the SpinCo Cash Distribution.</w:t>
      </w:r>
    </w:p>
    <w:p>
      <w:pPr>
        <w:spacing w:after="0" w:line="143" w:lineRule="exact"/>
        <w:rPr>
          <w:sz w:val="20"/>
          <w:szCs w:val="20"/>
          <w:color w:val="auto"/>
        </w:rPr>
      </w:pPr>
    </w:p>
    <w:p>
      <w:pPr>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w:t>
      </w:r>
    </w:p>
    <w:p>
      <w:pPr>
        <w:spacing w:after="0" w:line="136"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w:t>
      </w:r>
    </w:p>
    <w:p>
      <w:pPr>
        <w:spacing w:after="0" w:line="141"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Following the Merger, Gentherm and certain of its subsidiaries are expected to guarantee all indebtedness incurred by SpinCo in connection with the payment of the SpinCo Cash Distribution.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Performance Technologies Business’s historical combined financial statements have been prepared in accordance with accounting principles generally accepted in the United States of America (“GAAP”). In preparing the combined financial statements, management was required to make estimates and assumptions that affect the reported amounts of assets, liabilities, revenues and expenses. Management has identified the following estimates as the most critical accounting estimates, which are those that are most important to aid in understanding the business’s financial condition and results of operations, and that require management’s most subjective and complex judgments. The following discussion of these judgments and estimates is intended to supplement the significant accounting policies presented in Note 2 of the Notes to Combined Financial Statements.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Impairment of property, plant and equipment</w:t>
      </w:r>
    </w:p>
    <w:p>
      <w:pPr>
        <w:spacing w:after="0" w:line="91" w:lineRule="exact"/>
        <w:rPr>
          <w:sz w:val="20"/>
          <w:szCs w:val="20"/>
          <w:color w:val="auto"/>
        </w:rPr>
      </w:pPr>
    </w:p>
    <w:p>
      <w:pPr>
        <w:ind w:left="1360" w:right="27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Critical estimates: </w:t>
      </w:r>
      <w:r>
        <w:rPr>
          <w:rFonts w:ascii="Times New Roman" w:cs="Times New Roman" w:eastAsia="Times New Roman" w:hAnsi="Times New Roman"/>
          <w:sz w:val="14"/>
          <w:szCs w:val="14"/>
          <w:color w:val="auto"/>
        </w:rPr>
        <w:t>The Performance Technologies Business evaluates impairment at the lowest level of separately identifiable cash flows,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generally at the manufacturing plant level. The Performance Technologies Business performs an impairment evaluation whenever business conditions or events indicate that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189</w:t>
      </w:r>
    </w:p>
    <w:p>
      <w:pPr>
        <w:sectPr>
          <w:pgSz w:w="11900" w:h="16838" w:orient="portrait"/>
          <w:cols w:equalWidth="0" w:num="1">
            <w:col w:w="10159"/>
          </w:cols>
          <w:pgMar w:left="300" w:top="386"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assets may be impaired. Specifically, it monitors manufacturing plant financial performance, financial outlooks, and market conditions to determine whether indicators exist that would require an impairment evaluation. Significant adverse changes in plant profitability metrics; substantial changes in the mix of customer products manufactured in a plant; changes in manufacturing strategy; and the shifting of programs to other facilities under a manufacturing realignment strategy could indicate a potential impairment. Within its impairment evaluation, if the net asset values exceed undiscounted cash flows expected to be generated by the assets, the Performance Technologies Business writes down the assets to fair value and records an impairment charge. It estimates fair value in various ways depending on the nature of the underlying assets. Fair value is generally based upon appraised value, estimated salvage value, or selling prices under negotiation, if applicable.</w:t>
      </w:r>
    </w:p>
    <w:p>
      <w:pPr>
        <w:spacing w:after="0" w:line="142" w:lineRule="exact"/>
        <w:rPr>
          <w:sz w:val="20"/>
          <w:szCs w:val="20"/>
          <w:color w:val="auto"/>
        </w:rPr>
      </w:pPr>
    </w:p>
    <w:p>
      <w:pPr>
        <w:jc w:val="both"/>
        <w:ind w:left="1360" w:right="339" w:firstLine="343"/>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Judgments and uncertainties: </w:t>
      </w:r>
      <w:r>
        <w:rPr>
          <w:rFonts w:ascii="Times New Roman" w:cs="Times New Roman" w:eastAsia="Times New Roman" w:hAnsi="Times New Roman"/>
          <w:sz w:val="13"/>
          <w:szCs w:val="13"/>
          <w:color w:val="auto"/>
        </w:rPr>
        <w:t>Estimates and assumptions used to perform impairment evaluations are inherently uncertain and can significantly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affect the outcome of the analyses. Estimates and assumptions that the business uses in its impairment assessments include market and industry trends, historical profitability and cash flows, and forecasted multi-year operating results and cash flows. The business’s ability to realize the future cash flows used in its analyses is impacted by factors such as the success of strategic initiatives and changes in economic conditions in the markets it operates in.</w:t>
      </w:r>
    </w:p>
    <w:p>
      <w:pPr>
        <w:spacing w:after="0" w:line="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Changes in operating results and other assumptions could materially affect these estimates.</w:t>
      </w:r>
    </w:p>
    <w:p>
      <w:pPr>
        <w:spacing w:after="0" w:line="159" w:lineRule="exact"/>
        <w:rPr>
          <w:sz w:val="20"/>
          <w:szCs w:val="20"/>
          <w:color w:val="auto"/>
        </w:rPr>
      </w:pPr>
    </w:p>
    <w:p>
      <w:pPr>
        <w:ind w:left="1360" w:right="279" w:firstLine="343"/>
        <w:spacing w:after="0" w:line="298" w:lineRule="auto"/>
        <w:rPr>
          <w:sz w:val="20"/>
          <w:szCs w:val="20"/>
          <w:color w:val="auto"/>
        </w:rPr>
      </w:pPr>
      <w:r>
        <w:rPr>
          <w:rFonts w:ascii="Times New Roman" w:cs="Times New Roman" w:eastAsia="Times New Roman" w:hAnsi="Times New Roman"/>
          <w:sz w:val="13"/>
          <w:szCs w:val="13"/>
          <w:i w:val="1"/>
          <w:iCs w:val="1"/>
          <w:color w:val="auto"/>
        </w:rPr>
        <w:t xml:space="preserve">Impact if actual results differ from assumptions: </w:t>
      </w:r>
      <w:r>
        <w:rPr>
          <w:rFonts w:ascii="Times New Roman" w:cs="Times New Roman" w:eastAsia="Times New Roman" w:hAnsi="Times New Roman"/>
          <w:sz w:val="13"/>
          <w:szCs w:val="13"/>
          <w:color w:val="auto"/>
        </w:rPr>
        <w:t>Property, plant and equipment assets within the Performance Technologies Business totaled $187</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million at March 31, 2026. Within property, plant and equipment, the most significant assets evaluated are buildings and improvements and machinery and equipment. These balances could be impaired if management does not achieve the expected cash flows used in its impairment evaluations.</w:t>
      </w:r>
    </w:p>
    <w:p>
      <w:pPr>
        <w:spacing w:after="0" w:line="20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1" w:lineRule="exact"/>
        <w:rPr>
          <w:sz w:val="20"/>
          <w:szCs w:val="20"/>
          <w:color w:val="auto"/>
        </w:rPr>
      </w:pPr>
    </w:p>
    <w:p>
      <w:pPr>
        <w:ind w:left="1360" w:right="43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Critical estimates: </w:t>
      </w:r>
      <w:r>
        <w:rPr>
          <w:rFonts w:ascii="Times New Roman" w:cs="Times New Roman" w:eastAsia="Times New Roman" w:hAnsi="Times New Roman"/>
          <w:sz w:val="14"/>
          <w:szCs w:val="14"/>
          <w:color w:val="auto"/>
        </w:rPr>
        <w:t>The Performance Technologies Business operates in numerous taxing jurisdictions and as a result, it is subject to regular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examinations by federal, state and non-U.S. taxing authorities. Deferred tax assets and liabilities reflect temporary differences between the amount of assets and liabilities for financial and tax reporting purposes. The Performance Technologies Business adjusts these amounts to reflect changes in tax rates expected to be in effect when the temporary differences reverse. The Performance Technologies Business records a valuation allowance if it determines it is more likely than not that the net deferred tax assets in a particular jurisdiction will not be realized.</w:t>
      </w:r>
    </w:p>
    <w:p>
      <w:pPr>
        <w:spacing w:after="0" w:line="141" w:lineRule="exact"/>
        <w:rPr>
          <w:sz w:val="20"/>
          <w:szCs w:val="20"/>
          <w:color w:val="auto"/>
        </w:rPr>
      </w:pPr>
    </w:p>
    <w:p>
      <w:pPr>
        <w:ind w:left="1360" w:right="27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Judgments and uncertainties: </w:t>
      </w:r>
      <w:r>
        <w:rPr>
          <w:rFonts w:ascii="Times New Roman" w:cs="Times New Roman" w:eastAsia="Times New Roman" w:hAnsi="Times New Roman"/>
          <w:sz w:val="14"/>
          <w:szCs w:val="14"/>
          <w:color w:val="auto"/>
        </w:rPr>
        <w:t>Due to the application of complex and sometimes ambiguous tax laws and rulings in the jurisdictions in which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Technologies Business does business, there is an inherent level of uncertainty within its worldwide tax provisions. It is possible that taxing authorities could challenge certain positions.</w:t>
      </w:r>
    </w:p>
    <w:p>
      <w:pPr>
        <w:spacing w:after="0" w:line="135"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Management evaluates whether valuation allowances are necessary on a legal entity-by-legal entity basis. The evaluation regarding the realizability of net deferred tax assets involves judgment and the use of estimates and assumptions, including expectations of future taxable income and tax planning strategies. The business gives consideration to all available positive and negative evidence including reversals of deferred tax liabilities, projected future earnings, tax planning strategies, and recent trends in financial results. The business places the most weight to historical earnings, since they are more objectively verified compared to forecasts of future financial results. In evaluating the objective evidence that historical results provide, the business generally considers three years of cumulative income or loss at the jurisdictional level as an important factor.</w:t>
      </w:r>
    </w:p>
    <w:p>
      <w:pPr>
        <w:spacing w:after="0" w:line="141"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Impact if actual results differ from assumptions: </w:t>
      </w:r>
      <w:r>
        <w:rPr>
          <w:rFonts w:ascii="Times New Roman" w:cs="Times New Roman" w:eastAsia="Times New Roman" w:hAnsi="Times New Roman"/>
          <w:sz w:val="14"/>
          <w:szCs w:val="14"/>
          <w:color w:val="auto"/>
        </w:rPr>
        <w:t>As of March 31, 2026, the Performance Technologies Business’s net deferred tax assets totaled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$23 million. Future events or circumstances, such as lower-than-expected taxable income or unfavorable changes in the financial outlook for its operations in certain jurisdictions, could cause the business to record additional valuation allowances. Increases in valuation allowances against deferred tax assets would result in an increase in income tax expense and the effective tax rate.</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190</w:t>
      </w:r>
    </w:p>
    <w:p>
      <w:pPr>
        <w:sectPr>
          <w:pgSz w:w="11900" w:h="16838" w:orient="portrait"/>
          <w:cols w:equalWidth="0" w:num="1">
            <w:col w:w="10159"/>
          </w:cols>
          <w:pgMar w:left="300" w:top="386"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See Note 9 of the Notes to Combined Financial Statements for additional information regarding income taxes.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93" w:lineRule="exact"/>
        <w:rPr>
          <w:sz w:val="20"/>
          <w:szCs w:val="20"/>
          <w:color w:val="auto"/>
        </w:rPr>
      </w:pPr>
    </w:p>
    <w:p>
      <w:pPr>
        <w:ind w:left="1360" w:right="759" w:firstLine="343"/>
        <w:spacing w:after="0" w:line="283" w:lineRule="auto"/>
        <w:rPr>
          <w:sz w:val="20"/>
          <w:szCs w:val="20"/>
          <w:color w:val="auto"/>
        </w:rPr>
      </w:pPr>
      <w:r>
        <w:rPr>
          <w:rFonts w:ascii="Times New Roman" w:cs="Times New Roman" w:eastAsia="Times New Roman" w:hAnsi="Times New Roman"/>
          <w:sz w:val="14"/>
          <w:szCs w:val="14"/>
          <w:color w:val="auto"/>
        </w:rPr>
        <w:t>In the normal course of business, the Performance Technologies Business is subject to market exposure from changes in foreign currency exchange rates, interest rates, commodity prices, credit risk and other market changes.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93"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 Performance Technologies Business is subject to the risk of changes in foreign currency exchange rates due to its operations in foreign countries. It has manufacturing facilities in Brazil, China, India, Mexico, and in Europe. It also has joint ventures in China and South Korea. The Performance Technologies Business sells and distributes products throughout the world and also purchases raw materials from suppliers in foreign countries. As a result, its financial results are affected by changes in foreign currency exchange rates and economic conditions in the foreign markets in which it does business. Whenever possible, the Performance Technologies Business attempts to mitigate foreign currency risks on transactions with customers and suppliers in foreign countries by entering into contracts that are denominated in the functional currency of the entity engaging in the transaction. In addition, its consolidated financial results are impacted by the translation of revenue and expenses in foreign currencies into U.S. dollars. These translation impacts are primarily affected by changes in exchange rates between the U.S. dollar and the Euro, the Brazilian real, and the Chinese yuan. In fiscal 2026, approximately 55 percent of the Performance Technologies Business’s sales were generated in countries outside the U.S. A change in foreign currency exchange rates will positively or negatively affect its sales; however, this impact will be offset, usually to a large degree, with a corresponding effect on its cost of sales and other expenses.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Commodity Price and Supply Risk</w:t>
      </w:r>
    </w:p>
    <w:p>
      <w:pPr>
        <w:spacing w:after="0" w:line="93"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To produce the products it sells, the Performance Technologies Business purchases raw materials and supplies including aluminum, copper, steel and stainless steel (nickel), and gases such as natural gas, helium, and nitrogen. In addition, it also purchases components and parts that are integrated into its end products.</w:t>
      </w:r>
    </w:p>
    <w:p>
      <w:pPr>
        <w:spacing w:after="0" w:line="136" w:lineRule="exact"/>
        <w:rPr>
          <w:sz w:val="20"/>
          <w:szCs w:val="20"/>
          <w:color w:val="auto"/>
        </w:rPr>
      </w:pPr>
    </w:p>
    <w:p>
      <w:pPr>
        <w:ind w:left="1360" w:right="399" w:firstLine="343"/>
        <w:spacing w:after="0" w:line="254" w:lineRule="auto"/>
        <w:rPr>
          <w:sz w:val="20"/>
          <w:szCs w:val="20"/>
          <w:color w:val="auto"/>
        </w:rPr>
      </w:pPr>
      <w:r>
        <w:rPr>
          <w:rFonts w:ascii="Times New Roman" w:cs="Times New Roman" w:eastAsia="Times New Roman" w:hAnsi="Times New Roman"/>
          <w:sz w:val="14"/>
          <w:szCs w:val="14"/>
          <w:color w:val="auto"/>
        </w:rPr>
        <w:t>The Performance Technologies Business seeks to mitigate commodity price risk primarily by adjusting product pricing in response to price increases. Its contracts with certain customers contain provisions that provide for prospective price adjustments based upon changes in raw material prices. These prospective price adjustments generally lag behind the actual raw material price fluctuations by three months or longer, and the contract provisions are limited to the underlying material cost based upon a relevant pricing source, such as the London Metal Exchange, American Metal Market, or Platts index, and typically exclude additional cost elements, such as related metals premiums and fabrication. In instances where the risk is not covered contractually, the Performance Technologies Business seeks to adjust product pricing in response to price increases, including through its quotation process and through price list increases. Nevertheless, it is still subject to the risk of price increases on commodities, components, and other goods and services that it purchases. In recent years, the fluctuations in the cost of logistics has added to the dynamic, requiring the Performance Technologies Business to respond through leveraging its global footprint and scale, and deep logistics relationships, to mitigate the impacts for the business and the customers.</w:t>
      </w:r>
    </w:p>
    <w:p>
      <w:pPr>
        <w:spacing w:after="0" w:line="146"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Performance Technologies Business regularly engages with its suppliers to ensure availability of purchased commodities and components and, where possible, it incorporates contractual volume protections to guarantee required supply levels. It is subject to supply risk, particularly with respect to sourcing of raw materials including aluminum, copper, steel and stainless steel (nickel). The Performance Technologies Business is exposed to the risk that its suppliers may not be able or willing to meet its supply requirements in light of various factors, such as changes in trade laws and tariffs, sharp increases in customer demand, capacity constraints,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191</w:t>
      </w:r>
    </w:p>
    <w:p>
      <w:pPr>
        <w:sectPr>
          <w:pgSz w:w="11900" w:h="16838" w:orient="portrait"/>
          <w:cols w:equalWidth="0" w:num="1">
            <w:col w:w="10159"/>
          </w:cols>
          <w:pgMar w:left="300" w:top="386"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financial instability, or other circumstances. Additionally, considering its global presence, the Performance Technologies Business is exposed to logistics and shipping risks, including disruptions to global shipping lanes or operations, the capacity of global logistics suppliers, port or border disruptions, and the like.</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The Performance Technologies Business also purchases parts from suppliers that use the business’s tooling to create the parts. In most instances, and for financial reasons, the Performance Technologies Business does not have duplicate tooling for the manufacture of the purchased parts. As a result, the Performance Technologies Business is exposed to the risk of a supplier being unable to provide the quantity or quality of parts that it requires. Even in situations where suppliers are manufacturing parts without the use of the Performance Technologies Business’s tooling, it faces the challenge of obtaining consistently high-quality parts from suppliers that are financially stable. The Performance Technologies Business manages supplier risk by leveraging internal and third-party tools to identify and mitigate higher-risk supplier situations.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Credit Risk</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Credit risk represents the possibility of loss from a customer failing to make payment according to contract terms. The Performance Technologies Business’s principal credit risk consists of outstanding trade accounts receivable. Its top customers operate in the off-highway, commercial vehicle and automotive markets and are influenced by similar market and general economic factors. In the past, credit losses from customers have not been significant, nor has the Performance Technologies Business experienced a significant increase in credit losses in connection with inflationary market conditions in recent years.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Performance Technologies Business manages credit risk through a focus on the following:</w:t>
      </w:r>
    </w:p>
    <w:p>
      <w:pPr>
        <w:spacing w:after="0" w:line="100" w:lineRule="exact"/>
        <w:rPr>
          <w:sz w:val="20"/>
          <w:szCs w:val="20"/>
          <w:color w:val="auto"/>
        </w:rPr>
      </w:pPr>
    </w:p>
    <w:p>
      <w:pPr>
        <w:ind w:left="2120" w:right="339" w:hanging="345"/>
        <w:spacing w:after="0" w:line="268" w:lineRule="auto"/>
        <w:tabs>
          <w:tab w:leader="none" w:pos="21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Trade accounts receivable </w:t>
      </w:r>
      <w:r>
        <w:rPr>
          <w:rFonts w:ascii="Times New Roman" w:cs="Times New Roman" w:eastAsia="Times New Roman" w:hAnsi="Times New Roman"/>
          <w:sz w:val="14"/>
          <w:szCs w:val="14"/>
          <w:color w:val="auto"/>
        </w:rPr>
        <w:t>- Prior to granting credit, the Performance Technologies Business evaluates each customer, taking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the customer’s financial condition, payment experience and credit information. After credit is granted, the business actively monitors the customer’s financial condition and applicable business news; and</w:t>
      </w:r>
    </w:p>
    <w:p>
      <w:pPr>
        <w:spacing w:after="0" w:line="59" w:lineRule="exact"/>
        <w:rPr>
          <w:rFonts w:ascii="Times New Roman" w:cs="Times New Roman" w:eastAsia="Times New Roman" w:hAnsi="Times New Roman"/>
          <w:sz w:val="14"/>
          <w:szCs w:val="14"/>
          <w:color w:val="auto"/>
        </w:rPr>
      </w:pPr>
    </w:p>
    <w:p>
      <w:pPr>
        <w:ind w:left="2120" w:right="359" w:hanging="345"/>
        <w:spacing w:after="0" w:line="326" w:lineRule="auto"/>
        <w:tabs>
          <w:tab w:leader="none" w:pos="212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Insurance </w:t>
      </w:r>
      <w:r>
        <w:rPr>
          <w:rFonts w:ascii="Times New Roman" w:cs="Times New Roman" w:eastAsia="Times New Roman" w:hAnsi="Times New Roman"/>
          <w:sz w:val="13"/>
          <w:szCs w:val="13"/>
          <w:color w:val="auto"/>
        </w:rPr>
        <w:t>- The Performance Technologies Business monitors its insurance providers to ensure they maintain financial ratings that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acceptable to the business. The Performance Technologies Business has not identified any concerns in this regard based upon its reviews.</w:t>
      </w:r>
    </w:p>
    <w:p>
      <w:pPr>
        <w:spacing w:after="0" w:line="100"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In addition, the Performance Technologies Business is exposed to risks associated with price reduction pressures from its customers. If contractual price downs are unavoidable, the Performance Technologies Business contemplates them in its overall strategy and adjust pricing as necessary to provide profit margins that are acceptable to the business.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Economic and Market Risk</w:t>
      </w:r>
    </w:p>
    <w:p>
      <w:pPr>
        <w:spacing w:after="0" w:line="93"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 Performance Technologies Business operates in numerous countries and sells a broad range of thermal management solutions and products to customers operating in the off-highway, commercial vehicle and automotive markets. Economic risk represents the possibility of loss resulting from economic instability in the U.S. or abroad.</w:t>
      </w:r>
    </w:p>
    <w:p>
      <w:pPr>
        <w:spacing w:after="0" w:line="136"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Performance Technologies business is currently monitoring economic and market risks related to geopolitical tensions and military conflicts, which could negatively impact or cause significant business disruptions in the global markets that it operates in. These conflicts and tensions could result in increases to energy and fuel prices, shipping delays, and increased freight and manufacturing costs. The Performance Technologies Business also encounters risks imposed by trade restrictions, including tariffs, embargoes, sanctions, and the like. There is currently uncertainty regarding future relationships between the U.S. and numerous other countries, including China, Canada, Mexico, and in Europe, with respect to trade policies and tariffs. The Performance Technologies Business is working to minimize the impact of tariffs. Where applicable, such efforts include renegotiating prices with suppliers, adjusting product pricing, and diversifying its supplier base.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192</w:t>
      </w:r>
    </w:p>
    <w:p>
      <w:pPr>
        <w:sectPr>
          <w:pgSz w:w="11900" w:h="16838" w:orient="portrait"/>
          <w:cols w:equalWidth="0" w:num="1">
            <w:col w:w="10159"/>
          </w:cols>
          <w:pgMar w:left="300" w:top="386"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177"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On January 29, 2026, Gentherm entered into definitive agreements to combine Modine’s Performance Technologies Business with Gentherm. The combination is structured as an RMT transaction, whereby SpinCo, a wholly owned subsidiary of Modine, that will own the Performance Technologies Business, will be spun off to Modine shareholders and simultaneously merge with a wholly owned subsidiary of Gentherm. Gentherm shareholders immediately prior to the Merger are expected to own approximately 60.0% of the combined company and Modine shareholders are expected to own approximately 40.0% of the combined company, on a fully diluted basis, without taking into account any overlapping shareholder ownership and subject to adjustment.</w:t>
      </w:r>
    </w:p>
    <w:p>
      <w:pPr>
        <w:spacing w:after="0" w:line="14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Transactions will establish Gentherm as a scaled leader in thermal management solutions and expand its technologies and capabilities in precision flow management. It will enable the combined company to serve attractive end markets including power generation, commercial, heavy-duty, light vehicle, and medical. The combined company expects to realize significant value creation through cost synergies and incremental commercial opportunities including cross-selling, product integration, and entering global markets in which legacy Gentherm has not operated. Modine will retain its Climate Solutions businesses, creating a pure-play climate solutions company focused on the high-growth data center and commercial HVAC &amp; refrigeration end markets.</w:t>
      </w:r>
    </w:p>
    <w:p>
      <w:pPr>
        <w:spacing w:after="0" w:line="14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information has been prepared in accordance with Article 11 of Regulation S-X in order to illustrate the estimated effects of the Transactions, with respect to the pro forma balance sheet as of March 31, 2026, as if the Transactions had occurred on March 31, 2026 and, with respect to the pro forma statements of operations for the three months ended March 31, 2026, and the year ended December 31, 2025, as if the Transactions had occurred on January 1, 2025.</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unaudited pro forma condensed combined financial information should be read in conjunction with the historical financial statements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Gentherm and the Performance Technologies Business referenced below:</w:t>
      </w:r>
    </w:p>
    <w:p>
      <w:pPr>
        <w:spacing w:after="0" w:line="87" w:lineRule="exact"/>
        <w:rPr>
          <w:sz w:val="20"/>
          <w:szCs w:val="20"/>
          <w:color w:val="auto"/>
        </w:rPr>
      </w:pPr>
    </w:p>
    <w:p>
      <w:pPr>
        <w:ind w:left="2120" w:right="539" w:hanging="345"/>
        <w:spacing w:after="0" w:line="267" w:lineRule="auto"/>
        <w:tabs>
          <w:tab w:leader="none" w:pos="21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Gentherm’s unaudited consolidated financial statements and the notes thereto for the three months ended March 31, 2026, which are included in Gentherm’s Quarterly Report on Form 10-Q for the three months ended March 31, 2026, filed on April 23, 2026, which is incorporated by reference into this proxy statement/prospectus;</w:t>
      </w:r>
    </w:p>
    <w:p>
      <w:pPr>
        <w:spacing w:after="0" w:line="61" w:lineRule="exact"/>
        <w:rPr>
          <w:rFonts w:ascii="Times New Roman" w:cs="Times New Roman" w:eastAsia="Times New Roman" w:hAnsi="Times New Roman"/>
          <w:sz w:val="14"/>
          <w:szCs w:val="14"/>
          <w:color w:val="auto"/>
        </w:rPr>
      </w:pPr>
    </w:p>
    <w:p>
      <w:pPr>
        <w:ind w:left="2120" w:right="379" w:hanging="345"/>
        <w:spacing w:after="0" w:line="267" w:lineRule="auto"/>
        <w:tabs>
          <w:tab w:leader="none" w:pos="21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Gentherm’s audited consolidated financial statements and the notes thereto for the year ended December 31, 2025, which are included in Gentherm’s Annual Report on Form 10-K for the year ended December 31, 2025, filed on February 19, 2026, which is incorporated by reference into this proxy statement/prospectus; and</w:t>
      </w:r>
    </w:p>
    <w:p>
      <w:pPr>
        <w:spacing w:after="0" w:line="6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audited financial statements for the years ended March 31, 2026 and 2025 and the notes thereto, included elsewhere in this proxy statement/prospectus.</w:t>
      </w:r>
    </w:p>
    <w:p>
      <w:pPr>
        <w:spacing w:after="0" w:line="125"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does not give effect to any potential cost savings, operational efficiencies or synergies that may result from the integration of the Performance Technologies Business with Gentherm, nor does it reflect costs related to integration activities that may be incurred after the completion of the Transactions. The unaudited pro forma condensed combined financial information is presented for informational purposes only and is not necessarily indicative of the financial position or results that would have occurred had the events been consummated as of the dates indicated, nor is it indicative of any future results.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193</w:t>
      </w:r>
    </w:p>
    <w:p>
      <w:pPr>
        <w:sectPr>
          <w:pgSz w:w="11900" w:h="16838" w:orient="portrait"/>
          <w:cols w:equalWidth="0" w:num="1">
            <w:col w:w="10159"/>
          </w:cols>
          <w:pgMar w:left="300" w:top="386"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OF MARCH 31, 2026</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5"/>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center"/>
              <w:ind w:right="240"/>
              <w:spacing w:after="0" w:line="95" w:lineRule="exact"/>
              <w:rPr>
                <w:sz w:val="20"/>
                <w:szCs w:val="20"/>
                <w:color w:val="auto"/>
              </w:rPr>
            </w:pPr>
            <w:r>
              <w:rPr>
                <w:rFonts w:ascii="Times New Roman" w:cs="Times New Roman" w:eastAsia="Times New Roman" w:hAnsi="Times New Roman"/>
                <w:sz w:val="11"/>
                <w:szCs w:val="11"/>
                <w:i w:val="1"/>
                <w:iCs w:val="1"/>
                <w:color w:val="auto"/>
                <w:w w:val="98"/>
              </w:rPr>
              <w:t>As of</w:t>
            </w: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center"/>
              <w:ind w:right="33"/>
              <w:spacing w:after="0" w:line="95" w:lineRule="exact"/>
              <w:rPr>
                <w:sz w:val="20"/>
                <w:szCs w:val="20"/>
                <w:color w:val="auto"/>
              </w:rPr>
            </w:pPr>
            <w:r>
              <w:rPr>
                <w:rFonts w:ascii="Times New Roman" w:cs="Times New Roman" w:eastAsia="Times New Roman" w:hAnsi="Times New Roman"/>
                <w:sz w:val="11"/>
                <w:szCs w:val="11"/>
                <w:i w:val="1"/>
                <w:iCs w:val="1"/>
                <w:color w:val="auto"/>
                <w:w w:val="98"/>
              </w:rPr>
              <w:t>As of</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i w:val="1"/>
                <w:iCs w:val="1"/>
                <w:color w:val="auto"/>
                <w:w w:val="91"/>
              </w:rPr>
              <w:t>March 31,</w:t>
            </w:r>
          </w:p>
        </w:tc>
        <w:tc>
          <w:tcPr>
            <w:tcW w:w="100" w:type="dxa"/>
            <w:vAlign w:val="bottom"/>
          </w:tcPr>
          <w:p>
            <w:pPr>
              <w:spacing w:after="0"/>
              <w:rPr>
                <w:sz w:val="10"/>
                <w:szCs w:val="10"/>
                <w:color w:val="auto"/>
              </w:rPr>
            </w:pPr>
          </w:p>
        </w:tc>
        <w:tc>
          <w:tcPr>
            <w:tcW w:w="7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i w:val="1"/>
                <w:iCs w:val="1"/>
                <w:color w:val="auto"/>
                <w:w w:val="91"/>
              </w:rPr>
              <w:t>March 31,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1"/>
                <w:szCs w:val="11"/>
                <w:i w:val="1"/>
                <w:iCs w:val="1"/>
                <w:color w:val="auto"/>
                <w:w w:val="99"/>
              </w:rPr>
              <w:t>2026</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i w:val="1"/>
                <w:iCs w:val="1"/>
                <w:color w:val="auto"/>
                <w:w w:val="99"/>
              </w:rPr>
              <w:t>2026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33"/>
              <w:spacing w:after="0" w:line="93" w:lineRule="exact"/>
              <w:rPr>
                <w:sz w:val="20"/>
                <w:szCs w:val="20"/>
                <w:color w:val="auto"/>
              </w:rPr>
            </w:pPr>
            <w:r>
              <w:rPr>
                <w:rFonts w:ascii="Times New Roman" w:cs="Times New Roman" w:eastAsia="Times New Roman" w:hAnsi="Times New Roman"/>
                <w:sz w:val="9"/>
                <w:szCs w:val="9"/>
                <w:b w:val="1"/>
                <w:bCs w:val="1"/>
                <w:color w:val="auto"/>
              </w:rPr>
              <w:t>Modine</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w w:val="94"/>
              </w:rPr>
              <w:t>Performance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w w:val="94"/>
              </w:rPr>
              <w:t>Technologies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right"/>
              <w:ind w:right="200"/>
              <w:spacing w:after="0" w:line="116" w:lineRule="exact"/>
              <w:rPr>
                <w:sz w:val="20"/>
                <w:szCs w:val="20"/>
                <w:color w:val="auto"/>
              </w:rPr>
            </w:pPr>
            <w:r>
              <w:rPr>
                <w:rFonts w:ascii="Times New Roman" w:cs="Times New Roman" w:eastAsia="Times New Roman" w:hAnsi="Times New Roman"/>
                <w:sz w:val="11"/>
                <w:szCs w:val="11"/>
                <w:b w:val="1"/>
                <w:bCs w:val="1"/>
                <w:color w:val="auto"/>
                <w:w w:val="94"/>
              </w:rPr>
              <w:t>Transaction</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w w:val="95"/>
              </w:rPr>
              <w:t>After</w:t>
            </w:r>
          </w:p>
        </w:tc>
        <w:tc>
          <w:tcPr>
            <w:tcW w:w="60" w:type="dxa"/>
            <w:vAlign w:val="bottom"/>
          </w:tcPr>
          <w:p>
            <w:pPr>
              <w:spacing w:after="0"/>
              <w:rPr>
                <w:sz w:val="10"/>
                <w:szCs w:val="10"/>
                <w:color w:val="auto"/>
              </w:rPr>
            </w:pPr>
          </w:p>
        </w:tc>
        <w:tc>
          <w:tcPr>
            <w:tcW w:w="740" w:type="dxa"/>
            <w:vAlign w:val="bottom"/>
            <w:gridSpan w:val="3"/>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3"/>
              </w:rPr>
              <w:t>Pre-Merger</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right"/>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6"/>
              </w:rPr>
              <w:t>Accounting</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w w:val="95"/>
              </w:rPr>
              <w:t>Gentherm</w:t>
            </w:r>
          </w:p>
        </w:tc>
        <w:tc>
          <w:tcPr>
            <w:tcW w:w="820" w:type="dxa"/>
            <w:vAlign w:val="bottom"/>
            <w:gridSpan w:val="3"/>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w w:val="95"/>
              </w:rPr>
              <w:t>Reclassification</w:t>
            </w:r>
          </w:p>
        </w:tc>
        <w:tc>
          <w:tcPr>
            <w:tcW w:w="800" w:type="dxa"/>
            <w:vAlign w:val="bottom"/>
            <w:gridSpan w:val="4"/>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w w:val="93"/>
              </w:rPr>
              <w:t>Adjustments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80"/>
              <w:spacing w:after="0" w:line="116" w:lineRule="exact"/>
              <w:rPr>
                <w:sz w:val="20"/>
                <w:szCs w:val="20"/>
                <w:color w:val="auto"/>
              </w:rPr>
            </w:pPr>
            <w:r>
              <w:rPr>
                <w:rFonts w:ascii="Times New Roman" w:cs="Times New Roman" w:eastAsia="Times New Roman" w:hAnsi="Times New Roman"/>
                <w:sz w:val="11"/>
                <w:szCs w:val="11"/>
                <w:b w:val="1"/>
                <w:bCs w:val="1"/>
                <w:color w:val="auto"/>
                <w:w w:val="92"/>
              </w:rPr>
              <w:t>Pro 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2"/>
              </w:rPr>
              <w:t>Incorporated</w:t>
            </w:r>
          </w:p>
        </w:tc>
        <w:tc>
          <w:tcPr>
            <w:tcW w:w="100" w:type="dxa"/>
            <w:vAlign w:val="bottom"/>
          </w:tcPr>
          <w:p>
            <w:pPr>
              <w:spacing w:after="0"/>
              <w:rPr>
                <w:sz w:val="11"/>
                <w:szCs w:val="11"/>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i w:val="1"/>
                <w:iCs w:val="1"/>
                <w:color w:val="auto"/>
                <w:w w:val="93"/>
              </w:rPr>
              <w:t>(Note 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i w:val="1"/>
                <w:iCs w:val="1"/>
                <w:color w:val="auto"/>
                <w:w w:val="98"/>
              </w:rPr>
              <w:t>(Note 4)</w:t>
            </w: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Note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i w:val="1"/>
                <w:iCs w:val="1"/>
                <w:color w:val="auto"/>
                <w:w w:val="98"/>
              </w:rPr>
              <w:t>(Note 6)</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Note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3"/>
              </w:rPr>
              <w:t>Combined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177,401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33,823</w:t>
            </w:r>
          </w:p>
        </w:tc>
        <w:tc>
          <w:tcPr>
            <w:tcW w:w="1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4(a),(b)</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292,910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(54,553)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545,429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Inventory, net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256,969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164,413</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10,587</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84,759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826,201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511,213</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(55,279)</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10,587</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1,292,722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187,247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94,263</w:t>
            </w: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542,142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107,803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256,950</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(c)</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364,753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263,000</w:t>
            </w: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21,353</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(3,591)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(i)</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73,352</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(69,444)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(b)</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1,430,294</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815,830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(124,723</w:t>
            </w:r>
          </w:p>
        </w:tc>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621,963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2,743,364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 w:type="dxa"/>
            <w:vAlign w:val="bottom"/>
            <w:vMerge w:val="restart"/>
          </w:tcPr>
          <w:p>
            <w:pPr>
              <w:spacing w:after="0"/>
              <w:rPr>
                <w:sz w:val="5"/>
                <w:szCs w:val="5"/>
                <w:color w:val="auto"/>
              </w:rPr>
            </w:pPr>
          </w:p>
        </w:tc>
        <w:tc>
          <w:tcPr>
            <w:tcW w:w="3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277,033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159,286</w:t>
            </w:r>
          </w:p>
        </w:tc>
        <w:tc>
          <w:tcPr>
            <w:tcW w:w="12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(2,756)</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(b)</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Current lease liabilities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(807)</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134,761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(91,123)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418,427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300,735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(93,879)</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12,890</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638,173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243,097</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45,298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13,753</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(f)</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Pension benefit obligation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27,746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77,248</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(i)</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713,824</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329,325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149,218</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94,361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1,286,728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5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Shareholders’ equity:</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Common stock: No par value; 55,000,000 shares authorized,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30,666,983 issued and outstanding, historical, 110,000,000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authorized and 51,332,600 shares issued and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outstanding, pro forma, as of March 31, 2026.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Paid-in capital</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745,865</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(j)</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747,455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earnings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552,211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(273,941)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4(a),(b)</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8"/>
              </w:rPr>
              <w:t>(292,270)</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(j)</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704,304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(9,888)</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(74,007)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74,007</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(j)</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shareholders’ equity</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716,470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486,505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(273,941)</w:t>
            </w: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527,602</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1,456,636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1,430,294</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815,830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(124,723</w:t>
            </w:r>
          </w:p>
        </w:tc>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621,963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2,743,364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left="1640" w:right="1520"/>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UNAUDITED PRO FORMA CONDENSED COMBINED STATEMENT OF OPERATIONS FOR THE PERIOD ENDING MARCH 31, 2026 </w:t>
      </w:r>
      <w:r>
        <w:rPr>
          <w:rFonts w:ascii="Times New Roman" w:cs="Times New Roman" w:eastAsia="Times New Roman" w:hAnsi="Times New Roman"/>
          <w:sz w:val="14"/>
          <w:szCs w:val="14"/>
          <w:i w:val="1"/>
          <w:iCs w:val="1"/>
          <w:color w:val="auto"/>
        </w:rPr>
        <w:t>(In thousands, except per share data)</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6"/>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2"/>
          </w:tcPr>
          <w:p>
            <w:pPr>
              <w:jc w:val="center"/>
              <w:ind w:right="200"/>
              <w:spacing w:after="0" w:line="87" w:lineRule="exact"/>
              <w:rPr>
                <w:sz w:val="20"/>
                <w:szCs w:val="20"/>
                <w:color w:val="auto"/>
              </w:rPr>
            </w:pPr>
            <w:r>
              <w:rPr>
                <w:rFonts w:ascii="Times New Roman" w:cs="Times New Roman" w:eastAsia="Times New Roman" w:hAnsi="Times New Roman"/>
                <w:sz w:val="10"/>
                <w:szCs w:val="10"/>
                <w:i w:val="1"/>
                <w:iCs w:val="1"/>
                <w:color w:val="auto"/>
              </w:rPr>
              <w:t>For three</w:t>
            </w: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ind w:right="35"/>
              <w:spacing w:after="0" w:line="87" w:lineRule="exact"/>
              <w:rPr>
                <w:sz w:val="20"/>
                <w:szCs w:val="20"/>
                <w:color w:val="auto"/>
              </w:rPr>
            </w:pPr>
            <w:r>
              <w:rPr>
                <w:rFonts w:ascii="Times New Roman" w:cs="Times New Roman" w:eastAsia="Times New Roman" w:hAnsi="Times New Roman"/>
                <w:sz w:val="10"/>
                <w:szCs w:val="10"/>
                <w:i w:val="1"/>
                <w:iCs w:val="1"/>
                <w:color w:val="auto"/>
              </w:rPr>
              <w:t>For three</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i w:val="1"/>
                <w:iCs w:val="1"/>
                <w:color w:val="auto"/>
              </w:rPr>
              <w:t>months ended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i w:val="1"/>
                <w:iCs w:val="1"/>
                <w:color w:val="auto"/>
              </w:rPr>
              <w:t>months 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i w:val="1"/>
                <w:iCs w:val="1"/>
                <w:color w:val="auto"/>
              </w:rPr>
              <w:t>March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i w:val="1"/>
                <w:iCs w:val="1"/>
                <w:color w:val="auto"/>
              </w:rPr>
              <w:t>March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i w:val="1"/>
                <w:iCs w:val="1"/>
                <w:color w:val="auto"/>
              </w:rPr>
              <w:t>2026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1"/>
                <w:szCs w:val="11"/>
                <w:i w:val="1"/>
                <w:iCs w:val="1"/>
                <w:color w:val="auto"/>
              </w:rPr>
              <w:t>2026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center"/>
              <w:ind w:right="15"/>
              <w:spacing w:after="0" w:line="87" w:lineRule="exact"/>
              <w:rPr>
                <w:sz w:val="20"/>
                <w:szCs w:val="20"/>
                <w:color w:val="auto"/>
              </w:rPr>
            </w:pPr>
            <w:r>
              <w:rPr>
                <w:rFonts w:ascii="Times New Roman" w:cs="Times New Roman" w:eastAsia="Times New Roman" w:hAnsi="Times New Roman"/>
                <w:sz w:val="10"/>
                <w:szCs w:val="10"/>
                <w:b w:val="1"/>
                <w:bCs w:val="1"/>
                <w:color w:val="auto"/>
              </w:rPr>
              <w:t>Modine</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Technologies</w:t>
            </w:r>
          </w:p>
        </w:tc>
        <w:tc>
          <w:tcPr>
            <w:tcW w:w="10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Pre-merger</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Gentherm</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(After</w:t>
            </w: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right"/>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40" w:type="dxa"/>
            <w:vAlign w:val="bottom"/>
            <w:gridSpan w:val="4"/>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Reclassification)</w:t>
            </w:r>
          </w:p>
        </w:tc>
        <w:tc>
          <w:tcPr>
            <w:tcW w:w="860" w:type="dxa"/>
            <w:vAlign w:val="bottom"/>
            <w:gridSpan w:val="4"/>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Note</w:t>
            </w:r>
          </w:p>
        </w:tc>
        <w:tc>
          <w:tcPr>
            <w:tcW w:w="980" w:type="dxa"/>
            <w:vAlign w:val="bottom"/>
            <w:gridSpan w:val="4"/>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740" w:type="dxa"/>
            <w:vAlign w:val="bottom"/>
            <w:vMerge w:val="restart"/>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Note</w:t>
            </w:r>
          </w:p>
        </w:tc>
        <w:tc>
          <w:tcPr>
            <w:tcW w:w="2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90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Incorporated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i w:val="1"/>
                <w:iCs w:val="1"/>
                <w:color w:val="auto"/>
                <w:w w:val="98"/>
              </w:rPr>
              <w:t>(Note 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i w:val="1"/>
                <w:iCs w:val="1"/>
                <w:color w:val="auto"/>
                <w:w w:val="98"/>
              </w:rPr>
              <w:t>(Note 4)</w:t>
            </w:r>
          </w:p>
        </w:tc>
        <w:tc>
          <w:tcPr>
            <w:tcW w:w="5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i w:val="1"/>
                <w:iCs w:val="1"/>
                <w:color w:val="auto"/>
              </w:rPr>
              <w:t>(Note 6)</w:t>
            </w:r>
          </w:p>
        </w:tc>
        <w:tc>
          <w:tcPr>
            <w:tcW w:w="7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8"/>
              </w:rPr>
              <w:t>Combined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Product revenues</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393,706</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288,106</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681,812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296,479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(m),(o)</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540,376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97,227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47,155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(2,946)</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141,436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research and development expenses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6,782</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(m),(n),(p)</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 net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Loss on sale of business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85,942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6,782</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122,131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(9,728)</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4(c)</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(o)</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before income tax</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(9,811)</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(1,630)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(q)</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(2,312</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(8,181</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Less: Net income attributable to</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Net income attributable to Gentherm</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4,218</w:t>
            </w:r>
          </w:p>
        </w:tc>
        <w:tc>
          <w:tcPr>
            <w:tcW w:w="140" w:type="dxa"/>
            <w:vAlign w:val="bottom"/>
          </w:tcPr>
          <w:p>
            <w:pPr>
              <w:spacing w:after="0"/>
              <w:rPr>
                <w:sz w:val="16"/>
                <w:szCs w:val="16"/>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8,493</w:t>
            </w:r>
          </w:p>
        </w:tc>
        <w:tc>
          <w:tcPr>
            <w:tcW w:w="140" w:type="dxa"/>
            <w:vAlign w:val="bottom"/>
          </w:tcPr>
          <w:p>
            <w:pPr>
              <w:spacing w:after="0"/>
              <w:rPr>
                <w:sz w:val="16"/>
                <w:szCs w:val="16"/>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(2,312)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(8,181)</w:t>
            </w:r>
          </w:p>
        </w:tc>
        <w:tc>
          <w:tcPr>
            <w:tcW w:w="74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6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Basic earnings per share</w:t>
            </w:r>
          </w:p>
        </w:tc>
        <w:tc>
          <w:tcPr>
            <w:tcW w:w="20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0.14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0.04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20,666</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shares outstanding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20,787</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left="1640" w:right="1520"/>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UNAUDITED PRO FORMA CONDENSED COMBINED STATEMENT OF OPERATIONS FOR THE YEAR ENDED DECEMBER 31, 2025 </w:t>
      </w:r>
      <w:r>
        <w:rPr>
          <w:rFonts w:ascii="Times New Roman" w:cs="Times New Roman" w:eastAsia="Times New Roman" w:hAnsi="Times New Roman"/>
          <w:sz w:val="14"/>
          <w:szCs w:val="14"/>
          <w:i w:val="1"/>
          <w:iCs w:val="1"/>
          <w:color w:val="auto"/>
        </w:rPr>
        <w:t>(In thousands, except per share data)</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5"/>
          </w:tcPr>
          <w:p>
            <w:pPr>
              <w:jc w:val="right"/>
              <w:ind w:right="534"/>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center"/>
              <w:ind w:right="200"/>
              <w:spacing w:after="0" w:line="87" w:lineRule="exact"/>
              <w:rPr>
                <w:sz w:val="20"/>
                <w:szCs w:val="20"/>
                <w:color w:val="auto"/>
              </w:rPr>
            </w:pPr>
            <w:r>
              <w:rPr>
                <w:rFonts w:ascii="Times New Roman" w:cs="Times New Roman" w:eastAsia="Times New Roman" w:hAnsi="Times New Roman"/>
                <w:sz w:val="10"/>
                <w:szCs w:val="10"/>
                <w:i w:val="1"/>
                <w:iCs w:val="1"/>
                <w:color w:val="auto"/>
              </w:rPr>
              <w:t>For year</w:t>
            </w:r>
          </w:p>
        </w:tc>
        <w:tc>
          <w:tcPr>
            <w:tcW w:w="80" w:type="dxa"/>
            <w:vAlign w:val="bottom"/>
          </w:tcPr>
          <w:p>
            <w:pPr>
              <w:spacing w:after="0"/>
              <w:rPr>
                <w:sz w:val="7"/>
                <w:szCs w:val="7"/>
                <w:color w:val="auto"/>
              </w:rPr>
            </w:pP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i w:val="1"/>
                <w:iCs w:val="1"/>
                <w:color w:val="auto"/>
              </w:rPr>
              <w:t>For year ended</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i w:val="1"/>
                <w:iCs w:val="1"/>
                <w:color w:val="auto"/>
                <w:w w:val="98"/>
              </w:rPr>
              <w:t>ended</w:t>
            </w: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100"/>
              <w:spacing w:after="0" w:line="116" w:lineRule="exact"/>
              <w:rPr>
                <w:sz w:val="20"/>
                <w:szCs w:val="20"/>
                <w:color w:val="auto"/>
              </w:rPr>
            </w:pPr>
            <w:r>
              <w:rPr>
                <w:rFonts w:ascii="Times New Roman" w:cs="Times New Roman" w:eastAsia="Times New Roman" w:hAnsi="Times New Roman"/>
                <w:sz w:val="11"/>
                <w:szCs w:val="11"/>
                <w:i w:val="1"/>
                <w:iCs w:val="1"/>
                <w:color w:val="auto"/>
              </w:rPr>
              <w:t>December 31,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i w:val="1"/>
                <w:iCs w:val="1"/>
                <w:color w:val="auto"/>
              </w:rPr>
              <w:t>December 31,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i w:val="1"/>
                <w:iCs w:val="1"/>
                <w:color w:val="auto"/>
                <w:w w:val="99"/>
              </w:rPr>
              <w:t>2025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1"/>
                <w:szCs w:val="11"/>
                <w:i w:val="1"/>
                <w:iCs w:val="1"/>
                <w:color w:val="auto"/>
              </w:rPr>
              <w:t>2025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jc w:val="center"/>
              <w:ind w:right="14"/>
              <w:spacing w:after="0" w:line="87" w:lineRule="exact"/>
              <w:rPr>
                <w:sz w:val="20"/>
                <w:szCs w:val="20"/>
                <w:color w:val="auto"/>
              </w:rPr>
            </w:pPr>
            <w:r>
              <w:rPr>
                <w:rFonts w:ascii="Times New Roman" w:cs="Times New Roman" w:eastAsia="Times New Roman" w:hAnsi="Times New Roman"/>
                <w:sz w:val="10"/>
                <w:szCs w:val="10"/>
                <w:b w:val="1"/>
                <w:bCs w:val="1"/>
                <w:color w:val="auto"/>
              </w:rPr>
              <w:t>Modine</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Technologies</w:t>
            </w:r>
          </w:p>
        </w:tc>
        <w:tc>
          <w:tcPr>
            <w:tcW w:w="60" w:type="dxa"/>
            <w:vAlign w:val="bottom"/>
          </w:tcPr>
          <w:p>
            <w:pPr>
              <w:spacing w:after="0"/>
              <w:rPr>
                <w:sz w:val="10"/>
                <w:szCs w:val="10"/>
                <w:color w:val="auto"/>
              </w:rPr>
            </w:pPr>
          </w:p>
        </w:tc>
        <w:tc>
          <w:tcPr>
            <w:tcW w:w="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Pre-merger</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Gentherm</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(After</w:t>
            </w:r>
          </w:p>
        </w:tc>
        <w:tc>
          <w:tcPr>
            <w:tcW w:w="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jc w:val="right"/>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Accounting</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gridSpan w:val="4"/>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Reclassification)</w:t>
            </w:r>
          </w:p>
        </w:tc>
        <w:tc>
          <w:tcPr>
            <w:tcW w:w="860" w:type="dxa"/>
            <w:vAlign w:val="bottom"/>
            <w:gridSpan w:val="4"/>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860" w:type="dxa"/>
            <w:vAlign w:val="bottom"/>
            <w:gridSpan w:val="4"/>
          </w:tcPr>
          <w:p>
            <w:pPr>
              <w:ind w:left="120"/>
              <w:spacing w:after="0" w:line="116" w:lineRule="exact"/>
              <w:rPr>
                <w:sz w:val="20"/>
                <w:szCs w:val="20"/>
                <w:color w:val="auto"/>
              </w:rPr>
            </w:pPr>
            <w:r>
              <w:rPr>
                <w:rFonts w:ascii="Times New Roman" w:cs="Times New Roman" w:eastAsia="Times New Roman" w:hAnsi="Times New Roman"/>
                <w:sz w:val="11"/>
                <w:szCs w:val="11"/>
                <w:b w:val="1"/>
                <w:bCs w:val="1"/>
                <w:color w:val="auto"/>
              </w:rPr>
              <w:t>Adjustments</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Incorporated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i w:val="1"/>
                <w:iCs w:val="1"/>
                <w:color w:val="auto"/>
                <w:w w:val="98"/>
              </w:rPr>
              <w:t>(Note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i w:val="1"/>
                <w:iCs w:val="1"/>
                <w:color w:val="auto"/>
              </w:rPr>
              <w:t>(Note 4)</w:t>
            </w: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i w:val="1"/>
                <w:iCs w:val="1"/>
                <w:color w:val="auto"/>
              </w:rPr>
              <w:t>(Note 6)</w:t>
            </w:r>
          </w:p>
        </w:tc>
        <w:tc>
          <w:tcPr>
            <w:tcW w:w="60" w:type="dxa"/>
            <w:vAlign w:val="bottom"/>
          </w:tcPr>
          <w:p>
            <w:pPr>
              <w:spacing w:after="0"/>
              <w:rPr>
                <w:sz w:val="11"/>
                <w:szCs w:val="11"/>
                <w:color w:val="auto"/>
              </w:rPr>
            </w:pPr>
          </w:p>
        </w:tc>
        <w:tc>
          <w:tcPr>
            <w:tcW w:w="1020" w:type="dxa"/>
            <w:vAlign w:val="bottom"/>
            <w:gridSpan w:val="3"/>
          </w:tcPr>
          <w:p>
            <w:pPr>
              <w:jc w:val="center"/>
              <w:ind w:right="105"/>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8"/>
              </w:rPr>
              <w:t>Combined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Product revenues</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1,498,602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1,112,825</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2,611,427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1,136,426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898,234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22,389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6 (k),(m),(o)</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2,057,049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362,176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214,591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(22,389)</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554,378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research and development expenses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93,666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39,076</w:t>
            </w:r>
          </w:p>
        </w:tc>
        <w:tc>
          <w:tcPr>
            <w:tcW w:w="120" w:type="dxa"/>
            <w:vAlign w:val="bottom"/>
          </w:tcPr>
          <w:p>
            <w:pPr>
              <w:spacing w:after="0"/>
              <w:rPr>
                <w:sz w:val="14"/>
                <w:szCs w:val="14"/>
                <w:color w:val="auto"/>
              </w:rPr>
            </w:pPr>
          </w:p>
        </w:tc>
        <w:tc>
          <w:tcPr>
            <w:tcW w:w="1080" w:type="dxa"/>
            <w:vAlign w:val="bottom"/>
            <w:gridSpan w:val="4"/>
          </w:tcPr>
          <w:p>
            <w:pPr>
              <w:jc w:val="center"/>
              <w:ind w:right="45"/>
              <w:spacing w:after="0"/>
              <w:rPr>
                <w:sz w:val="20"/>
                <w:szCs w:val="20"/>
                <w:color w:val="auto"/>
              </w:rPr>
            </w:pPr>
            <w:r>
              <w:rPr>
                <w:rFonts w:ascii="Times New Roman" w:cs="Times New Roman" w:eastAsia="Times New Roman" w:hAnsi="Times New Roman"/>
                <w:sz w:val="14"/>
                <w:szCs w:val="14"/>
                <w:color w:val="auto"/>
                <w:w w:val="98"/>
              </w:rPr>
              <w:t>6 (l),(m),(n),(p)</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 net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Loss on sale of land and building, net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279,476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121,932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39,076</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440,484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92,659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(61,465)</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Pension termination charge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(66,195)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(66,195)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(13,811)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(12,027)</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(307)</w:t>
            </w:r>
          </w:p>
        </w:tc>
        <w:tc>
          <w:tcPr>
            <w:tcW w:w="60" w:type="dxa"/>
            <w:vAlign w:val="bottom"/>
          </w:tcPr>
          <w:p>
            <w:pPr>
              <w:spacing w:after="0"/>
              <w:rPr>
                <w:sz w:val="14"/>
                <w:szCs w:val="14"/>
                <w:color w:val="auto"/>
              </w:rPr>
            </w:pPr>
          </w:p>
        </w:tc>
        <w:tc>
          <w:tcPr>
            <w:tcW w:w="1020" w:type="dxa"/>
            <w:vAlign w:val="bottom"/>
            <w:gridSpan w:val="3"/>
          </w:tcPr>
          <w:p>
            <w:pPr>
              <w:jc w:val="center"/>
              <w:ind w:right="105"/>
              <w:spacing w:after="0"/>
              <w:rPr>
                <w:sz w:val="20"/>
                <w:szCs w:val="20"/>
                <w:color w:val="auto"/>
              </w:rPr>
            </w:pPr>
            <w:r>
              <w:rPr>
                <w:rFonts w:ascii="Times New Roman" w:cs="Times New Roman" w:eastAsia="Times New Roman" w:hAnsi="Times New Roman"/>
                <w:sz w:val="14"/>
                <w:szCs w:val="14"/>
                <w:color w:val="auto"/>
                <w:w w:val="96"/>
              </w:rPr>
              <w:t>6 (o)</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(29,149)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loss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(28,415)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(28,610)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Other (loss) 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(4,640)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(2,689)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(loss) before income tax</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35,834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25,216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(12,027)</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(61,772)</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(12,749)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(2,526)</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(12,054)</w:t>
            </w:r>
          </w:p>
        </w:tc>
        <w:tc>
          <w:tcPr>
            <w:tcW w:w="60" w:type="dxa"/>
            <w:vAlign w:val="bottom"/>
          </w:tcPr>
          <w:p>
            <w:pPr>
              <w:spacing w:after="0"/>
              <w:rPr>
                <w:sz w:val="14"/>
                <w:szCs w:val="14"/>
                <w:color w:val="auto"/>
              </w:rPr>
            </w:pPr>
          </w:p>
        </w:tc>
        <w:tc>
          <w:tcPr>
            <w:tcW w:w="1020" w:type="dxa"/>
            <w:vAlign w:val="bottom"/>
            <w:gridSpan w:val="3"/>
          </w:tcPr>
          <w:p>
            <w:pPr>
              <w:jc w:val="center"/>
              <w:ind w:right="105"/>
              <w:spacing w:after="0"/>
              <w:rPr>
                <w:sz w:val="20"/>
                <w:szCs w:val="20"/>
                <w:color w:val="auto"/>
              </w:rPr>
            </w:pPr>
            <w:r>
              <w:rPr>
                <w:rFonts w:ascii="Times New Roman" w:cs="Times New Roman" w:eastAsia="Times New Roman" w:hAnsi="Times New Roman"/>
                <w:sz w:val="14"/>
                <w:szCs w:val="14"/>
                <w:color w:val="auto"/>
                <w:w w:val="96"/>
              </w:rPr>
              <w:t>6 (q)</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18,284</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(12,442)</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(9,501)</w:t>
            </w:r>
          </w:p>
        </w:tc>
        <w:tc>
          <w:tcPr>
            <w:tcW w:w="2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(49,718)</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(53,377)</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Net income attributable to noncontrolling</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9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Net income (loss) attributable to Gentherm</w:t>
            </w: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18,284</w:t>
            </w:r>
          </w:p>
        </w:tc>
        <w:tc>
          <w:tcPr>
            <w:tcW w:w="1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(14,409)</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(9,501)</w:t>
            </w:r>
          </w:p>
        </w:tc>
        <w:tc>
          <w:tcPr>
            <w:tcW w:w="2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(49,718)</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(55,344)</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0.60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20,666</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THE UNAUDITED PRO FORMA CONDENSED COMBINED FINANCIAL INFORMATION</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1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 – Description of the Transaction</w:t>
      </w:r>
    </w:p>
    <w:p>
      <w:pPr>
        <w:spacing w:after="0" w:line="93" w:lineRule="exact"/>
        <w:rPr>
          <w:sz w:val="20"/>
          <w:szCs w:val="20"/>
          <w:color w:val="auto"/>
        </w:rPr>
      </w:pPr>
    </w:p>
    <w:p>
      <w:pPr>
        <w:ind w:left="1360" w:right="359" w:firstLine="772"/>
        <w:spacing w:after="0" w:line="283" w:lineRule="auto"/>
        <w:rPr>
          <w:sz w:val="20"/>
          <w:szCs w:val="20"/>
          <w:color w:val="auto"/>
        </w:rPr>
      </w:pPr>
      <w:r>
        <w:rPr>
          <w:rFonts w:ascii="Times New Roman" w:cs="Times New Roman" w:eastAsia="Times New Roman" w:hAnsi="Times New Roman"/>
          <w:sz w:val="14"/>
          <w:szCs w:val="14"/>
          <w:color w:val="auto"/>
        </w:rPr>
        <w:t>On January 29, 2026, Gentherm, Modine, Merger Sub and SpinCo, as applicable, entered into certain agreements to effect the transfer of the Performance Technologies Business to Gentherm. Below is a list of the material events contemplated by the agreements:</w:t>
      </w:r>
    </w:p>
    <w:p>
      <w:pPr>
        <w:spacing w:after="0" w:line="51" w:lineRule="exact"/>
        <w:rPr>
          <w:sz w:val="20"/>
          <w:szCs w:val="20"/>
          <w:color w:val="auto"/>
        </w:rPr>
      </w:pPr>
    </w:p>
    <w:p>
      <w:pPr>
        <w:ind w:left="1700" w:right="599" w:hanging="261"/>
        <w:spacing w:after="0" w:line="267" w:lineRule="auto"/>
        <w:tabs>
          <w:tab w:leader="none" w:pos="17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w:t>
      </w:r>
    </w:p>
    <w:p>
      <w:pPr>
        <w:spacing w:after="0" w:line="61" w:lineRule="exact"/>
        <w:rPr>
          <w:rFonts w:ascii="Times New Roman" w:cs="Times New Roman" w:eastAsia="Times New Roman" w:hAnsi="Times New Roman"/>
          <w:sz w:val="14"/>
          <w:szCs w:val="14"/>
          <w:color w:val="auto"/>
        </w:rPr>
      </w:pPr>
    </w:p>
    <w:p>
      <w:pPr>
        <w:ind w:left="1700" w:right="259" w:hanging="261"/>
        <w:spacing w:after="0" w:line="267" w:lineRule="auto"/>
        <w:tabs>
          <w:tab w:leader="none" w:pos="17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29, 2026, SpinCo entered into documentation governing the Permanent SpinCo Financing in an aggregate committed principal amount of $250,000, the proceeds of which will be used on the Closing Date to make the SpinCo Cash Distribution, subject to certain potential adjustments set forth in the Merger Agreement, and to pay certain amounts under the Merger Agreement and/or Separation Agreement.</w:t>
      </w:r>
    </w:p>
    <w:p>
      <w:pPr>
        <w:spacing w:after="0" w:line="6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Separation Agreement, SpinCo will make a cash distribution to Modine of $210,000, subject to adjustment.</w:t>
      </w:r>
    </w:p>
    <w:p>
      <w:pPr>
        <w:spacing w:after="0" w:line="101" w:lineRule="exact"/>
        <w:rPr>
          <w:rFonts w:ascii="Times New Roman" w:cs="Times New Roman" w:eastAsia="Times New Roman" w:hAnsi="Times New Roman"/>
          <w:sz w:val="14"/>
          <w:szCs w:val="14"/>
          <w:color w:val="auto"/>
        </w:rPr>
      </w:pPr>
    </w:p>
    <w:p>
      <w:pPr>
        <w:ind w:left="1700" w:right="439" w:hanging="261"/>
        <w:spacing w:after="0" w:line="283" w:lineRule="auto"/>
        <w:tabs>
          <w:tab w:leader="none" w:pos="17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SpinCo Cash Distribution, Modine will distribute to its shareholders all of the issued and outstanding shares of SpinCo Common Stock held by Modine by way of a pro rata distribution and for no consideration.</w:t>
      </w:r>
    </w:p>
    <w:p>
      <w:pPr>
        <w:spacing w:after="0" w:line="51" w:lineRule="exact"/>
        <w:rPr>
          <w:rFonts w:ascii="Times New Roman" w:cs="Times New Roman" w:eastAsia="Times New Roman" w:hAnsi="Times New Roman"/>
          <w:sz w:val="14"/>
          <w:szCs w:val="14"/>
          <w:color w:val="auto"/>
        </w:rPr>
      </w:pPr>
    </w:p>
    <w:p>
      <w:pPr>
        <w:ind w:left="1700" w:right="259" w:hanging="261"/>
        <w:spacing w:after="0" w:line="283" w:lineRule="auto"/>
        <w:tabs>
          <w:tab w:leader="none" w:pos="17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Merger Sub will be merged with and into SpinCo, with SpinCo as the surviving entity. When the Merger is completed, SpinCo will become a wholly owned subsidiary of Gentherm.</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 – Basis of Presentation</w:t>
      </w:r>
    </w:p>
    <w:p>
      <w:pPr>
        <w:spacing w:after="0" w:line="93"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has been prepared in accordance with Article 11 of Regulation S-X, as amended, to illustrate the effects of the “Transactions”, including (i) the separation of the Performance Technologies Business from Modine’s other businesses and the subsequent transfer of the Performance Technologies Business to SpinCo, (ii) the pro rata distribution of SpinCo Common Stock to Modine shareholders and (iii) the merger of a wholly owned subsidiary of Gentherm with and into SpinCo, with SpinCo surviving as a wholly owned subsidiary of Gentherm.</w:t>
      </w:r>
    </w:p>
    <w:p>
      <w:pPr>
        <w:spacing w:after="0" w:line="144"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derived from (a) Gentherm’s historical consolidated financial statements prepared in accordance with GAAP for the fiscal year ended December 31 and (b) the historical combined financial information of the Performance Technologies Business prepared on a carve-out basis from Modine’s historical consolidated financial statements, for the fiscal year ended March 31. The Performance Technologies Business historical financial information includes the historical results of operations, assets and liabilities that are directly attributable to the Performance Technologies Business, as well as allocations of certain corporate costs from Modine.</w:t>
      </w:r>
    </w:p>
    <w:p>
      <w:pPr>
        <w:spacing w:after="0" w:line="144" w:lineRule="exact"/>
        <w:rPr>
          <w:sz w:val="20"/>
          <w:szCs w:val="20"/>
          <w:color w:val="auto"/>
        </w:rPr>
      </w:pPr>
    </w:p>
    <w:p>
      <w:pPr>
        <w:ind w:left="1360" w:right="279" w:firstLine="343"/>
        <w:spacing w:after="0" w:line="296" w:lineRule="auto"/>
        <w:rPr>
          <w:sz w:val="20"/>
          <w:szCs w:val="20"/>
          <w:color w:val="auto"/>
        </w:rPr>
      </w:pPr>
      <w:r>
        <w:rPr>
          <w:rFonts w:ascii="Times New Roman" w:cs="Times New Roman" w:eastAsia="Times New Roman" w:hAnsi="Times New Roman"/>
          <w:sz w:val="13"/>
          <w:szCs w:val="13"/>
          <w:color w:val="auto"/>
        </w:rPr>
        <w:t>Because the Performance Technologies Business has historically operated as part of Modine and not as a separate stand-alone entity, the historical combined financial information of the Performance Technologies Business may not be indicative of the financial position, results of operations or cash flows that would have been achieved had the Performance Technologies Business operated independently during the periods presented.</w:t>
      </w:r>
    </w:p>
    <w:p>
      <w:pPr>
        <w:spacing w:after="0" w:line="120"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unaudited pro forma condensed combined statements of operations for the year ended December 31, 2025 give effect to the Transactions and the incurrence of the related financing as if they had occurred on January 1, 2025, the beginning of the earliest period presented. In accordance with Article 11 of Regulation S-X,</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197</w:t>
      </w:r>
    </w:p>
    <w:p>
      <w:pPr>
        <w:sectPr>
          <w:pgSz w:w="11900" w:h="16838" w:orient="portrait"/>
          <w:cols w:equalWidth="0" w:num="1">
            <w:col w:w="10159"/>
          </w:cols>
          <w:pgMar w:left="300" w:top="386"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the unaudited pro forma condensed combined statement of operations for the year ended December 31, 2025 reflects the results of the Performance Technologies Business for the twelve-month period ended December 31, 2025, which represents the most recent practicable period available. The unaudited pro forma condensed combined statement of operations for the three months ended March 31, 2026, gives effect to the Transactions and the incurrence of the related financing as if they had occurred on January 1, 2025. In accordance with Article 11 of Regulation S X, the unaudited pro forma condensed combined statement of operations for the three months ended March 31, 2026 reflects Gentherm’s historical results for that period combined with the historical results of the Performance Technologies Business for the three month period ended March 31, 2026, which represents the most recent practicable period available for the Performance Technologies Business.</w:t>
      </w:r>
    </w:p>
    <w:p>
      <w:pPr>
        <w:spacing w:after="0" w:line="144"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Performance Technologies Business results for the twelve-month period ended December 31, 2025 were derived by combining the audited historical financial information of the Performance Technologies Business for the fiscal year ended March 31, 2026, adjusted by removing the results for the three-month period ended March 31, 2026 and adding the results for the three-month period ended March 31, 2025. As a result, certain interim periods of the Performance Technologies Business are not included in the unaudited pro forma condensed combined financial information presented in this proxy statement/prospectus and are not otherwise presented in this proxy statement/prospectus.</w:t>
      </w:r>
    </w:p>
    <w:p>
      <w:pPr>
        <w:spacing w:after="0" w:line="14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unaudited pro forma condensed combined balance sheet as of March 31, 2026 gives effect to the Transactions and the incurrence of the related financing for the Transactions as if they had occurred on March 31, 2026 and combines the balance sheet of Gentherm as of March 31, 2026 with that of the Performance Technologies Business as of March 31, 2026.</w:t>
      </w:r>
    </w:p>
    <w:p>
      <w:pPr>
        <w:spacing w:after="0" w:line="136" w:lineRule="exact"/>
        <w:rPr>
          <w:sz w:val="20"/>
          <w:szCs w:val="20"/>
          <w:color w:val="auto"/>
        </w:rPr>
      </w:pPr>
    </w:p>
    <w:p>
      <w:pPr>
        <w:ind w:left="1360" w:right="439" w:firstLine="343"/>
        <w:spacing w:after="0" w:line="254"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has been adjusted to give effect to transaction accounting adjustments that reflect the application of the acquisition method of accounting to the Merger in accordance with Accounting Standards Codification (“ASC”) 805, Business Combinations, with Gentherm determined to be the accounting acquirer. The determination that Gentherm is the accounting acquirer was based on an evaluation of the relevant facts and circumstances, including, among other factors, the relative ownership interests in the combined company following the Merger, the issuance of Gentherm Common Stock in the Merger, and the composition of the Gentherm Board and Gentherm management following the consummation of the Transactions. ASC 805 requires that the identifiable assets acquired, and liabilities assumed in a business combination be recognized at their estimated fair values as of the acquisition date. For purposes of the unaudited pro forma condensed combined financial information, management has made preliminary estimates of the fair values of the assets acquired and has allocated the estimated purchase consideration accordingly. The preliminary purchase price allocation is subject to further refinement as additional information becomes available and as final valuations are completed, and such changes may be material.</w:t>
      </w:r>
    </w:p>
    <w:p>
      <w:pPr>
        <w:spacing w:after="0" w:line="146"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Historically, Modine maintained a centralized approach to cash management and financing, and indebtedness and related interest expense were not attributed to the Performance Technologies Business in the historical combined financial information. Accordingly, Modine’s historical debt balances and related interest expense have not been included in the Performance Technologies Business historical financial information. Following the consummation of the Transactions, SpinCo, as a wholly owned subsidiary of Gentherm, is expected to have a capital structure that differs materially from that reflected in the Performance Technologies Business historical combined financial information. The unaudited pro forma condensed combined financial information reflects adjustments to give effect to indebtedness expected to be incurred in connection with the Transactions as if such indebtedness had been incurred on the applicable pro forma dates.</w:t>
      </w:r>
    </w:p>
    <w:p>
      <w:pPr>
        <w:spacing w:after="0" w:line="144" w:lineRule="exact"/>
        <w:rPr>
          <w:sz w:val="20"/>
          <w:szCs w:val="20"/>
          <w:color w:val="auto"/>
        </w:rPr>
      </w:pPr>
    </w:p>
    <w:p>
      <w:pPr>
        <w:jc w:val="both"/>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Following the completion of the Transactions, certain services historically provided by Modine to the Performance Technologies Business will continue to be provided for a limited period pursuant to a transition services agreement or will be assumed by Gentherm through internal resources or third-party service providers. The unaudited pro forma condensed combined financial information does not give effect to any potential cost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198</w:t>
      </w:r>
    </w:p>
    <w:p>
      <w:pPr>
        <w:sectPr>
          <w:pgSz w:w="11900" w:h="16838" w:orient="portrait"/>
          <w:cols w:equalWidth="0" w:num="1">
            <w:col w:w="10159"/>
          </w:cols>
          <w:pgMar w:left="300" w:top="386"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savings, operational efficiencies or synergies that may result from the integration of the Performance Technologies Business with Gentherm, nor does it reflect costs related to integration activities that may be incurred after the completion of the Transactions.</w:t>
      </w:r>
    </w:p>
    <w:p>
      <w:pPr>
        <w:spacing w:after="0" w:line="125"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and related notes are presented for illustrative purposes only and do not necessarily reflect the consolidated results of operations or financial position that would have occurred had the Transactions been consummated on the dates assumed, nor are they indicative of the results of operations, financial position, or cash flows of the combined company for any future period. Accordingly, the unaudited pro forma condensed combined financial information should not be relied upon as an indicator of future performance or financial condition.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3 – Reclassification Adjustments</w:t>
      </w:r>
    </w:p>
    <w:p>
      <w:pPr>
        <w:spacing w:after="0" w:line="93"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Based on a preliminary review of the accounting policies of Gentherm and the Performance Technologies Business, Gentherm is not aware of any differences that would have a material impact on the unaudited pro forma condensed combined financial information. Following the completion of the Transactions, or as more information becomes available, Gentherm will perform a full and detailed review of Modine and Performance Technologies Business accounting policies and financial information. As a result of the review, accounting policy differences may be identified and these differences, if identified, could produce results that are materially different from the results reflected in the unaudited pro forma condensed combined financial information.</w:t>
      </w:r>
    </w:p>
    <w:p>
      <w:pPr>
        <w:spacing w:after="0" w:line="143"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During the preparation of the unaudited pro forma condensed combined financial information related to the Transactions, Gentherm’s management performed a preliminary analysis of the Performance Technologies Business’s financial information to identify differences in financial statement presentation compared to the presentation of Gentherm. Certain reclassifications have been made to the historical consolidated presentation of the Performance Technologies Business to conform to the financial statement presentation of Gentherm.</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Balance Sheet Reclassifications:</w:t>
      </w:r>
    </w:p>
    <w:p>
      <w:pPr>
        <w:spacing w:after="0" w:line="93"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table below summarizes the mapping of financial statement line items between the Performance Technologies Business and Gentherm and the reclassification adjustments made to present the unaudited historical combined balance sheet of the Performance Technologies Business as of March 31, 2026, in conformity with the unaudited historical consolidated balance sheet of Gentherm as of March 31, 2026 (in thousands).</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Performance</w:t>
            </w: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w w:val="98"/>
              </w:rPr>
              <w:t>Technologies</w:t>
            </w: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Performance Technologies Business</w:t>
            </w:r>
          </w:p>
        </w:tc>
        <w:tc>
          <w:tcPr>
            <w:tcW w:w="1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Business</w:t>
            </w: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Combined Presentation</w:t>
            </w:r>
          </w:p>
        </w:tc>
        <w:tc>
          <w:tcPr>
            <w:tcW w:w="86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Technologies</w:t>
            </w:r>
          </w:p>
        </w:tc>
        <w:tc>
          <w:tcPr>
            <w:tcW w:w="12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Reclassifications</w:t>
            </w: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w w:val="97"/>
              </w:rPr>
              <w:t>(After</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Presentation</w:t>
            </w:r>
          </w:p>
        </w:tc>
        <w:tc>
          <w:tcPr>
            <w:tcW w:w="12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Business</w:t>
            </w:r>
          </w:p>
        </w:tc>
        <w:tc>
          <w:tcPr>
            <w:tcW w:w="1220" w:type="dxa"/>
            <w:vAlign w:val="bottom"/>
            <w:gridSpan w:val="4"/>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060" w:type="dxa"/>
            <w:vAlign w:val="bottom"/>
            <w:gridSpan w:val="4"/>
          </w:tcPr>
          <w:p>
            <w:pPr>
              <w:jc w:val="center"/>
              <w:ind w:left="97"/>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0" w:type="dxa"/>
            <w:vAlign w:val="bottom"/>
          </w:tcPr>
          <w:p>
            <w:pPr>
              <w:spacing w:after="0"/>
              <w:rPr>
                <w:sz w:val="1"/>
                <w:szCs w:val="1"/>
                <w:color w:val="auto"/>
              </w:rPr>
            </w:pPr>
          </w:p>
        </w:tc>
      </w:tr>
      <w:tr>
        <w:trPr>
          <w:trHeight w:val="159"/>
        </w:trPr>
        <w:tc>
          <w:tcPr>
            <w:tcW w:w="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Assets</w:t>
            </w:r>
          </w:p>
        </w:tc>
        <w:tc>
          <w:tcPr>
            <w:tcW w:w="1700" w:type="dxa"/>
            <w:vAlign w:val="bottom"/>
            <w:tcBorders>
              <w:top w:val="single" w:sz="8" w:color="auto"/>
            </w:tcBorders>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6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33,823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accounts receivables - net</w:t>
            </w:r>
          </w:p>
        </w:tc>
        <w:tc>
          <w:tcPr>
            <w:tcW w:w="28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Accounts receivable, net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238,357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54,553</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292,910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from related party</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8,129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(8,129)</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Related party notes receivable</w:t>
            </w:r>
          </w:p>
        </w:tc>
        <w:tc>
          <w:tcPr>
            <w:tcW w:w="1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46,424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(46,424)</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86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Inventory, net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164,413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28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Other current assets</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20,067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286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187,247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21,353</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286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22,665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360" w:type="dxa"/>
            <w:vAlign w:val="bottom"/>
            <w:gridSpan w:val="2"/>
          </w:tcPr>
          <w:p>
            <w:pPr>
              <w:ind w:left="1840"/>
              <w:spacing w:after="0"/>
              <w:rPr>
                <w:sz w:val="20"/>
                <w:szCs w:val="20"/>
                <w:color w:val="auto"/>
              </w:rPr>
            </w:pPr>
            <w:r>
              <w:rPr>
                <w:rFonts w:ascii="Times New Roman" w:cs="Times New Roman" w:eastAsia="Times New Roman" w:hAnsi="Times New Roman"/>
                <w:sz w:val="14"/>
                <w:szCs w:val="14"/>
                <w:color w:val="auto"/>
              </w:rPr>
              <w:t>199</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Performance</w:t>
            </w:r>
          </w:p>
        </w:tc>
        <w:tc>
          <w:tcPr>
            <w:tcW w:w="0" w:type="dxa"/>
            <w:vAlign w:val="bottom"/>
          </w:tcPr>
          <w:p>
            <w:pPr>
              <w:spacing w:after="0"/>
              <w:rPr>
                <w:sz w:val="1"/>
                <w:szCs w:val="1"/>
                <w:color w:val="auto"/>
              </w:rPr>
            </w:pPr>
          </w:p>
        </w:tc>
      </w:tr>
      <w:tr>
        <w:trPr>
          <w:trHeight w:val="116"/>
        </w:trPr>
        <w:tc>
          <w:tcPr>
            <w:tcW w:w="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Technologies</w:t>
            </w:r>
          </w:p>
        </w:tc>
        <w:tc>
          <w:tcPr>
            <w:tcW w:w="0" w:type="dxa"/>
            <w:vAlign w:val="bottom"/>
          </w:tcPr>
          <w:p>
            <w:pPr>
              <w:spacing w:after="0"/>
              <w:rPr>
                <w:sz w:val="1"/>
                <w:szCs w:val="1"/>
                <w:color w:val="auto"/>
              </w:rPr>
            </w:pPr>
          </w:p>
        </w:tc>
      </w:tr>
      <w:tr>
        <w:trPr>
          <w:trHeight w:val="116"/>
        </w:trPr>
        <w:tc>
          <w:tcPr>
            <w:tcW w:w="27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Performance Technologies Business</w:t>
            </w: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Business</w:t>
            </w:r>
          </w:p>
        </w:tc>
        <w:tc>
          <w:tcPr>
            <w:tcW w:w="0" w:type="dxa"/>
            <w:vAlign w:val="bottom"/>
          </w:tcPr>
          <w:p>
            <w:pPr>
              <w:spacing w:after="0"/>
              <w:rPr>
                <w:sz w:val="1"/>
                <w:szCs w:val="1"/>
                <w:color w:val="auto"/>
              </w:rPr>
            </w:pPr>
          </w:p>
        </w:tc>
      </w:tr>
      <w:tr>
        <w:trPr>
          <w:trHeight w:val="116"/>
        </w:trPr>
        <w:tc>
          <w:tcPr>
            <w:tcW w:w="2720" w:type="dxa"/>
            <w:vAlign w:val="bottom"/>
            <w:gridSpan w:val="3"/>
            <w:vMerge w:val="continue"/>
          </w:tcPr>
          <w:p>
            <w:pPr>
              <w:spacing w:after="0"/>
              <w:rPr>
                <w:sz w:val="10"/>
                <w:szCs w:val="10"/>
                <w:color w:val="auto"/>
              </w:rPr>
            </w:pPr>
          </w:p>
        </w:tc>
        <w:tc>
          <w:tcPr>
            <w:tcW w:w="660" w:type="dxa"/>
            <w:vAlign w:val="bottom"/>
            <w:vMerge w:val="restart"/>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Combined Presentation</w:t>
            </w:r>
          </w:p>
        </w:tc>
        <w:tc>
          <w:tcPr>
            <w:tcW w:w="600" w:type="dxa"/>
            <w:vAlign w:val="bottom"/>
            <w:vMerge w:val="restart"/>
          </w:tcPr>
          <w:p>
            <w:pPr>
              <w:spacing w:after="0"/>
              <w:rPr>
                <w:sz w:val="10"/>
                <w:szCs w:val="10"/>
                <w:color w:val="auto"/>
              </w:rPr>
            </w:pPr>
          </w:p>
        </w:tc>
        <w:tc>
          <w:tcPr>
            <w:tcW w:w="86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Technologies</w:t>
            </w: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Reclassifications</w:t>
            </w:r>
          </w:p>
        </w:tc>
        <w:tc>
          <w:tcPr>
            <w:tcW w:w="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(After</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Presentation</w:t>
            </w:r>
          </w:p>
        </w:tc>
        <w:tc>
          <w:tcPr>
            <w:tcW w:w="5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Business</w:t>
            </w:r>
          </w:p>
        </w:tc>
        <w:tc>
          <w:tcPr>
            <w:tcW w:w="1080" w:type="dxa"/>
            <w:vAlign w:val="bottom"/>
            <w:gridSpan w:val="4"/>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720" w:type="dxa"/>
            <w:vAlign w:val="bottom"/>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Noncurrent related party notes receivable</w:t>
            </w:r>
          </w:p>
        </w:tc>
        <w:tc>
          <w:tcPr>
            <w:tcW w:w="6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69,444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(69,444)</w:t>
            </w:r>
          </w:p>
        </w:tc>
        <w:tc>
          <w:tcPr>
            <w:tcW w:w="1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center"/>
              <w:ind w:right="140"/>
              <w:spacing w:after="0" w:line="159" w:lineRule="exact"/>
              <w:rPr>
                <w:sz w:val="20"/>
                <w:szCs w:val="20"/>
                <w:color w:val="auto"/>
              </w:rPr>
            </w:pPr>
            <w:r>
              <w:rPr>
                <w:rFonts w:ascii="Times New Roman" w:cs="Times New Roman" w:eastAsia="Times New Roman" w:hAnsi="Times New Roman"/>
                <w:sz w:val="14"/>
                <w:szCs w:val="14"/>
                <w:color w:val="auto"/>
                <w:w w:val="97"/>
              </w:rPr>
              <w:t>(b)</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25,261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7"/>
              </w:rPr>
              <w:t>(b)</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Liabilities</w:t>
            </w:r>
          </w:p>
        </w:tc>
        <w:tc>
          <w:tcPr>
            <w:tcW w:w="6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Related party notes payable</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   91,123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(91,123)</w:t>
            </w:r>
          </w:p>
        </w:tc>
        <w:tc>
          <w:tcPr>
            <w:tcW w:w="160" w:type="dxa"/>
            <w:vAlign w:val="bottom"/>
          </w:tcPr>
          <w:p>
            <w:pPr>
              <w:spacing w:after="0"/>
              <w:rPr>
                <w:sz w:val="14"/>
                <w:szCs w:val="14"/>
                <w:color w:val="auto"/>
              </w:rPr>
            </w:pPr>
          </w:p>
        </w:tc>
        <w:tc>
          <w:tcPr>
            <w:tcW w:w="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156,530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7"/>
              </w:rPr>
              <w:t>(d)</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Due to related party</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2,756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(2,756)</w:t>
            </w:r>
          </w:p>
        </w:tc>
        <w:tc>
          <w:tcPr>
            <w:tcW w:w="160" w:type="dxa"/>
            <w:vAlign w:val="bottom"/>
          </w:tcPr>
          <w:p>
            <w:pPr>
              <w:spacing w:after="0"/>
              <w:rPr>
                <w:sz w:val="14"/>
                <w:szCs w:val="14"/>
                <w:color w:val="auto"/>
              </w:rPr>
            </w:pPr>
          </w:p>
        </w:tc>
        <w:tc>
          <w:tcPr>
            <w:tcW w:w="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7"/>
              </w:rPr>
              <w:t>(d)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6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29,332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(29,332)</w:t>
            </w: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(c)</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 current portion</w:t>
            </w:r>
          </w:p>
        </w:tc>
        <w:tc>
          <w:tcPr>
            <w:tcW w:w="2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20,480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114,281</w:t>
            </w:r>
          </w:p>
        </w:tc>
        <w:tc>
          <w:tcPr>
            <w:tcW w:w="180" w:type="dxa"/>
            <w:vAlign w:val="bottom"/>
          </w:tcPr>
          <w:p>
            <w:pPr>
              <w:spacing w:after="0"/>
              <w:rPr>
                <w:sz w:val="14"/>
                <w:szCs w:val="14"/>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6"/>
              </w:rPr>
              <w:t>(c)(e)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less current maturities</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2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Pensions</w:t>
            </w:r>
          </w:p>
        </w:tc>
        <w:tc>
          <w:tcPr>
            <w:tcW w:w="2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Pension benefit obligation</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6,647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(13,753)</w:t>
            </w:r>
          </w:p>
        </w:tc>
        <w:tc>
          <w:tcPr>
            <w:tcW w:w="160" w:type="dxa"/>
            <w:vAlign w:val="bottom"/>
          </w:tcPr>
          <w:p>
            <w:pPr>
              <w:spacing w:after="0"/>
              <w:rPr>
                <w:sz w:val="14"/>
                <w:szCs w:val="14"/>
                <w:color w:val="auto"/>
              </w:rPr>
            </w:pPr>
          </w:p>
        </w:tc>
        <w:tc>
          <w:tcPr>
            <w:tcW w:w="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6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(74,007)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(74,007)</w:t>
            </w:r>
          </w:p>
        </w:tc>
        <w:tc>
          <w:tcPr>
            <w:tcW w:w="0" w:type="dxa"/>
            <w:vAlign w:val="bottom"/>
          </w:tcPr>
          <w:p>
            <w:pPr>
              <w:spacing w:after="0"/>
              <w:rPr>
                <w:sz w:val="1"/>
                <w:szCs w:val="1"/>
                <w:color w:val="auto"/>
              </w:rPr>
            </w:pPr>
          </w:p>
        </w:tc>
      </w:tr>
      <w:tr>
        <w:trPr>
          <w:trHeight w:val="168"/>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8,301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parent investment</w:t>
            </w: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Accumulated earnings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552,211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2120" w:right="399" w:hanging="429"/>
        <w:spacing w:after="0" w:line="283" w:lineRule="auto"/>
        <w:tabs>
          <w:tab w:leader="none" w:pos="21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Due from related party and Related party notes receivable for $8,129 and $46,424, respectively, which were reclassified to Accounts receivable, net to conform to Gentherm’s presentation.</w:t>
      </w:r>
    </w:p>
    <w:p>
      <w:pPr>
        <w:spacing w:after="0" w:line="51" w:lineRule="exact"/>
        <w:rPr>
          <w:rFonts w:ascii="Times New Roman" w:cs="Times New Roman" w:eastAsia="Times New Roman" w:hAnsi="Times New Roman"/>
          <w:sz w:val="14"/>
          <w:szCs w:val="14"/>
          <w:color w:val="auto"/>
        </w:rPr>
      </w:pPr>
    </w:p>
    <w:p>
      <w:pPr>
        <w:ind w:left="2120" w:right="459" w:hanging="429"/>
        <w:spacing w:after="0" w:line="258" w:lineRule="auto"/>
        <w:tabs>
          <w:tab w:leader="none" w:pos="21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 separately reflects Operating lease right-of-use assets as a distinct line item in its consolidated balance sheets. Accordingly, $21,353 of Operating lease right-of-use assets that were included within Other non-current assets in the Performance Technologies Business’s historical presentation were reclassified to Operating lease right-of-use assets to conform to Gentherm’s presentation. The Performance Technologies Business’s historical presentation included Noncurrent related party notes receivable for $69,444 which was reclassified to Other non-current assets to conform to Gentherm’s presentation.</w:t>
      </w:r>
    </w:p>
    <w:p>
      <w:pPr>
        <w:spacing w:after="0" w:line="70" w:lineRule="exact"/>
        <w:rPr>
          <w:rFonts w:ascii="Times New Roman" w:cs="Times New Roman" w:eastAsia="Times New Roman" w:hAnsi="Times New Roman"/>
          <w:sz w:val="14"/>
          <w:szCs w:val="14"/>
          <w:color w:val="auto"/>
        </w:rPr>
      </w:pPr>
    </w:p>
    <w:p>
      <w:pPr>
        <w:ind w:left="2120" w:right="239" w:hanging="429"/>
        <w:spacing w:after="0" w:line="267" w:lineRule="auto"/>
        <w:tabs>
          <w:tab w:leader="none" w:pos="21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Accrued compensation and employee benefits and Related party notes payable of $29,332 and $91,123, respectively, which were reclassified to Other current liabilities to conform to Gentherm’s presentation.</w:t>
      </w:r>
    </w:p>
    <w:p>
      <w:pPr>
        <w:spacing w:after="0" w:line="61" w:lineRule="exact"/>
        <w:rPr>
          <w:rFonts w:ascii="Times New Roman" w:cs="Times New Roman" w:eastAsia="Times New Roman" w:hAnsi="Times New Roman"/>
          <w:sz w:val="14"/>
          <w:szCs w:val="14"/>
          <w:color w:val="auto"/>
        </w:rPr>
      </w:pPr>
    </w:p>
    <w:p>
      <w:pPr>
        <w:ind w:left="2120" w:right="659" w:hanging="429"/>
        <w:spacing w:after="0" w:line="283" w:lineRule="auto"/>
        <w:tabs>
          <w:tab w:leader="none" w:pos="212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Due to related party for $2,756 which was reclassified to Accounts payable to conform to Gentherm’s presentation.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200</w:t>
      </w:r>
    </w:p>
    <w:p>
      <w:pPr>
        <w:sectPr>
          <w:pgSz w:w="11900" w:h="16838" w:orient="portrait"/>
          <w:cols w:equalWidth="0" w:num="1">
            <w:col w:w="10159"/>
          </w:cols>
          <w:pgMar w:left="300" w:top="386"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799" w:hanging="429"/>
        <w:spacing w:after="0" w:line="283" w:lineRule="auto"/>
        <w:tabs>
          <w:tab w:leader="none" w:pos="212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Current lease liabilities of $6,174 within Other current liabilities, which were reclassified to Current lease liabilities to conform to Gentherm’s presentation.</w:t>
      </w:r>
    </w:p>
    <w:p>
      <w:pPr>
        <w:spacing w:after="0" w:line="51" w:lineRule="exact"/>
        <w:rPr>
          <w:rFonts w:ascii="Times New Roman" w:cs="Times New Roman" w:eastAsia="Times New Roman" w:hAnsi="Times New Roman"/>
          <w:sz w:val="14"/>
          <w:szCs w:val="14"/>
          <w:color w:val="auto"/>
        </w:rPr>
      </w:pPr>
    </w:p>
    <w:p>
      <w:pPr>
        <w:ind w:left="2120" w:right="899" w:hanging="429"/>
        <w:spacing w:after="0" w:line="283" w:lineRule="auto"/>
        <w:tabs>
          <w:tab w:leader="none" w:pos="212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Non-current lease liabilities of $13,753 within Other non-current liabilities, which were reclassified to Non-current lease liabilities to conform to Gentherm’s presentation.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Statements of Operations Reclassifications:</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three months ended March 31, 2026 in conformity with the unaudited historical consolidated statement of operations of Gentherm for the three months ended March 31, 2026 (in thousands).</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8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80" w:type="dxa"/>
            <w:vAlign w:val="bottom"/>
            <w:vMerge w:val="restart"/>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333"/>
              <w:spacing w:after="0"/>
              <w:rPr>
                <w:sz w:val="20"/>
                <w:szCs w:val="20"/>
                <w:color w:val="auto"/>
              </w:rPr>
            </w:pPr>
            <w:r>
              <w:rPr>
                <w:rFonts w:ascii="Times New Roman" w:cs="Times New Roman" w:eastAsia="Times New Roman" w:hAnsi="Times New Roman"/>
                <w:sz w:val="11"/>
                <w:szCs w:val="11"/>
                <w:b w:val="1"/>
                <w:bCs w:val="1"/>
                <w:color w:val="auto"/>
              </w:rPr>
              <w:t>Performance</w:t>
            </w:r>
          </w:p>
        </w:tc>
        <w:tc>
          <w:tcPr>
            <w:tcW w:w="0" w:type="dxa"/>
            <w:vAlign w:val="bottom"/>
          </w:tcPr>
          <w:p>
            <w:pPr>
              <w:spacing w:after="0"/>
              <w:rPr>
                <w:sz w:val="1"/>
                <w:szCs w:val="1"/>
                <w:color w:val="auto"/>
              </w:rPr>
            </w:pPr>
          </w:p>
        </w:tc>
      </w:tr>
      <w:tr>
        <w:trPr>
          <w:trHeight w:val="116"/>
        </w:trPr>
        <w:tc>
          <w:tcPr>
            <w:tcW w:w="18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333"/>
              <w:spacing w:after="0" w:line="116" w:lineRule="exact"/>
              <w:rPr>
                <w:sz w:val="20"/>
                <w:szCs w:val="20"/>
                <w:color w:val="auto"/>
              </w:rPr>
            </w:pPr>
            <w:r>
              <w:rPr>
                <w:rFonts w:ascii="Times New Roman" w:cs="Times New Roman" w:eastAsia="Times New Roman" w:hAnsi="Times New Roman"/>
                <w:sz w:val="11"/>
                <w:szCs w:val="11"/>
                <w:b w:val="1"/>
                <w:bCs w:val="1"/>
                <w:color w:val="auto"/>
              </w:rPr>
              <w:t>Technologies</w:t>
            </w:r>
          </w:p>
        </w:tc>
        <w:tc>
          <w:tcPr>
            <w:tcW w:w="0" w:type="dxa"/>
            <w:vAlign w:val="bottom"/>
          </w:tcPr>
          <w:p>
            <w:pPr>
              <w:spacing w:after="0"/>
              <w:rPr>
                <w:sz w:val="1"/>
                <w:szCs w:val="1"/>
                <w:color w:val="auto"/>
              </w:rPr>
            </w:pPr>
          </w:p>
        </w:tc>
      </w:tr>
      <w:tr>
        <w:trPr>
          <w:trHeight w:val="116"/>
        </w:trPr>
        <w:tc>
          <w:tcPr>
            <w:tcW w:w="1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Performance Technologies</w:t>
            </w:r>
          </w:p>
        </w:tc>
        <w:tc>
          <w:tcPr>
            <w:tcW w:w="2980" w:type="dxa"/>
            <w:vAlign w:val="bottom"/>
          </w:tcPr>
          <w:p>
            <w:pPr>
              <w:spacing w:after="0"/>
              <w:rPr>
                <w:sz w:val="10"/>
                <w:szCs w:val="10"/>
                <w:color w:val="auto"/>
              </w:rPr>
            </w:pPr>
          </w:p>
        </w:tc>
        <w:tc>
          <w:tcPr>
            <w:tcW w:w="880" w:type="dxa"/>
            <w:vAlign w:val="bottom"/>
          </w:tcPr>
          <w:p>
            <w:pPr>
              <w:jc w:val="center"/>
              <w:ind w:right="113"/>
              <w:spacing w:after="0" w:line="116"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333"/>
              <w:spacing w:after="0" w:line="116" w:lineRule="exact"/>
              <w:rPr>
                <w:sz w:val="20"/>
                <w:szCs w:val="20"/>
                <w:color w:val="auto"/>
              </w:rPr>
            </w:pPr>
            <w:r>
              <w:rPr>
                <w:rFonts w:ascii="Times New Roman" w:cs="Times New Roman" w:eastAsia="Times New Roman" w:hAnsi="Times New Roman"/>
                <w:sz w:val="11"/>
                <w:szCs w:val="11"/>
                <w:b w:val="1"/>
                <w:bCs w:val="1"/>
                <w:color w:val="auto"/>
              </w:rPr>
              <w:t>Business</w:t>
            </w:r>
          </w:p>
        </w:tc>
        <w:tc>
          <w:tcPr>
            <w:tcW w:w="0" w:type="dxa"/>
            <w:vAlign w:val="bottom"/>
          </w:tcPr>
          <w:p>
            <w:pPr>
              <w:spacing w:after="0"/>
              <w:rPr>
                <w:sz w:val="1"/>
                <w:szCs w:val="1"/>
                <w:color w:val="auto"/>
              </w:rPr>
            </w:pPr>
          </w:p>
        </w:tc>
      </w:tr>
      <w:tr>
        <w:trPr>
          <w:trHeight w:val="116"/>
        </w:trPr>
        <w:tc>
          <w:tcPr>
            <w:tcW w:w="1840" w:type="dxa"/>
            <w:vAlign w:val="bottom"/>
            <w:vMerge w:val="continue"/>
          </w:tcPr>
          <w:p>
            <w:pPr>
              <w:spacing w:after="0"/>
              <w:rPr>
                <w:sz w:val="10"/>
                <w:szCs w:val="10"/>
                <w:color w:val="auto"/>
              </w:rPr>
            </w:pPr>
          </w:p>
        </w:tc>
        <w:tc>
          <w:tcPr>
            <w:tcW w:w="2980" w:type="dxa"/>
            <w:vAlign w:val="bottom"/>
            <w:vMerge w:val="restart"/>
          </w:tcPr>
          <w:p>
            <w:pPr>
              <w:ind w:left="980"/>
              <w:spacing w:after="0"/>
              <w:rPr>
                <w:sz w:val="20"/>
                <w:szCs w:val="20"/>
                <w:color w:val="auto"/>
              </w:rPr>
            </w:pPr>
            <w:r>
              <w:rPr>
                <w:rFonts w:ascii="Times New Roman" w:cs="Times New Roman" w:eastAsia="Times New Roman" w:hAnsi="Times New Roman"/>
                <w:sz w:val="11"/>
                <w:szCs w:val="11"/>
                <w:b w:val="1"/>
                <w:bCs w:val="1"/>
                <w:color w:val="auto"/>
              </w:rPr>
              <w:t>Combined Presentation</w:t>
            </w:r>
          </w:p>
        </w:tc>
        <w:tc>
          <w:tcPr>
            <w:tcW w:w="880" w:type="dxa"/>
            <w:vAlign w:val="bottom"/>
          </w:tcPr>
          <w:p>
            <w:pPr>
              <w:jc w:val="center"/>
              <w:ind w:right="93"/>
              <w:spacing w:after="0" w:line="116" w:lineRule="exact"/>
              <w:rPr>
                <w:sz w:val="20"/>
                <w:szCs w:val="20"/>
                <w:color w:val="auto"/>
              </w:rPr>
            </w:pPr>
            <w:r>
              <w:rPr>
                <w:rFonts w:ascii="Times New Roman" w:cs="Times New Roman" w:eastAsia="Times New Roman" w:hAnsi="Times New Roman"/>
                <w:sz w:val="11"/>
                <w:szCs w:val="11"/>
                <w:b w:val="1"/>
                <w:bCs w:val="1"/>
                <w:color w:val="auto"/>
                <w:w w:val="98"/>
              </w:rPr>
              <w:t>Technologies</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Reclassifications</w:t>
            </w:r>
          </w:p>
        </w:tc>
        <w:tc>
          <w:tcPr>
            <w:tcW w:w="540" w:type="dxa"/>
            <w:vAlign w:val="bottom"/>
            <w:vMerge w:val="restart"/>
          </w:tcPr>
          <w:p>
            <w:pPr>
              <w:jc w:val="center"/>
              <w:ind w:left="11"/>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140" w:type="dxa"/>
            <w:vAlign w:val="bottom"/>
          </w:tcPr>
          <w:p>
            <w:pPr>
              <w:spacing w:after="0"/>
              <w:rPr>
                <w:sz w:val="10"/>
                <w:szCs w:val="10"/>
                <w:color w:val="auto"/>
              </w:rPr>
            </w:pPr>
          </w:p>
        </w:tc>
        <w:tc>
          <w:tcPr>
            <w:tcW w:w="1020" w:type="dxa"/>
            <w:vAlign w:val="bottom"/>
          </w:tcPr>
          <w:p>
            <w:pPr>
              <w:jc w:val="center"/>
              <w:ind w:right="333"/>
              <w:spacing w:after="0" w:line="116" w:lineRule="exact"/>
              <w:rPr>
                <w:sz w:val="20"/>
                <w:szCs w:val="20"/>
                <w:color w:val="auto"/>
              </w:rPr>
            </w:pPr>
            <w:r>
              <w:rPr>
                <w:rFonts w:ascii="Times New Roman" w:cs="Times New Roman" w:eastAsia="Times New Roman" w:hAnsi="Times New Roman"/>
                <w:sz w:val="11"/>
                <w:szCs w:val="11"/>
                <w:b w:val="1"/>
                <w:bCs w:val="1"/>
                <w:color w:val="auto"/>
              </w:rPr>
              <w:t>(After</w:t>
            </w:r>
          </w:p>
        </w:tc>
        <w:tc>
          <w:tcPr>
            <w:tcW w:w="0" w:type="dxa"/>
            <w:vAlign w:val="bottom"/>
          </w:tcPr>
          <w:p>
            <w:pPr>
              <w:spacing w:after="0"/>
              <w:rPr>
                <w:sz w:val="1"/>
                <w:szCs w:val="1"/>
                <w:color w:val="auto"/>
              </w:rPr>
            </w:pPr>
          </w:p>
        </w:tc>
      </w:tr>
      <w:tr>
        <w:trPr>
          <w:trHeight w:val="135"/>
        </w:trPr>
        <w:tc>
          <w:tcPr>
            <w:tcW w:w="184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Business Presentation</w:t>
            </w:r>
          </w:p>
        </w:tc>
        <w:tc>
          <w:tcPr>
            <w:tcW w:w="2980" w:type="dxa"/>
            <w:vAlign w:val="bottom"/>
            <w:vMerge w:val="continue"/>
          </w:tcPr>
          <w:p>
            <w:pPr>
              <w:spacing w:after="0"/>
              <w:rPr>
                <w:sz w:val="11"/>
                <w:szCs w:val="11"/>
                <w:color w:val="auto"/>
              </w:rPr>
            </w:pPr>
          </w:p>
        </w:tc>
        <w:tc>
          <w:tcPr>
            <w:tcW w:w="880" w:type="dxa"/>
            <w:vAlign w:val="bottom"/>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w w:val="99"/>
              </w:rPr>
              <w:t>Business</w:t>
            </w:r>
          </w:p>
        </w:tc>
        <w:tc>
          <w:tcPr>
            <w:tcW w:w="11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160" w:type="dxa"/>
            <w:vAlign w:val="bottom"/>
            <w:gridSpan w:val="2"/>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revenues</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  293,962</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(5,856)</w:t>
            </w:r>
          </w:p>
        </w:tc>
        <w:tc>
          <w:tcPr>
            <w:tcW w:w="5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288,106</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sales</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244,758</w:t>
            </w:r>
          </w:p>
        </w:tc>
        <w:tc>
          <w:tcPr>
            <w:tcW w:w="420" w:type="dxa"/>
            <w:vAlign w:val="bottom"/>
          </w:tcPr>
          <w:p>
            <w:pPr>
              <w:spacing w:after="0"/>
              <w:rPr>
                <w:sz w:val="14"/>
                <w:szCs w:val="14"/>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(3,807)</w:t>
            </w:r>
          </w:p>
        </w:tc>
        <w:tc>
          <w:tcPr>
            <w:tcW w:w="5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(g)</w:t>
            </w:r>
          </w:p>
        </w:tc>
        <w:tc>
          <w:tcPr>
            <w:tcW w:w="140" w:type="dxa"/>
            <w:vAlign w:val="bottom"/>
          </w:tcPr>
          <w:p>
            <w:pPr>
              <w:spacing w:after="0"/>
              <w:rPr>
                <w:sz w:val="14"/>
                <w:szCs w:val="1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240,951</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Selling, general and</w:t>
            </w:r>
          </w:p>
        </w:tc>
        <w:tc>
          <w:tcPr>
            <w:tcW w:w="298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administrative expenses</w:t>
            </w:r>
          </w:p>
        </w:tc>
        <w:tc>
          <w:tcPr>
            <w:tcW w:w="298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25,393</w:t>
            </w: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(4,182)</w:t>
            </w:r>
          </w:p>
        </w:tc>
        <w:tc>
          <w:tcPr>
            <w:tcW w:w="5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(h)</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21,211</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14"/>
                <w:szCs w:val="14"/>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research and development expenses</w:t>
            </w: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4"/>
                <w:szCs w:val="14"/>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2,133</w:t>
            </w:r>
          </w:p>
        </w:tc>
        <w:tc>
          <w:tcPr>
            <w:tcW w:w="5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(g)(h)</w:t>
            </w:r>
          </w:p>
        </w:tc>
        <w:tc>
          <w:tcPr>
            <w:tcW w:w="140" w:type="dxa"/>
            <w:vAlign w:val="bottom"/>
          </w:tcPr>
          <w:p>
            <w:pPr>
              <w:spacing w:after="0"/>
              <w:rPr>
                <w:sz w:val="14"/>
                <w:szCs w:val="1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2,133</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Restructuring expenses, net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2,161</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2,161</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sale of business</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3,902</w:t>
            </w:r>
          </w:p>
        </w:tc>
        <w:tc>
          <w:tcPr>
            <w:tcW w:w="420" w:type="dxa"/>
            <w:vAlign w:val="bottom"/>
          </w:tcPr>
          <w:p>
            <w:pPr>
              <w:spacing w:after="0"/>
              <w:rPr>
                <w:sz w:val="14"/>
                <w:szCs w:val="14"/>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3,902</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Related party interest expense</w:t>
            </w:r>
          </w:p>
        </w:tc>
        <w:tc>
          <w:tcPr>
            <w:tcW w:w="29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(2,998)</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2,998</w:t>
            </w:r>
          </w:p>
        </w:tc>
        <w:tc>
          <w:tcPr>
            <w:tcW w:w="5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(i)</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 net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2,272</w:t>
            </w:r>
          </w:p>
        </w:tc>
        <w:tc>
          <w:tcPr>
            <w:tcW w:w="420" w:type="dxa"/>
            <w:vAlign w:val="bottom"/>
          </w:tcPr>
          <w:p>
            <w:pPr>
              <w:spacing w:after="0"/>
              <w:rPr>
                <w:sz w:val="14"/>
                <w:szCs w:val="14"/>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(2,998)</w:t>
            </w:r>
          </w:p>
        </w:tc>
        <w:tc>
          <w:tcPr>
            <w:tcW w:w="5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(i)</w:t>
            </w:r>
          </w:p>
        </w:tc>
        <w:tc>
          <w:tcPr>
            <w:tcW w:w="140" w:type="dxa"/>
            <w:vAlign w:val="bottom"/>
          </w:tcPr>
          <w:p>
            <w:pPr>
              <w:spacing w:after="0"/>
              <w:rPr>
                <w:sz w:val="14"/>
                <w:szCs w:val="14"/>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spacing w:after="0"/>
              <w:rPr>
                <w:sz w:val="14"/>
                <w:szCs w:val="14"/>
                <w:color w:val="auto"/>
              </w:rPr>
            </w:pP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loss</w:t>
            </w:r>
          </w:p>
        </w:tc>
        <w:tc>
          <w:tcPr>
            <w:tcW w:w="8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(51)</w:t>
            </w:r>
          </w:p>
        </w:tc>
        <w:tc>
          <w:tcPr>
            <w:tcW w:w="54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(j)</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68"/>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 net</w:t>
            </w: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income</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1,199</w:t>
            </w:r>
          </w:p>
        </w:tc>
        <w:tc>
          <w:tcPr>
            <w:tcW w:w="420" w:type="dxa"/>
            <w:vAlign w:val="bottom"/>
          </w:tcPr>
          <w:p>
            <w:pPr>
              <w:spacing w:after="0"/>
              <w:rPr>
                <w:sz w:val="14"/>
                <w:szCs w:val="14"/>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51</w:t>
            </w:r>
          </w:p>
        </w:tc>
        <w:tc>
          <w:tcPr>
            <w:tcW w:w="5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(j)</w:t>
            </w:r>
          </w:p>
        </w:tc>
        <w:tc>
          <w:tcPr>
            <w:tcW w:w="140" w:type="dxa"/>
            <w:vAlign w:val="bottom"/>
          </w:tcPr>
          <w:p>
            <w:pPr>
              <w:spacing w:after="0"/>
              <w:rPr>
                <w:sz w:val="14"/>
                <w:szCs w:val="14"/>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Income tax expense</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9,415</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4"/>
                <w:szCs w:val="14"/>
                <w:color w:val="auto"/>
              </w:rPr>
              <w:t>9,415</w:t>
            </w:r>
          </w:p>
        </w:tc>
        <w:tc>
          <w:tcPr>
            <w:tcW w:w="0" w:type="dxa"/>
            <w:vAlign w:val="bottom"/>
          </w:tcPr>
          <w:p>
            <w:pPr>
              <w:spacing w:after="0"/>
              <w:rPr>
                <w:sz w:val="1"/>
                <w:szCs w:val="1"/>
                <w:color w:val="auto"/>
              </w:rPr>
            </w:pPr>
          </w:p>
        </w:tc>
      </w:tr>
      <w:tr>
        <w:trPr>
          <w:trHeight w:val="153"/>
        </w:trPr>
        <w:tc>
          <w:tcPr>
            <w:tcW w:w="18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2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313</w:t>
            </w:r>
          </w:p>
        </w:tc>
        <w:tc>
          <w:tcPr>
            <w:tcW w:w="420" w:type="dxa"/>
            <w:vAlign w:val="bottom"/>
          </w:tcPr>
          <w:p>
            <w:pPr>
              <w:spacing w:after="0"/>
              <w:rPr>
                <w:sz w:val="15"/>
                <w:szCs w:val="15"/>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2120" w:right="219" w:hanging="429"/>
        <w:spacing w:after="0" w:line="261" w:lineRule="auto"/>
        <w:tabs>
          <w:tab w:leader="none" w:pos="212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customer tooling reimbursements in Net sales, with related costs reflected in Cost of sales. Gentherm accounts for such tooling and development activities as Net research and development expenses. Accordingly, $5,856 of tooling revenue was reclassified out of Net sales and $3,807 of related costs were reclassified out of Cost of sales, with the resulting net income of $2,049 reclassified to Net research and development expenses to conform to Gentherm’s presentation.</w:t>
      </w:r>
    </w:p>
    <w:p>
      <w:pPr>
        <w:spacing w:after="0" w:line="67" w:lineRule="exact"/>
        <w:rPr>
          <w:rFonts w:ascii="Times New Roman" w:cs="Times New Roman" w:eastAsia="Times New Roman" w:hAnsi="Times New Roman"/>
          <w:sz w:val="14"/>
          <w:szCs w:val="14"/>
          <w:color w:val="auto"/>
        </w:rPr>
      </w:pPr>
    </w:p>
    <w:p>
      <w:pPr>
        <w:ind w:left="2120" w:right="359" w:hanging="429"/>
        <w:spacing w:after="0" w:line="267" w:lineRule="auto"/>
        <w:tabs>
          <w:tab w:leader="none" w:pos="212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certain engineering and development activities within Selling, general and administrative expenses. As Gentherm records these costs within Net research and development expenses, $4,182 was reclassified from Selling, general</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201</w:t>
      </w:r>
    </w:p>
    <w:p>
      <w:pPr>
        <w:sectPr>
          <w:pgSz w:w="11900" w:h="16838" w:orient="portrait"/>
          <w:cols w:equalWidth="0" w:num="1">
            <w:col w:w="10159"/>
          </w:cols>
          <w:pgMar w:left="300" w:top="386"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and administrative expenses to Net research and development expenses to conform to Gentherm’s presentation.</w:t>
      </w:r>
    </w:p>
    <w:p>
      <w:pPr>
        <w:spacing w:after="0" w:line="196" w:lineRule="exact"/>
        <w:rPr>
          <w:sz w:val="20"/>
          <w:szCs w:val="20"/>
          <w:color w:val="auto"/>
        </w:rPr>
      </w:pPr>
    </w:p>
    <w:p>
      <w:pPr>
        <w:ind w:left="2120" w:right="499" w:hanging="429"/>
        <w:spacing w:after="0" w:line="267" w:lineRule="auto"/>
        <w:tabs>
          <w:tab w:leader="none" w:pos="21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Related party interest expense. As Gentherm records within Interest expense, net, $2,998 was reclassified from Related party interest expense to Interest expense, net to conform to Gentherm’s presentation.</w:t>
      </w:r>
    </w:p>
    <w:p>
      <w:pPr>
        <w:spacing w:after="0" w:line="61" w:lineRule="exact"/>
        <w:rPr>
          <w:rFonts w:ascii="Times New Roman" w:cs="Times New Roman" w:eastAsia="Times New Roman" w:hAnsi="Times New Roman"/>
          <w:sz w:val="14"/>
          <w:szCs w:val="14"/>
          <w:color w:val="auto"/>
        </w:rPr>
      </w:pPr>
    </w:p>
    <w:p>
      <w:pPr>
        <w:jc w:val="both"/>
        <w:ind w:left="2120" w:right="579" w:hanging="429"/>
        <w:spacing w:after="0" w:line="267" w:lineRule="auto"/>
        <w:tabs>
          <w:tab w:leader="none" w:pos="212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foreign currency transaction gains and losses within Other income - net. As Gentherm separately presents foreign currency transaction gains and losses in a distinct line item captioned Foreign currency loss, $51 was reclassified from Other income to Foreign currency loss to conform to Gentherm’s presentation.</w:t>
      </w:r>
    </w:p>
    <w:p>
      <w:pPr>
        <w:spacing w:after="0" w:line="136"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year ended December 31, 2025, in conformity with the audited historical consolidated statement of operations of Gentherm for the year ended December 31, 2025 (in thousands).</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Performance</w:t>
            </w:r>
          </w:p>
        </w:tc>
        <w:tc>
          <w:tcPr>
            <w:tcW w:w="31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Performance</w:t>
            </w:r>
          </w:p>
        </w:tc>
        <w:tc>
          <w:tcPr>
            <w:tcW w:w="0" w:type="dxa"/>
            <w:vAlign w:val="bottom"/>
          </w:tcPr>
          <w:p>
            <w:pPr>
              <w:spacing w:after="0"/>
              <w:rPr>
                <w:sz w:val="1"/>
                <w:szCs w:val="1"/>
                <w:color w:val="auto"/>
              </w:rPr>
            </w:pPr>
          </w:p>
        </w:tc>
      </w:tr>
      <w:tr>
        <w:trPr>
          <w:trHeight w:val="116"/>
        </w:trPr>
        <w:tc>
          <w:tcPr>
            <w:tcW w:w="2120" w:type="dxa"/>
            <w:vAlign w:val="bottom"/>
            <w:vMerge w:val="continue"/>
          </w:tcPr>
          <w:p>
            <w:pPr>
              <w:spacing w:after="0"/>
              <w:rPr>
                <w:sz w:val="10"/>
                <w:szCs w:val="10"/>
                <w:color w:val="auto"/>
              </w:rPr>
            </w:pPr>
          </w:p>
        </w:tc>
        <w:tc>
          <w:tcPr>
            <w:tcW w:w="3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Technologies</w:t>
            </w:r>
          </w:p>
        </w:tc>
        <w:tc>
          <w:tcPr>
            <w:tcW w:w="0" w:type="dxa"/>
            <w:vAlign w:val="bottom"/>
          </w:tcPr>
          <w:p>
            <w:pPr>
              <w:spacing w:after="0"/>
              <w:rPr>
                <w:sz w:val="1"/>
                <w:szCs w:val="1"/>
                <w:color w:val="auto"/>
              </w:rPr>
            </w:pPr>
          </w:p>
        </w:tc>
      </w:tr>
      <w:tr>
        <w:trPr>
          <w:trHeight w:val="116"/>
        </w:trPr>
        <w:tc>
          <w:tcPr>
            <w:tcW w:w="21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Technologies</w:t>
            </w:r>
          </w:p>
        </w:tc>
        <w:tc>
          <w:tcPr>
            <w:tcW w:w="3120" w:type="dxa"/>
            <w:vAlign w:val="bottom"/>
          </w:tcPr>
          <w:p>
            <w:pPr>
              <w:spacing w:after="0"/>
              <w:rPr>
                <w:sz w:val="10"/>
                <w:szCs w:val="10"/>
                <w:color w:val="auto"/>
              </w:rPr>
            </w:pP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Performance</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Business</w:t>
            </w:r>
          </w:p>
        </w:tc>
        <w:tc>
          <w:tcPr>
            <w:tcW w:w="0" w:type="dxa"/>
            <w:vAlign w:val="bottom"/>
          </w:tcPr>
          <w:p>
            <w:pPr>
              <w:spacing w:after="0"/>
              <w:rPr>
                <w:sz w:val="1"/>
                <w:szCs w:val="1"/>
                <w:color w:val="auto"/>
              </w:rPr>
            </w:pPr>
          </w:p>
        </w:tc>
      </w:tr>
      <w:tr>
        <w:trPr>
          <w:trHeight w:val="116"/>
        </w:trPr>
        <w:tc>
          <w:tcPr>
            <w:tcW w:w="21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Business</w:t>
            </w:r>
          </w:p>
        </w:tc>
        <w:tc>
          <w:tcPr>
            <w:tcW w:w="3120" w:type="dxa"/>
            <w:vAlign w:val="bottom"/>
          </w:tcPr>
          <w:p>
            <w:pPr>
              <w:spacing w:after="0"/>
              <w:rPr>
                <w:sz w:val="10"/>
                <w:szCs w:val="10"/>
                <w:color w:val="auto"/>
              </w:rPr>
            </w:pP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Technologies</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(After</w:t>
            </w:r>
          </w:p>
        </w:tc>
        <w:tc>
          <w:tcPr>
            <w:tcW w:w="0" w:type="dxa"/>
            <w:vAlign w:val="bottom"/>
          </w:tcPr>
          <w:p>
            <w:pPr>
              <w:spacing w:after="0"/>
              <w:rPr>
                <w:sz w:val="1"/>
                <w:szCs w:val="1"/>
                <w:color w:val="auto"/>
              </w:rPr>
            </w:pPr>
          </w:p>
        </w:tc>
      </w:tr>
      <w:tr>
        <w:trPr>
          <w:trHeight w:val="145"/>
        </w:trPr>
        <w:tc>
          <w:tcPr>
            <w:tcW w:w="2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Presentation</w:t>
            </w:r>
          </w:p>
        </w:tc>
        <w:tc>
          <w:tcPr>
            <w:tcW w:w="3120" w:type="dxa"/>
            <w:vAlign w:val="bottom"/>
          </w:tcPr>
          <w:p>
            <w:pPr>
              <w:ind w:left="1120"/>
              <w:spacing w:after="0"/>
              <w:rPr>
                <w:sz w:val="20"/>
                <w:szCs w:val="20"/>
                <w:color w:val="auto"/>
              </w:rPr>
            </w:pPr>
            <w:r>
              <w:rPr>
                <w:rFonts w:ascii="Times New Roman" w:cs="Times New Roman" w:eastAsia="Times New Roman" w:hAnsi="Times New Roman"/>
                <w:sz w:val="11"/>
                <w:szCs w:val="11"/>
                <w:b w:val="1"/>
                <w:bCs w:val="1"/>
                <w:color w:val="auto"/>
              </w:rPr>
              <w:t>Combined Presentation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Business</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Reclassifications</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0" w:type="dxa"/>
            <w:vAlign w:val="bottom"/>
          </w:tcPr>
          <w:p>
            <w:pPr>
              <w:spacing w:after="0"/>
              <w:rPr>
                <w:sz w:val="1"/>
                <w:szCs w:val="1"/>
                <w:color w:val="auto"/>
              </w:rPr>
            </w:pPr>
          </w:p>
        </w:tc>
      </w:tr>
      <w:tr>
        <w:trPr>
          <w:trHeight w:val="16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Product revenues</w:t>
            </w: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$1,132,605</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(19,780)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(k)</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   1,112,825</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913,642</w:t>
            </w:r>
          </w:p>
        </w:tc>
        <w:tc>
          <w:tcPr>
            <w:tcW w:w="280" w:type="dxa"/>
            <w:vAlign w:val="bottom"/>
          </w:tcPr>
          <w:p>
            <w:pPr>
              <w:spacing w:after="0"/>
              <w:rPr>
                <w:sz w:val="14"/>
                <w:szCs w:val="14"/>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(15,408)</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(k)</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898,234</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31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3120" w:type="dxa"/>
            <w:vAlign w:val="bottom"/>
            <w:vMerge w:val="continue"/>
            <w:shd w:val="clear" w:color="auto" w:fill="CCEEFF"/>
          </w:tcPr>
          <w:p>
            <w:pPr>
              <w:spacing w:after="0"/>
              <w:rPr>
                <w:sz w:val="15"/>
                <w:szCs w:val="15"/>
                <w:color w:val="auto"/>
              </w:rPr>
            </w:pP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109,777</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(16,111)</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93,666</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14"/>
                <w:szCs w:val="14"/>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research and development expenses</w:t>
            </w: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11,739</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(k)(l)</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11,739</w:t>
            </w:r>
          </w:p>
        </w:tc>
        <w:tc>
          <w:tcPr>
            <w:tcW w:w="0" w:type="dxa"/>
            <w:vAlign w:val="bottom"/>
          </w:tcPr>
          <w:p>
            <w:pPr>
              <w:spacing w:after="0"/>
              <w:rPr>
                <w:sz w:val="1"/>
                <w:szCs w:val="1"/>
                <w:color w:val="auto"/>
              </w:rPr>
            </w:pPr>
          </w:p>
        </w:tc>
      </w:tr>
      <w:tr>
        <w:trPr>
          <w:trHeight w:val="16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Restructuring expenses, net</w:t>
            </w: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16,527</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16,527</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 net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280" w:type="dxa"/>
            <w:vAlign w:val="bottom"/>
          </w:tcPr>
          <w:p>
            <w:pPr>
              <w:spacing w:after="0"/>
              <w:rPr>
                <w:sz w:val="14"/>
                <w:szCs w:val="14"/>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0" w:type="dxa"/>
            <w:vAlign w:val="bottom"/>
          </w:tcPr>
          <w:p>
            <w:pPr>
              <w:spacing w:after="0"/>
              <w:rPr>
                <w:sz w:val="1"/>
                <w:szCs w:val="1"/>
                <w:color w:val="auto"/>
              </w:rPr>
            </w:pPr>
          </w:p>
        </w:tc>
      </w:tr>
      <w:tr>
        <w:trPr>
          <w:trHeight w:val="168"/>
        </w:trPr>
        <w:tc>
          <w:tcPr>
            <w:tcW w:w="2120" w:type="dxa"/>
            <w:vAlign w:val="bottom"/>
            <w:shd w:val="clear" w:color="auto" w:fill="CCEEFF"/>
          </w:tcPr>
          <w:p>
            <w:pPr>
              <w:spacing w:after="0"/>
              <w:rPr>
                <w:sz w:val="14"/>
                <w:szCs w:val="14"/>
                <w:color w:val="auto"/>
              </w:rPr>
            </w:pP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loss</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(195)</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(m)</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 net</w:t>
            </w:r>
          </w:p>
        </w:tc>
        <w:tc>
          <w:tcPr>
            <w:tcW w:w="3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(loss) income</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1,756</w:t>
            </w:r>
          </w:p>
        </w:tc>
        <w:tc>
          <w:tcPr>
            <w:tcW w:w="280" w:type="dxa"/>
            <w:vAlign w:val="bottom"/>
          </w:tcPr>
          <w:p>
            <w:pPr>
              <w:spacing w:after="0"/>
              <w:rPr>
                <w:sz w:val="14"/>
                <w:szCs w:val="14"/>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195</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1,951</w:t>
            </w:r>
          </w:p>
        </w:tc>
        <w:tc>
          <w:tcPr>
            <w:tcW w:w="0" w:type="dxa"/>
            <w:vAlign w:val="bottom"/>
          </w:tcPr>
          <w:p>
            <w:pPr>
              <w:spacing w:after="0"/>
              <w:rPr>
                <w:sz w:val="1"/>
                <w:szCs w:val="1"/>
                <w:color w:val="auto"/>
              </w:rPr>
            </w:pPr>
          </w:p>
        </w:tc>
      </w:tr>
      <w:tr>
        <w:trPr>
          <w:trHeight w:val="16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9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37,658</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37,658</w:t>
            </w:r>
          </w:p>
        </w:tc>
        <w:tc>
          <w:tcPr>
            <w:tcW w:w="0" w:type="dxa"/>
            <w:vAlign w:val="bottom"/>
          </w:tcPr>
          <w:p>
            <w:pPr>
              <w:spacing w:after="0"/>
              <w:rPr>
                <w:sz w:val="1"/>
                <w:szCs w:val="1"/>
                <w:color w:val="auto"/>
              </w:rPr>
            </w:pPr>
          </w:p>
        </w:tc>
      </w:tr>
      <w:tr>
        <w:trPr>
          <w:trHeight w:val="153"/>
        </w:trPr>
        <w:tc>
          <w:tcPr>
            <w:tcW w:w="21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Net earnings attributable to</w:t>
            </w:r>
          </w:p>
        </w:tc>
        <w:tc>
          <w:tcPr>
            <w:tcW w:w="3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3120" w:type="dxa"/>
            <w:vAlign w:val="bottom"/>
            <w:vMerge w:val="continue"/>
          </w:tcPr>
          <w:p>
            <w:pPr>
              <w:spacing w:after="0"/>
              <w:rPr>
                <w:sz w:val="15"/>
                <w:szCs w:val="15"/>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1,967</w:t>
            </w:r>
          </w:p>
        </w:tc>
        <w:tc>
          <w:tcPr>
            <w:tcW w:w="280" w:type="dxa"/>
            <w:vAlign w:val="bottom"/>
          </w:tcPr>
          <w:p>
            <w:pPr>
              <w:spacing w:after="0"/>
              <w:rPr>
                <w:sz w:val="15"/>
                <w:szCs w:val="15"/>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spacing w:after="0"/>
              <w:rPr>
                <w:sz w:val="15"/>
                <w:szCs w:val="15"/>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1,967</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2120" w:right="219" w:hanging="429"/>
        <w:spacing w:after="0" w:line="258" w:lineRule="auto"/>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customer tooling reimbursements in Net sales, with related costs reflected in Cost of sales. Gentherm accounts for such tooling and development activities as Net research and development expenses. Accordingly, $19,780 of tooling revenue was reclassified out of Net sales and $15,408 of related costs were reclassified out of Cost of sales, with the resulting net income of $4,372 reclassified to Net research and development expenses to conform to Gentherm’s presentation.</w:t>
      </w:r>
    </w:p>
    <w:p>
      <w:pPr>
        <w:spacing w:after="0" w:line="70" w:lineRule="exact"/>
        <w:rPr>
          <w:rFonts w:ascii="Times New Roman" w:cs="Times New Roman" w:eastAsia="Times New Roman" w:hAnsi="Times New Roman"/>
          <w:sz w:val="14"/>
          <w:szCs w:val="14"/>
          <w:color w:val="auto"/>
        </w:rPr>
      </w:pPr>
    </w:p>
    <w:p>
      <w:pPr>
        <w:ind w:left="2120" w:right="359" w:hanging="429"/>
        <w:spacing w:after="0" w:line="261" w:lineRule="auto"/>
        <w:tabs>
          <w:tab w:leader="none" w:pos="21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Technologies Business’s historical presentation included certain engineering and development activities within Selling, general and administrative expenses. As Gentherm records these costs within Net research and development expenses, $16,111 was reclassified from Selling, general and administrative expenses to Net research and development expenses to conform to Gentherm’s presentation.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202</w:t>
      </w:r>
    </w:p>
    <w:p>
      <w:pPr>
        <w:sectPr>
          <w:pgSz w:w="11900" w:h="16838" w:orient="portrait"/>
          <w:cols w:equalWidth="0" w:num="1">
            <w:col w:w="10159"/>
          </w:cols>
          <w:pgMar w:left="300" w:top="386"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2120" w:right="579" w:hanging="429"/>
        <w:spacing w:after="0" w:line="296" w:lineRule="auto"/>
        <w:tabs>
          <w:tab w:leader="none" w:pos="212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Technologies Business’s historical presentation included foreign currency transaction gains and losses within Other income – net. As Gentherm separately presents foreign currency transaction gains and losses in a distinct line item captioned Foreign currency loss, $195 was reclassified from Other (loss) income to Foreign currency loss to conform to Gentherm’s presentation.</w:t>
      </w:r>
    </w:p>
    <w:p>
      <w:pPr>
        <w:spacing w:after="0" w:line="2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4 – Pre-Merger Adjustments</w:t>
      </w:r>
    </w:p>
    <w:p>
      <w:pPr>
        <w:spacing w:after="0" w:line="93"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The SpinCo Cash Distribution and related financing arrangements are required pre-Merger steps under the Separation Agreement and Merger Agreement to effect the Separation and Distribution. These capital structure adjustments are not discretionary, but contractual conditions precedent to consummation of the Transactions. The amount of the SpinCo Cash Distribution is equal to $210,000, subject to decrease if additional shares of Gentherm Common Stock will be issued to the former holders of SpinCo Common Stock.</w:t>
      </w:r>
    </w:p>
    <w:p>
      <w:pPr>
        <w:spacing w:after="0" w:line="14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On June 29, 2026, SpinCo entered into documentation governing the Permanent SpinCo Financing in an aggregate committed principal amount of $250,000, the proceeds of which will be used on the Closing Date to make the SpinCo Cash Distribution, subject to certain potential adjustments set forth in the Merger Agreement, and to pay certain other amounts under the Merger Agreement and/or the Separation Agreement.</w:t>
      </w:r>
    </w:p>
    <w:p>
      <w:pPr>
        <w:spacing w:after="0" w:line="136"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The following adjustments are included in the unaudited pro forma condensed combined balance sheet and unaudited pro forma condensed combined statements of operations to reflect the impact of these pre-Merger transactions.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Balance Sheet</w:t>
      </w:r>
    </w:p>
    <w:p>
      <w:pPr>
        <w:spacing w:after="0" w:line="93"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The following summarizes the pre-Merger pro forma adjustments to give effect to those transactions that would occur immediately prior to the Merger, as if the Merger had been completed on March 31, 2026 for the purposes of the unaudited pro forma condensed combined balance sheet.</w:t>
      </w:r>
    </w:p>
    <w:p>
      <w:pPr>
        <w:spacing w:after="0" w:line="125"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a. Represents adjustments related to the debt issuance and cash payment in connection with the Permanent SpinCo Financing and the SpinCo Cash Distribution. The adjustment reflects the following impact on the unaudited pro forma condensed combined balance sheet: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183"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4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1320" w:type="dxa"/>
            <w:vAlign w:val="bottom"/>
            <w:gridSpan w:val="4"/>
          </w:tcPr>
          <w:p>
            <w:pPr>
              <w:ind w:left="480"/>
              <w:spacing w:after="0" w:line="118"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(in thousands)</w:t>
            </w:r>
          </w:p>
        </w:tc>
        <w:tc>
          <w:tcPr>
            <w:tcW w:w="0" w:type="dxa"/>
            <w:vAlign w:val="bottom"/>
          </w:tcPr>
          <w:p>
            <w:pPr>
              <w:spacing w:after="0"/>
              <w:rPr>
                <w:sz w:val="1"/>
                <w:szCs w:val="1"/>
                <w:color w:val="auto"/>
              </w:rPr>
            </w:pPr>
          </w:p>
        </w:tc>
      </w:tr>
      <w:tr>
        <w:trPr>
          <w:trHeight w:val="159"/>
        </w:trPr>
        <w:tc>
          <w:tcPr>
            <w:tcW w:w="45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Proceeds from the issuance of the Permanent SpinCo Financing</w:t>
            </w:r>
          </w:p>
        </w:tc>
        <w:tc>
          <w:tcPr>
            <w:tcW w:w="5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250,000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SpinCo Cash Distribution</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(210,000)</w:t>
            </w: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Debt issuance costs and financing fees related to the Permanent SpinCo</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(6,903)</w:t>
            </w:r>
          </w:p>
        </w:tc>
        <w:tc>
          <w:tcPr>
            <w:tcW w:w="0" w:type="dxa"/>
            <w:vAlign w:val="bottom"/>
          </w:tcPr>
          <w:p>
            <w:pPr>
              <w:spacing w:after="0"/>
              <w:rPr>
                <w:sz w:val="1"/>
                <w:szCs w:val="1"/>
                <w:color w:val="auto"/>
              </w:rPr>
            </w:pPr>
          </w:p>
        </w:tc>
      </w:tr>
      <w:tr>
        <w:trPr>
          <w:trHeight w:val="169"/>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Pro forma adjustment to Cash and cash equivalents</w:t>
            </w:r>
          </w:p>
        </w:tc>
        <w:tc>
          <w:tcPr>
            <w:tcW w:w="5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color w:val="auto"/>
              </w:rPr>
              <w:t>203</w:t>
            </w: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50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Long-term debt, less current maturities</w:t>
      </w:r>
    </w:p>
    <w:p>
      <w:pPr>
        <w:spacing w:after="0" w:line="183"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320" w:type="dxa"/>
            <w:vAlign w:val="bottom"/>
            <w:gridSpan w:val="4"/>
          </w:tcPr>
          <w:p>
            <w:pPr>
              <w:jc w:val="center"/>
              <w:ind w:left="317"/>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Proceeds from the issuance of the Permanent SpinCo Financing</w:t>
            </w:r>
          </w:p>
        </w:tc>
        <w:tc>
          <w:tcPr>
            <w:tcW w:w="5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250,000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Debt issuance costs and financing fees related to the Permanent SpinCo</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Financing</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 forma adjustment for debt</w:t>
            </w:r>
          </w:p>
        </w:tc>
        <w:tc>
          <w:tcPr>
            <w:tcW w:w="6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243,097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Shareholders’ equity</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Represents a pro forma adjustment to reduce Net parent investment to reflect the SpinCo Cash Distribution of $210,000.</w:t>
      </w:r>
    </w:p>
    <w:p>
      <w:pPr>
        <w:spacing w:after="0" w:line="175"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b. Represents adjustments to settle and eliminate related party transactions with Modine that will be repaid, settled, or otherwise eliminated prior to the Merger in accordance with the Separation Agreement and Merger Agreement. The adjustment reflects the settlement of such balances in cash or reduction of liabilities, as applicable, with the offset to Accumulated earnings, in the Unaudited Pro Forma Condensed Combined Balance Sheet. The adjustment reflects the following impact on the unaudited pro forma condensed combined balance sheet:</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As of</w:t>
            </w:r>
          </w:p>
        </w:tc>
      </w:tr>
      <w:tr>
        <w:trPr>
          <w:trHeight w:val="116"/>
        </w:trPr>
        <w:tc>
          <w:tcPr>
            <w:tcW w:w="13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420" w:type="dxa"/>
            <w:vAlign w:val="bottom"/>
            <w:gridSpan w:val="4"/>
          </w:tcPr>
          <w:p>
            <w:pPr>
              <w:jc w:val="center"/>
              <w:ind w:left="417"/>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35"/>
        </w:trPr>
        <w:tc>
          <w:tcPr>
            <w:tcW w:w="13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1380" w:type="dxa"/>
            <w:vAlign w:val="bottom"/>
          </w:tcPr>
          <w:p>
            <w:pPr>
              <w:spacing w:after="0"/>
              <w:rPr>
                <w:sz w:val="13"/>
                <w:szCs w:val="13"/>
                <w:color w:val="auto"/>
              </w:rPr>
            </w:pPr>
          </w:p>
        </w:tc>
        <w:tc>
          <w:tcPr>
            <w:tcW w:w="44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Elimination of Cash and cash equivalents</w:t>
            </w:r>
          </w:p>
        </w:tc>
        <w:tc>
          <w:tcPr>
            <w:tcW w:w="6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ind w:left="160"/>
              <w:spacing w:after="0" w:line="159" w:lineRule="exact"/>
              <w:rPr>
                <w:sz w:val="20"/>
                <w:szCs w:val="20"/>
                <w:color w:val="auto"/>
              </w:rPr>
            </w:pPr>
            <w:r>
              <w:rPr>
                <w:rFonts w:ascii="Times New Roman" w:cs="Times New Roman" w:eastAsia="Times New Roman" w:hAnsi="Times New Roman"/>
                <w:sz w:val="14"/>
                <w:szCs w:val="14"/>
                <w:color w:val="auto"/>
                <w:w w:val="87"/>
              </w:rPr>
              <w:t>(33,823)</w:t>
            </w:r>
          </w:p>
        </w:tc>
        <w:tc>
          <w:tcPr>
            <w:tcW w:w="80" w:type="dxa"/>
            <w:vAlign w:val="bottom"/>
            <w:tcBorders>
              <w:top w:val="single" w:sz="8" w:color="CCEEFF"/>
            </w:tcBorders>
            <w:shd w:val="clear" w:color="auto" w:fill="CCEEFF"/>
          </w:tcPr>
          <w:p>
            <w:pPr>
              <w:spacing w:after="0"/>
              <w:rPr>
                <w:sz w:val="13"/>
                <w:szCs w:val="13"/>
                <w:color w:val="auto"/>
              </w:rPr>
            </w:pPr>
          </w:p>
        </w:tc>
      </w:tr>
      <w:tr>
        <w:trPr>
          <w:trHeight w:val="183"/>
        </w:trPr>
        <w:tc>
          <w:tcPr>
            <w:tcW w:w="138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Total pro forma adjustment to Cash and cash equivalents</w:t>
            </w:r>
          </w:p>
        </w:tc>
        <w:tc>
          <w:tcPr>
            <w:tcW w:w="74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(33,823)</w:t>
            </w:r>
          </w:p>
        </w:tc>
      </w:tr>
      <w:tr>
        <w:trPr>
          <w:trHeight w:val="406"/>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Accounts receivable, net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6"/>
        </w:trPr>
        <w:tc>
          <w:tcPr>
            <w:tcW w:w="1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As of</w:t>
            </w:r>
          </w:p>
        </w:tc>
      </w:tr>
      <w:tr>
        <w:trPr>
          <w:trHeight w:val="116"/>
        </w:trPr>
        <w:tc>
          <w:tcPr>
            <w:tcW w:w="13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420" w:type="dxa"/>
            <w:vAlign w:val="bottom"/>
            <w:gridSpan w:val="4"/>
          </w:tcPr>
          <w:p>
            <w:pPr>
              <w:jc w:val="center"/>
              <w:ind w:left="417"/>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35"/>
        </w:trPr>
        <w:tc>
          <w:tcPr>
            <w:tcW w:w="13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1380" w:type="dxa"/>
            <w:vAlign w:val="bottom"/>
          </w:tcPr>
          <w:p>
            <w:pPr>
              <w:spacing w:after="0"/>
              <w:rPr>
                <w:sz w:val="13"/>
                <w:szCs w:val="13"/>
                <w:color w:val="auto"/>
              </w:rPr>
            </w:pPr>
          </w:p>
        </w:tc>
        <w:tc>
          <w:tcPr>
            <w:tcW w:w="44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Settlement and elimination of related party Accounts receivable</w:t>
            </w:r>
          </w:p>
        </w:tc>
        <w:tc>
          <w:tcPr>
            <w:tcW w:w="6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ind w:left="160"/>
              <w:spacing w:after="0" w:line="159" w:lineRule="exact"/>
              <w:rPr>
                <w:sz w:val="20"/>
                <w:szCs w:val="20"/>
                <w:color w:val="auto"/>
              </w:rPr>
            </w:pPr>
            <w:r>
              <w:rPr>
                <w:rFonts w:ascii="Times New Roman" w:cs="Times New Roman" w:eastAsia="Times New Roman" w:hAnsi="Times New Roman"/>
                <w:sz w:val="14"/>
                <w:szCs w:val="14"/>
                <w:color w:val="auto"/>
                <w:w w:val="87"/>
              </w:rPr>
              <w:t>(54,553)</w:t>
            </w:r>
          </w:p>
        </w:tc>
        <w:tc>
          <w:tcPr>
            <w:tcW w:w="80" w:type="dxa"/>
            <w:vAlign w:val="bottom"/>
            <w:tcBorders>
              <w:top w:val="single" w:sz="8" w:color="CCEEFF"/>
            </w:tcBorders>
            <w:shd w:val="clear" w:color="auto" w:fill="CCEEFF"/>
          </w:tcPr>
          <w:p>
            <w:pPr>
              <w:spacing w:after="0"/>
              <w:rPr>
                <w:sz w:val="13"/>
                <w:szCs w:val="13"/>
                <w:color w:val="auto"/>
              </w:rPr>
            </w:pPr>
          </w:p>
        </w:tc>
      </w:tr>
      <w:tr>
        <w:trPr>
          <w:trHeight w:val="183"/>
        </w:trPr>
        <w:tc>
          <w:tcPr>
            <w:tcW w:w="138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Total pro forma adjustment to Accounts receivable</w:t>
            </w:r>
          </w:p>
        </w:tc>
        <w:tc>
          <w:tcPr>
            <w:tcW w:w="74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(54,553)</w:t>
            </w:r>
          </w:p>
        </w:tc>
      </w:tr>
      <w:tr>
        <w:trPr>
          <w:trHeight w:val="406"/>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Other non-current assets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6"/>
        </w:trPr>
        <w:tc>
          <w:tcPr>
            <w:tcW w:w="13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As of</w:t>
            </w:r>
          </w:p>
        </w:tc>
      </w:tr>
      <w:tr>
        <w:trPr>
          <w:trHeight w:val="116"/>
        </w:trPr>
        <w:tc>
          <w:tcPr>
            <w:tcW w:w="13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420" w:type="dxa"/>
            <w:vAlign w:val="bottom"/>
            <w:gridSpan w:val="4"/>
          </w:tcPr>
          <w:p>
            <w:pPr>
              <w:jc w:val="center"/>
              <w:ind w:left="417"/>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35"/>
        </w:trPr>
        <w:tc>
          <w:tcPr>
            <w:tcW w:w="138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1380" w:type="dxa"/>
            <w:vAlign w:val="bottom"/>
          </w:tcPr>
          <w:p>
            <w:pPr>
              <w:spacing w:after="0"/>
              <w:rPr>
                <w:sz w:val="13"/>
                <w:szCs w:val="13"/>
                <w:color w:val="auto"/>
              </w:rPr>
            </w:pPr>
          </w:p>
        </w:tc>
        <w:tc>
          <w:tcPr>
            <w:tcW w:w="44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Settlement and elimination of related party Other non-current assets</w:t>
            </w:r>
          </w:p>
        </w:tc>
        <w:tc>
          <w:tcPr>
            <w:tcW w:w="6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ind w:left="160"/>
              <w:spacing w:after="0" w:line="159" w:lineRule="exact"/>
              <w:rPr>
                <w:sz w:val="20"/>
                <w:szCs w:val="20"/>
                <w:color w:val="auto"/>
              </w:rPr>
            </w:pPr>
            <w:r>
              <w:rPr>
                <w:rFonts w:ascii="Times New Roman" w:cs="Times New Roman" w:eastAsia="Times New Roman" w:hAnsi="Times New Roman"/>
                <w:sz w:val="14"/>
                <w:szCs w:val="14"/>
                <w:color w:val="auto"/>
                <w:w w:val="87"/>
              </w:rPr>
              <w:t>(69,444)</w:t>
            </w:r>
          </w:p>
        </w:tc>
        <w:tc>
          <w:tcPr>
            <w:tcW w:w="80" w:type="dxa"/>
            <w:vAlign w:val="bottom"/>
            <w:tcBorders>
              <w:top w:val="single" w:sz="8" w:color="CCEEFF"/>
            </w:tcBorders>
            <w:shd w:val="clear" w:color="auto" w:fill="CCEEFF"/>
          </w:tcPr>
          <w:p>
            <w:pPr>
              <w:spacing w:after="0"/>
              <w:rPr>
                <w:sz w:val="13"/>
                <w:szCs w:val="13"/>
                <w:color w:val="auto"/>
              </w:rPr>
            </w:pPr>
          </w:p>
        </w:tc>
      </w:tr>
      <w:tr>
        <w:trPr>
          <w:trHeight w:val="183"/>
        </w:trPr>
        <w:tc>
          <w:tcPr>
            <w:tcW w:w="138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Total pro forma adjustment to Other non-current assets</w:t>
            </w:r>
          </w:p>
        </w:tc>
        <w:tc>
          <w:tcPr>
            <w:tcW w:w="74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(69,444)</w:t>
            </w:r>
          </w:p>
        </w:tc>
      </w:tr>
      <w:tr>
        <w:trPr>
          <w:trHeight w:val="269"/>
        </w:trPr>
        <w:tc>
          <w:tcPr>
            <w:tcW w:w="5780" w:type="dxa"/>
            <w:vAlign w:val="bottom"/>
            <w:gridSpan w:val="2"/>
          </w:tcPr>
          <w:p>
            <w:pPr>
              <w:jc w:val="right"/>
              <w:ind w:right="1330"/>
              <w:spacing w:after="0"/>
              <w:rPr>
                <w:sz w:val="20"/>
                <w:szCs w:val="20"/>
                <w:color w:val="auto"/>
              </w:rPr>
            </w:pPr>
            <w:r>
              <w:rPr>
                <w:rFonts w:ascii="Times New Roman" w:cs="Times New Roman" w:eastAsia="Times New Roman" w:hAnsi="Times New Roman"/>
                <w:sz w:val="14"/>
                <w:szCs w:val="14"/>
                <w:color w:val="auto"/>
              </w:rPr>
              <w:t>204</w:t>
            </w: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Accounts payable</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As of</w:t>
            </w:r>
          </w:p>
        </w:tc>
      </w:tr>
      <w:tr>
        <w:trPr>
          <w:trHeight w:val="116"/>
        </w:trPr>
        <w:tc>
          <w:tcPr>
            <w:tcW w:w="13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60" w:type="dxa"/>
            <w:vAlign w:val="bottom"/>
            <w:gridSpan w:val="4"/>
          </w:tcPr>
          <w:p>
            <w:pPr>
              <w:jc w:val="center"/>
              <w:ind w:left="457"/>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35"/>
        </w:trPr>
        <w:tc>
          <w:tcPr>
            <w:tcW w:w="13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1380" w:type="dxa"/>
            <w:vAlign w:val="bottom"/>
          </w:tcPr>
          <w:p>
            <w:pPr>
              <w:spacing w:after="0"/>
              <w:rPr>
                <w:sz w:val="13"/>
                <w:szCs w:val="13"/>
                <w:color w:val="auto"/>
              </w:rPr>
            </w:pPr>
          </w:p>
        </w:tc>
        <w:tc>
          <w:tcPr>
            <w:tcW w:w="43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Settlement and elimination of related party Accounts payable</w:t>
            </w: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(2,756)</w:t>
            </w:r>
          </w:p>
        </w:tc>
        <w:tc>
          <w:tcPr>
            <w:tcW w:w="80" w:type="dxa"/>
            <w:vAlign w:val="bottom"/>
            <w:tcBorders>
              <w:top w:val="single" w:sz="8" w:color="CCEEFF"/>
            </w:tcBorders>
            <w:shd w:val="clear" w:color="auto" w:fill="CCEEFF"/>
          </w:tcPr>
          <w:p>
            <w:pPr>
              <w:spacing w:after="0"/>
              <w:rPr>
                <w:sz w:val="13"/>
                <w:szCs w:val="13"/>
                <w:color w:val="auto"/>
              </w:rPr>
            </w:pPr>
          </w:p>
        </w:tc>
      </w:tr>
      <w:tr>
        <w:trPr>
          <w:trHeight w:val="183"/>
        </w:trPr>
        <w:tc>
          <w:tcPr>
            <w:tcW w:w="138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Total pro forma adjustment to Accounts payable</w:t>
            </w:r>
          </w:p>
        </w:tc>
        <w:tc>
          <w:tcPr>
            <w:tcW w:w="7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(2,756)</w:t>
            </w:r>
          </w:p>
        </w:tc>
      </w:tr>
      <w:tr>
        <w:trPr>
          <w:trHeight w:val="406"/>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Other current liabilities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6"/>
        </w:trPr>
        <w:tc>
          <w:tcPr>
            <w:tcW w:w="1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As of</w:t>
            </w:r>
          </w:p>
        </w:tc>
      </w:tr>
      <w:tr>
        <w:trPr>
          <w:trHeight w:val="116"/>
        </w:trPr>
        <w:tc>
          <w:tcPr>
            <w:tcW w:w="13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460" w:type="dxa"/>
            <w:vAlign w:val="bottom"/>
            <w:gridSpan w:val="4"/>
          </w:tcPr>
          <w:p>
            <w:pPr>
              <w:jc w:val="center"/>
              <w:ind w:left="457"/>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35"/>
        </w:trPr>
        <w:tc>
          <w:tcPr>
            <w:tcW w:w="13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1380" w:type="dxa"/>
            <w:vAlign w:val="bottom"/>
          </w:tcPr>
          <w:p>
            <w:pPr>
              <w:spacing w:after="0"/>
              <w:rPr>
                <w:sz w:val="13"/>
                <w:szCs w:val="13"/>
                <w:color w:val="auto"/>
              </w:rPr>
            </w:pPr>
          </w:p>
        </w:tc>
        <w:tc>
          <w:tcPr>
            <w:tcW w:w="43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Settlement and elimination of related party Other current liabilities</w:t>
            </w:r>
          </w:p>
        </w:tc>
        <w:tc>
          <w:tcPr>
            <w:tcW w:w="6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(91,123)</w:t>
            </w:r>
          </w:p>
        </w:tc>
        <w:tc>
          <w:tcPr>
            <w:tcW w:w="80" w:type="dxa"/>
            <w:vAlign w:val="bottom"/>
            <w:tcBorders>
              <w:top w:val="single" w:sz="8" w:color="CCEEFF"/>
            </w:tcBorders>
            <w:shd w:val="clear" w:color="auto" w:fill="CCEEFF"/>
          </w:tcPr>
          <w:p>
            <w:pPr>
              <w:spacing w:after="0"/>
              <w:rPr>
                <w:sz w:val="13"/>
                <w:szCs w:val="13"/>
                <w:color w:val="auto"/>
              </w:rPr>
            </w:pPr>
          </w:p>
        </w:tc>
      </w:tr>
      <w:tr>
        <w:trPr>
          <w:trHeight w:val="183"/>
        </w:trPr>
        <w:tc>
          <w:tcPr>
            <w:tcW w:w="138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Total pro forma adjustment to Other current liabilities</w:t>
            </w:r>
          </w:p>
        </w:tc>
        <w:tc>
          <w:tcPr>
            <w:tcW w:w="7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(91,123)</w:t>
            </w:r>
          </w:p>
        </w:tc>
      </w:tr>
    </w:tbl>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Shareholders’ equity</w:t>
      </w:r>
    </w:p>
    <w:p>
      <w:pPr>
        <w:spacing w:after="0" w:line="93" w:lineRule="exact"/>
        <w:rPr>
          <w:sz w:val="20"/>
          <w:szCs w:val="20"/>
          <w:color w:val="auto"/>
        </w:rPr>
      </w:pPr>
    </w:p>
    <w:p>
      <w:pPr>
        <w:ind w:left="1360" w:right="239" w:firstLine="343"/>
        <w:spacing w:after="0" w:line="296" w:lineRule="auto"/>
        <w:rPr>
          <w:sz w:val="20"/>
          <w:szCs w:val="20"/>
          <w:color w:val="auto"/>
        </w:rPr>
      </w:pPr>
      <w:r>
        <w:rPr>
          <w:rFonts w:ascii="Times New Roman" w:cs="Times New Roman" w:eastAsia="Times New Roman" w:hAnsi="Times New Roman"/>
          <w:sz w:val="13"/>
          <w:szCs w:val="13"/>
          <w:color w:val="auto"/>
        </w:rPr>
        <w:t>Represents a pro forma adjustment to reduce Net parent investment to reflect the settlement and elimination of related party transactions with Modine of $63,941. This adjustment reflects the net effect of intercompany balance settlements and cash transfers to the Performance Technologies Business, which are economically similar to a distribution to the parent and are therefore presented as a reduction to accumulated earnings within equity.</w:t>
      </w:r>
    </w:p>
    <w:p>
      <w:pPr>
        <w:spacing w:after="0" w:line="2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Statements of Operations</w:t>
      </w:r>
    </w:p>
    <w:p>
      <w:pPr>
        <w:spacing w:after="0" w:line="93"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The following summarizes the pre-Merger pro forma adjustments to give effect to those transactions that would occur immediately prior to the Merger, for the purposes of the unaudited pro forma condensed combined statements of operations for three months ended March 31, 2026 and for the year ended December 31, 2025.</w:t>
      </w:r>
    </w:p>
    <w:p>
      <w:pPr>
        <w:spacing w:after="0" w:line="136"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c. Represents an adjustment of $2,927 for the three months ended March 31, 2026 and $12,027 for the year ended December 31, 2025 for incremental Interest expense related to the Permanent SpinCo Financing.</w:t>
      </w:r>
    </w:p>
    <w:p>
      <w:pPr>
        <w:spacing w:after="0" w:line="12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The interest rate on the Permanent SpinCo Financing reflects an assumed SOFR rate plus an assumed applicable margin. As of June 18, 2026, this rate was determined to be 3.62% plus an applicable margin of 1.25%. The applicable margin will be based on the leverage ratio of the Performance Technologies Business. A sensitivity analysis has been performed to consider the effect that a change of 0.125% to the interest rate would have on Interest expense. A 0.125% increase or decrease in interest rates would result in a change in Interest expense of approximately $75 for the three months ended March 31, 2026 and $309 for the year ended December 31, 2025.</w:t>
      </w:r>
    </w:p>
    <w:p>
      <w:pPr>
        <w:spacing w:after="0" w:line="14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d. Represents a reduction to income tax expense of $615 for the three months ended March 31, 2026 and $2,526 for the year ended December 31, 2025 to reflect the estimated tax impacts of the pro forma adjustments in Income tax expense in the unaudited pro forma condensed combined statements of operations. The adjustments were determined by using a statutory tax rate of 21% for both the three months ended March 31, 2026 and the year ended December 31, 2025. The total effective tax rate of the combined company could be significantly different depending on the geographical mix of income and other factors following the completion of the Transactions. Because the tax rate used for the unaudited pro forma condensed combined financial information is an estimate, it will likely vary from the actual rate in periods subsequent to the completion of the Transactions and those differences may be material.</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205</w:t>
      </w:r>
    </w:p>
    <w:p>
      <w:pPr>
        <w:sectPr>
          <w:pgSz w:w="11900" w:h="16838" w:orient="portrait"/>
          <w:cols w:equalWidth="0" w:num="1">
            <w:col w:w="10159"/>
          </w:cols>
          <w:pgMar w:left="300" w:top="386"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There is no adjustment related to the tax impact of undistributed earnings included in the unaudited pro forma condensed combined balance sheet as the final transaction structure and chain of ownership has not been determined. Therefore, an adjustment for the potential tax impact is not reasonable and supportable as of the date of this proxy statement/prospectus.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5 – Preliminary Purchase Consideration</w:t>
      </w:r>
    </w:p>
    <w:p>
      <w:pPr>
        <w:spacing w:after="0" w:line="93"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Pursuant to the Merger, absent adjustment of the Exchange Ratio as detailed in the Merger Agreement and described elsewhere in this proxy statement/prospectus, the Exchange Ratio is designed to result in the issued and outstanding shares of Gentherm Common Stock on a fully diluted basis, immediately following the Merger being owned approximately 40% by the former holders of SpinCo Common Stock immediately prior to the Merger (in their capacity as such) and approximately 60% by the Gentherm shareholders immediately prior to the Merger (in their capacity as such) without taking into account any overlapping shareholder ownership.</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represents the preliminary estimate of the purchase consideration to be paid in the Merger:</w:t>
      </w:r>
    </w:p>
    <w:p>
      <w:pPr>
        <w:spacing w:after="0" w:line="19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1"/>
          <w:szCs w:val="11"/>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1737995</wp:posOffset>
            </wp:positionH>
            <wp:positionV relativeFrom="paragraph">
              <wp:posOffset>5080</wp:posOffset>
            </wp:positionV>
            <wp:extent cx="3698240" cy="2133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98240" cy="213360"/>
                    </a:xfrm>
                    <a:prstGeom prst="rect">
                      <a:avLst/>
                    </a:prstGeom>
                    <a:noFill/>
                  </pic:spPr>
                </pic:pic>
              </a:graphicData>
            </a:graphic>
          </wp:anchor>
        </w:drawing>
      </w:r>
    </w:p>
    <w:p>
      <w:pPr>
        <w:ind w:left="2740"/>
        <w:spacing w:after="0"/>
        <w:rPr>
          <w:sz w:val="20"/>
          <w:szCs w:val="20"/>
          <w:color w:val="auto"/>
        </w:rPr>
      </w:pPr>
      <w:r>
        <w:rPr>
          <w:rFonts w:ascii="Times New Roman" w:cs="Times New Roman" w:eastAsia="Times New Roman" w:hAnsi="Times New Roman"/>
          <w:sz w:val="14"/>
          <w:szCs w:val="14"/>
          <w:color w:val="auto"/>
        </w:rPr>
        <w:t>Estimated number of fully diluted shares of Gentherm Common Stock</w:t>
      </w:r>
    </w:p>
    <w:tbl>
      <w:tblPr>
        <w:tblLayout w:type="fixed"/>
        <w:tblInd w:w="1360" w:type="dxa"/>
        <w:tblCellMar>
          <w:top w:w="0" w:type="dxa"/>
          <w:left w:w="0" w:type="dxa"/>
          <w:bottom w:w="0" w:type="dxa"/>
          <w:right w:w="0" w:type="dxa"/>
        </w:tblCellMar>
      </w:tblPr>
      <w:tr>
        <w:trPr>
          <w:trHeight w:val="159"/>
        </w:trPr>
        <w:tc>
          <w:tcPr>
            <w:tcW w:w="1380" w:type="dxa"/>
            <w:vAlign w:val="bottom"/>
          </w:tcPr>
          <w:p>
            <w:pPr>
              <w:spacing w:after="0"/>
              <w:rPr>
                <w:sz w:val="13"/>
                <w:szCs w:val="13"/>
                <w:color w:val="auto"/>
              </w:rPr>
            </w:pPr>
          </w:p>
        </w:tc>
        <w:tc>
          <w:tcPr>
            <w:tcW w:w="494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immediately prior to the Merger (a)</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30,998,122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32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Estimated number of shares of Gentherm Common Stock to be issued to</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SpinCo stockholders as a result of the Merger (b)</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20,665,617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Gentherm Common Stock price (c)</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2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Estimated fair value of Gentherm Common Stock to be issued</w:t>
            </w:r>
          </w:p>
        </w:tc>
        <w:tc>
          <w:tcPr>
            <w:tcW w:w="1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742,515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49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Estimated fair value of share-based compensation awards to be issued to</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SpinCo Transferred Employees related to pre-combination services (d)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Estimated preliminary purchase consideration</w:t>
            </w:r>
          </w:p>
        </w:tc>
        <w:tc>
          <w:tcPr>
            <w:tcW w:w="140" w:type="dxa"/>
            <w:vAlign w:val="bottom"/>
          </w:tcPr>
          <w:p>
            <w:pPr>
              <w:spacing w:after="0"/>
              <w:rPr>
                <w:sz w:val="15"/>
                <w:szCs w:val="15"/>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745,865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6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Estimated number of fully diluted shares of Gentherm Common Stock:</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82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380" w:type="dxa"/>
            <w:vAlign w:val="bottom"/>
            <w:vMerge w:val="continue"/>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shares of Gentherm Common Stock issued and outstanding</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30,666,983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49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Number of shares of Gentherm Common Stock issuable upon conversion of</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5"/>
                <w:szCs w:val="15"/>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Gentherm equity awards</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331,139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30,998,122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b. The number of shares of Gentherm Common Stock to be issued in the Merger will be calculated such that, immediately following the Effective Time, former holders of SpinCo Common Stock immediately prior to the Merger (in their capacity as such) will own approximately 40% of the issued and outstanding shares of Gentherm Common Stock on a fully diluted basis, and holders of Gentherm Common Stock immediately prior to the Merger (in their capacity as such) outstanding immediately prior to the Effective Time will own approximately 60% of such shares, without taking into account any overlapping shareholder ownership.</w:t>
      </w:r>
    </w:p>
    <w:p>
      <w:pPr>
        <w:spacing w:after="0" w:line="14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c. Represents the closing price per share of Gentherm Common Stock as reported by Nasdaq on June 18, 2026. The actual value of Gentherm Common Stock to be issued in the Merger will depend on the market price of shares of Gentherm Common Stock on the Closing Date. Therefore, the actual purchase consideration will fluctuate until the Merger is consummated. The final purchase consideration may differ significantly from the consideration assumed for purposes of preparing the unaudited pro forma condensed combined financial information.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206</w:t>
      </w:r>
    </w:p>
    <w:p>
      <w:pPr>
        <w:sectPr>
          <w:pgSz w:w="11900" w:h="16838" w:orient="portrait"/>
          <w:cols w:equalWidth="0" w:num="1">
            <w:col w:w="10159"/>
          </w:cols>
          <w:pgMar w:left="300" w:top="386"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d. Estimated consideration for replacement of SpinCo’s outstanding equity awards. All outstanding Modine Option Awards (whether vested or unvested) held by a SpinCo Transferred Employee as of immediately prior to the Distribution Time, will be converted, as of the Effective Time, into Gentherm stock-based compensation awards as set forth in the Employee Matters Agreement. In addition, all Modine RSU Awards and Modine PS Awards held by a SpinCo Transferred Employee as of immediately prior to the Distribution Time will be converted, as of the Effective Time, into Gentherm RSU Awards as set forth in the Employee Matters Agreement. A portion of the fair value of equity awards held by SpinCo Transferred Employees and replaced as a result of the Merger (the “Performance Technologies Business Awards”) represents consideration transferred because it relates to services rendered by such SpinCo Transferred Employees to Modine prior to the Merger. This amount is calculated based on the ratio of the pre-combination service period (from the grant date until assumed the Closing Date) to the longer of the original total service period or the modified service period, if any, multiplied by the fair value of the Modine Awards (the number of Modine Awards multiplied by the Modine Common Stock share price on the Closing Date). The compensation expense related to services provided post-Merger is discussed in item 6(p) below.</w:t>
      </w:r>
    </w:p>
    <w:p>
      <w:pPr>
        <w:spacing w:after="0" w:line="146"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table below depicts a sensitivity analysis of the estimated purchase consideration and Goodwill, assuming a 10% increase or decrease of the Gentherm Common Stock closing price used to determine the total estimated purchase consideration. This 10% is not indicative of Gentherm’s expectation for future stock price performance. For purposes of this calculation, the total number of shares of Gentherm Common Stock to be issued to holders of SpinCo Common Stock has been assumed to be the same as in the table above.</w:t>
      </w:r>
    </w:p>
    <w:p>
      <w:pPr>
        <w:spacing w:after="0" w:line="146"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Gentherm Common</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Estimated preliminary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0" w:type="dxa"/>
            <w:vAlign w:val="bottom"/>
          </w:tcPr>
          <w:p>
            <w:pPr>
              <w:spacing w:after="0"/>
              <w:rPr>
                <w:sz w:val="1"/>
                <w:szCs w:val="1"/>
                <w:color w:val="auto"/>
              </w:rPr>
            </w:pPr>
          </w:p>
        </w:tc>
      </w:tr>
      <w:tr>
        <w:trPr>
          <w:trHeight w:val="116"/>
        </w:trPr>
        <w:tc>
          <w:tcPr>
            <w:tcW w:w="3040" w:type="dxa"/>
            <w:vAlign w:val="bottom"/>
          </w:tcPr>
          <w:p>
            <w:pPr>
              <w:spacing w:after="0"/>
              <w:rPr>
                <w:sz w:val="10"/>
                <w:szCs w:val="10"/>
                <w:color w:val="auto"/>
              </w:rPr>
            </w:pPr>
          </w:p>
        </w:tc>
        <w:tc>
          <w:tcPr>
            <w:tcW w:w="166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Stock Closing price</w:t>
            </w:r>
          </w:p>
        </w:tc>
        <w:tc>
          <w:tcPr>
            <w:tcW w:w="146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purchase consideration</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right"/>
              <w:ind w:right="9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6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6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0" w:type="dxa"/>
            <w:vAlign w:val="bottom"/>
          </w:tcPr>
          <w:p>
            <w:pPr>
              <w:spacing w:after="0"/>
              <w:rPr>
                <w:sz w:val="1"/>
                <w:szCs w:val="1"/>
                <w:color w:val="auto"/>
              </w:rPr>
            </w:pPr>
          </w:p>
        </w:tc>
      </w:tr>
      <w:tr>
        <w:trPr>
          <w:trHeight w:val="133"/>
        </w:trPr>
        <w:tc>
          <w:tcPr>
            <w:tcW w:w="304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As presented in the unaudited pro forma</w:t>
            </w: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condensed combined financial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information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35.93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745,865</w:t>
            </w:r>
          </w:p>
        </w:tc>
        <w:tc>
          <w:tcPr>
            <w:tcW w:w="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256,950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 10% increase in Gentherm Common</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price</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39.52</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820,117</w:t>
            </w:r>
          </w:p>
        </w:tc>
        <w:tc>
          <w:tcPr>
            <w:tcW w:w="4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0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 10% decrease in Gentherm Common</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price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32.34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671,614</w:t>
            </w:r>
          </w:p>
        </w:tc>
        <w:tc>
          <w:tcPr>
            <w:tcW w:w="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Preliminary purchase price allocation</w:t>
      </w:r>
    </w:p>
    <w:p>
      <w:pPr>
        <w:spacing w:after="0" w:line="93"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The table below summarizes the preliminary allocation of purchase price to the assets acquired and liabilities assumed, as if the Merger had been completed on March 31, 2026. The allocation has not been finalized. The final determination of these estimated fair values, the assets’ useful lives and the amortization methods are dependent upon certain valuations and other analyses that have not yet been completed, and as previously stated could differ materially from the amounts presented in the unaudited pro forma condensed combined financial information. The final determination will be completed as soon as practicable but no later than one year after the consummation of the Merger.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207</w:t>
      </w:r>
    </w:p>
    <w:p>
      <w:pPr>
        <w:sectPr>
          <w:pgSz w:w="11900" w:h="16838" w:orient="portrait"/>
          <w:cols w:equalWidth="0" w:num="1">
            <w:col w:w="10159"/>
          </w:cols>
          <w:pgMar w:left="300" w:top="386"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preliminary purchase price allocation is presented below:</w:t>
      </w:r>
    </w:p>
    <w:p>
      <w:pPr>
        <w:spacing w:after="0" w:line="181"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As of</w:t>
            </w:r>
          </w:p>
        </w:tc>
      </w:tr>
      <w:tr>
        <w:trPr>
          <w:trHeight w:val="11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March 31,</w:t>
            </w:r>
          </w:p>
        </w:tc>
      </w:tr>
      <w:tr>
        <w:trPr>
          <w:trHeight w:val="11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2"/>
              <w:spacing w:after="0" w:line="116"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4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600" w:type="dxa"/>
            <w:vAlign w:val="bottom"/>
            <w:gridSpan w:val="4"/>
          </w:tcPr>
          <w:p>
            <w:pPr>
              <w:jc w:val="center"/>
              <w:ind w:left="797"/>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20" w:type="dxa"/>
            <w:vAlign w:val="bottom"/>
          </w:tcPr>
          <w:p>
            <w:pPr>
              <w:spacing w:after="0"/>
              <w:rPr>
                <w:sz w:val="13"/>
                <w:szCs w:val="13"/>
                <w:color w:val="auto"/>
              </w:rPr>
            </w:pPr>
          </w:p>
        </w:tc>
        <w:tc>
          <w:tcPr>
            <w:tcW w:w="42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Estimated preliminary purchase consideration</w:t>
            </w:r>
          </w:p>
        </w:tc>
        <w:tc>
          <w:tcPr>
            <w:tcW w:w="9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745,865</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Assets acquired: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33,097</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238,357</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Inventory, net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20,067</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281,510</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263,000</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17,762</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23,419</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assets</w:t>
            </w:r>
          </w:p>
        </w:tc>
        <w:tc>
          <w:tcPr>
            <w:tcW w:w="9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preliminary fair value of assets acquired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1,056,120</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Liabilities assumed:</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 net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156,530</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43,638</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Long-term debt, less current maturities (i)</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250,396</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Pension benefit obligation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6,647</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83,720</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preliminary fair value of liabilities assumed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558,904</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Noncontrolling interest of acquired net assets</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8,301</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Preliminary fair value of net assets acquired</w:t>
            </w: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488,915</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256,950</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(i) Includes the assumption of $250,000 Long-term debt incurred by SpinCo to fund the SpinCo Cash Distribution prior to the completion of the Merger.</w:t>
      </w:r>
    </w:p>
    <w:p>
      <w:pPr>
        <w:spacing w:after="0" w:line="17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Any increase or decrease in the fair value of the net assets acquired, as compared to the information shown herein, could also change the portion of the purchase consideration allocable to Goodwill and could impact the operating results of the combined company following the Transactions due to differences in the allocation of the purchase consideration, and changes in the depreciation and amortization related to some of these assets and liabilities.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208</w:t>
      </w:r>
    </w:p>
    <w:p>
      <w:pPr>
        <w:sectPr>
          <w:pgSz w:w="11900" w:h="16838" w:orient="portrait"/>
          <w:cols w:equalWidth="0" w:num="1">
            <w:col w:w="10159"/>
          </w:cols>
          <w:pgMar w:left="300" w:top="386"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6 – Transaction Accounting Adjustments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Balance Sheet</w:t>
      </w:r>
    </w:p>
    <w:p>
      <w:pPr>
        <w:spacing w:after="0" w:line="93"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 following summarizes the transaction accounting adjustments to give effect to the Transactions and the related incurrence of indebtedness as if the Merger had been completed on March 31, 2026 for the purposes of the unaudited pro forma condensed combined balance sheet.</w:t>
      </w:r>
    </w:p>
    <w:p>
      <w:pPr>
        <w:spacing w:after="0" w:line="51" w:lineRule="exact"/>
        <w:rPr>
          <w:sz w:val="20"/>
          <w:szCs w:val="20"/>
          <w:color w:val="auto"/>
        </w:rPr>
      </w:pPr>
    </w:p>
    <w:p>
      <w:pPr>
        <w:ind w:left="2120" w:right="559" w:hanging="429"/>
        <w:spacing w:after="0" w:line="261" w:lineRule="auto"/>
        <w:tabs>
          <w:tab w:leader="none" w:pos="212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of $10,587 to Inventory, net to reflect the estimated step-up in fair value of the Performance Technologies Business’s inventory acquired, valued using a cost-based approach. The step-ups in fair value of Raw materials, Work in process, and Finished goods are $0, $6,397, and $4,190, respectively. The calculated value is preliminary and subject to change and could vary materially from the final purchase price allocation.</w:t>
      </w:r>
    </w:p>
    <w:p>
      <w:pPr>
        <w:spacing w:after="0" w:line="146"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gridSpan w:val="4"/>
          </w:tcPr>
          <w:p>
            <w:pPr>
              <w:jc w:val="center"/>
              <w:ind w:left="1237"/>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Finished goods</w:t>
            </w:r>
          </w:p>
        </w:tc>
        <w:tc>
          <w:tcPr>
            <w:tcW w:w="14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24,000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Work in process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Less: Historical Finished goods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(19,810)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Historical Work in process</w:t>
            </w: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(33,603)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Less: Historical Raw materials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(111,000)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Pro forma adjustment to Inventory, net</w:t>
            </w:r>
          </w:p>
        </w:tc>
        <w:tc>
          <w:tcPr>
            <w:tcW w:w="15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120" w:right="339" w:hanging="429"/>
        <w:spacing w:after="0" w:line="254" w:lineRule="auto"/>
        <w:tabs>
          <w:tab w:leader="none" w:pos="21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combined adjustment of $94,263 to Property and equipment, net to reflect fair value step ups and Finance lease right-of-use asset remeasurement. An adjustment of $91,384 to Property and equipment, net reflects the estimated step-up in fair value of those Performance Technologies Business assets acquired. The Land, Building and Site Improvements; Personal Property; and Construction in Progress asset classes each have step-ups in fair value of $15,454, $76,042, and ($112), respectively. Removal of historical Property and equipment, net is inclusive of balances of finance lease right-of-use assets of $4,631. An adjustment to increase Property and equipment, net to reflect Finance lease right-of-use assets of $7,510 was made for the remeasurement of the Performance Technologies Business’s leases based on Gentherm’s estimated incremental borrowing rate as of the date of the Transactions. The fair value estimate was determined based on the cost and market approaches. The calculated value is preliminary and subject to change and could vary materially from the final valuation.</w:t>
      </w:r>
    </w:p>
    <w:p>
      <w:pPr>
        <w:spacing w:after="0" w:line="154"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780" w:type="dxa"/>
            <w:vAlign w:val="bottom"/>
            <w:gridSpan w:val="4"/>
          </w:tcPr>
          <w:p>
            <w:pPr>
              <w:jc w:val="center"/>
              <w:ind w:left="777"/>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Land, Building and Site Improvements</w:t>
            </w:r>
          </w:p>
        </w:tc>
        <w:tc>
          <w:tcPr>
            <w:tcW w:w="9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71,000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Personal Property</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right-of-use asset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Historical Land, Building and Site Improvements</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(55,546)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Less: Historical Personal Property</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(103,958)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Historical Construction in progress</w:t>
            </w: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(23,112)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Less: Historical Finance lease right-of-use asset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Pro forma adjustment to Property and equipment, net</w:t>
            </w:r>
          </w:p>
        </w:tc>
        <w:tc>
          <w:tcPr>
            <w:tcW w:w="11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4040" w:type="dxa"/>
            <w:vAlign w:val="bottom"/>
            <w:gridSpan w:val="2"/>
          </w:tcPr>
          <w:p>
            <w:pPr>
              <w:jc w:val="right"/>
              <w:ind w:right="970"/>
              <w:spacing w:after="0"/>
              <w:rPr>
                <w:sz w:val="20"/>
                <w:szCs w:val="20"/>
                <w:color w:val="auto"/>
              </w:rPr>
            </w:pPr>
            <w:r>
              <w:rPr>
                <w:rFonts w:ascii="Times New Roman" w:cs="Times New Roman" w:eastAsia="Times New Roman" w:hAnsi="Times New Roman"/>
                <w:sz w:val="14"/>
                <w:szCs w:val="14"/>
                <w:color w:val="auto"/>
              </w:rPr>
              <w:t>209</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429"/>
        <w:spacing w:after="0" w:line="283" w:lineRule="auto"/>
        <w:tabs>
          <w:tab w:leader="none" w:pos="2120"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Goodwill to reflect the resulting Goodwill that would have been recorded if the Merger occurred on March 31, 2026.</w:t>
      </w:r>
    </w:p>
    <w:p>
      <w:pPr>
        <w:spacing w:after="0" w:line="131"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As of</w:t>
            </w:r>
          </w:p>
        </w:tc>
      </w:tr>
      <w:tr>
        <w:trPr>
          <w:trHeight w:val="116"/>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380" w:type="dxa"/>
            <w:vAlign w:val="bottom"/>
            <w:gridSpan w:val="4"/>
          </w:tcPr>
          <w:p>
            <w:pPr>
              <w:jc w:val="right"/>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35"/>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20" w:type="dxa"/>
            <w:vAlign w:val="bottom"/>
          </w:tcPr>
          <w:p>
            <w:pPr>
              <w:spacing w:after="0"/>
              <w:rPr>
                <w:sz w:val="13"/>
                <w:szCs w:val="13"/>
                <w:color w:val="auto"/>
              </w:rPr>
            </w:pPr>
          </w:p>
        </w:tc>
        <w:tc>
          <w:tcPr>
            <w:tcW w:w="44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Goodwill resulting from the Merger</w:t>
            </w:r>
          </w:p>
        </w:tc>
        <w:tc>
          <w:tcPr>
            <w:tcW w:w="6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256,950</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Less: Historical Goodwill of the Performance Technologies Business</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 forma adjustment to Goodwill</w:t>
            </w:r>
          </w:p>
        </w:tc>
        <w:tc>
          <w:tcPr>
            <w:tcW w:w="7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256,950</w:t>
            </w:r>
          </w:p>
        </w:tc>
        <w:tc>
          <w:tcPr>
            <w:tcW w:w="40" w:type="dxa"/>
            <w:vAlign w:val="bottom"/>
            <w:shd w:val="clear" w:color="auto" w:fill="CCEEFF"/>
          </w:tcPr>
          <w:p>
            <w:pPr>
              <w:spacing w:after="0"/>
              <w:rPr>
                <w:sz w:val="14"/>
                <w:szCs w:val="14"/>
                <w:color w:val="auto"/>
              </w:rPr>
            </w:pPr>
          </w:p>
        </w:tc>
      </w:tr>
    </w:tbl>
    <w:p>
      <w:pPr>
        <w:spacing w:after="0" w:line="175" w:lineRule="exact"/>
        <w:rPr>
          <w:sz w:val="20"/>
          <w:szCs w:val="20"/>
          <w:color w:val="auto"/>
        </w:rPr>
      </w:pPr>
    </w:p>
    <w:p>
      <w:pPr>
        <w:ind w:left="2120" w:right="699" w:hanging="429"/>
        <w:spacing w:after="0" w:line="283" w:lineRule="auto"/>
        <w:tabs>
          <w:tab w:leader="none" w:pos="21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of $263,000 to Other intangible assets, net to reflect the estimated fair value of intangible assets acquired consisting of the following:</w:t>
      </w:r>
    </w:p>
    <w:p>
      <w:pPr>
        <w:spacing w:after="0" w:line="131"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As of</w:t>
            </w:r>
          </w:p>
        </w:tc>
      </w:tr>
      <w:tr>
        <w:trPr>
          <w:trHeight w:val="116"/>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840" w:type="dxa"/>
            <w:vAlign w:val="bottom"/>
            <w:gridSpan w:val="4"/>
          </w:tcPr>
          <w:p>
            <w:pPr>
              <w:jc w:val="center"/>
              <w:ind w:left="957"/>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r>
      <w:tr>
        <w:trPr>
          <w:trHeight w:val="135"/>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20" w:type="dxa"/>
            <w:vAlign w:val="bottom"/>
          </w:tcPr>
          <w:p>
            <w:pPr>
              <w:spacing w:after="0"/>
              <w:rPr>
                <w:sz w:val="13"/>
                <w:szCs w:val="13"/>
                <w:color w:val="auto"/>
              </w:rPr>
            </w:pPr>
          </w:p>
        </w:tc>
        <w:tc>
          <w:tcPr>
            <w:tcW w:w="3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Trade Names</w:t>
            </w: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34,000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69,000</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Less: Historical Other intangible assets, net</w:t>
            </w: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Pro forma adjustment to Other intangible assets, net</w:t>
            </w:r>
          </w:p>
        </w:tc>
        <w:tc>
          <w:tcPr>
            <w:tcW w:w="1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263,000</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fair value estimates for identifiable intangible assets are preliminary and are based upon assumptions that market participants would use in pricing an asset. The fair values of the trade name portfolio, developed technology, and customer relationships are valued based on earning and royalty-based methodologies, which incorporate assumptions and methods suitable for estimating the future economic benefits of these assets. The calculated value is preliminary and subject to change and could vary materially from the final valuations.</w:t>
      </w:r>
    </w:p>
    <w:p>
      <w:pPr>
        <w:spacing w:after="0" w:line="141"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A 10% change in the valuation of intangible assets would cause a corresponding increase or decrease in the balance of Goodwill and Long-term income tax liabilities by $20,777 and $5,523, respectively, as of March 31, 2026.</w:t>
      </w:r>
    </w:p>
    <w:p>
      <w:pPr>
        <w:spacing w:after="0" w:line="51" w:lineRule="exact"/>
        <w:rPr>
          <w:sz w:val="20"/>
          <w:szCs w:val="20"/>
          <w:color w:val="auto"/>
        </w:rPr>
      </w:pPr>
    </w:p>
    <w:p>
      <w:pPr>
        <w:ind w:left="2120" w:right="259" w:hanging="429"/>
        <w:spacing w:after="0" w:line="261" w:lineRule="auto"/>
        <w:tabs>
          <w:tab w:leader="none" w:pos="21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decrease Operating lease right-of-use assets by $3,591 to reflect the remeasurement of the Performance Technologies Business’s leases based on Gentherm’s estimated incremental borrowing rate as of the date of the Transactions. Historical Operating lease right-of-use assets of $21,353 were removed and new Operating lease right-of-use assets of $17,762 were recognized as of the acquisition date based on updated lease measurements.</w:t>
      </w:r>
    </w:p>
    <w:p>
      <w:pPr>
        <w:spacing w:after="0" w:line="67" w:lineRule="exact"/>
        <w:rPr>
          <w:rFonts w:ascii="Times New Roman" w:cs="Times New Roman" w:eastAsia="Times New Roman" w:hAnsi="Times New Roman"/>
          <w:sz w:val="14"/>
          <w:szCs w:val="14"/>
          <w:color w:val="auto"/>
        </w:rPr>
      </w:pPr>
    </w:p>
    <w:p>
      <w:pPr>
        <w:ind w:left="2120" w:right="239" w:hanging="429"/>
        <w:spacing w:after="0" w:line="258" w:lineRule="auto"/>
        <w:tabs>
          <w:tab w:leader="none" w:pos="21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decrease Current lease liabilities and Non-current lease liabilities of $807 and $1,358, respectively to reflect the remeasurement of the Performance Technologies Business’s leases based on Gentherm’s estimated incremental borrowing rate as of the date of the Transactions. Historical Current lease liabilities and Non-current lease liabilities of $6,174 and $13,753 were removed and Current lease liabilities and Non-current lease liabilities balances of $5,367 and $12,395 were recognized as of the acquisition date based on updated lease measurements.</w:t>
      </w:r>
    </w:p>
    <w:p>
      <w:pPr>
        <w:spacing w:after="0" w:line="70" w:lineRule="exact"/>
        <w:rPr>
          <w:rFonts w:ascii="Times New Roman" w:cs="Times New Roman" w:eastAsia="Times New Roman" w:hAnsi="Times New Roman"/>
          <w:sz w:val="14"/>
          <w:szCs w:val="14"/>
          <w:color w:val="auto"/>
        </w:rPr>
      </w:pPr>
    </w:p>
    <w:p>
      <w:pPr>
        <w:ind w:left="2120" w:right="279" w:hanging="429"/>
        <w:spacing w:after="0" w:line="283" w:lineRule="auto"/>
        <w:tabs>
          <w:tab w:leader="none" w:pos="212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adjustment to decrease Current maturities of long-term debt of $303 to reflect the remeasurement of the Performance Technologies Business’s current portion of finance leases based on Gentherm’s estimated incremental borrowing rate as of the date of the Transactions. Historical Current maturities of long-term debt of $514 were removed and new balances of $211 were recognized as of the acquisition date based on updated lease measurements. In addition, historical Long-term debt, less current maturities of $1,718 was eliminated and a remeasured non-current balance of $7,299 was recognized as of the acquisition date, resulting in a net increase of $5,581.</w:t>
      </w:r>
    </w:p>
    <w:p>
      <w:pPr>
        <w:spacing w:after="0" w:line="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210</w:t>
      </w:r>
    </w:p>
    <w:p>
      <w:pPr>
        <w:sectPr>
          <w:pgSz w:w="11900" w:h="16838" w:orient="portrait"/>
          <w:cols w:equalWidth="0" w:num="1">
            <w:col w:w="10159"/>
          </w:cols>
          <w:pgMar w:left="300" w:top="386"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99" w:hanging="429"/>
        <w:spacing w:after="0" w:line="261" w:lineRule="auto"/>
        <w:tabs>
          <w:tab w:leader="none" w:pos="21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increase Other current liabilities of $14,000 to reflect the success-based advisory fees payable to third-party advisors in connection with the execution of the transaction. These costs do not represent amounts transferred to the seller in exchange for control of the acquired business and therefore are considered acquisition-related costs. These costs are expensed as incurred in the period the corresponding services are received.</w:t>
      </w:r>
    </w:p>
    <w:p>
      <w:pPr>
        <w:spacing w:after="0" w:line="67" w:lineRule="exact"/>
        <w:rPr>
          <w:rFonts w:ascii="Times New Roman" w:cs="Times New Roman" w:eastAsia="Times New Roman" w:hAnsi="Times New Roman"/>
          <w:sz w:val="14"/>
          <w:szCs w:val="14"/>
          <w:color w:val="auto"/>
        </w:rPr>
      </w:pPr>
    </w:p>
    <w:p>
      <w:pPr>
        <w:ind w:left="2120" w:right="279" w:hanging="429"/>
        <w:spacing w:after="0" w:line="256" w:lineRule="auto"/>
        <w:tabs>
          <w:tab w:leader="none" w:pos="21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increase Other non-current liabilities and Deferred income tax assets of $77,248 and $754, respectively, for the estimated tax impacts of the pro forma adjustments to Deferred income taxes as a result of purchase accounting, in the unaudited pro forma condensed combined balance sheet as of March 31, 2026 by using a blended statutory tax rate of 21%. The total effective tax rate of the combined company could be significantly different than the blended statutory tax rate applied depending on the geographical mix of income and other factors following the completion of the Transactions. Because the tax rate used for this unaudited pro forma condensed combined financial information is an estimate, it will likely vary from the actual rate in periods subsequent to the completion of the business combination and those differences may be material.</w:t>
      </w:r>
    </w:p>
    <w:p>
      <w:pPr>
        <w:spacing w:after="0" w:line="69" w:lineRule="exact"/>
        <w:rPr>
          <w:rFonts w:ascii="Times New Roman" w:cs="Times New Roman" w:eastAsia="Times New Roman" w:hAnsi="Times New Roman"/>
          <w:sz w:val="14"/>
          <w:szCs w:val="14"/>
          <w:color w:val="auto"/>
        </w:rPr>
      </w:pPr>
    </w:p>
    <w:p>
      <w:pPr>
        <w:ind w:left="2120" w:hanging="429"/>
        <w:spacing w:after="0"/>
        <w:tabs>
          <w:tab w:leader="none" w:pos="21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Total shareholders’ equity as of March 31, 2026 consisting of the following:</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7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40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other</w:t>
            </w:r>
          </w:p>
        </w:tc>
        <w:tc>
          <w:tcPr>
            <w:tcW w:w="0" w:type="dxa"/>
            <w:vAlign w:val="bottom"/>
          </w:tcPr>
          <w:p>
            <w:pPr>
              <w:spacing w:after="0"/>
              <w:rPr>
                <w:sz w:val="1"/>
                <w:szCs w:val="1"/>
                <w:color w:val="auto"/>
              </w:rPr>
            </w:pPr>
          </w:p>
        </w:tc>
      </w:tr>
      <w:tr>
        <w:trPr>
          <w:trHeight w:val="116"/>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78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1000" w:type="dxa"/>
            <w:vAlign w:val="bottom"/>
            <w:gridSpan w:val="4"/>
          </w:tcPr>
          <w:p>
            <w:pPr>
              <w:jc w:val="right"/>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0" w:type="dxa"/>
            <w:vAlign w:val="bottom"/>
          </w:tcPr>
          <w:p>
            <w:pPr>
              <w:spacing w:after="0"/>
              <w:rPr>
                <w:sz w:val="1"/>
                <w:szCs w:val="1"/>
                <w:color w:val="auto"/>
              </w:rPr>
            </w:pPr>
          </w:p>
        </w:tc>
      </w:tr>
      <w:tr>
        <w:trPr>
          <w:trHeight w:val="124"/>
        </w:trPr>
        <w:tc>
          <w:tcPr>
            <w:tcW w:w="37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34"/>
              <w:spacing w:after="0" w:line="124" w:lineRule="exact"/>
              <w:rPr>
                <w:sz w:val="20"/>
                <w:szCs w:val="20"/>
                <w:color w:val="auto"/>
              </w:rPr>
            </w:pPr>
            <w:r>
              <w:rPr>
                <w:rFonts w:ascii="Times New Roman" w:cs="Times New Roman" w:eastAsia="Times New Roman" w:hAnsi="Times New Roman"/>
                <w:sz w:val="11"/>
                <w:szCs w:val="11"/>
                <w:b w:val="1"/>
                <w:bCs w:val="1"/>
                <w:color w:val="auto"/>
              </w:rPr>
              <w:t>capital</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Elimination of total historical equity of SpinCo</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(278,270)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shares of Gentherm Common Stock</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— </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742,515</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Replacement of share-based compensation awards related to</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pre-combination services</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95"/>
              </w:rPr>
              <w:t>— </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Payment of transaction fees and expenses (1)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— </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 forma adjustment to Total shareholders’ equity</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745,865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(292,270)</w:t>
            </w:r>
          </w:p>
        </w:tc>
        <w:tc>
          <w:tcPr>
            <w:tcW w:w="3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74,007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360"/>
        <w:spacing w:after="0"/>
        <w:tabs>
          <w:tab w:leader="none" w:pos="1680" w:val="left"/>
        </w:tabs>
        <w:rPr>
          <w:sz w:val="20"/>
          <w:szCs w:val="20"/>
          <w:color w:val="auto"/>
        </w:rPr>
      </w:pPr>
      <w:r>
        <w:rPr>
          <w:rFonts w:ascii="Times New Roman" w:cs="Times New Roman" w:eastAsia="Times New Roman" w:hAnsi="Times New Roman"/>
          <w:sz w:val="14"/>
          <w:szCs w:val="14"/>
          <w:color w:val="auto"/>
        </w:rPr>
        <w:t>(1)</w:t>
        <w:tab/>
        <w:t>Refer to item 6(h) for supporting details.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Statements of Operations</w:t>
      </w:r>
    </w:p>
    <w:p>
      <w:pPr>
        <w:spacing w:after="0" w:line="104" w:lineRule="exact"/>
        <w:rPr>
          <w:sz w:val="20"/>
          <w:szCs w:val="20"/>
          <w:color w:val="auto"/>
        </w:rPr>
      </w:pPr>
    </w:p>
    <w:p>
      <w:pPr>
        <w:jc w:val="both"/>
        <w:ind w:left="2120" w:right="339" w:hanging="429"/>
        <w:spacing w:after="0" w:line="267" w:lineRule="auto"/>
        <w:tabs>
          <w:tab w:leader="none" w:pos="21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Cost of sales from the run-off of the estimated step-up in fair value of inventory acquired. As all inventory is expected to be sold within a year following the Merger, no adjustment is needed for the three months ended March 31, 2026, and $10,587 is reflected as an adjustment for the year ended December 31, 2025.</w:t>
      </w:r>
    </w:p>
    <w:p>
      <w:pPr>
        <w:spacing w:after="0" w:line="61" w:lineRule="exact"/>
        <w:rPr>
          <w:rFonts w:ascii="Times New Roman" w:cs="Times New Roman" w:eastAsia="Times New Roman" w:hAnsi="Times New Roman"/>
          <w:sz w:val="14"/>
          <w:szCs w:val="14"/>
          <w:color w:val="auto"/>
        </w:rPr>
      </w:pPr>
    </w:p>
    <w:p>
      <w:pPr>
        <w:ind w:left="2120" w:right="279" w:hanging="429"/>
        <w:spacing w:after="0" w:line="267" w:lineRule="auto"/>
        <w:tabs>
          <w:tab w:leader="none" w:pos="21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Selling, general and administrative expenses of $14,000 for the year ended December 31, 2025 resulting from estimated transaction-related costs that are not currently reflected in the historical consolidated financial information of Gentherm, which consist of professional, legal, and other acquisition-related fees.</w:t>
      </w:r>
    </w:p>
    <w:p>
      <w:pPr>
        <w:spacing w:after="0" w:line="61" w:lineRule="exact"/>
        <w:rPr>
          <w:rFonts w:ascii="Times New Roman" w:cs="Times New Roman" w:eastAsia="Times New Roman" w:hAnsi="Times New Roman"/>
          <w:sz w:val="14"/>
          <w:szCs w:val="14"/>
          <w:color w:val="auto"/>
        </w:rPr>
      </w:pPr>
    </w:p>
    <w:p>
      <w:pPr>
        <w:jc w:val="both"/>
        <w:ind w:left="2120" w:right="339" w:hanging="429"/>
        <w:spacing w:after="0" w:line="267" w:lineRule="auto"/>
        <w:tabs>
          <w:tab w:leader="none" w:pos="21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for the incremental depreciation expense of $3,096 for the three months ended March 31, 2026 and $12,279 for the year ended December 31, 2025 relating to the estimated step-up in fair value of Property and equipment, net. Depreciation expense is based on a straight-line methodology over the estimated useful lives noted below. Given that depreciation is reflected in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211</w:t>
      </w:r>
    </w:p>
    <w:p>
      <w:pPr>
        <w:sectPr>
          <w:pgSz w:w="11900" w:h="16838" w:orient="portrait"/>
          <w:cols w:equalWidth="0" w:num="1">
            <w:col w:w="10159"/>
          </w:cols>
          <w:pgMar w:left="300" w:top="386"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multiple captions based on the nature of the asset, the adjustment is applicable to the captions as noted below.</w:t>
      </w:r>
    </w:p>
    <w:p>
      <w:pPr>
        <w:spacing w:after="0" w:line="18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68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240" w:type="dxa"/>
            <w:vAlign w:val="bottom"/>
          </w:tcPr>
          <w:p>
            <w:pPr>
              <w:spacing w:after="0"/>
              <w:rPr>
                <w:sz w:val="11"/>
                <w:szCs w:val="11"/>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16"/>
        </w:trPr>
        <w:tc>
          <w:tcPr>
            <w:tcW w:w="3680" w:type="dxa"/>
            <w:vAlign w:val="bottom"/>
          </w:tcPr>
          <w:p>
            <w:pPr>
              <w:spacing w:after="0"/>
              <w:rPr>
                <w:sz w:val="10"/>
                <w:szCs w:val="10"/>
                <w:color w:val="auto"/>
              </w:rPr>
            </w:pPr>
          </w:p>
        </w:tc>
        <w:tc>
          <w:tcPr>
            <w:tcW w:w="7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Useful Life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right"/>
              <w:ind w:right="660"/>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98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35"/>
        </w:trPr>
        <w:tc>
          <w:tcPr>
            <w:tcW w:w="368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i w:val="1"/>
                <w:iCs w:val="1"/>
                <w:color w:val="auto"/>
              </w:rPr>
              <w:t>(in years)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33"/>
        </w:trPr>
        <w:tc>
          <w:tcPr>
            <w:tcW w:w="368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Depreciation expense – Land, Building and Site</w:t>
            </w: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8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Improvements</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 – 40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6,530</w:t>
            </w:r>
          </w:p>
        </w:tc>
      </w:tr>
      <w:tr>
        <w:trPr>
          <w:trHeight w:val="16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expense – Personal Property</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 – 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36,000</w:t>
            </w:r>
          </w:p>
        </w:tc>
      </w:tr>
      <w:tr>
        <w:trPr>
          <w:trHeight w:val="153"/>
        </w:trPr>
        <w:tc>
          <w:tcPr>
            <w:tcW w:w="36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Less: Historical depreciation expense related to property,</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plant and equipment</w:t>
            </w: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(7,537)</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(30,251)</w:t>
            </w:r>
          </w:p>
        </w:tc>
      </w:tr>
      <w:tr>
        <w:trPr>
          <w:trHeight w:val="169"/>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Total incremental depreciation expense: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5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12,279</w:t>
            </w:r>
          </w:p>
        </w:tc>
        <w:tc>
          <w:tcPr>
            <w:tcW w:w="80" w:type="dxa"/>
            <w:vAlign w:val="bottom"/>
          </w:tcPr>
          <w:p>
            <w:pPr>
              <w:spacing w:after="0"/>
              <w:rPr>
                <w:sz w:val="14"/>
                <w:szCs w:val="14"/>
                <w:color w:val="auto"/>
              </w:rPr>
            </w:pPr>
          </w:p>
        </w:tc>
      </w:tr>
      <w:tr>
        <w:trPr>
          <w:trHeight w:val="20"/>
        </w:trPr>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36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i w:val="1"/>
                <w:iCs w:val="1"/>
                <w:color w:val="auto"/>
              </w:rPr>
              <w:t>Pro forma adjustment to Cost of sales</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40"/>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540"/>
              <w:spacing w:after="0" w:line="150" w:lineRule="exact"/>
              <w:rPr>
                <w:sz w:val="20"/>
                <w:szCs w:val="20"/>
                <w:color w:val="auto"/>
              </w:rPr>
            </w:pPr>
            <w:r>
              <w:rPr>
                <w:rFonts w:ascii="Times New Roman" w:cs="Times New Roman" w:eastAsia="Times New Roman" w:hAnsi="Times New Roman"/>
                <w:sz w:val="14"/>
                <w:szCs w:val="14"/>
                <w:i w:val="1"/>
                <w:iCs w:val="1"/>
                <w:color w:val="auto"/>
              </w:rPr>
              <w:t>2,909</w:t>
            </w:r>
          </w:p>
        </w:tc>
        <w:tc>
          <w:tcPr>
            <w:tcW w:w="1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0"/>
              <w:spacing w:after="0" w:line="150" w:lineRule="exact"/>
              <w:rPr>
                <w:sz w:val="20"/>
                <w:szCs w:val="20"/>
                <w:color w:val="auto"/>
              </w:rPr>
            </w:pPr>
            <w:r>
              <w:rPr>
                <w:rFonts w:ascii="Times New Roman" w:cs="Times New Roman" w:eastAsia="Times New Roman" w:hAnsi="Times New Roman"/>
                <w:sz w:val="14"/>
                <w:szCs w:val="14"/>
                <w:color w:val="auto"/>
              </w:rPr>
              <w:t>11,648</w:t>
            </w:r>
          </w:p>
        </w:tc>
      </w:tr>
      <w:tr>
        <w:trPr>
          <w:trHeight w:val="151"/>
        </w:trPr>
        <w:tc>
          <w:tcPr>
            <w:tcW w:w="3680" w:type="dxa"/>
            <w:vAlign w:val="bottom"/>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Pro forma adjustment to Selling, general and</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5"/>
        </w:trPr>
        <w:tc>
          <w:tcPr>
            <w:tcW w:w="36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administrative expenses</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i w:val="1"/>
                <w:iCs w:val="1"/>
                <w:color w:val="auto"/>
              </w:rPr>
              <w:t>187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631</w:t>
            </w:r>
          </w:p>
        </w:tc>
      </w:tr>
    </w:tbl>
    <w:p>
      <w:pPr>
        <w:spacing w:after="0" w:line="80" w:lineRule="exact"/>
        <w:rPr>
          <w:sz w:val="20"/>
          <w:szCs w:val="20"/>
          <w:color w:val="auto"/>
        </w:rPr>
      </w:pPr>
    </w:p>
    <w:p>
      <w:pPr>
        <w:ind w:left="2120" w:right="619" w:hanging="429"/>
        <w:spacing w:after="0" w:line="267" w:lineRule="auto"/>
        <w:tabs>
          <w:tab w:leader="none" w:pos="21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to Selling, general and administrative expenses for $6,804 for the three months ended March 31, 2026 and $27,217 for the year ended December 31, 2025 for purchased intangibles amortization of relating to the estimated fair values of the Intangible assets recognized in the Transactions.</w:t>
      </w:r>
    </w:p>
    <w:p>
      <w:pPr>
        <w:spacing w:after="0" w:line="14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120" w:type="dxa"/>
            <w:vAlign w:val="bottom"/>
          </w:tcPr>
          <w:p>
            <w:pPr>
              <w:spacing w:after="0"/>
              <w:rPr>
                <w:sz w:val="11"/>
                <w:szCs w:val="11"/>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1640" w:type="dxa"/>
            <w:vAlign w:val="bottom"/>
            <w:gridSpan w:val="3"/>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r>
      <w:tr>
        <w:trPr>
          <w:trHeight w:val="116"/>
        </w:trPr>
        <w:tc>
          <w:tcPr>
            <w:tcW w:w="3120" w:type="dxa"/>
            <w:vAlign w:val="bottom"/>
          </w:tcPr>
          <w:p>
            <w:pPr>
              <w:spacing w:after="0"/>
              <w:rPr>
                <w:sz w:val="10"/>
                <w:szCs w:val="10"/>
                <w:color w:val="auto"/>
              </w:rPr>
            </w:pPr>
          </w:p>
        </w:tc>
        <w:tc>
          <w:tcPr>
            <w:tcW w:w="1500" w:type="dxa"/>
            <w:vAlign w:val="bottom"/>
            <w:gridSpan w:val="2"/>
          </w:tcPr>
          <w:p>
            <w:pPr>
              <w:jc w:val="center"/>
              <w:ind w:right="620"/>
              <w:spacing w:after="0" w:line="116" w:lineRule="exact"/>
              <w:rPr>
                <w:sz w:val="20"/>
                <w:szCs w:val="20"/>
                <w:color w:val="auto"/>
              </w:rPr>
            </w:pPr>
            <w:r>
              <w:rPr>
                <w:rFonts w:ascii="Times New Roman" w:cs="Times New Roman" w:eastAsia="Times New Roman" w:hAnsi="Times New Roman"/>
                <w:sz w:val="11"/>
                <w:szCs w:val="11"/>
                <w:b w:val="1"/>
                <w:bCs w:val="1"/>
                <w:color w:val="auto"/>
              </w:rPr>
              <w:t>Useful Life</w:t>
            </w:r>
          </w:p>
        </w:tc>
        <w:tc>
          <w:tcPr>
            <w:tcW w:w="100" w:type="dxa"/>
            <w:vAlign w:val="bottom"/>
          </w:tcPr>
          <w:p>
            <w:pPr>
              <w:spacing w:after="0"/>
              <w:rPr>
                <w:sz w:val="10"/>
                <w:szCs w:val="10"/>
                <w:color w:val="auto"/>
              </w:rPr>
            </w:pPr>
          </w:p>
        </w:tc>
        <w:tc>
          <w:tcPr>
            <w:tcW w:w="1540" w:type="dxa"/>
            <w:vAlign w:val="bottom"/>
            <w:gridSpan w:val="2"/>
          </w:tcPr>
          <w:p>
            <w:pPr>
              <w:jc w:val="center"/>
              <w:ind w:right="720"/>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94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35"/>
        </w:trPr>
        <w:tc>
          <w:tcPr>
            <w:tcW w:w="3120" w:type="dxa"/>
            <w:vAlign w:val="bottom"/>
          </w:tcPr>
          <w:p>
            <w:pPr>
              <w:spacing w:after="0"/>
              <w:rPr>
                <w:sz w:val="11"/>
                <w:szCs w:val="11"/>
                <w:color w:val="auto"/>
              </w:rPr>
            </w:pPr>
          </w:p>
        </w:tc>
        <w:tc>
          <w:tcPr>
            <w:tcW w:w="1500" w:type="dxa"/>
            <w:vAlign w:val="bottom"/>
            <w:gridSpan w:val="2"/>
          </w:tcPr>
          <w:p>
            <w:pPr>
              <w:jc w:val="center"/>
              <w:ind w:right="620"/>
              <w:spacing w:after="0"/>
              <w:rPr>
                <w:sz w:val="20"/>
                <w:szCs w:val="20"/>
                <w:color w:val="auto"/>
              </w:rPr>
            </w:pPr>
            <w:r>
              <w:rPr>
                <w:rFonts w:ascii="Times New Roman" w:cs="Times New Roman" w:eastAsia="Times New Roman" w:hAnsi="Times New Roman"/>
                <w:sz w:val="11"/>
                <w:szCs w:val="11"/>
                <w:i w:val="1"/>
                <w:iCs w:val="1"/>
                <w:color w:val="auto"/>
              </w:rPr>
              <w:t>(in years)</w:t>
            </w:r>
          </w:p>
        </w:tc>
        <w:tc>
          <w:tcPr>
            <w:tcW w:w="100" w:type="dxa"/>
            <w:vAlign w:val="bottom"/>
          </w:tcPr>
          <w:p>
            <w:pPr>
              <w:spacing w:after="0"/>
              <w:rPr>
                <w:sz w:val="11"/>
                <w:szCs w:val="11"/>
                <w:color w:val="auto"/>
              </w:rPr>
            </w:pPr>
          </w:p>
        </w:tc>
        <w:tc>
          <w:tcPr>
            <w:tcW w:w="1540" w:type="dxa"/>
            <w:vAlign w:val="bottom"/>
            <w:gridSpan w:val="2"/>
          </w:tcPr>
          <w:p>
            <w:pPr>
              <w:jc w:val="center"/>
              <w:ind w:right="7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33"/>
        </w:trPr>
        <w:tc>
          <w:tcPr>
            <w:tcW w:w="312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Amortization on Trade Names &amp;</w:t>
            </w:r>
          </w:p>
        </w:tc>
        <w:tc>
          <w:tcPr>
            <w:tcW w:w="8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83"/>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Trademarks</w:t>
            </w:r>
          </w:p>
        </w:tc>
        <w:tc>
          <w:tcPr>
            <w:tcW w:w="1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25 – indefinite</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40" w:type="dxa"/>
            <w:vAlign w:val="bottom"/>
            <w:shd w:val="clear" w:color="auto" w:fill="CCEEFF"/>
          </w:tcPr>
          <w:p>
            <w:pPr>
              <w:spacing w:after="0"/>
              <w:rPr>
                <w:sz w:val="15"/>
                <w:szCs w:val="15"/>
                <w:color w:val="auto"/>
              </w:rPr>
            </w:pPr>
          </w:p>
        </w:tc>
      </w:tr>
      <w:tr>
        <w:trPr>
          <w:trHeight w:val="153"/>
        </w:trPr>
        <w:tc>
          <w:tcPr>
            <w:tcW w:w="31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Amortization on Patented and Unpatented</w:t>
            </w: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3"/>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Technology</w:t>
            </w: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7 – 10</w:t>
            </w:r>
          </w:p>
        </w:tc>
        <w:tc>
          <w:tcPr>
            <w:tcW w:w="100" w:type="dxa"/>
            <w:vAlign w:val="bottom"/>
          </w:tcPr>
          <w:p>
            <w:pPr>
              <w:spacing w:after="0"/>
              <w:rPr>
                <w:sz w:val="15"/>
                <w:szCs w:val="15"/>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2,464</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9,857</w:t>
            </w:r>
          </w:p>
        </w:tc>
        <w:tc>
          <w:tcPr>
            <w:tcW w:w="40" w:type="dxa"/>
            <w:vAlign w:val="bottom"/>
          </w:tcPr>
          <w:p>
            <w:pPr>
              <w:spacing w:after="0"/>
              <w:rPr>
                <w:sz w:val="15"/>
                <w:szCs w:val="15"/>
                <w:color w:val="auto"/>
              </w:rPr>
            </w:pPr>
          </w:p>
        </w:tc>
      </w:tr>
      <w:tr>
        <w:trPr>
          <w:trHeight w:val="16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Customer Relationships</w:t>
            </w:r>
          </w:p>
        </w:tc>
        <w:tc>
          <w:tcPr>
            <w:tcW w:w="15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4"/>
                <w:szCs w:val="14"/>
                <w:color w:val="auto"/>
                <w:w w:val="99"/>
              </w:rPr>
              <w:t>10 – 20</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16,000</w:t>
            </w:r>
          </w:p>
        </w:tc>
      </w:tr>
      <w:tr>
        <w:trPr>
          <w:trHeight w:val="153"/>
        </w:trPr>
        <w:tc>
          <w:tcPr>
            <w:tcW w:w="31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Less: Historical purchased intangibles</w:t>
            </w: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1"/>
        </w:trPr>
        <w:tc>
          <w:tcPr>
            <w:tcW w:w="31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Pro forma adjustment to purchased</w:t>
            </w: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5"/>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intangibles amortization</w:t>
            </w:r>
          </w:p>
        </w:tc>
        <w:tc>
          <w:tcPr>
            <w:tcW w:w="8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6,804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27,217</w:t>
            </w:r>
          </w:p>
        </w:tc>
      </w:tr>
      <w:tr>
        <w:trPr>
          <w:trHeight w:val="20"/>
        </w:trPr>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A 10% change in the valuation of intangible assets would cause a corresponding increase or decrease in the amount of amortization expense by $680 for the three months ended March 31, 2026 and $2,722 for the year ended December 31, 2025.</w:t>
      </w:r>
    </w:p>
    <w:p>
      <w:pPr>
        <w:spacing w:after="0" w:line="51" w:lineRule="exact"/>
        <w:rPr>
          <w:sz w:val="20"/>
          <w:szCs w:val="20"/>
          <w:color w:val="auto"/>
        </w:rPr>
      </w:pPr>
    </w:p>
    <w:p>
      <w:pPr>
        <w:ind w:left="2120" w:right="279" w:hanging="429"/>
        <w:spacing w:after="0" w:line="267" w:lineRule="auto"/>
        <w:tabs>
          <w:tab w:leader="none" w:pos="21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adjustments to reflect the reversal of historical finance lease expense and the recognition of pro forma finance lease-related expense consisting of right-of-use asset amortization recorded within Cost of sales and interest expense on lease liabilities recorded within interest expense, net. Given that finance lease amortization and interest expense are reflected across multiple income statement captions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212</w:t>
      </w:r>
    </w:p>
    <w:p>
      <w:pPr>
        <w:sectPr>
          <w:pgSz w:w="11900" w:h="16838" w:orient="portrait"/>
          <w:cols w:equalWidth="0" w:num="1">
            <w:col w:w="10159"/>
          </w:cols>
          <w:pgMar w:left="300" w:top="386"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59"/>
        <w:spacing w:after="0" w:line="283" w:lineRule="auto"/>
        <w:rPr>
          <w:sz w:val="20"/>
          <w:szCs w:val="20"/>
          <w:color w:val="auto"/>
        </w:rPr>
      </w:pPr>
      <w:r>
        <w:rPr>
          <w:rFonts w:ascii="Times New Roman" w:cs="Times New Roman" w:eastAsia="Times New Roman" w:hAnsi="Times New Roman"/>
          <w:sz w:val="14"/>
          <w:szCs w:val="14"/>
          <w:color w:val="auto"/>
        </w:rPr>
        <w:t>based on their nature, the total incremental finance lease expense has been allocated to Cost of sales and Interest expense, net, as detailed below.</w:t>
      </w:r>
    </w:p>
    <w:p>
      <w:pPr>
        <w:spacing w:after="0" w:line="13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100" w:type="dxa"/>
            <w:vAlign w:val="bottom"/>
            <w:gridSpan w:val="4"/>
          </w:tcPr>
          <w:p>
            <w:pPr>
              <w:ind w:left="6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right"/>
              <w:ind w:right="640"/>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1460" w:type="dxa"/>
            <w:vAlign w:val="bottom"/>
            <w:gridSpan w:val="4"/>
          </w:tcPr>
          <w:p>
            <w:pPr>
              <w:ind w:left="48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35"/>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20" w:type="dxa"/>
            <w:vAlign w:val="bottom"/>
          </w:tcPr>
          <w:p>
            <w:pPr>
              <w:spacing w:after="0"/>
              <w:rPr>
                <w:sz w:val="13"/>
                <w:szCs w:val="13"/>
                <w:color w:val="auto"/>
              </w:rPr>
            </w:pPr>
          </w:p>
        </w:tc>
        <w:tc>
          <w:tcPr>
            <w:tcW w:w="29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Amortization of Finance Lease Assets</w:t>
            </w: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91</w:t>
            </w:r>
          </w:p>
        </w:tc>
        <w:tc>
          <w:tcPr>
            <w:tcW w:w="5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363</w:t>
            </w: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Interest on Finance lease liabilities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29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Less: Historical amortization and interest</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expense related to Finance Leases</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(76)</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(327)</w:t>
            </w:r>
          </w:p>
        </w:tc>
      </w:tr>
      <w:tr>
        <w:trPr>
          <w:trHeight w:val="169"/>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incremental Finance Lease expense:</w:t>
            </w:r>
          </w:p>
        </w:tc>
        <w:tc>
          <w:tcPr>
            <w:tcW w:w="6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9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i w:val="1"/>
                <w:iCs w:val="1"/>
                <w:color w:val="auto"/>
              </w:rPr>
              <w:t>Pro forma adjustment to Cost of sales</w:t>
            </w:r>
          </w:p>
        </w:tc>
        <w:tc>
          <w:tcPr>
            <w:tcW w:w="700" w:type="dxa"/>
            <w:vAlign w:val="bottom"/>
            <w:gridSpan w:val="2"/>
            <w:shd w:val="clear" w:color="auto" w:fill="CCEEFF"/>
          </w:tcPr>
          <w:p>
            <w:pPr>
              <w:ind w:left="600"/>
              <w:spacing w:after="0" w:line="150"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37</w:t>
            </w:r>
          </w:p>
        </w:tc>
        <w:tc>
          <w:tcPr>
            <w:tcW w:w="5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480"/>
              <w:spacing w:after="0" w:line="150"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940" w:type="dxa"/>
            <w:vAlign w:val="bottom"/>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Pro forma adjustment to record Interest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expense, net</w:t>
            </w: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500" w:type="dxa"/>
            <w:vAlign w:val="bottom"/>
          </w:tcPr>
          <w:p>
            <w:pPr>
              <w:spacing w:after="0"/>
              <w:rPr>
                <w:sz w:val="16"/>
                <w:szCs w:val="16"/>
                <w:color w:val="auto"/>
              </w:rPr>
            </w:pP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6"/>
                <w:szCs w:val="16"/>
                <w:color w:val="auto"/>
              </w:rPr>
            </w:pPr>
          </w:p>
        </w:tc>
      </w:tr>
    </w:tbl>
    <w:p>
      <w:pPr>
        <w:spacing w:after="0" w:line="80" w:lineRule="exact"/>
        <w:rPr>
          <w:sz w:val="20"/>
          <w:szCs w:val="20"/>
          <w:color w:val="auto"/>
        </w:rPr>
      </w:pPr>
    </w:p>
    <w:p>
      <w:pPr>
        <w:ind w:left="2120" w:right="279" w:hanging="429"/>
        <w:spacing w:after="0" w:line="256" w:lineRule="auto"/>
        <w:tabs>
          <w:tab w:leader="none" w:pos="21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decrease of $209 for the three months ended March 31, 2026 and a decrease of $2,772 for the year ended December 31, 2025 resulting from the recognition of replacement share-based awards attributable to post-combination services, net of historical share-based compensation that has been reversed. Pro forma share-based compensation expense has been calculated by using the acquisition-date fair value of the Gentherm replacement awards (the number of Performance Technologies Business Awards converted to Gentherm awards using the Exchange Ratio, multiplied by the Gentherm Common Stock share price on the Closing Date) less the amount attributed to pre-combination services disclosed in Note 5—Preliminary Purchase Consideration. The resulting pro forma adjustment is reflected entirely within Selling, general and administrative expenses.</w:t>
      </w:r>
    </w:p>
    <w:p>
      <w:pPr>
        <w:spacing w:after="0" w:line="149"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00" w:type="dxa"/>
            <w:vAlign w:val="bottom"/>
            <w:gridSpan w:val="4"/>
          </w:tcPr>
          <w:p>
            <w:pPr>
              <w:ind w:left="5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16"/>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right"/>
              <w:ind w:right="640"/>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1460" w:type="dxa"/>
            <w:vAlign w:val="bottom"/>
            <w:gridSpan w:val="4"/>
          </w:tcPr>
          <w:p>
            <w:pPr>
              <w:ind w:left="48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59"/>
        </w:trPr>
        <w:tc>
          <w:tcPr>
            <w:tcW w:w="20" w:type="dxa"/>
            <w:vAlign w:val="bottom"/>
          </w:tcPr>
          <w:p>
            <w:pPr>
              <w:spacing w:after="0"/>
              <w:rPr>
                <w:sz w:val="13"/>
                <w:szCs w:val="13"/>
                <w:color w:val="auto"/>
              </w:rPr>
            </w:pPr>
          </w:p>
        </w:tc>
        <w:tc>
          <w:tcPr>
            <w:tcW w:w="30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Pro forma share-based compensation expense</w:t>
            </w:r>
          </w:p>
        </w:tc>
        <w:tc>
          <w:tcPr>
            <w:tcW w:w="5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425</w:t>
            </w:r>
          </w:p>
        </w:tc>
        <w:tc>
          <w:tcPr>
            <w:tcW w:w="5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1,879</w:t>
            </w:r>
          </w:p>
        </w:tc>
        <w:tc>
          <w:tcPr>
            <w:tcW w:w="80" w:type="dxa"/>
            <w:vAlign w:val="bottom"/>
            <w:tcBorders>
              <w:top w:val="single" w:sz="8" w:color="CCEEFF"/>
            </w:tcBorders>
            <w:shd w:val="clear" w:color="auto" w:fill="CCEEFF"/>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30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Less: Historical share-based compensation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20" w:type="dxa"/>
            <w:vAlign w:val="bottom"/>
          </w:tcPr>
          <w:p>
            <w:pPr>
              <w:spacing w:after="0"/>
              <w:rPr>
                <w:sz w:val="15"/>
                <w:szCs w:val="15"/>
                <w:color w:val="auto"/>
              </w:rPr>
            </w:pPr>
          </w:p>
        </w:tc>
        <w:tc>
          <w:tcPr>
            <w:tcW w:w="3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expense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(634)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(4,651)</w:t>
            </w:r>
          </w:p>
        </w:tc>
      </w:tr>
      <w:tr>
        <w:trPr>
          <w:trHeight w:val="153"/>
        </w:trPr>
        <w:tc>
          <w:tcPr>
            <w:tcW w:w="20" w:type="dxa"/>
            <w:vAlign w:val="bottom"/>
          </w:tcPr>
          <w:p>
            <w:pPr>
              <w:spacing w:after="0"/>
              <w:rPr>
                <w:sz w:val="13"/>
                <w:szCs w:val="13"/>
                <w:color w:val="auto"/>
              </w:rPr>
            </w:pPr>
          </w:p>
        </w:tc>
        <w:tc>
          <w:tcPr>
            <w:tcW w:w="30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Total decrease in share-based compensation</w:t>
            </w:r>
          </w:p>
        </w:tc>
        <w:tc>
          <w:tcPr>
            <w:tcW w:w="5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expense</w:t>
            </w: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5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8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ind w:left="2120" w:right="279" w:hanging="429"/>
        <w:spacing w:after="0" w:line="261" w:lineRule="auto"/>
        <w:tabs>
          <w:tab w:leader="none" w:pos="212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adjustment for the estimated tax impacts of the pro forma adjustments in Income tax expense in the unaudited pro forma condensed combined statement of operations by using a blended statutory tax rate of 21% for both the three months ended March 31, 2026 and the year ended December 31, 2025. This results in an adjustment of $1,630 for the three months ended March 31, 2026 and $12,054 for the year ended December 31, 2025.</w:t>
      </w:r>
    </w:p>
    <w:p>
      <w:pPr>
        <w:spacing w:after="0" w:line="141"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total effective tax rate of the combined company could be significantly different depending on the geographical mix of income and other factors following the completion of the Transactions. Because the tax rate used for this pro forma financial information is an estimate, it will likely vary from the actual rate in periods subsequent to the completion of the business combination and those differences may be material.</w:t>
      </w:r>
    </w:p>
    <w:p>
      <w:pPr>
        <w:spacing w:after="0" w:line="136"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There is no adjustment related to the tax impact of undistributed earnings included in the unaudited pro forma condensed combined statements of operations as the final transaction structure and chain of ownership has not been determined. Therefore, an adjustment for the potential tax impact is not reasonable and supportable as of the date of this proxy statement/prospectus.</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213</w:t>
      </w:r>
    </w:p>
    <w:p>
      <w:pPr>
        <w:sectPr>
          <w:pgSz w:w="11900" w:h="16838" w:orient="portrait"/>
          <w:cols w:equalWidth="0" w:num="1">
            <w:col w:w="10159"/>
          </w:cols>
          <w:pgMar w:left="300" w:top="386"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7 – Earnings (losses) per Share</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As a result of the adjustments as described above, an adjustment to earnings (losses) per share (“EPS”) for the three months ended March 31, 2026 and for the year ended December 31, 2025 was made to present pro forma basic and diluted weighted average shares of the combined company using the historical weighted average shares of Gentherm Common Stock outstanding combined with the additional Gentherm equity awards issued in connection with the Merger and the issuance of shares to SpinCo stockholders. The diluted earnings (losses) per share give effect to all potential shares of Common stock outstanding during a period that do not have an anti-dilutive impact to the calculation. Securities excluded from the calculation of diluted loss per share were approximately 470,000 for the year ended December 31, 2025, because the inclusion of such securities in the calculation would have been anti-dilutive given the net loss position. There were no anti-dilutive securities for the three months ended March 31, 2026.</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sets forth a reconciliation of the numerators and denominators used to compute pro forma basic and diluted earnings per</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w:t>
      </w:r>
    </w:p>
    <w:p>
      <w:pPr>
        <w:spacing w:after="0" w:line="166"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640" w:type="dxa"/>
            <w:vAlign w:val="bottom"/>
            <w:gridSpan w:val="3"/>
          </w:tcPr>
          <w:p>
            <w:pPr>
              <w:jc w:val="center"/>
              <w:ind w:left="59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Year ended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4"/>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700" w:type="dxa"/>
            <w:vAlign w:val="bottom"/>
          </w:tcPr>
          <w:p>
            <w:pPr>
              <w:spacing w:after="0"/>
              <w:rPr>
                <w:sz w:val="10"/>
                <w:szCs w:val="10"/>
                <w:color w:val="auto"/>
              </w:rPr>
            </w:pPr>
          </w:p>
        </w:tc>
        <w:tc>
          <w:tcPr>
            <w:tcW w:w="1040" w:type="dxa"/>
            <w:vAlign w:val="bottom"/>
            <w:gridSpan w:val="3"/>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i w:val="1"/>
                <w:iCs w:val="1"/>
                <w:color w:val="auto"/>
              </w:rPr>
              <w:t>(in thousands, except</w:t>
            </w:r>
          </w:p>
        </w:tc>
        <w:tc>
          <w:tcPr>
            <w:tcW w:w="1740" w:type="dxa"/>
            <w:vAlign w:val="bottom"/>
            <w:gridSpan w:val="4"/>
          </w:tcPr>
          <w:p>
            <w:pPr>
              <w:jc w:val="center"/>
              <w:ind w:left="557"/>
              <w:spacing w:after="0" w:line="116" w:lineRule="exact"/>
              <w:rPr>
                <w:sz w:val="20"/>
                <w:szCs w:val="20"/>
                <w:color w:val="auto"/>
              </w:rPr>
            </w:pPr>
            <w:r>
              <w:rPr>
                <w:rFonts w:ascii="Times New Roman" w:cs="Times New Roman" w:eastAsia="Times New Roman" w:hAnsi="Times New Roman"/>
                <w:sz w:val="11"/>
                <w:szCs w:val="11"/>
                <w:i w:val="1"/>
                <w:iCs w:val="1"/>
                <w:color w:val="auto"/>
              </w:rPr>
              <w:t>(in thousands, except</w:t>
            </w:r>
          </w:p>
        </w:tc>
        <w:tc>
          <w:tcPr>
            <w:tcW w:w="0" w:type="dxa"/>
            <w:vAlign w:val="bottom"/>
          </w:tcPr>
          <w:p>
            <w:pPr>
              <w:spacing w:after="0"/>
              <w:rPr>
                <w:sz w:val="1"/>
                <w:szCs w:val="1"/>
                <w:color w:val="auto"/>
              </w:rPr>
            </w:pPr>
          </w:p>
        </w:tc>
      </w:tr>
      <w:tr>
        <w:trPr>
          <w:trHeight w:val="116"/>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 Forma Basic Weighted-Average Shares</w:t>
            </w:r>
          </w:p>
        </w:tc>
        <w:tc>
          <w:tcPr>
            <w:tcW w:w="660" w:type="dxa"/>
            <w:vAlign w:val="bottom"/>
          </w:tcPr>
          <w:p>
            <w:pPr>
              <w:spacing w:after="0"/>
              <w:rPr>
                <w:sz w:val="10"/>
                <w:szCs w:val="10"/>
                <w:color w:val="auto"/>
              </w:rPr>
            </w:pPr>
          </w:p>
        </w:tc>
        <w:tc>
          <w:tcPr>
            <w:tcW w:w="98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i w:val="1"/>
                <w:iCs w:val="1"/>
                <w:color w:val="auto"/>
                <w:w w:val="99"/>
              </w:rPr>
              <w:t>share and per share</w:t>
            </w:r>
          </w:p>
        </w:tc>
        <w:tc>
          <w:tcPr>
            <w:tcW w:w="700" w:type="dxa"/>
            <w:vAlign w:val="bottom"/>
          </w:tcPr>
          <w:p>
            <w:pPr>
              <w:spacing w:after="0"/>
              <w:rPr>
                <w:sz w:val="10"/>
                <w:szCs w:val="10"/>
                <w:color w:val="auto"/>
              </w:rPr>
            </w:pPr>
          </w:p>
        </w:tc>
        <w:tc>
          <w:tcPr>
            <w:tcW w:w="1040" w:type="dxa"/>
            <w:vAlign w:val="bottom"/>
            <w:gridSpan w:val="3"/>
          </w:tcPr>
          <w:p>
            <w:pPr>
              <w:jc w:val="center"/>
              <w:ind w:right="80"/>
              <w:spacing w:after="0" w:line="116" w:lineRule="exact"/>
              <w:rPr>
                <w:sz w:val="20"/>
                <w:szCs w:val="20"/>
                <w:color w:val="auto"/>
              </w:rPr>
            </w:pPr>
            <w:r>
              <w:rPr>
                <w:rFonts w:ascii="Times New Roman" w:cs="Times New Roman" w:eastAsia="Times New Roman" w:hAnsi="Times New Roman"/>
                <w:sz w:val="11"/>
                <w:szCs w:val="11"/>
                <w:i w:val="1"/>
                <w:iCs w:val="1"/>
                <w:color w:val="auto"/>
                <w:w w:val="99"/>
              </w:rPr>
              <w:t>share and per share</w:t>
            </w:r>
          </w:p>
        </w:tc>
        <w:tc>
          <w:tcPr>
            <w:tcW w:w="0" w:type="dxa"/>
            <w:vAlign w:val="bottom"/>
          </w:tcPr>
          <w:p>
            <w:pPr>
              <w:spacing w:after="0"/>
              <w:rPr>
                <w:sz w:val="1"/>
                <w:szCs w:val="1"/>
                <w:color w:val="auto"/>
              </w:rPr>
            </w:pPr>
          </w:p>
        </w:tc>
      </w:tr>
      <w:tr>
        <w:trPr>
          <w:trHeight w:val="135"/>
        </w:trPr>
        <w:tc>
          <w:tcPr>
            <w:tcW w:w="31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1"/>
                <w:szCs w:val="11"/>
                <w:i w:val="1"/>
                <w:iCs w:val="1"/>
                <w:color w:val="auto"/>
              </w:rPr>
              <w:t>data)</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i w:val="1"/>
                <w:iCs w:val="1"/>
                <w:color w:val="auto"/>
              </w:rPr>
              <w:t>data)</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2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Pro forma Net income (loss) attributable to Gentherm</w:t>
            </w: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Incorporated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(55,344)</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Historical Weighted-average shares outstanding - Basic</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30,516,801</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30,585,443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Issuance of shares to SpinCo Common stock</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stockholders</w:t>
            </w:r>
          </w:p>
        </w:tc>
        <w:tc>
          <w:tcPr>
            <w:tcW w:w="6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20,665,617</w:t>
            </w:r>
          </w:p>
        </w:tc>
        <w:tc>
          <w:tcPr>
            <w:tcW w:w="7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20,665,617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 forma Weighted average shares outstanding - Basic</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51,182,418</w:t>
            </w: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51,251,060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i w:val="1"/>
                <w:iCs w:val="1"/>
                <w:color w:val="auto"/>
              </w:rPr>
              <w:t>Pro forma basic EPS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0.04</w:t>
            </w: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line="150"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40" w:type="dxa"/>
            <w:vAlign w:val="bottom"/>
            <w:gridSpan w:val="3"/>
          </w:tcPr>
          <w:p>
            <w:pPr>
              <w:jc w:val="center"/>
              <w:ind w:left="59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Year ended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4"/>
              <w:spacing w:after="0" w:line="116"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700" w:type="dxa"/>
            <w:vAlign w:val="bottom"/>
          </w:tcPr>
          <w:p>
            <w:pPr>
              <w:spacing w:after="0"/>
              <w:rPr>
                <w:sz w:val="10"/>
                <w:szCs w:val="10"/>
                <w:color w:val="auto"/>
              </w:rPr>
            </w:pPr>
          </w:p>
        </w:tc>
        <w:tc>
          <w:tcPr>
            <w:tcW w:w="1040" w:type="dxa"/>
            <w:vAlign w:val="bottom"/>
            <w:gridSpan w:val="3"/>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i w:val="1"/>
                <w:iCs w:val="1"/>
                <w:color w:val="auto"/>
              </w:rPr>
              <w:t>(in thousands, except</w:t>
            </w:r>
          </w:p>
        </w:tc>
        <w:tc>
          <w:tcPr>
            <w:tcW w:w="1740" w:type="dxa"/>
            <w:vAlign w:val="bottom"/>
            <w:gridSpan w:val="4"/>
          </w:tcPr>
          <w:p>
            <w:pPr>
              <w:jc w:val="center"/>
              <w:ind w:left="557"/>
              <w:spacing w:after="0" w:line="116" w:lineRule="exact"/>
              <w:rPr>
                <w:sz w:val="20"/>
                <w:szCs w:val="20"/>
                <w:color w:val="auto"/>
              </w:rPr>
            </w:pPr>
            <w:r>
              <w:rPr>
                <w:rFonts w:ascii="Times New Roman" w:cs="Times New Roman" w:eastAsia="Times New Roman" w:hAnsi="Times New Roman"/>
                <w:sz w:val="11"/>
                <w:szCs w:val="11"/>
                <w:i w:val="1"/>
                <w:iCs w:val="1"/>
                <w:color w:val="auto"/>
              </w:rPr>
              <w:t>(in thousands, except</w:t>
            </w:r>
          </w:p>
        </w:tc>
        <w:tc>
          <w:tcPr>
            <w:tcW w:w="0" w:type="dxa"/>
            <w:vAlign w:val="bottom"/>
          </w:tcPr>
          <w:p>
            <w:pPr>
              <w:spacing w:after="0"/>
              <w:rPr>
                <w:sz w:val="1"/>
                <w:szCs w:val="1"/>
                <w:color w:val="auto"/>
              </w:rPr>
            </w:pPr>
          </w:p>
        </w:tc>
      </w:tr>
      <w:tr>
        <w:trPr>
          <w:trHeight w:val="116"/>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 Forma Diluted Weighted-Average Shares</w:t>
            </w:r>
          </w:p>
        </w:tc>
        <w:tc>
          <w:tcPr>
            <w:tcW w:w="660" w:type="dxa"/>
            <w:vAlign w:val="bottom"/>
          </w:tcPr>
          <w:p>
            <w:pPr>
              <w:spacing w:after="0"/>
              <w:rPr>
                <w:sz w:val="10"/>
                <w:szCs w:val="10"/>
                <w:color w:val="auto"/>
              </w:rPr>
            </w:pPr>
          </w:p>
        </w:tc>
        <w:tc>
          <w:tcPr>
            <w:tcW w:w="98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i w:val="1"/>
                <w:iCs w:val="1"/>
                <w:color w:val="auto"/>
                <w:w w:val="99"/>
              </w:rPr>
              <w:t>share and per share</w:t>
            </w:r>
          </w:p>
        </w:tc>
        <w:tc>
          <w:tcPr>
            <w:tcW w:w="700" w:type="dxa"/>
            <w:vAlign w:val="bottom"/>
          </w:tcPr>
          <w:p>
            <w:pPr>
              <w:spacing w:after="0"/>
              <w:rPr>
                <w:sz w:val="10"/>
                <w:szCs w:val="10"/>
                <w:color w:val="auto"/>
              </w:rPr>
            </w:pPr>
          </w:p>
        </w:tc>
        <w:tc>
          <w:tcPr>
            <w:tcW w:w="1040" w:type="dxa"/>
            <w:vAlign w:val="bottom"/>
            <w:gridSpan w:val="3"/>
          </w:tcPr>
          <w:p>
            <w:pPr>
              <w:jc w:val="center"/>
              <w:ind w:right="80"/>
              <w:spacing w:after="0" w:line="116" w:lineRule="exact"/>
              <w:rPr>
                <w:sz w:val="20"/>
                <w:szCs w:val="20"/>
                <w:color w:val="auto"/>
              </w:rPr>
            </w:pPr>
            <w:r>
              <w:rPr>
                <w:rFonts w:ascii="Times New Roman" w:cs="Times New Roman" w:eastAsia="Times New Roman" w:hAnsi="Times New Roman"/>
                <w:sz w:val="11"/>
                <w:szCs w:val="11"/>
                <w:i w:val="1"/>
                <w:iCs w:val="1"/>
                <w:color w:val="auto"/>
                <w:w w:val="99"/>
              </w:rPr>
              <w:t>share and per share</w:t>
            </w:r>
          </w:p>
        </w:tc>
        <w:tc>
          <w:tcPr>
            <w:tcW w:w="0" w:type="dxa"/>
            <w:vAlign w:val="bottom"/>
          </w:tcPr>
          <w:p>
            <w:pPr>
              <w:spacing w:after="0"/>
              <w:rPr>
                <w:sz w:val="1"/>
                <w:szCs w:val="1"/>
                <w:color w:val="auto"/>
              </w:rPr>
            </w:pPr>
          </w:p>
        </w:tc>
      </w:tr>
      <w:tr>
        <w:trPr>
          <w:trHeight w:val="135"/>
        </w:trPr>
        <w:tc>
          <w:tcPr>
            <w:tcW w:w="31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1"/>
                <w:szCs w:val="11"/>
                <w:i w:val="1"/>
                <w:iCs w:val="1"/>
                <w:color w:val="auto"/>
              </w:rPr>
              <w:t>data)</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i w:val="1"/>
                <w:iCs w:val="1"/>
                <w:color w:val="auto"/>
              </w:rPr>
              <w:t>data)</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2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Pro forma Net income (loss) attributable to Gentherm</w:t>
            </w: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Incorporated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(55,344)</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Historical Weighted-average shares outstanding -</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30,757,201</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30,585,443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Issuance of shares to SpinCo Common stock</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stockholders</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20,665,617</w:t>
            </w: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20,665,617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Dilutive impact of Gentherm’s stock awards to replace</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Performance Technologies Business Awards</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121,253</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Pro forma Weighted average shares outstanding -</w:t>
            </w:r>
          </w:p>
        </w:tc>
        <w:tc>
          <w:tcPr>
            <w:tcW w:w="6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6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51,544,071</w:t>
            </w:r>
          </w:p>
        </w:tc>
        <w:tc>
          <w:tcPr>
            <w:tcW w:w="7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51,251,060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Pro forma diluted EPS</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1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6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auto"/>
                <w:w w:val="95"/>
              </w:rPr>
              <w:t>214</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OF THE DISTRIBUTION AND THE MERGER</w:t>
      </w:r>
    </w:p>
    <w:p>
      <w:pPr>
        <w:spacing w:after="0" w:line="177"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considerations applicable to Modine and Modine shareholders as a result of the Distribution and the Merger and to the Gentherm shareholders (prior to the Merger) as a result of any Gentherm Special Dividend. This summary is based on the Code, the Treasury Regulations promulgated thereunder, judicial decisions, and published rulings and administrative pronouncements of the IRS, in each case as of the date of this prospectus. These authorities may change or be subject to differing interpretations. Any such change or differing interpretation may be applied retroactively in an adverse manner. There can be no assurance that the IRS or a court will not take a contrary position to that discussed below.</w:t>
      </w:r>
    </w:p>
    <w:p>
      <w:pPr>
        <w:spacing w:after="0" w:line="143"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For purposes of this discussion, a “U.S. Holder” is a beneficial owner of shares of Modine Common Stock or Gentherm Common Stock, as applicable, that is, for U.S. federal income tax purposes:</w:t>
      </w:r>
    </w:p>
    <w:p>
      <w:pPr>
        <w:spacing w:after="0" w:line="51" w:lineRule="exact"/>
        <w:rPr>
          <w:sz w:val="20"/>
          <w:szCs w:val="20"/>
          <w:color w:val="auto"/>
        </w:rPr>
      </w:pPr>
    </w:p>
    <w:p>
      <w:pPr>
        <w:ind w:left="2120" w:hanging="345"/>
        <w:spacing w:after="0"/>
        <w:tabs>
          <w:tab w:leader="none" w:pos="21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classified as a corporation for U.S. federal income tax purposes) created or organized in or under the laws of the United States, any state thereof, or the District of Columbia;</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 “Non-U.S. Holder” is a beneficial owner of shares of Modine Common Stock or Gentherm Common Stock, as applicable, that is, for U.S.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federal income tax purposes, an individual, corporation, estate or trust and that is not a U.S. Holder.</w:t>
      </w:r>
    </w:p>
    <w:p>
      <w:pPr>
        <w:spacing w:after="0" w:line="161" w:lineRule="exact"/>
        <w:rPr>
          <w:sz w:val="20"/>
          <w:szCs w:val="20"/>
          <w:color w:val="auto"/>
        </w:rPr>
      </w:pPr>
    </w:p>
    <w:p>
      <w:pPr>
        <w:ind w:left="1360" w:right="439" w:firstLine="343"/>
        <w:spacing w:after="0" w:line="257" w:lineRule="auto"/>
        <w:rPr>
          <w:sz w:val="20"/>
          <w:szCs w:val="20"/>
          <w:color w:val="auto"/>
        </w:rPr>
      </w:pPr>
      <w:r>
        <w:rPr>
          <w:rFonts w:ascii="Times New Roman" w:cs="Times New Roman" w:eastAsia="Times New Roman" w:hAnsi="Times New Roman"/>
          <w:sz w:val="14"/>
          <w:szCs w:val="14"/>
          <w:color w:val="auto"/>
        </w:rPr>
        <w:t>Except as discussed below with respect to the Gentherm Special Dividend, this summary is limited to Modine shareholders and Gentherm shareholders that are U.S. Holders and hold their shares of Modine Common Stock or Gentherm Common Stock, as applicable, as a “capital asset” within the meaning of Section 1221 of the Code (generally, property held for investment). This summary does not address all U.S. federal income tax considerations that may be relevant to a holder of Modine Common Stock or Gentherm Common Stock, as applicable, including the impact of the Medicare contribution tax on net investment income. In addition, it does not address considerations relevant to holders subject to special rules, including, without limitation:</w:t>
      </w:r>
    </w:p>
    <w:p>
      <w:pPr>
        <w:spacing w:after="0" w:line="69" w:lineRule="exact"/>
        <w:rPr>
          <w:sz w:val="20"/>
          <w:szCs w:val="20"/>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or brokers in securities, commodities or currencies;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“foreign controlled foreign corporations,” or “passive foreign investment companies”;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or other financial institutions;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and real estate investment trusts;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corporations;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that accumulate earnings to avoid U.S. federal income tax;</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through individual retirement or other tax-deferred accounts;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215</w:t>
      </w:r>
    </w:p>
    <w:p>
      <w:pPr>
        <w:sectPr>
          <w:pgSz w:w="11900" w:h="16838" w:orient="portrait"/>
          <w:cols w:equalWidth="0" w:num="1">
            <w:col w:w="10159"/>
          </w:cols>
          <w:pgMar w:left="300" w:top="386"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419" w:hanging="345"/>
        <w:spacing w:after="0" w:line="283" w:lineRule="auto"/>
        <w:tabs>
          <w:tab w:leader="none" w:pos="21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acquired Modine Common Stock or Gentherm Common Stock, as applicable, pursuant to the exercise of stock options, the settlement of restricted stock units or otherwise as compensation;</w:t>
      </w:r>
    </w:p>
    <w:p>
      <w:pPr>
        <w:spacing w:after="0" w:line="5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own, or are deemed to own, at least 5% or more of Modine Common Stock or Gentherm Common Stock, as applicable, by vote or value;</w:t>
      </w:r>
    </w:p>
    <w:p>
      <w:pPr>
        <w:spacing w:after="0" w:line="5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Modine Common Stock or Gentherm Common Stock, as applicable, as part of a hedge, appreciated financial position, straddle, constructive sale, conversion transaction or other risk reduction transaction;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who elect to apply a mark-to-market method of accounting;</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who have a functional currency other than the U.S. dollar;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are subject to alternative minimum tax;</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Modine Common Stock or Gentherm Common Stock, as applicable, being taken into account in an applicable financial statement;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pass-through entities for U.S. federal income tax purposes or investors in such entities; or</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12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Moreover, this discussion does not address any non-U.S., state or local tax considerations,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or any aspect of U.S. federal non-income tax laws, such as gift or estate tax laws.</w:t>
      </w:r>
    </w:p>
    <w:p>
      <w:pPr>
        <w:spacing w:after="0" w:line="141"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If an entity or arrangement classified as a partnership for U.S. federal income tax purposes holds Modine Common Stock or Gentherm Common Stock, as applicable, the tax treatment of a partner in the partnership will depend on the status of the partner, the activities of the partnership and certain determinations made at the partner level. Accordingly, partnerships holding Modine Common Stock or Gentherm Common Stock, as applicable, and the partners in such partnerships should consult their tax advisors regarding the U.S. federal income tax considerations to them.</w:t>
      </w:r>
    </w:p>
    <w:p>
      <w:pPr>
        <w:spacing w:after="0" w:line="139"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THE FOLLOWING IS A SUMMARY OF THE MATERIAL U.S. FEDERAL INCOME TAX CONSIDERATIONS OF THE DISTRIBUTION, THE MERGER AND ANY GENTHERM SPECIAL DIVIDEND, AS APPLICABLE, UNDER CURRENT LAW. THE FOLLOWING DOES NOT PURPORT TO ADDRESS ALL U.S. FEDERAL INCOME TAX CONSIDERATIONS OR TAX CONSIDERATIONS THAT MAY ARISE UNDER THE TAX LAWS OR THAT MAY APPLY TO PARTICULAR CATEGORIES OF SHAREHOLDERS. EACH MODINE SHAREHOLDER AND GENTHERM SHAREHOLDER IS ENCOURAGED TO CONSULT ITS TAX ADVISOR AS TO THE PARTICULAR TAX CONSIDERATIONS OF THE DISTRIBUTION, THE MERGER OR ANY GENTHERM SPECIAL DIVIDEND, AS APPLICABLE, TO SUCH SHAREHOLDER, INCLUDING THE APPLICATION OF U.S. FEDERAL, STATE, LOCAL AND NON-U.S. TAX LAWS, AND THE EFFECT OF POSSIBLE CHANGES IN TAX LAWS THAT MAY AFFECT THE TAX CONSIDERATIONS DESCRIBED BELOW.</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of the Contribution and the Distribution to U.S. Holders of Modine Common Stock</w:t>
      </w:r>
    </w:p>
    <w:p>
      <w:pPr>
        <w:spacing w:after="0" w:line="93"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The completion of the Transactions, including the Distribution, is conditioned upon Modine’s receipt of the Modine Distribution Tax Opinion which will include an opinion to the effect that, for U.S. federal income tax</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216</w:t>
      </w:r>
    </w:p>
    <w:p>
      <w:pPr>
        <w:sectPr>
          <w:pgSz w:w="11900" w:h="16838" w:orient="portrait"/>
          <w:cols w:equalWidth="0" w:num="1">
            <w:col w:w="10159"/>
          </w:cols>
          <w:pgMar w:left="300" w:top="386"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purposes, the Contribution, taken together with the Distribution, will qualify as a generally tax-free transaction under Sections 355, 361 and 368(a)(1)</w:t>
      </w:r>
    </w:p>
    <w:p>
      <w:pPr>
        <w:spacing w:after="0" w:line="22" w:lineRule="exact"/>
        <w:rPr>
          <w:sz w:val="20"/>
          <w:szCs w:val="20"/>
          <w:color w:val="auto"/>
        </w:rPr>
      </w:pPr>
    </w:p>
    <w:p>
      <w:pPr>
        <w:ind w:left="1360" w:right="239" w:hanging="5"/>
        <w:spacing w:after="0" w:line="252" w:lineRule="auto"/>
        <w:tabs>
          <w:tab w:leader="none" w:pos="1589"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Code. The Modine Distribution Tax Opinion will be based on, among other things, certain representations and assumptions as to factual matters and certain covenants made by Gentherm, SpinCo and Modine. The failure of any factual representation, assumption or covenant to be true, correct and complete in all material respects could adversely affect the validity of the opinion of counsel. An opinion of counsel represents counsel’s best legal judgment, is not binding on the IRS or the courts, and the IRS or the courts may not agree with the opinion. In addition, the opinion will be based on current law and cannot be relied upon if current law changes with retroactive effect. On the basis that, for U.S. federal income tax purposes, the Contribution, taken together with the Distribution, will qualify as a generally tax-free transaction under Sections 355, 361 and 368(a)(1)(D) of the Code for U.S. federal income tax purposes:</w:t>
      </w:r>
    </w:p>
    <w:p>
      <w:pPr>
        <w:spacing w:after="0" w:line="74"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gain or loss will be recognized by, or be includible in the income of, a U.S. Holder of Modine Common Stock as a result of the Distribution;</w:t>
      </w:r>
    </w:p>
    <w:p>
      <w:pPr>
        <w:spacing w:after="0" w:line="51" w:lineRule="exact"/>
        <w:rPr>
          <w:rFonts w:ascii="Times New Roman" w:cs="Times New Roman" w:eastAsia="Times New Roman" w:hAnsi="Times New Roman"/>
          <w:sz w:val="14"/>
          <w:szCs w:val="14"/>
          <w:color w:val="auto"/>
        </w:rPr>
      </w:pPr>
    </w:p>
    <w:p>
      <w:pPr>
        <w:jc w:val="both"/>
        <w:ind w:left="2120" w:right="519" w:hanging="345"/>
        <w:spacing w:after="0" w:line="267" w:lineRule="auto"/>
        <w:tabs>
          <w:tab w:leader="none" w:pos="2120"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tax basis of the Modine Common Stock and the SpinCo Common Stock held by each U.S. Holder immediately after the Distribution will be the same as the aggregate tax basis of the Modine Common Stock held by the U.S. Holder immediately before the Distribution, allocated proportionately based on relative fair market values; and</w:t>
      </w:r>
    </w:p>
    <w:p>
      <w:pPr>
        <w:spacing w:after="0" w:line="6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holding period of the SpinCo Common Stock received by each U.S. Holder will include the holding period of their Modine Common Stock.</w:t>
      </w:r>
    </w:p>
    <w:p>
      <w:pPr>
        <w:spacing w:after="0" w:line="125" w:lineRule="exact"/>
        <w:rPr>
          <w:sz w:val="20"/>
          <w:szCs w:val="20"/>
          <w:color w:val="auto"/>
        </w:rPr>
      </w:pPr>
    </w:p>
    <w:p>
      <w:pPr>
        <w:jc w:val="both"/>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U.S. Holders that have acquired different blocks of Modine Common Stock at different times or at different prices are urged to consult their tax advisors regarding the allocation of their aggregate adjusted tax basis among, and the holding period of, shares of SpinCo Common Stock distributed with respect to such blocks of Modine Common Stock.</w:t>
      </w:r>
    </w:p>
    <w:p>
      <w:pPr>
        <w:spacing w:after="0" w:line="136"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Modine Distribution Tax Opinion will not be binding on the IRS or the courts, and there can be no assurance that the IRS or a court will not take a contrary position. If the conclusions expressed in the Modine Distribution Tax Opinion are challenged by the IRS, and if the IRS prevails in such challenge, the tax considerations of the Distribution could be materially less favorable than those described above.</w:t>
      </w:r>
    </w:p>
    <w:p>
      <w:pPr>
        <w:spacing w:after="0" w:line="136"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In addition to the receipt of the Modine Distribution Tax Opinion, a condition to the consummation of the Distribution and the Merger is the receipt by Modine of the IRS Ruling addressing, among other things, the nature and extent of shareholders who may be counted as Overlap Shareholders, the counting methodologies employed, and the sources that can be referenced to for ascertaining such shareholders, for purposes of determining the Exchange Ratio in the Merger (for additional information on the contents of the IRS Ruling, see the section entitled “IRS Ruling”). If the IRS Ruling is not obtained, then this condition will not be satisfied, and unless this condition is waived by Modine, the Distribution and the Merger will not be consummated. In addition, Gibson Dunn would likely be unable to deliver the Modine Distribution Tax Opinion if the IRS Ruling is not obtained due to the uncertainties associated with ascertaining Overlap Shareholders in the absence of an IRS private letter ruling. There can be no assurance that the IRS Ruling will be received on a timely basis, and any delay or failure to obtain the IRS Ruling may prevent the Distribution, Merger and related transactions from being completed.</w:t>
      </w:r>
    </w:p>
    <w:p>
      <w:pPr>
        <w:spacing w:after="0" w:line="149" w:lineRule="exact"/>
        <w:rPr>
          <w:sz w:val="20"/>
          <w:szCs w:val="20"/>
          <w:color w:val="auto"/>
        </w:rPr>
      </w:pPr>
    </w:p>
    <w:p>
      <w:pPr>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If the Distribution were determined not to qualify for tax-free treatment, the above considerations would not apply and each U.S. Holder of Modine Common Stock who receives SpinCo Common Stock in the Distribution generally would be treated as receiving a distribution in an amount equal to the fair market value of SpinCo Common Stock received, which generally would result in:</w:t>
      </w:r>
    </w:p>
    <w:p>
      <w:pPr>
        <w:spacing w:after="0" w:line="62" w:lineRule="exact"/>
        <w:rPr>
          <w:sz w:val="20"/>
          <w:szCs w:val="20"/>
          <w:color w:val="auto"/>
        </w:rPr>
      </w:pPr>
    </w:p>
    <w:p>
      <w:pPr>
        <w:ind w:left="2120" w:right="439" w:hanging="345"/>
        <w:spacing w:after="0" w:line="283" w:lineRule="auto"/>
        <w:tabs>
          <w:tab w:leader="none" w:pos="212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taxable dividend to the U.S. Holder to the extent of that U.S. Holder’s pro rata share of Modine’s current or accumulated earnings and profits, as determined for U.S. federal income tax purposes;</w:t>
      </w:r>
    </w:p>
    <w:p>
      <w:pPr>
        <w:spacing w:after="0" w:line="5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the U.S. Holder’s basis (but not below zero) in its Modine Common Stock to the extent the amount received exceeds the U.S. Holder’s share of Modine’s earnings and profits;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217</w:t>
      </w:r>
    </w:p>
    <w:p>
      <w:pPr>
        <w:sectPr>
          <w:pgSz w:w="11900" w:h="16838" w:orient="portrait"/>
          <w:cols w:equalWidth="0" w:num="1">
            <w:col w:w="10159"/>
          </w:cols>
          <w:pgMar w:left="300" w:top="386"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19" w:hanging="345"/>
        <w:spacing w:after="0" w:line="283" w:lineRule="auto"/>
        <w:tabs>
          <w:tab w:leader="none" w:pos="21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taxable gain from the exchange of Modine Common Stock to the extent the amount received exceeds the sum of the U.S. Holder’s share of Modine’s earnings and profits and the U.S. holder’s basis in its Modine Common Stock.</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Treasury Regulations require holders of Modine Common Stock that, immediately before the Distribution, owned 5% or more (by vote or value) of the total outstanding stock of Modine to attach to their U.S. federal income tax return for the year in which the Distribution occurs a detailed statement setting forth certain information relating to the tax-free nature of the Distribution. Modine will provide U.S. Holders of Modine Common Stock with the information necessary to comply with this requirement upon request. U.S. Holders of Modine Common Stock are urged to consult their tax advisors to determine whether they are significant distributees required to provide the foregoing statement.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of the Contribution and the Distribution to Modine</w:t>
      </w:r>
    </w:p>
    <w:p>
      <w:pPr>
        <w:spacing w:after="0" w:line="93"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The following is a summary of the material U.S. federal income tax considerations to Modine in connection with the Contribution and the Distribution. As discussed above, completion of the Transactions is conditioned upon Modine’s receipt of the Modine Distribution Tax Opinion to the effect that, for U.S. federal income tax purposes, the Contribution, taken together with the Distribution, will qualify as a generally tax-free transaction under Sections 355, 361 and 368(a)(1)(D) of the Code. On the basis of the foregoing, no gain or loss will be recognized by Modine as a result of the Contribution and the Distribution (subject to certain exceptions not expected to be material). The Modine Distribution Tax Opinion with respect to the Contribution and the Distribution will be subject to the qualifications and limitations as are set forth above under “—Material U.S. Federal Income Tax Considerations of the Contribution and the Distribution to U.S. Holders of Modine Common Stock.”</w:t>
      </w:r>
    </w:p>
    <w:p>
      <w:pPr>
        <w:spacing w:after="0" w:line="144"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If the Contribution and the Distribution were determined not to qualify for tax-free treatment, then Modine could recognize gain in respect of the Contribution and the Distribution which could result in material tax liability.</w:t>
      </w:r>
    </w:p>
    <w:p>
      <w:pPr>
        <w:spacing w:after="0" w:line="125" w:lineRule="exact"/>
        <w:rPr>
          <w:sz w:val="20"/>
          <w:szCs w:val="20"/>
          <w:color w:val="auto"/>
        </w:rPr>
      </w:pPr>
    </w:p>
    <w:p>
      <w:pPr>
        <w:ind w:left="1360" w:right="279" w:firstLine="343"/>
        <w:spacing w:after="0" w:line="252" w:lineRule="auto"/>
        <w:rPr>
          <w:sz w:val="20"/>
          <w:szCs w:val="20"/>
          <w:color w:val="auto"/>
        </w:rPr>
      </w:pPr>
      <w:r>
        <w:rPr>
          <w:rFonts w:ascii="Times New Roman" w:cs="Times New Roman" w:eastAsia="Times New Roman" w:hAnsi="Times New Roman"/>
          <w:sz w:val="14"/>
          <w:szCs w:val="14"/>
          <w:color w:val="auto"/>
        </w:rPr>
        <w:t>Even if the Contribution and the Distribution otherwise qualify generally as tax-free transactions as described above, the Distribution would be taxable to Modine (but not to Modine shareholders) pursuant to Section 355(e) of the Code if one or more persons acquire a 50% or greater interest (measured by vote or value) in the stock of Modine or SpinCo, directly or indirectly (including through acquisitions of the combined company’s stock after the completion of the Merger), as part of a plan or series of related transactions that includes the Distribution. Current law generally creates a presumption that any direct or indirect acquisition of stock of Modine or SpinCo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The Merger will be treated as part of such a plan for these purposes. Accordingly, if the Merger results in one or more persons acquiring a 50% or greater interest in the stock of SpinCo, Section 355(e) of the Code could apply, which could result in a material tax liability. Modine has requested the IRS Ruling regarding the proper time, manner and methodology for measuring Overlap Shareholders. The IRS Ruling, if received, is expected to confirm that the net increase in an Overlap Shareholder’s ownership of SpinCo as a result of the Merger by virtue of being a shareholder in Gentherm is offset by its net decrease in such ownership percentage by reason of being a SpinCo shareholder immediately prior to the Merger. Assuming the IRS Ruling is received prior to the closing date of the Merger, the Merger Agreement provides that the number of shares of Gentherm Common Stock that may be issued in the Merger is subject to increase at closing such that the former stockholders of SpinCo (taking into account the Overlap Shareholders) own, for tax purposes, at least the Threshold Percentage of the outstanding shares of Gentherm Common Stock immediately following the Merger. Thus, the Merger standing alone will not</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218</w:t>
      </w:r>
    </w:p>
    <w:p>
      <w:pPr>
        <w:sectPr>
          <w:pgSz w:w="11900" w:h="16838" w:orient="portrait"/>
          <w:cols w:equalWidth="0" w:num="1">
            <w:col w:w="10159"/>
          </w:cols>
          <w:pgMar w:left="300" w:top="386"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cause Section 355(e) of the Code to apply to the Distribution because holders of SpinCo Common Stock immediately before the Merger will hold more than 50% of the stock of the combined company (by vote and value) immediately after the Merger. If the IRS Ruling is received, this conclusion will depend, in large part, on the terms and conditions of the IRS Ruling. Although the IRS Ruling, if received, will generally be binding on the IRS, the continuing validity of such ruling will be subject to the accuracy of factual representations and assumptions made in the ruling request. Moreover, the IRS Ruling, if received, will only describe the time, manner and methodology for measuring Overlap Shareholders and may be subject to varying interpretations. The actual determination and calculation of Overlap Shareholders will be made by Modine, Gentherm and their respective advisors based on the IRS Ruling, but no assurance can be given that the IRS will agree with these determinations or calculations. Additionally, if the IRS were to determine that other direct or indirect acquisitions of stock of Modine or SpinCo, either before or after the Distribution, were part of a plan that includes the Distribution, such determination could cause Section 355(e) of the Code to apply, which could result in a material tax liability.</w:t>
      </w:r>
    </w:p>
    <w:p>
      <w:pPr>
        <w:spacing w:after="0" w:line="149" w:lineRule="exact"/>
        <w:rPr>
          <w:sz w:val="20"/>
          <w:szCs w:val="20"/>
          <w:color w:val="auto"/>
        </w:rPr>
      </w:pPr>
    </w:p>
    <w:p>
      <w:pPr>
        <w:ind w:left="1360" w:right="319" w:firstLine="343"/>
        <w:spacing w:after="0" w:line="277" w:lineRule="auto"/>
        <w:rPr>
          <w:sz w:val="20"/>
          <w:szCs w:val="20"/>
          <w:color w:val="auto"/>
        </w:rPr>
      </w:pPr>
      <w:r>
        <w:rPr>
          <w:rFonts w:ascii="Times New Roman" w:cs="Times New Roman" w:eastAsia="Times New Roman" w:hAnsi="Times New Roman"/>
          <w:sz w:val="13"/>
          <w:szCs w:val="13"/>
          <w:color w:val="auto"/>
        </w:rPr>
        <w:t>In certain circumstances, under the Tax Matters Agreement, Gentherm and SpinCo will be required to indemnify Modine against all or a portion of any taxes that arise as a result of certain disqualifying actions by Gentherm or SpinCo (including any of Gentherm or SpinCo’s representations being untrue or their covenants being breached or if they or their stockholders were to engage in transactions that resulted in the application of Section 355(e) of the Code to the Transactions as described above), issues with the computation or availability of Overlap Shareholders that result in the application of Code Section 355(e), or the occurrence of certain events relating to SpinCo or Gentherm. If Modine were to recognize gain in respect of the Transactions for reasons not related to a disqualifying action by Gentherm or SpinCo (or Gentherm’s shareholders) or to issues with the computation or availability of Overlap Shareholders, Modine would not generally be entitled to be indemnified under the Tax Matters Agreement. See “Additional Agreements Related to the Separation, the Distribution and the Merger—Tax Matters Agreement” for a summary of the Tax Matters Agreement.</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of the Merger</w:t>
      </w:r>
    </w:p>
    <w:p>
      <w:pPr>
        <w:spacing w:after="0" w:line="93"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Immediately following the receipt by a U.S. Holder of Modine Common Stock of shares of SpinCo Common Stock in the Distribution, the shares of SpinCo Common Stock so received will be exchanged for Gentherm Common Stock pursuant to the Merger. The consummation of the Merger is conditioned upon the receipt by Modine of the Modine Merger Tax Opinion and the receipt by Gentherm of the Gentherm Merger Tax Opinion, in each case, to the effect that the Merger will be treated as a reorganization under Section 368(a) of the Code.</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Assuming the Merger is so treated for U.S. federal income tax purposes:</w:t>
      </w:r>
    </w:p>
    <w:p>
      <w:pPr>
        <w:spacing w:after="0" w:line="102" w:lineRule="exact"/>
        <w:rPr>
          <w:sz w:val="20"/>
          <w:szCs w:val="20"/>
          <w:color w:val="auto"/>
        </w:rPr>
      </w:pPr>
    </w:p>
    <w:p>
      <w:pPr>
        <w:ind w:left="2120" w:right="759" w:hanging="345"/>
        <w:spacing w:after="0" w:line="283" w:lineRule="auto"/>
        <w:tabs>
          <w:tab w:leader="none" w:pos="21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of SpinCo Common Stock will not recognize any gain or loss solely as a result of the exchange of shares of SpinCo Common Stock for Gentherm Common Stock;</w:t>
      </w:r>
    </w:p>
    <w:p>
      <w:pPr>
        <w:spacing w:after="0" w:line="51" w:lineRule="exact"/>
        <w:rPr>
          <w:rFonts w:ascii="Times New Roman" w:cs="Times New Roman" w:eastAsia="Times New Roman" w:hAnsi="Times New Roman"/>
          <w:sz w:val="14"/>
          <w:szCs w:val="14"/>
          <w:color w:val="auto"/>
        </w:rPr>
      </w:pPr>
    </w:p>
    <w:p>
      <w:pPr>
        <w:jc w:val="both"/>
        <w:ind w:left="2120" w:right="339" w:hanging="345"/>
        <w:spacing w:after="0" w:line="267" w:lineRule="auto"/>
        <w:tabs>
          <w:tab w:leader="none" w:pos="21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Holder’s aggregate tax basis of Gentherm Common Stock received in the Merger will be the same as the aggregate tax basis of the SpinCo Common Stock for which it is exchanged, including any fractional share interest for which cash is received, in proportion to their relative fair market values on the date of the Merger;</w:t>
      </w:r>
    </w:p>
    <w:p>
      <w:pPr>
        <w:spacing w:after="0" w:line="6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Holder’s holding period of Gentherm Common Stock received in exchange for shares of SpinCo Common Stock will include the holding period of the SpinCo Common Stock for which it is exchanged; and</w:t>
      </w:r>
    </w:p>
    <w:p>
      <w:pPr>
        <w:spacing w:after="0" w:line="51" w:lineRule="exact"/>
        <w:rPr>
          <w:rFonts w:ascii="Times New Roman" w:cs="Times New Roman" w:eastAsia="Times New Roman" w:hAnsi="Times New Roman"/>
          <w:sz w:val="14"/>
          <w:szCs w:val="14"/>
          <w:color w:val="auto"/>
        </w:rPr>
      </w:pPr>
    </w:p>
    <w:p>
      <w:pPr>
        <w:ind w:left="2120" w:right="239" w:hanging="345"/>
        <w:spacing w:after="0" w:line="258" w:lineRule="auto"/>
        <w:tabs>
          <w:tab w:leader="none" w:pos="21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who receives cash in lieu of a fractional share of Gentherm Common Stock in the Merger will be treated as having sold such fractional share for cash and generally will recognize capital gain or loss in an amount equal to the difference between the amount of cash received and such U.S. Holder’s adjusted tax basis in the fractional share. That gain or loss will be long-term capital gain or loss if the U.S. Holder’s holding period for its shares of SpinCo Common Stock exceeds one year. The deductibility of capital losses is subject to limitations.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219</w:t>
      </w:r>
    </w:p>
    <w:p>
      <w:pPr>
        <w:sectPr>
          <w:pgSz w:w="11900" w:h="16838" w:orient="portrait"/>
          <w:cols w:equalWidth="0" w:num="1">
            <w:col w:w="10159"/>
          </w:cols>
          <w:pgMar w:left="300" w:top="386"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If a U.S. Holder holds blocks of SpinCo Common Stock with different bases and holding periods (as discussed above under “-Material U.S. Federal Income Tax Considerations of the Contribution and the Distribution to U.S. Holders of Modine Common Stock”), the Gentherm Common Stock such U.S. Holder receives in the Merger will be allocated pro rata to each such block of SpinCo Common Stock, and the basis and holding period of each block of Gentherm Common Stock such holder receives will be determined on a block-for-block basis depending on the basis and holding period of the blocks of SpinCo common stock exchanged for such block of Gentherm Common Stock. U.S. Holders that have acquired different blocks of SpinCo Common Stock at different times or at different prices are urged to consult their tax advisors regarding the allocation of their aggregate adjusted tax basis among, and the holding period of, shares of Gentherm Common Stock distributed with respect to such blocks of SpinCo Common Stock.</w:t>
      </w:r>
    </w:p>
    <w:p>
      <w:pPr>
        <w:spacing w:after="0" w:line="144"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Opinions of counsel regarding the tax considerations of the Merger are based on and subject to the accuracy of, among other things, certain factual assumptions, representations and undertakings from Modine, SpinCo and Gentherm, including those regarding the past and future conduct of the companies’ respective businesses and other matters. An opinion of counsel represents counsel’s best legal judgment but is not binding on the IRS or the courts, so there can be no certainty that the IRS will not challenge the conclusions reflected in the opinion or that a court will not sustain such a challenge. Modine, SpinCo, and Gentherm have not requested and do not intend to request any ruling from the IRS as to the U.S. federal income tax considerations of the Merger. Additionally, the conditions in the Merger Agreement related to the receipt by Modine and Gentherm of such tax opinions, may be waived by Modine and Gentherm in writing. For more information about conditions to the consummation of the Merger, see “</w:t>
      </w:r>
      <w:r>
        <w:rPr>
          <w:rFonts w:ascii="Times New Roman" w:cs="Times New Roman" w:eastAsia="Times New Roman" w:hAnsi="Times New Roman"/>
          <w:sz w:val="14"/>
          <w:szCs w:val="14"/>
          <w:i w:val="1"/>
          <w:iCs w:val="1"/>
          <w:color w:val="auto"/>
        </w:rPr>
        <w:t>The Transaction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Agreements—The Merger Agreement—Conditions to the Merger.</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If the IRS were to successfully challenge the treatment of the Merger described above, the tax considerations could differ, perhaps substantially, from those described herein.</w:t>
      </w:r>
    </w:p>
    <w:p>
      <w:pPr>
        <w:spacing w:after="0" w:line="125"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The preceding discussion is a summary of the material U.S. federal income tax considerations of the Merger. It is not a complete analysis or discussion of all potential tax effects that may be important to you. Thus, you are strongly encouraged to consult your tax advisor as to the specific tax considerations resulting from the Merger, including tax return reporting requirements, the applicability and effect of federal, state, local, and other tax laws and the effect of any proposed changes in the tax laws.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3"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Treasury Regulations require certain significant SpinCo stockholders to attach to their U.S. federal income tax return for the year in which the Merger occurs a detailed statement setting forth certain information relating to the tax-free nature of the Merger. In addition, payments of cash in lieu of fractional shares of Gentherm Common Stock in the Merger may be subject to information reporting and backup withholding, and backup withholding may apply to such payments if the U.S. Holder fails to provide a taxpayer identification number or a certification of exempt status or has been notified by the IRS that it is subject to backup withholding (and such notification has not been withdrawn).</w:t>
      </w:r>
    </w:p>
    <w:p>
      <w:pPr>
        <w:spacing w:after="0" w:line="144" w:lineRule="exact"/>
        <w:rPr>
          <w:sz w:val="20"/>
          <w:szCs w:val="20"/>
          <w:color w:val="auto"/>
        </w:rPr>
      </w:pPr>
    </w:p>
    <w:p>
      <w:pPr>
        <w:ind w:left="1360" w:right="379" w:firstLine="343"/>
        <w:spacing w:after="0" w:line="296" w:lineRule="auto"/>
        <w:rPr>
          <w:sz w:val="20"/>
          <w:szCs w:val="20"/>
          <w:color w:val="auto"/>
        </w:rPr>
      </w:pPr>
      <w:r>
        <w:rPr>
          <w:rFonts w:ascii="Times New Roman" w:cs="Times New Roman" w:eastAsia="Times New Roman" w:hAnsi="Times New Roman"/>
          <w:sz w:val="13"/>
          <w:szCs w:val="13"/>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of the Gentherm Special Dividend</w:t>
      </w:r>
    </w:p>
    <w:p>
      <w:pPr>
        <w:spacing w:after="0" w:line="93" w:lineRule="exact"/>
        <w:rPr>
          <w:sz w:val="20"/>
          <w:szCs w:val="20"/>
          <w:color w:val="auto"/>
        </w:rPr>
      </w:pPr>
    </w:p>
    <w:p>
      <w:pPr>
        <w:jc w:val="both"/>
        <w:ind w:left="1360" w:right="619" w:firstLine="343"/>
        <w:spacing w:after="0" w:line="261" w:lineRule="auto"/>
        <w:rPr>
          <w:sz w:val="20"/>
          <w:szCs w:val="20"/>
          <w:color w:val="auto"/>
        </w:rPr>
      </w:pPr>
      <w:r>
        <w:rPr>
          <w:rFonts w:ascii="Times New Roman" w:cs="Times New Roman" w:eastAsia="Times New Roman" w:hAnsi="Times New Roman"/>
          <w:sz w:val="14"/>
          <w:szCs w:val="14"/>
          <w:color w:val="auto"/>
        </w:rPr>
        <w:t>As discussed herein, in order to preserve the tax-free nature of the Distribution for U.S. federal income tax purposes, the Merger Agreement provides that the Exchange Ratio will be adjusted and increased if necessary to ensure that, immediately following the Closing, former holders of SpinCo Common Stock (including the Overlap Shareholders) own, for U.S. federal income tax purposes, at least the Threshold Percentage of the outstanding</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220</w:t>
      </w:r>
    </w:p>
    <w:p>
      <w:pPr>
        <w:sectPr>
          <w:pgSz w:w="11900" w:h="16838" w:orient="portrait"/>
          <w:cols w:equalWidth="0" w:num="1">
            <w:col w:w="10159"/>
          </w:cols>
          <w:pgMar w:left="300" w:top="386"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shares of Gentherm Common Stock. If additional shares of Gentherm Common Stock are required to be issued as a result of the Exchange Ratio adjustment, the Merger Agreement provides that, prior to the Closing, Gentherm, subject to applicable law, will declare the Gentherm Special Dividend. Each holder of Gentherm Common Stock who receives the Gentherm Special Dividend would be treated as receiving a taxable distribution equal to the amount of cash received by the holder. Specifically, the amount will be treated first as a taxable dividend to the extent of the holder’s pro rata share of Gentherm’s current and accumulated earnings and profits, then as a non-taxable return of capital to the extent of the holder’s basis in the Gentherm Common Stock, and finally as capital gain from the sale or exchange of Gentherm Common Stock with respect to any remaining value.</w:t>
      </w:r>
    </w:p>
    <w:p>
      <w:pPr>
        <w:spacing w:after="0" w:line="143"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With respect to U.S. Holders of Gentherm Common Stock, such capital gain will be long-term capital gain if the U.S. Holder’s holding period for its Gentherm Common Stock exceeds one year at the Effective Time. Long-term capital gains generally are subject to preferential rates of U.S. federal income tax for certain non-corporate U.S. Holders (including individuals).</w:t>
      </w:r>
    </w:p>
    <w:p>
      <w:pPr>
        <w:spacing w:after="0" w:line="136"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Additionally, if and to the extent the Gentherm Special Dividend is treated as a taxable dividend, the Gentherm Special Dividend may be considered an “extraordinary dividend” under certain U.S. federal income tax rules relating to extraordinary distributions by corporations, depending on the facts and circumstances of the U.S. Holder. Treatment of the Gentherm Special Dividend as an extraordinary dividend may affect a U.S. Holder’s tax basis in its shares of Gentherm Common Stock or result in gain being recognized with respect to such stock, and, with respect to corporate U.S. Holders, may affect the availability of the dividends-received deduction. Each U.S. Holder is therefore strongly urged to consult with its own tax advisor regarding the specific tax treatment of the Gentherm Special Dividend, including with respect to the extraordinary dividend rules.</w:t>
      </w:r>
    </w:p>
    <w:p>
      <w:pPr>
        <w:spacing w:after="0" w:line="143" w:lineRule="exact"/>
        <w:rPr>
          <w:sz w:val="20"/>
          <w:szCs w:val="20"/>
          <w:color w:val="auto"/>
        </w:rPr>
      </w:pPr>
    </w:p>
    <w:p>
      <w:pPr>
        <w:jc w:val="both"/>
        <w:ind w:left="1360" w:right="259" w:firstLine="343"/>
        <w:spacing w:after="0" w:line="277" w:lineRule="auto"/>
        <w:rPr>
          <w:sz w:val="20"/>
          <w:szCs w:val="20"/>
          <w:color w:val="auto"/>
        </w:rPr>
      </w:pPr>
      <w:r>
        <w:rPr>
          <w:rFonts w:ascii="Times New Roman" w:cs="Times New Roman" w:eastAsia="Times New Roman" w:hAnsi="Times New Roman"/>
          <w:sz w:val="13"/>
          <w:szCs w:val="13"/>
          <w:color w:val="auto"/>
        </w:rPr>
        <w:t>With respect to any Non-U.S. Holder, except as described below, the portion treated as a dividend is subject to withholding of U.S. federal income tax at a 30% rate of the gross amount unless the Non-U.S. Holder is eligible for an exemption from, or a reduced rate of, such withholding tax under an applicable income tax treaty and the Non-U.S. Holder provides proper certification of its eligibility for such exemption or reduced rate. If a Non-U.S.</w:t>
      </w:r>
    </w:p>
    <w:p>
      <w:pPr>
        <w:spacing w:after="0" w:line="2" w:lineRule="exact"/>
        <w:rPr>
          <w:sz w:val="20"/>
          <w:szCs w:val="20"/>
          <w:color w:val="auto"/>
        </w:rPr>
      </w:pPr>
    </w:p>
    <w:p>
      <w:pPr>
        <w:ind w:left="1360" w:right="579"/>
        <w:spacing w:after="0" w:line="256" w:lineRule="auto"/>
        <w:rPr>
          <w:sz w:val="20"/>
          <w:szCs w:val="20"/>
          <w:color w:val="auto"/>
        </w:rPr>
      </w:pPr>
      <w:r>
        <w:rPr>
          <w:rFonts w:ascii="Times New Roman" w:cs="Times New Roman" w:eastAsia="Times New Roman" w:hAnsi="Times New Roman"/>
          <w:sz w:val="14"/>
          <w:szCs w:val="14"/>
          <w:color w:val="auto"/>
        </w:rPr>
        <w:t>Holder is eligible for a reduced rate of U.S. withholding tax under an income tax treaty, the holder may obtain a refund of any amounts withheld in excess of that rate by timely filing a refund claim with the IRS. Non-U.S. Holders should consult their tax advisors regarding their entitlement to benefits under any applicable income tax treaty.</w:t>
      </w:r>
    </w:p>
    <w:p>
      <w:pPr>
        <w:spacing w:after="0" w:line="143"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If the dividend to a Non-U.S. Holder is effectively connected with the conduct by such Non-U.S. Holder of a trade or business within the United States (or, if required by an applicable income tax treaty, are attributable to a permanent establishment or a fixed base of such Non-U.S. Holder in the United States), then such dividend will not be subject to U.S. withholding tax, as described above, if the Non-U.S. Holder complies with applicable certification and disclosure requirements. Instead, such dividend will be subject to U.S. federal income tax on a net income basis, at the U.S. federal income tax rates applicable to U.S. persons.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 Non-U.S. Holders should consult their tax advisors regarding any applicable tax treaties that may provide for different rules.</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Any portion of the Gentherm Special Dividend that is treated as capital gain from the sale or exchange of Gentherm Common Stock by a</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Non-U.S. Holder will not be subject to any U.S. federal income tax unless:</w:t>
      </w:r>
    </w:p>
    <w:p>
      <w:pPr>
        <w:spacing w:after="0" w:line="87" w:lineRule="exact"/>
        <w:rPr>
          <w:sz w:val="20"/>
          <w:szCs w:val="20"/>
          <w:color w:val="auto"/>
        </w:rPr>
      </w:pPr>
    </w:p>
    <w:p>
      <w:pPr>
        <w:ind w:left="2120" w:right="319" w:hanging="345"/>
        <w:spacing w:after="0" w:line="323" w:lineRule="auto"/>
        <w:tabs>
          <w:tab w:leader="none" w:pos="2120"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a trade or business carried on by the Non-U.S. Holder within the United States (or, if required by an applicable income tax treaty, is attributable to a permanent establishment or a fixed base of such Non-U.S. Holder in the United States);</w:t>
      </w:r>
    </w:p>
    <w:p>
      <w:pPr>
        <w:spacing w:after="0" w:line="28" w:lineRule="exact"/>
        <w:rPr>
          <w:rFonts w:ascii="Times New Roman" w:cs="Times New Roman" w:eastAsia="Times New Roman" w:hAnsi="Times New Roman"/>
          <w:sz w:val="13"/>
          <w:szCs w:val="13"/>
          <w:color w:val="auto"/>
        </w:rPr>
      </w:pPr>
    </w:p>
    <w:p>
      <w:pPr>
        <w:ind w:left="2120" w:right="299" w:hanging="345"/>
        <w:spacing w:after="0" w:line="283" w:lineRule="auto"/>
        <w:tabs>
          <w:tab w:leader="none" w:pos="212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and is present in the United States for 183 days or more in the taxable year of disposition and certain other conditions are met; or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221</w:t>
      </w:r>
    </w:p>
    <w:p>
      <w:pPr>
        <w:sectPr>
          <w:pgSz w:w="11900" w:h="16838" w:orient="portrait"/>
          <w:cols w:equalWidth="0" w:num="1">
            <w:col w:w="10159"/>
          </w:cols>
          <w:pgMar w:left="300" w:top="386"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59" w:hanging="345"/>
        <w:spacing w:after="0" w:line="261" w:lineRule="auto"/>
        <w:tabs>
          <w:tab w:leader="none" w:pos="212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Gentherm is or has been a U.S. real property holding corporation for U.S. federal income tax purposes at any time during the shorter of the five-year period ending on the date of such disposition or such Non-U.S. Holder’s holding period of such Gentherm Common Stock and such Non-U.S. Holder owns (directly, indirectly or constructively) more than 5% of Gentherm Common Stock during the applicable period.</w:t>
      </w:r>
    </w:p>
    <w:p>
      <w:pPr>
        <w:spacing w:after="0" w:line="141"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Gain described in the first bullet above generally will be subject to U.S. federal income tax on a net income basis at the graduated rates generally applicable to U.S. persons. A Non-U.S. Holder described in the first bullet above that is a corporation for U.S. federal income tax purposes also may be subject to the branch profits tax described above. A Non-U.S. Holder described in the second bullet above generally will be subject to U.S. federal income tax at a flat rate of 30% (or such lower rate as may be specified by an applicable income tax treaty) on the gain, which may be offset by certain U.S.-source capital losses of the Non-U.S. Holder recognized in the same taxable year. With respect to the third bullet point above, Gentherm believes it is not, and does not expect to become, a “United States real property holding corporation” for U.S. federal income tax purposes. However, no assurance can be provided in this regard.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3" w:lineRule="exact"/>
        <w:rPr>
          <w:sz w:val="20"/>
          <w:szCs w:val="20"/>
          <w:color w:val="auto"/>
        </w:rPr>
      </w:pPr>
    </w:p>
    <w:p>
      <w:pPr>
        <w:jc w:val="both"/>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In general, information reporting will apply to distributions in respect of Gentherm Common Stock and the proceeds from the sale, exchange or other disposition of Gentherm Common Stock that are paid to a U.S. Holder within the United States (and in certain cases, outside the United States), unless the holder is an exempt recipient.</w:t>
      </w:r>
    </w:p>
    <w:p>
      <w:pPr>
        <w:spacing w:after="0" w:line="136"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amount of distributions in respect of Gentherm Common Stock and the proceeds from the sale, exchange or other disposition of Gentherm Common Stock that are paid to a Non-U.S. Holder, the name and address of the Non-U.S. Holder and the amount of tax, if any, withheld generally will be reported to the IRS. Copies of these information returns may also be made available under the provisions of a specific treaty or agreement to the tax authorities of the country in which the Non-U.S. Holder resides.</w:t>
      </w:r>
    </w:p>
    <w:p>
      <w:pPr>
        <w:spacing w:after="0" w:line="14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A backup withholding may apply to such payments if the U.S. Holder fails to provide a taxpayer identification number or a certification of exempt status or has been notified by the IRS that it is subject to backup withholding (and such notification has not been withdrawn). A Non-U.S. Holder generally will be required to provide proper certification to establish that the Non-U.S. Holder is not a U.S. person or otherwise qualifies for an exemption in order to avoid backup withholding tax with respect to distributions in respect of, or the proceeds from the sale, exchange or other disposition of, Gentherm Common Stock.</w:t>
      </w:r>
    </w:p>
    <w:p>
      <w:pPr>
        <w:spacing w:after="0" w:line="144" w:lineRule="exact"/>
        <w:rPr>
          <w:sz w:val="20"/>
          <w:szCs w:val="20"/>
          <w:color w:val="auto"/>
        </w:rPr>
      </w:pPr>
    </w:p>
    <w:p>
      <w:pPr>
        <w:jc w:val="both"/>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holder’s U.S. federal income tax liability, provided the required information is timely furnished to the IRS. A Holder of Gentherm Common Stock should consult its tax advisor regarding the application of the information reporting rules and backup withholding to it.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222</w:t>
      </w:r>
    </w:p>
    <w:p>
      <w:pPr>
        <w:sectPr>
          <w:pgSz w:w="11900" w:h="16838" w:orient="portrait"/>
          <w:cols w:equalWidth="0" w:num="1">
            <w:col w:w="10159"/>
          </w:cols>
          <w:pgMar w:left="300" w:top="386"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PERSON TRANSACTIONS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Ancillary Agreements</w:t>
      </w:r>
    </w:p>
    <w:p>
      <w:pPr>
        <w:spacing w:after="0" w:line="93"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Gentherm, Modine or SpinCo or their respective subsidiaries, in each case as applicable, have entered into or, before the consummation of the Transactions, will enter into, certain ancillary agreements relating to the Transactions and various interim and ongoing relationships between Gentherm, Modine and SpinCo. See the section entitled “Additional Agreements Related to the Separation, the Distribution and the Merger.”</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i w:val="1"/>
          <w:iCs w:val="1"/>
          <w:color w:val="auto"/>
        </w:rPr>
        <w:t>Policies and Procedures for Related Person Transactions</w:t>
      </w:r>
    </w:p>
    <w:p>
      <w:pPr>
        <w:spacing w:after="0" w:line="9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The Gentherm Board has adopted a written Related Person Transactions Policy (“RPT policy”), which covers related person transactions between a related person or persons and Gentherm. For purposes of the RPT policy, a related person transaction is a transaction or series of transactions in which Gentherm or a subsidiary thereof is, was or will be a participant, in which the amount involved exceeds $120,000 and in which any related person (as defined in the RPT policy) had, has or will have a direct or indirect material interest as well as any material amendment or modification to an existing related person transaction regardless of whether such transaction was previously approved in accordance with the RPT policy. A related person transaction does not include any employment relationship or transaction involving an executive officer and any related compensation resulting solely from such employment relationship or transaction that has been disclosed pursuant to Item 402 of Regulation S-K.</w:t>
      </w:r>
    </w:p>
    <w:p>
      <w:pPr>
        <w:spacing w:after="0" w:line="144" w:lineRule="exact"/>
        <w:rPr>
          <w:sz w:val="20"/>
          <w:szCs w:val="20"/>
          <w:color w:val="auto"/>
        </w:rPr>
      </w:pPr>
    </w:p>
    <w:p>
      <w:pPr>
        <w:ind w:left="1360" w:right="359" w:firstLine="343"/>
        <w:spacing w:after="0" w:line="257" w:lineRule="auto"/>
        <w:rPr>
          <w:sz w:val="20"/>
          <w:szCs w:val="20"/>
          <w:color w:val="auto"/>
        </w:rPr>
      </w:pPr>
      <w:r>
        <w:rPr>
          <w:rFonts w:ascii="Times New Roman" w:cs="Times New Roman" w:eastAsia="Times New Roman" w:hAnsi="Times New Roman"/>
          <w:sz w:val="14"/>
          <w:szCs w:val="14"/>
          <w:color w:val="auto"/>
        </w:rPr>
        <w:t>The RPT policy requires that notice of a proposed related person transaction be provided to Gentherm’s General Counsel prior to entry into such transaction. If Gentherm’s General Counsel has a potential interest in any related person transaction, that related person transaction must be submitted directly to Gentherm’s Audit Committee. If Gentherm’s General Counsel determines that such transaction is a related person transaction, the proposed transaction will be submitted for consideration (a) to Gentherm’s Audit Committee at its next meeting, (b) if Gentherm’s General Counsel, in consultation with Gentherm’s Chief Executive Officer or Chief Financial Officer, determines that it is not practicable or desirable to wait until the next Gentherm Audit Committee meeting, to the Chair of Gentherm’s Audit Committee.</w:t>
      </w:r>
    </w:p>
    <w:p>
      <w:pPr>
        <w:spacing w:after="0" w:line="143" w:lineRule="exact"/>
        <w:rPr>
          <w:sz w:val="20"/>
          <w:szCs w:val="20"/>
          <w:color w:val="auto"/>
        </w:rPr>
      </w:pPr>
    </w:p>
    <w:p>
      <w:pPr>
        <w:ind w:left="1360" w:right="219" w:firstLine="343"/>
        <w:spacing w:after="0" w:line="255" w:lineRule="auto"/>
        <w:rPr>
          <w:sz w:val="20"/>
          <w:szCs w:val="20"/>
          <w:color w:val="auto"/>
        </w:rPr>
      </w:pPr>
      <w:r>
        <w:rPr>
          <w:rFonts w:ascii="Times New Roman" w:cs="Times New Roman" w:eastAsia="Times New Roman" w:hAnsi="Times New Roman"/>
          <w:sz w:val="14"/>
          <w:szCs w:val="14"/>
          <w:color w:val="auto"/>
        </w:rPr>
        <w:t>Gentherm’s Audit Committee or the Chair of Gentherm’s Audit Committee, as applicable, may approve only those related person transactions that are in, or not inconsistent with, Gentherm’s best interests and the best interests of its shareholders. Any member of Gentherm’s Audit Committee who has a potential interest in any related person transaction must recuse themselves and abstain from voting on the approval of the transaction. In the event that Gentherm becomes aware of a related person transaction that has not been previously reviewed, approved or ratified under the RPT policy and that is ongoing or is completed (including any transaction that was not considered a related person transaction at the time it was entered into, but subsequently is), the transaction will be submitted to Gentherm’s Audit Committee or the Chair of Gentherm’s Audit Committee, as applicable, so that it may determine whether to continue, modify or terminate the related person transaction. There were no related person transactions required to be reported for 2023, 2024 or 2025.</w:t>
      </w:r>
    </w:p>
    <w:p>
      <w:pPr>
        <w:spacing w:after="0" w:line="3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CERTAIN BENEFICIAL OWNERS OF GENTHERM COMMON STOCK</w:t>
      </w:r>
    </w:p>
    <w:p>
      <w:pPr>
        <w:spacing w:after="0" w:line="177"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The table below sets forth certain information regarding beneficial ownership of Gentherm Common Stock as of June 18, 2026 unless otherwise indicated, by (i) each person or entity who is known to Gentherm to beneficially own five percent or more of Gentherm Common Stock, (ii) each of Gentherm’s directors and named executive officers and (iii) all of Gentherm’s current directors and executive officers as a group.</w:t>
      </w:r>
    </w:p>
    <w:p>
      <w:pPr>
        <w:spacing w:after="0" w:line="136" w:lineRule="exact"/>
        <w:rPr>
          <w:sz w:val="20"/>
          <w:szCs w:val="20"/>
          <w:color w:val="auto"/>
        </w:rPr>
      </w:pPr>
    </w:p>
    <w:p>
      <w:pPr>
        <w:jc w:val="both"/>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Gentherm has determined beneficial ownership in accordance with the rules of the SEC and includes sole or shared voting or investment power with respect to shares of Gentherm Common Stock. Unless otherwise indicated, to Gentherm’s knowledge, the persons and entities named in the table below have sole voting and sole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223</w:t>
      </w:r>
    </w:p>
    <w:p>
      <w:pPr>
        <w:sectPr>
          <w:pgSz w:w="11900" w:h="16838" w:orient="portrait"/>
          <w:cols w:equalWidth="0" w:num="1">
            <w:col w:w="10159"/>
          </w:cols>
          <w:pgMar w:left="300" w:top="386"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investment power with respect to the shares indicated as beneficially owned. Gentherm has deemed shares of Gentherm Common Stock subject to RSUs that would vest upon the satisfaction of time-based vesting conditions within 60 days of June 18, 2026 to be beneficially owned by the person holding such securities for the purpose of computing the percentage ownership of that person, but have not treated them as outstanding for the purpose of computing the percentage ownership of any other person. For purposes of providing the number of shares beneficially owned by the persons named in the table below, any fractional shares held by such person have been rounded up to the nearest whole share. As of June 18, 2026, there were 30,666,983 shares of Gentherm Common Stock outstanding. The following table also shows the anticipated pro forma number (and percentage) of shares of Gentherm Common Stock the directors, executive offices and owners of more than 5% of Gentherm Common Stock will beneficially own after giving effect to the Merger, based on their current beneficial ownership of Gentherm Common Stock. The pro forma ownership numbers (and percentage) are based on the assumptions that the Merger was consummated as of June 18, 2026, there are 5,000 outstanding shares of SpinCo Common Stock immediately prior to the Merger and an Exchange Ratio of 4,133 shares of Gentherm Common Stock to be issued for each share of SpinCo Common Stock in the Merger, subject to adjustment as set forth in the Merger Agreement, resulting in the issuance in the Merger of a total of 20,665,617 shares of Gentherm Common Stock as of June 18, 2026.</w:t>
      </w:r>
    </w:p>
    <w:p>
      <w:pPr>
        <w:spacing w:after="0" w:line="150"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Unless otherwise indicated, the address for each beneficial owner listed in the table below is c/o Gentherm Incorporated, 28875 Cabot Drive, Novi, Michigan 48377.</w:t>
      </w:r>
    </w:p>
    <w:p>
      <w:pPr>
        <w:spacing w:after="0" w:line="110"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72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130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260" w:type="dxa"/>
            <w:vAlign w:val="bottom"/>
            <w:gridSpan w:val="2"/>
            <w:vMerge w:val="continue"/>
          </w:tcPr>
          <w:p>
            <w:pPr>
              <w:spacing w:after="0"/>
              <w:rPr>
                <w:sz w:val="10"/>
                <w:szCs w:val="10"/>
                <w:color w:val="auto"/>
              </w:rPr>
            </w:pPr>
          </w:p>
        </w:tc>
        <w:tc>
          <w:tcPr>
            <w:tcW w:w="72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60" w:type="dxa"/>
            <w:vAlign w:val="bottom"/>
            <w:gridSpan w:val="2"/>
          </w:tcPr>
          <w:p>
            <w:pPr>
              <w:jc w:val="center"/>
              <w:ind w:right="660"/>
              <w:spacing w:after="0" w:line="116"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72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1300" w:type="dxa"/>
            <w:vAlign w:val="bottom"/>
            <w:gridSpan w:val="2"/>
          </w:tcPr>
          <w:p>
            <w:pPr>
              <w:jc w:val="center"/>
              <w:ind w:right="680"/>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60" w:type="dxa"/>
            <w:vAlign w:val="bottom"/>
            <w:gridSpan w:val="2"/>
          </w:tcPr>
          <w:p>
            <w:pPr>
              <w:jc w:val="center"/>
              <w:ind w:right="660"/>
              <w:spacing w:after="0" w:line="116" w:lineRule="exact"/>
              <w:rPr>
                <w:sz w:val="20"/>
                <w:szCs w:val="20"/>
                <w:color w:val="auto"/>
              </w:rPr>
            </w:pPr>
            <w:r>
              <w:rPr>
                <w:rFonts w:ascii="Times New Roman" w:cs="Times New Roman" w:eastAsia="Times New Roman" w:hAnsi="Times New Roman"/>
                <w:sz w:val="11"/>
                <w:szCs w:val="11"/>
                <w:b w:val="1"/>
                <w:bCs w:val="1"/>
                <w:color w:val="auto"/>
              </w:rPr>
              <w:t>Shares</w:t>
            </w:r>
          </w:p>
        </w:tc>
        <w:tc>
          <w:tcPr>
            <w:tcW w:w="72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0" w:type="dxa"/>
            <w:vAlign w:val="bottom"/>
          </w:tcPr>
          <w:p>
            <w:pPr>
              <w:spacing w:after="0"/>
              <w:rPr>
                <w:sz w:val="1"/>
                <w:szCs w:val="1"/>
                <w:color w:val="auto"/>
              </w:rPr>
            </w:pPr>
          </w:p>
        </w:tc>
      </w:tr>
      <w:tr>
        <w:trPr>
          <w:trHeight w:val="116"/>
        </w:trPr>
        <w:tc>
          <w:tcPr>
            <w:tcW w:w="39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1300" w:type="dxa"/>
            <w:vAlign w:val="bottom"/>
            <w:gridSpan w:val="2"/>
          </w:tcPr>
          <w:p>
            <w:pPr>
              <w:jc w:val="center"/>
              <w:ind w:right="70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1260" w:type="dxa"/>
            <w:vAlign w:val="bottom"/>
            <w:gridSpan w:val="2"/>
          </w:tcPr>
          <w:p>
            <w:pPr>
              <w:jc w:val="center"/>
              <w:ind w:right="66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72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35"/>
        </w:trPr>
        <w:tc>
          <w:tcPr>
            <w:tcW w:w="3920" w:type="dxa"/>
            <w:vAlign w:val="bottom"/>
            <w:vMerge w:val="continue"/>
          </w:tcPr>
          <w:p>
            <w:pPr>
              <w:spacing w:after="0"/>
              <w:rPr>
                <w:sz w:val="11"/>
                <w:szCs w:val="11"/>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1260" w:type="dxa"/>
            <w:vAlign w:val="bottom"/>
            <w:gridSpan w:val="2"/>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148"/>
        </w:trPr>
        <w:tc>
          <w:tcPr>
            <w:tcW w:w="39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5% Shareholders</w:t>
            </w:r>
          </w:p>
        </w:tc>
        <w:tc>
          <w:tcPr>
            <w:tcW w:w="6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BlackRock, Inc.</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4,631,996(1)</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15.1%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Vanguard Portfolio Management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1,829,216(2)</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6.0%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Sophie Desormière</w:t>
            </w: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38,011</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David Heinzmann</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17,073</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Ronald Hundzinski</w:t>
            </w: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35,971</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Laura Kowalchik</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9,103</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Charles Kummeth</w:t>
            </w: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21,645</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Betsy Meter</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15,372</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William Presley</w:t>
            </w: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178,314</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John Stacey</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22,820</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Kenneth Washington</w:t>
            </w: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10,965</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Jonathan Douyard</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69,639</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Thomas Stocker</w:t>
            </w: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28,085</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Jaymi Wilson</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42,726</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Vishnu Sundaram</w:t>
            </w: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4"/>
                <w:szCs w:val="14"/>
                <w:color w:val="auto"/>
              </w:rPr>
              <w:t>28,473</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9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Executive officers and directors as a group</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(13 persons)</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401,603</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1.3%</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700" w:hanging="345"/>
        <w:spacing w:after="0"/>
        <w:tabs>
          <w:tab w:leader="none" w:pos="17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22" w:lineRule="exact"/>
        <w:rPr>
          <w:sz w:val="20"/>
          <w:szCs w:val="20"/>
          <w:color w:val="auto"/>
        </w:rPr>
      </w:pPr>
    </w:p>
    <w:p>
      <w:pPr>
        <w:ind w:left="1700" w:right="599" w:hanging="345"/>
        <w:spacing w:after="0" w:line="201" w:lineRule="auto"/>
        <w:tabs>
          <w:tab w:leader="none" w:pos="170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Schedule 13G/A filed with the SEC on April 30, 2025. BlackRock, Inc. has sole power to vote 4,593,853 shares and sole power to dispose 4,631,996 shares. The address of BlackRock, Inc. is 55 East 52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xml:space="preserve"> Street, New York, New York 10055.</w:t>
      </w:r>
    </w:p>
    <w:p>
      <w:pPr>
        <w:ind w:left="1700" w:right="379" w:hanging="345"/>
        <w:spacing w:after="0" w:line="259" w:lineRule="auto"/>
        <w:tabs>
          <w:tab w:leader="none" w:pos="170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Schedule 13G/A filed with the SEC on April 29, 2026. Vanguard Portfolio Management has sole power to vote 25,210 shares and sole power to dispose 1,829,216 shares. The address of Vanguard Portfolio Management is 100 Vanguard Boulevard, Malvern, PA 19355.</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224</w:t>
      </w:r>
    </w:p>
    <w:p>
      <w:pPr>
        <w:sectPr>
          <w:pgSz w:w="11900" w:h="16838" w:orient="portrait"/>
          <w:cols w:equalWidth="0" w:num="1">
            <w:col w:w="10159"/>
          </w:cols>
          <w:pgMar w:left="300" w:top="386"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APPRAISAL RIGHTS</w:t>
      </w:r>
    </w:p>
    <w:p>
      <w:pPr>
        <w:spacing w:after="0" w:line="177"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Gentherm’s shareholders will not be entitled to exercise appraisal or dissenters’ rights under the MBCA in connection with the Separation, the Distribution or the Merger.</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279" w:firstLine="343"/>
        <w:spacing w:after="0" w:line="296" w:lineRule="auto"/>
        <w:rPr>
          <w:sz w:val="20"/>
          <w:szCs w:val="20"/>
          <w:color w:val="auto"/>
        </w:rPr>
      </w:pPr>
      <w:r>
        <w:rPr>
          <w:rFonts w:ascii="Times New Roman" w:cs="Times New Roman" w:eastAsia="Times New Roman" w:hAnsi="Times New Roman"/>
          <w:sz w:val="13"/>
          <w:szCs w:val="13"/>
          <w:color w:val="auto"/>
        </w:rPr>
        <w:t>The validity of the issuance of Gentherm Common Stock pursuant to the Merger Agreement is being passed upon for Gentherm by Latham &amp; Watkins LLP. Gibson, Dunn &amp; Crutcher LLP will provide legal opinions to Modine regarding certain U.S. federal income tax matters relating to the Transactions. Latham &amp; Watkins LLP will provide a legal opinion to Gentherm regarding certain U.S. federal income tax matters relating to the Merger.</w:t>
      </w:r>
    </w:p>
    <w:p>
      <w:pPr>
        <w:spacing w:after="0" w:line="2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Gentherm Incorporated appearing in Gentherm Incorporated’s Annual Report (Form 10-K) for the year ended December 31, 2025, and the effectiveness of Gentherm Incorporated’s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44" w:lineRule="exact"/>
        <w:rPr>
          <w:sz w:val="20"/>
          <w:szCs w:val="20"/>
          <w:color w:val="auto"/>
        </w:rPr>
      </w:pPr>
    </w:p>
    <w:p>
      <w:pPr>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The historical combined financial statements of the Performance Technologies Business at March 31, 2026 and 2025, included in this proxy statement/prospectus of Gentherm Incorporated, which is referred to and made part of the Gentherm Registration Statement, have been audited by KPMG LLP, independent registered public accounting firm, as set forth in their report appearing elsewhere herein, and are included in reliance upon such report given on the authority of such firm as experts in accounting and auditing.</w:t>
      </w:r>
    </w:p>
    <w:p>
      <w:pPr>
        <w:spacing w:after="0" w:line="3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FUTURE SHAREHOLDER PROPOSALS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Shareholder Proposals for Inclusion in the Proxy Statement for Gentherm’s 2027 Annual Meeting</w:t>
      </w:r>
    </w:p>
    <w:p>
      <w:pPr>
        <w:spacing w:after="0" w:line="93"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If a shareholder wishes to have a proposal formally considered at Gentherm’s 2027 annual meeting of shareholders (the “2027 Annual Meeting”) and included in Gentherm’s proxy statement for that meeting, the proposal must be in writing and received by the Secretary of Gentherm at Gentherm’s principal executive offices at 28875 Cabot Drive, Novi, Michigan 48377 by no later than December 2, 2026, and the proposal must otherwise comply with the requirements of Rule 14a-8 under the Exchange Act.</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Other Proposals or Director Nominations for Presentation at the 2027 Annual Meeting</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Following the Merger, the Gentherm Board will consist of between eleven members (as mutually agreed between Gentherm and Modine prior to Closing), including nine directors who will be members of the Gentherm Board then in-office immediately prior to the Merger, and two directors selected by Modine after good faith consultation with Gentherm. If a shareholder wishes to present other business or nominate a director candidate at the 2027 Annual Meeting, then notice must be received by the Secretary of Gentherm at Gentherm’s principal executive offices no earlier than January 14, 2027 and no later than February 12, 2027 (subject to adjustment as described in the Gentherm Bylaws). Any such notice must include the information specified in the Gentherm Bylaws.</w:t>
      </w:r>
    </w:p>
    <w:p>
      <w:pPr>
        <w:spacing w:after="0" w:line="143"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In addition to satisfying the requirements of the Gentherm Bylaws, including the notice deadlines set forth above and therein, to comply with the SEC’s universal proxy rules, shareholders who intend to solicit proxies in support of director nominees other than Gentherm’s nominees must also comply with the additional requirements of Rule 14a-19 under the Exchange Act.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225</w:t>
      </w:r>
    </w:p>
    <w:p>
      <w:pPr>
        <w:sectPr>
          <w:pgSz w:w="11900" w:h="16838" w:orient="portrait"/>
          <w:cols w:equalWidth="0" w:num="1">
            <w:col w:w="10159"/>
          </w:cols>
          <w:pgMar w:left="300" w:top="386"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PROPOSALS TO BE ACTED UPON AT THE SPECIAL MEETING</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PROPOSAL 1-SHARE ISSUANCE PROPOSAL</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93"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Gentherm is asking its shareholders to consider and vote upon a proposal to approve the issuance of shares of Gentherm Common Stock pursuant to the Merger Agreement. Completion of the Merger is conditioned on the approval by Gentherm shareholders of the Share Issuance Proposal.</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Required Vote and Recommendation of the Gentherm Board of Directors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Where a quorum is present, the affirmative vote of a majority of the votes cast in person via the Internet or by proxy by the shareholders entitled to vote thereon at the Special Meeting, is required to approve the Share Issuance Proposal. Abstentions and broker non-votes will be counted as present for the purpose of determining whether a quorum is present but will not be treated as votes cast with respect to the proposal and therefore will not have an effect on the determination of whether the Share Issuance Proposal has been approved. If you own shares through a bank, broker, or other holder of record, then you must instruct your bank, broker or other holder of record how to vote in order for them to vote your shares so that your vote can be counted on this proposal.</w:t>
      </w:r>
    </w:p>
    <w:p>
      <w:pPr>
        <w:spacing w:after="0" w:line="1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GENTHERM BOARD OF DIRECTORS RECOMMENDS A VOTE</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SHARE ISSUANCE PROPOSAL</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226</w:t>
      </w:r>
    </w:p>
    <w:p>
      <w:pPr>
        <w:sectPr>
          <w:pgSz w:w="11900" w:h="16838" w:orient="portrait"/>
          <w:cols w:equalWidth="0" w:num="1">
            <w:col w:w="10159"/>
          </w:cols>
          <w:pgMar w:left="300" w:top="386"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PROPOSAL 2-CHARTER AMENDMENT PROPOSAL</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9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Gentherm is asking its shareholders to consider and vote upon a proposal to approve an amendment to the Gentherm Charter to effect an increase of        to the number of authorized shares of Gentherm Common Stock pursuant to the Merger Agreement. Completion of the Merger is conditioned on the approval by Gentherm shareholders of the Charter Amendment Proposal. This summary is qualified in its entirety by reference to the full text of the proposed Charter Amendment, substantially in the form included as Annex D to this proxy statement/prospectus.</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Required Vote and Recommendation of the Gentherm Board of Directors</w:t>
      </w:r>
    </w:p>
    <w:p>
      <w:pPr>
        <w:spacing w:after="0" w:line="9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Where a quorum is present, the affirmative vote of a majority of the outstanding shares entitled to vote on the Charter Amendment Proposal is required to approve the Charter Amendment Proposal. Abstentions and broker non-votes, if applicable, will be counted as present for the purpose of determining whether a quorum is present and will have the same effect as votes against the Charter Amendment Proposal. If you own shares through a bank, broker, or other holder of record, then you must instruct your bank, broker or other holder of record how to vote in order for them to vote your shares so that your vote can be counted on this proposal.</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GENTHERM BOARD OF DIRECTORS RECOMMENDS A VOTE</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 THE CHARTER AMENDMENT PROPOSAL</w:t>
      </w:r>
    </w:p>
    <w:p>
      <w:pPr>
        <w:spacing w:after="0" w:line="1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227</w:t>
      </w:r>
    </w:p>
    <w:p>
      <w:pPr>
        <w:sectPr>
          <w:pgSz w:w="11900" w:h="16838" w:orient="portrait"/>
          <w:cols w:equalWidth="0" w:num="1">
            <w:col w:w="10159"/>
          </w:cols>
          <w:pgMar w:left="300" w:top="386"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PROPOSAL 3-ADJOURNMENT PROPOSAL</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9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Gentherm is asking its shareholders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w:t>
      </w:r>
    </w:p>
    <w:p>
      <w:pPr>
        <w:spacing w:after="0" w:line="2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Required Vote and Recommendation of the Gentherm Board of Directors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Where a quorum is present, the affirmative vote of a majority of the votes cast in person via the Internet or by proxy by the shareholders entitled to vote thereon at the Special Meeting, is required to approve the Adjournment Proposal. Abstentions and broker non-votes will be counted as present for the purpose of determining whether a quorum is present but will not be treated as votes cast with respect to the proposal and therefore will not have an effect on the determination of whether the Adjournment Proposal has been approved. If you own shares through a bank, broker, or other holder of record, then you must instruct your bank, broker or other holder of record how to vote in order for them to vote your shares so that your vote can be counted on this proposal.</w:t>
      </w: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GENTHERM BOARD OF DIRECTORS RECOMMENDS A VOTE</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 THE ADJOURNMENT PROPOSAL</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228</w:t>
      </w:r>
    </w:p>
    <w:p>
      <w:pPr>
        <w:sectPr>
          <w:pgSz w:w="11900" w:h="16838" w:orient="portrait"/>
          <w:cols w:equalWidth="0" w:num="1">
            <w:col w:w="10159"/>
          </w:cols>
          <w:pgMar w:left="300" w:top="386"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INCORPORATION BY REFERENCE</w:t>
      </w:r>
    </w:p>
    <w:p>
      <w:pPr>
        <w:spacing w:after="0" w:line="177"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Gentherm files annual, quarterly and current reports, proxy statements and other information with the SEC, which are available to the public on the SEC’s website at www.sec.gov.</w:t>
      </w:r>
    </w:p>
    <w:p>
      <w:pPr>
        <w:spacing w:after="0" w:line="125"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In addition, copies of the documents filed with the SEC by Gentherm will be available free of charge on Gentherm’s website at ir.Gentherm.com under the tab “Financial Info” and under the heading “SEC Filings.”</w:t>
      </w:r>
    </w:p>
    <w:p>
      <w:pPr>
        <w:spacing w:after="0" w:line="125"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SpinCo is filing with the SEC a registration statement on Form 10 under the Exchange Act with respect to the shares of SpinCo Common Stock to be delivered in the Distribution pursuant to the Separation Agreement.</w:t>
      </w:r>
    </w:p>
    <w:p>
      <w:pPr>
        <w:spacing w:after="0" w:line="125"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Information contained on Gentherm’s website is not incorporated by reference into this proxy statement/prospectus, and you should not consider information contained on either website as part of this proxy statement/prospectus.</w:t>
      </w:r>
    </w:p>
    <w:p>
      <w:pPr>
        <w:spacing w:after="0" w:line="125"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The SEC permits Gentherm to “incorporate by reference” information into this proxy statement/prospectus. This means that Gentherm can disclose important information to you by referring to another document filed separately with the SEC. The information incorporated by reference is considered a part of this proxy statement/prospectus, except for any information superseded by information contained directly in this proxy statement/prospectus or by information contained in documents filed with or furnished to the SEC after the date of the information that is incorporated by reference in this proxy statement/prospectus.</w:t>
      </w:r>
    </w:p>
    <w:p>
      <w:pPr>
        <w:spacing w:after="0" w:line="144"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This proxy statement/prospectus incorporates by reference the documents set forth below that have been previously filed with the SEC, other than, in each case, documents or information deemed to have been furnished and not filed according to SEC rules. These documents contain important information about Gentherm and its financial condition.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Gentherm:</w:t>
      </w:r>
    </w:p>
    <w:p>
      <w:pPr>
        <w:spacing w:after="0" w:line="104" w:lineRule="exact"/>
        <w:rPr>
          <w:sz w:val="20"/>
          <w:szCs w:val="20"/>
          <w:color w:val="auto"/>
        </w:rPr>
      </w:pPr>
    </w:p>
    <w:p>
      <w:pPr>
        <w:ind w:left="2120" w:hanging="345"/>
        <w:spacing w:after="0"/>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Gentherm’s Annual Report on Form 10-K for the year ended December 31, 2025, </w:t>
      </w:r>
      <w:hyperlink r:id="rId283">
        <w:r>
          <w:rPr>
            <w:rFonts w:ascii="Times New Roman" w:cs="Times New Roman" w:eastAsia="Times New Roman" w:hAnsi="Times New Roman"/>
            <w:sz w:val="14"/>
            <w:szCs w:val="14"/>
            <w:u w:val="single" w:color="auto"/>
            <w:color w:val="0000EE"/>
          </w:rPr>
          <w:t>filed with the SEC on February 19, 2026</w:t>
        </w:r>
      </w:hyperlink>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Gentherm’s Quarterly Report on Form 10-Q </w:t>
      </w:r>
      <w:hyperlink r:id="rId284">
        <w:r>
          <w:rPr>
            <w:rFonts w:ascii="Times New Roman" w:cs="Times New Roman" w:eastAsia="Times New Roman" w:hAnsi="Times New Roman"/>
            <w:sz w:val="14"/>
            <w:szCs w:val="14"/>
            <w:u w:val="single" w:color="auto"/>
            <w:color w:val="0000EE"/>
          </w:rPr>
          <w:t>filed with the SEC on April 23, 2026</w:t>
        </w:r>
      </w:hyperlink>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Gentherm’s Annual Report on Form 10-K for the year ended December 31, 2025 from Gentherm’s Definitive Proxy Statement on Schedule 14A </w:t>
      </w:r>
      <w:hyperlink r:id="rId285">
        <w:r>
          <w:rPr>
            <w:rFonts w:ascii="Times New Roman" w:cs="Times New Roman" w:eastAsia="Times New Roman" w:hAnsi="Times New Roman"/>
            <w:sz w:val="14"/>
            <w:szCs w:val="14"/>
            <w:u w:val="single" w:color="auto"/>
            <w:color w:val="0000EE"/>
          </w:rPr>
          <w:t>filed with the SEC on April 1, 2026</w:t>
        </w:r>
      </w:hyperlink>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32"/>
        </w:numPr>
        <w:rPr>
          <w:rFonts w:ascii="Times New Roman" w:cs="Times New Roman" w:eastAsia="Times New Roman" w:hAnsi="Times New Roman"/>
          <w:sz w:val="14"/>
          <w:szCs w:val="14"/>
          <w:color w:val="0000EE"/>
        </w:rPr>
      </w:pPr>
      <w:hyperlink r:id="rId286">
        <w:r>
          <w:rPr>
            <w:rFonts w:ascii="Times New Roman" w:cs="Times New Roman" w:eastAsia="Times New Roman" w:hAnsi="Times New Roman"/>
            <w:sz w:val="14"/>
            <w:szCs w:val="14"/>
            <w:color w:val="auto"/>
          </w:rPr>
          <w:t xml:space="preserve">Gentherm’s Current Reports on Form 8-K or 8-K/A filed with the SEC on </w:t>
        </w:r>
        <w:r>
          <w:rPr>
            <w:rFonts w:ascii="Times New Roman" w:cs="Times New Roman" w:eastAsia="Times New Roman" w:hAnsi="Times New Roman"/>
            <w:sz w:val="14"/>
            <w:szCs w:val="14"/>
            <w:u w:val="single" w:color="auto"/>
            <w:color w:val="0000EE"/>
          </w:rPr>
          <w:t>January 29,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27,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17,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w:t>
        </w:r>
      </w:hyperlink>
      <w:r>
        <w:rPr>
          <w:rFonts w:ascii="Times New Roman" w:cs="Times New Roman" w:eastAsia="Times New Roman" w:hAnsi="Times New Roman"/>
          <w:sz w:val="14"/>
          <w:szCs w:val="14"/>
          <w:color w:val="auto"/>
        </w:rPr>
        <w:t xml:space="preserve"> </w:t>
      </w:r>
      <w:hyperlink r:id="rId286">
        <w:r>
          <w:rPr>
            <w:rFonts w:ascii="Times New Roman" w:cs="Times New Roman" w:eastAsia="Times New Roman" w:hAnsi="Times New Roman"/>
            <w:sz w:val="14"/>
            <w:szCs w:val="14"/>
            <w:u w:val="single" w:color="auto"/>
            <w:color w:val="0000EE"/>
          </w:rPr>
          <w:t>25, 2026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287">
        <w:r>
          <w:rPr>
            <w:rFonts w:ascii="Times New Roman" w:cs="Times New Roman" w:eastAsia="Times New Roman" w:hAnsi="Times New Roman"/>
            <w:sz w:val="14"/>
            <w:szCs w:val="14"/>
            <w:u w:val="single" w:color="auto"/>
            <w:color w:val="0000EE"/>
          </w:rPr>
          <w:t xml:space="preserve">April 23, 2026 </w:t>
        </w:r>
      </w:hyperlink>
      <w:hyperlink r:id="rId286">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288">
        <w:r>
          <w:rPr>
            <w:rFonts w:ascii="Times New Roman" w:cs="Times New Roman" w:eastAsia="Times New Roman" w:hAnsi="Times New Roman"/>
            <w:sz w:val="14"/>
            <w:szCs w:val="14"/>
            <w:u w:val="single" w:color="auto"/>
            <w:color w:val="0000EE"/>
          </w:rPr>
          <w:t>May 19, 2026</w:t>
        </w:r>
      </w:hyperlink>
      <w:hyperlink r:id="rId286">
        <w:r>
          <w:rPr>
            <w:rFonts w:ascii="Times New Roman" w:cs="Times New Roman" w:eastAsia="Times New Roman" w:hAnsi="Times New Roman"/>
            <w:sz w:val="14"/>
            <w:szCs w:val="14"/>
            <w:color w:val="000000"/>
          </w:rPr>
          <w:t>; and</w:t>
        </w:r>
      </w:hyperlink>
    </w:p>
    <w:p>
      <w:pPr>
        <w:spacing w:after="0" w:line="51" w:lineRule="exact"/>
        <w:rPr>
          <w:rFonts w:ascii="Times New Roman" w:cs="Times New Roman" w:eastAsia="Times New Roman" w:hAnsi="Times New Roman"/>
          <w:sz w:val="14"/>
          <w:szCs w:val="14"/>
          <w:color w:val="0000EE"/>
        </w:rPr>
      </w:pPr>
    </w:p>
    <w:p>
      <w:pPr>
        <w:ind w:left="2120" w:right="239" w:hanging="345"/>
        <w:spacing w:after="0" w:line="257" w:lineRule="auto"/>
        <w:tabs>
          <w:tab w:leader="none" w:pos="212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Gentherm Common Stock under the caption “Description of Securities” on pages 37 through 38 of the Prospectus included in Gentherm’s registration statement on Form SB-2 (File No. 33-61702-LA) effective June 10, 1993, as filed with the SEC pursuant to the Securities Act and incorporated by reference into Gentherm’s initial registration statement on Form 8-A filed with the SEC pursuant to the Exchange Act by the description of the Gentherm Common Stock contained in </w:t>
      </w:r>
      <w:hyperlink r:id="rId289">
        <w:r>
          <w:rPr>
            <w:rFonts w:ascii="Times New Roman" w:cs="Times New Roman" w:eastAsia="Times New Roman" w:hAnsi="Times New Roman"/>
            <w:sz w:val="14"/>
            <w:szCs w:val="14"/>
            <w:u w:val="single" w:color="auto"/>
            <w:color w:val="0000EE"/>
          </w:rPr>
          <w:t>Exhibit 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Gentherm’s Annual Report on Form 10-K for the year ended December 31, 2019, and as further amended by any subsequent amendment or report filed for the purpose of updating such description.</w:t>
      </w:r>
    </w:p>
    <w:p>
      <w:pPr>
        <w:spacing w:after="0" w:line="143" w:lineRule="exact"/>
        <w:rPr>
          <w:rFonts w:ascii="Times New Roman" w:cs="Times New Roman" w:eastAsia="Times New Roman" w:hAnsi="Times New Roman"/>
          <w:sz w:val="14"/>
          <w:szCs w:val="14"/>
          <w:color w:val="0000EE"/>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In addition, Gentherm also incorporates by reference additional documents that it may file with the SEC under Sections 13(a), 13(c), 14 or 15(d) of the Exchange Act after the date of this proxy statement/prospectus and prior to the date on which the Transactions have been completed. These documents include Annual Reports on Form 10-K, Quarterly Reports on Form 10-Q and Current Reports on Form 8-K, as well as proxy statements.</w:t>
      </w:r>
    </w:p>
    <w:p>
      <w:pPr>
        <w:spacing w:after="0" w:line="83" w:lineRule="exact"/>
        <w:rPr>
          <w:rFonts w:ascii="Times New Roman" w:cs="Times New Roman" w:eastAsia="Times New Roman" w:hAnsi="Times New Roman"/>
          <w:sz w:val="14"/>
          <w:szCs w:val="14"/>
          <w:color w:val="0000EE"/>
        </w:rPr>
      </w:pPr>
    </w:p>
    <w:p>
      <w:pPr>
        <w:ind w:left="5540"/>
        <w:spacing w:after="0"/>
        <w:rPr>
          <w:sz w:val="20"/>
          <w:szCs w:val="20"/>
          <w:color w:val="auto"/>
        </w:rPr>
      </w:pPr>
      <w:r>
        <w:rPr>
          <w:rFonts w:ascii="Times New Roman" w:cs="Times New Roman" w:eastAsia="Times New Roman" w:hAnsi="Times New Roman"/>
          <w:sz w:val="14"/>
          <w:szCs w:val="14"/>
          <w:color w:val="auto"/>
        </w:rPr>
        <w:t>229</w:t>
      </w:r>
    </w:p>
    <w:p>
      <w:pPr>
        <w:sectPr>
          <w:pgSz w:w="11900" w:h="16838" w:orient="portrait"/>
          <w:cols w:equalWidth="0" w:num="1">
            <w:col w:w="10159"/>
          </w:cols>
          <w:pgMar w:left="300" w:top="386"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Notwithstanding the foregoing, Gentherm will not incorporate by reference in this proxy statement/prospectus any documents or portions thereof that are not deemed “filed” with the SEC, including any information furnished pursuant to Item 2.02 or Item 7.01 or otherwise of Gentherm’s Current Reports on Form 8-K (“Current Reports”) after the date of this proxy statement/prospectus unless, and except to the extent, specified in such Current Reports.</w:t>
      </w:r>
    </w:p>
    <w:p>
      <w:pPr>
        <w:spacing w:after="0" w:line="141"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herein will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proxy statement/prospectus.</w:t>
      </w:r>
    </w:p>
    <w:p>
      <w:pPr>
        <w:spacing w:after="0" w:line="141"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Documents incorporated by reference are available from Gentherm, excluding all exhibits unless an exhibit has been specifically incorporated by reference into this proxy statement/prospectus. You can obtain documents incorporated by reference in this proxy statement/prospectus from the SEC’s website or from Gentherm’s website as described above or by requesting them in writing or by telephone from Gentherm at the following address and telephone number:</w:t>
      </w:r>
    </w:p>
    <w:p>
      <w:pPr>
        <w:spacing w:after="0" w:line="1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Gentherm Incorporated</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28875 Cabot Drive</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Novi, Michigan 48377</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(248) 348-9735</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To obtain timely delivery of these documents, you must request them by            , 2026 to receive them before the Special Meeting.</w:t>
      </w:r>
    </w:p>
    <w:p>
      <w:pPr>
        <w:spacing w:after="0" w:line="175"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Gentherm has not authorized anyone to give any information or make any representation about the Transactions or the Special Meeting that is different from, or in addition to, what is contained in this proxy statement/prospectus or in any of the materials that are incorporated by reference into this proxy statement/prospectus. Therefore, if anyone does give you information of this sort, you should not rely on it. This proxy statement/prospectus does not constitute an offer to sell, or a solicitation of an offer to purchase, the securities offered by this proxy statement/prospectus, or the solicitation of a proxy, in any jurisdiction to or from any person to whom or from whom it is unlawful to make such offer, solicitation of an offer or proxy solicitation in such jurisdiction. Neither the delivery of this proxy statement/prospectus nor any distribution of securities pursuant to this proxy statement/prospectus will, under any circumstances, create any implication that there has been no change in the information set forth or incorporated into this proxy statement/prospectus by reference or in Gentherm’s, Modine’s or the Performance Technologies Business’s affairs since the date of this proxy statement/prospectus. The information contained in this proxy statement/prospectus speaks only as of the date of this proxy statement/prospectus unless the information specifically indicates that another date applies.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230</w:t>
      </w:r>
    </w:p>
    <w:p>
      <w:pPr>
        <w:sectPr>
          <w:pgSz w:w="11900" w:h="16838" w:orient="portrait"/>
          <w:cols w:equalWidth="0" w:num="1">
            <w:col w:w="10159"/>
          </w:cols>
          <w:pgMar w:left="300" w:top="386"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98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Item</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1"/>
        </w:trPr>
        <w:tc>
          <w:tcPr>
            <w:tcW w:w="3340" w:type="dxa"/>
            <w:vAlign w:val="bottom"/>
            <w:tcBorders>
              <w:bottom w:val="single" w:sz="8" w:color="0000EE"/>
            </w:tcBorders>
            <w:gridSpan w:val="3"/>
          </w:tcPr>
          <w:p>
            <w:pPr>
              <w:spacing w:after="0" w:line="151" w:lineRule="exact"/>
              <w:rPr>
                <w:sz w:val="20"/>
                <w:szCs w:val="20"/>
                <w:color w:val="auto"/>
              </w:rPr>
            </w:pPr>
            <w:r>
              <w:rPr>
                <w:rFonts w:ascii="Times New Roman" w:cs="Times New Roman" w:eastAsia="Times New Roman" w:hAnsi="Times New Roman"/>
                <w:sz w:val="14"/>
                <w:szCs w:val="14"/>
                <w:color w:val="0000EE"/>
                <w:w w:val="99"/>
              </w:rPr>
              <w:t>Reports of Independent Registered Public Accounting Firm</w:t>
            </w:r>
          </w:p>
        </w:tc>
        <w:tc>
          <w:tcPr>
            <w:tcW w:w="3640" w:type="dxa"/>
            <w:vAlign w:val="bottom"/>
            <w:gridSpan w:val="5"/>
          </w:tcPr>
          <w:p>
            <w:pPr>
              <w:spacing w:after="0"/>
              <w:rPr>
                <w:sz w:val="13"/>
                <w:szCs w:val="13"/>
                <w:color w:val="auto"/>
              </w:rPr>
            </w:pPr>
          </w:p>
        </w:tc>
        <w:tc>
          <w:tcPr>
            <w:tcW w:w="15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F-2</w:t>
            </w:r>
          </w:p>
        </w:tc>
      </w:tr>
      <w:tr>
        <w:trPr>
          <w:trHeight w:val="148"/>
        </w:trPr>
        <w:tc>
          <w:tcPr>
            <w:tcW w:w="5000" w:type="dxa"/>
            <w:vAlign w:val="bottom"/>
            <w:tcBorders>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rPr>
              <w:t>Combined Statements of Operations for the years ended March 31, 2026, 2025 and 2024</w:t>
            </w:r>
          </w:p>
        </w:tc>
        <w:tc>
          <w:tcPr>
            <w:tcW w:w="1980" w:type="dxa"/>
            <w:vAlign w:val="bottom"/>
            <w:gridSpan w:val="3"/>
          </w:tcPr>
          <w:p>
            <w:pPr>
              <w:spacing w:after="0"/>
              <w:rPr>
                <w:sz w:val="12"/>
                <w:szCs w:val="12"/>
                <w:color w:val="auto"/>
              </w:rPr>
            </w:pPr>
          </w:p>
        </w:tc>
        <w:tc>
          <w:tcPr>
            <w:tcW w:w="1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w:t>
            </w:r>
          </w:p>
        </w:tc>
      </w:tr>
      <w:tr>
        <w:trPr>
          <w:trHeight w:val="148"/>
        </w:trPr>
        <w:tc>
          <w:tcPr>
            <w:tcW w:w="6980" w:type="dxa"/>
            <w:vAlign w:val="bottom"/>
            <w:gridSpan w:val="8"/>
          </w:tcPr>
          <w:p>
            <w:pPr>
              <w:spacing w:after="0" w:line="148" w:lineRule="exact"/>
              <w:rPr>
                <w:sz w:val="20"/>
                <w:szCs w:val="20"/>
                <w:color w:val="auto"/>
              </w:rPr>
            </w:pPr>
            <w:r>
              <w:rPr>
                <w:rFonts w:ascii="Times New Roman" w:cs="Times New Roman" w:eastAsia="Times New Roman" w:hAnsi="Times New Roman"/>
                <w:sz w:val="14"/>
                <w:szCs w:val="14"/>
                <w:color w:val="0000EE"/>
              </w:rPr>
              <w:t>Combined Statements of Comprehensive Income for the years ended March 31, 2026, 2025 and 2024</w:t>
            </w:r>
          </w:p>
        </w:tc>
        <w:tc>
          <w:tcPr>
            <w:tcW w:w="1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F-5</w:t>
            </w:r>
          </w:p>
        </w:tc>
      </w:tr>
      <w:tr>
        <w:trPr>
          <w:trHeight w:val="148"/>
        </w:trPr>
        <w:tc>
          <w:tcPr>
            <w:tcW w:w="5680" w:type="dxa"/>
            <w:vAlign w:val="bottom"/>
            <w:tcBorders>
              <w:top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rPr>
              <w:t>Combined Balance Sheets as of March 31, 2026 and 2025</w:t>
            </w:r>
          </w:p>
        </w:tc>
        <w:tc>
          <w:tcPr>
            <w:tcW w:w="1300" w:type="dxa"/>
            <w:vAlign w:val="bottom"/>
          </w:tcPr>
          <w:p>
            <w:pPr>
              <w:spacing w:after="0"/>
              <w:rPr>
                <w:sz w:val="12"/>
                <w:szCs w:val="12"/>
                <w:color w:val="auto"/>
              </w:rPr>
            </w:pPr>
          </w:p>
        </w:tc>
        <w:tc>
          <w:tcPr>
            <w:tcW w:w="1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F-6</w:t>
            </w:r>
          </w:p>
        </w:tc>
      </w:tr>
      <w:tr>
        <w:trPr>
          <w:trHeight w:val="20"/>
        </w:trPr>
        <w:tc>
          <w:tcPr>
            <w:tcW w:w="25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48"/>
        </w:trPr>
        <w:tc>
          <w:tcPr>
            <w:tcW w:w="6980" w:type="dxa"/>
            <w:vAlign w:val="bottom"/>
            <w:gridSpan w:val="8"/>
          </w:tcPr>
          <w:p>
            <w:pPr>
              <w:spacing w:after="0" w:line="148" w:lineRule="exact"/>
              <w:rPr>
                <w:sz w:val="20"/>
                <w:szCs w:val="20"/>
                <w:color w:val="auto"/>
              </w:rPr>
            </w:pPr>
            <w:r>
              <w:rPr>
                <w:rFonts w:ascii="Times New Roman" w:cs="Times New Roman" w:eastAsia="Times New Roman" w:hAnsi="Times New Roman"/>
                <w:sz w:val="14"/>
                <w:szCs w:val="14"/>
                <w:color w:val="0000EE"/>
              </w:rPr>
              <w:t>Combined Statements of Cash Flows for the years ended March 31, 2026, 2025 and 2024</w:t>
            </w:r>
          </w:p>
        </w:tc>
        <w:tc>
          <w:tcPr>
            <w:tcW w:w="1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F-7</w:t>
            </w:r>
          </w:p>
        </w:tc>
      </w:tr>
      <w:tr>
        <w:trPr>
          <w:trHeight w:val="148"/>
        </w:trPr>
        <w:tc>
          <w:tcPr>
            <w:tcW w:w="476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rPr>
              <w:t>Combined Statements of Equity for the years ended March 31, 2026, 2025 and 2024</w:t>
            </w:r>
          </w:p>
        </w:tc>
        <w:tc>
          <w:tcPr>
            <w:tcW w:w="280" w:type="dxa"/>
            <w:vAlign w:val="bottom"/>
            <w:tcBorders>
              <w:top w:val="single" w:sz="8" w:color="0000EE"/>
            </w:tcBorders>
            <w:gridSpan w:val="2"/>
          </w:tcPr>
          <w:p>
            <w:pPr>
              <w:spacing w:after="0"/>
              <w:rPr>
                <w:sz w:val="12"/>
                <w:szCs w:val="12"/>
                <w:color w:val="auto"/>
              </w:rPr>
            </w:pPr>
          </w:p>
        </w:tc>
        <w:tc>
          <w:tcPr>
            <w:tcW w:w="1940" w:type="dxa"/>
            <w:vAlign w:val="bottom"/>
            <w:gridSpan w:val="2"/>
          </w:tcPr>
          <w:p>
            <w:pPr>
              <w:spacing w:after="0"/>
              <w:rPr>
                <w:sz w:val="12"/>
                <w:szCs w:val="12"/>
                <w:color w:val="auto"/>
              </w:rPr>
            </w:pPr>
          </w:p>
        </w:tc>
        <w:tc>
          <w:tcPr>
            <w:tcW w:w="1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F-8</w:t>
            </w:r>
          </w:p>
        </w:tc>
      </w:tr>
      <w:tr>
        <w:trPr>
          <w:trHeight w:val="148"/>
        </w:trPr>
        <w:tc>
          <w:tcPr>
            <w:tcW w:w="6980" w:type="dxa"/>
            <w:vAlign w:val="bottom"/>
            <w:gridSpan w:val="8"/>
          </w:tcPr>
          <w:p>
            <w:pPr>
              <w:spacing w:after="0" w:line="148" w:lineRule="exact"/>
              <w:rPr>
                <w:sz w:val="20"/>
                <w:szCs w:val="20"/>
                <w:color w:val="auto"/>
              </w:rPr>
            </w:pPr>
            <w:r>
              <w:rPr>
                <w:rFonts w:ascii="Times New Roman" w:cs="Times New Roman" w:eastAsia="Times New Roman" w:hAnsi="Times New Roman"/>
                <w:sz w:val="14"/>
                <w:szCs w:val="14"/>
                <w:color w:val="0000EE"/>
              </w:rPr>
              <w:t>Notes to the Combined Financial Statements</w:t>
            </w:r>
          </w:p>
        </w:tc>
        <w:tc>
          <w:tcPr>
            <w:tcW w:w="15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F-9</w:t>
            </w:r>
          </w:p>
        </w:tc>
      </w:tr>
      <w:tr>
        <w:trPr>
          <w:trHeight w:val="295"/>
        </w:trPr>
        <w:tc>
          <w:tcPr>
            <w:tcW w:w="25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5"/>
          </w:tcPr>
          <w:p>
            <w:pPr>
              <w:ind w:left="840"/>
              <w:spacing w:after="0"/>
              <w:rPr>
                <w:sz w:val="20"/>
                <w:szCs w:val="20"/>
                <w:color w:val="auto"/>
              </w:rPr>
            </w:pPr>
            <w:r>
              <w:rPr>
                <w:rFonts w:ascii="Times New Roman" w:cs="Times New Roman" w:eastAsia="Times New Roman" w:hAnsi="Times New Roman"/>
                <w:sz w:val="14"/>
                <w:szCs w:val="14"/>
                <w:color w:val="auto"/>
              </w:rPr>
              <w:t>F-1</w:t>
            </w:r>
          </w:p>
        </w:tc>
        <w:tc>
          <w:tcPr>
            <w:tcW w:w="156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Shareholders and Board of Directors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Performance Technologies Business of Modine Manufacturing Company:</w:t>
      </w:r>
    </w:p>
    <w:p>
      <w:pPr>
        <w:spacing w:after="0" w:line="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Opinion on the Combined Financial Statements</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We have audited the accompanying combined balance sheets of the Performance Technologies Business of Modine Manufacturing Company (the Company) as of March 31, 2026 and 2025, the related combined statements of operations, comprehensive income, equity, and cash flows for each of the years in the three-year period ended March 31, 2026, and the related notes (collectively, the combined financial statements). In our opinion, the combined financial statements present fairly, in all material respects, the financial position of the Company as of March 31, 2026 and 2025, and the results of its operations and its cash flows for each of the years in the three-year period ended March 31, 2026, in conformity with U.S. generally accepted accounting principles.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93"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360" w:right="339"/>
        <w:spacing w:after="0" w:line="256"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93" w:lineRule="exact"/>
        <w:rPr>
          <w:sz w:val="20"/>
          <w:szCs w:val="20"/>
          <w:color w:val="auto"/>
        </w:rPr>
      </w:pPr>
    </w:p>
    <w:p>
      <w:pPr>
        <w:ind w:left="1360" w:right="379"/>
        <w:spacing w:after="0" w:line="25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22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i w:val="1"/>
          <w:iCs w:val="1"/>
          <w:color w:val="auto"/>
        </w:rPr>
        <w:t>Sufficiency of audit evidence over net sales</w:t>
      </w:r>
    </w:p>
    <w:p>
      <w:pPr>
        <w:spacing w:after="0" w:line="93" w:lineRule="exact"/>
        <w:rPr>
          <w:sz w:val="20"/>
          <w:szCs w:val="20"/>
          <w:color w:val="auto"/>
        </w:rPr>
      </w:pPr>
    </w:p>
    <w:p>
      <w:pPr>
        <w:ind w:left="2040" w:right="299"/>
        <w:spacing w:after="0" w:line="261" w:lineRule="auto"/>
        <w:rPr>
          <w:sz w:val="20"/>
          <w:szCs w:val="20"/>
          <w:color w:val="auto"/>
        </w:rPr>
      </w:pPr>
      <w:r>
        <w:rPr>
          <w:rFonts w:ascii="Times New Roman" w:cs="Times New Roman" w:eastAsia="Times New Roman" w:hAnsi="Times New Roman"/>
          <w:sz w:val="14"/>
          <w:szCs w:val="14"/>
          <w:color w:val="auto"/>
        </w:rPr>
        <w:t>As discussed in Notes 2 and 4 to the Company’s combined financial statements, the Company recognizes sales based upon consideration specified in a contract and as it satisfies performance obligations by transferring control over its products to its customers. The Company operates in many countries across four continents, with significant operations across the United States, Hungary, China, Brazil, Netherlands and Italy. The Company recorded $1,131.8 million of net sales for the year ended March 31, 2026.</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386"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040" w:right="419"/>
        <w:spacing w:after="0" w:line="261" w:lineRule="auto"/>
        <w:rPr>
          <w:sz w:val="20"/>
          <w:szCs w:val="20"/>
          <w:color w:val="auto"/>
        </w:rPr>
      </w:pPr>
      <w:r>
        <w:rPr>
          <w:rFonts w:ascii="Times New Roman" w:cs="Times New Roman" w:eastAsia="Times New Roman" w:hAnsi="Times New Roman"/>
          <w:sz w:val="14"/>
          <w:szCs w:val="14"/>
          <w:color w:val="auto"/>
        </w:rPr>
        <w:t>We identified the evaluation of the sufficiency of audit evidence over net sales as a critical audit matter. Subjective auditor judgment was required to evaluate the sufficiency of audit evidence over net sales because of the geographical dispersion of the Company’s sales-generating activities. This included determining the locations for which procedures were performed and evaluating the evidence obtained over net sales.</w:t>
      </w:r>
    </w:p>
    <w:p>
      <w:pPr>
        <w:spacing w:after="0" w:line="141" w:lineRule="exact"/>
        <w:rPr>
          <w:sz w:val="20"/>
          <w:szCs w:val="20"/>
          <w:color w:val="auto"/>
        </w:rPr>
      </w:pPr>
    </w:p>
    <w:p>
      <w:pPr>
        <w:ind w:left="2040" w:right="219"/>
        <w:spacing w:after="0" w:line="257"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applied auditor judgment to determine the nature and extent of procedures to be performed over net sales, including the determination of the locations for which those procedures were to be performed. For a sample of sales transactions, we compared the amounts recognized by the Company to relevant underlying documentation, such as contracts with customers and cash receipts, or other third-party evidence. At one location, we also performed a software-assisted data analysis to test relationships among certain sales transactions. We evaluated the sufficiency of audit evidence obtained by assessing the results of procedures performed, including the appropriateness of the nature and extent of audit effort.</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KPMG LLP</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Milwaukee, Wisconsin</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June 25, 2026</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386"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PERFORMANCE TECHNOLOGIES BUSINESS OF MODINE MANUFACTURING COMPANY</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COMBINED STATEMENTS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For the years ended March 31, 2026, 2025 and 2024</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(In millions)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4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64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sales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1,131.8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1,163.5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1,321.3</w:t>
            </w:r>
          </w:p>
        </w:tc>
        <w:tc>
          <w:tcPr>
            <w:tcW w:w="10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1,091.6</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10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Related party interest expense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w:t>
            </w:r>
          </w:p>
        </w:tc>
      </w:tr>
      <w:tr>
        <w:trPr>
          <w:trHeight w:val="168"/>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Related party dividend income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Pension termination charge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 net</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4"/>
                <w:szCs w:val="14"/>
                <w:color w:val="auto"/>
              </w:rPr>
            </w:pPr>
          </w:p>
        </w:tc>
      </w:tr>
      <w:tr>
        <w:trPr>
          <w:trHeight w:val="169"/>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w:t>
            </w:r>
          </w:p>
        </w:tc>
      </w:tr>
      <w:tr>
        <w:trPr>
          <w:trHeight w:val="169"/>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attributable to noncontrolling interest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r>
      <w:tr>
        <w:trPr>
          <w:trHeight w:val="169"/>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earnings (loss) attributable to the Company</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notes to combined financial statements are an integral part of these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386"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PERFORMANCE TECHNOLOGIES BUSINESS OF MODINE MANUFACTURING COMPANY</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COMBINED STATEMENTS OF COMPREHENSIVE INCOME</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For the years ended March 31, 2026, 2025 and 2024</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(In millions)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80" w:type="dxa"/>
            <w:vAlign w:val="bottom"/>
            <w:gridSpan w:val="3"/>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Pr>
          <w:p>
            <w:pPr>
              <w:spacing w:after="0"/>
              <w:rPr>
                <w:sz w:val="11"/>
                <w:szCs w:val="11"/>
                <w:color w:val="auto"/>
              </w:rPr>
            </w:pP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earnings (loss)</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2"/>
              </w:rPr>
              <w:t>(17.6)</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$146.5</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$65.6</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Defined benefit plans, net of income taxes of $0.1, $0, and ($0.2) million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attributable to noncontrolling interest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9"/>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the Company</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137.9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60.4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notes to combined financial statements are an integral part of these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386"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PERFORMANCE TECHNOLOGIES BUSINESS OF MODINE MANUFACTURING COMPANY</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COMBINED BALANCE SHEETS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March 31, 2026 and 2025</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(In millions)</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ASSETS</w:t>
            </w:r>
          </w:p>
        </w:tc>
        <w:tc>
          <w:tcPr>
            <w:tcW w:w="4720" w:type="dxa"/>
            <w:vAlign w:val="bottom"/>
            <w:gridSpan w:val="2"/>
            <w:vMerge w:val="restart"/>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w w:val="90"/>
              </w:rPr>
              <w:t>2026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auto"/>
            </w:tcBorders>
            <w:gridSpan w:val="2"/>
            <w:vMerge w:val="continue"/>
          </w:tcPr>
          <w:p>
            <w:pPr>
              <w:spacing w:after="0"/>
              <w:rPr>
                <w:sz w:val="11"/>
                <w:szCs w:val="11"/>
                <w:color w:val="auto"/>
              </w:rPr>
            </w:pPr>
          </w:p>
        </w:tc>
        <w:tc>
          <w:tcPr>
            <w:tcW w:w="4720" w:type="dxa"/>
            <w:vAlign w:val="bottom"/>
            <w:gridSpan w:val="2"/>
            <w:vMerge w:val="continue"/>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Trade accounts receivable – net</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238.4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226.1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from related party</w:t>
            </w: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Related party notes receivable</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164.4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145.1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511.2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468.8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187.2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183.9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Noncurrent related party notes receivable</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2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815.8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763.4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LIABILITIES AND SHAREHOLDERS’ EQUITY</w:t>
            </w:r>
          </w:p>
        </w:tc>
        <w:tc>
          <w:tcPr>
            <w:tcW w:w="2200" w:type="dxa"/>
            <w:vAlign w:val="bottom"/>
            <w:vMerge w:val="restart"/>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40" w:type="dxa"/>
            <w:vAlign w:val="bottom"/>
            <w:tcBorders>
              <w:bottom w:val="single" w:sz="8" w:color="auto"/>
            </w:tcBorders>
            <w:gridSpan w:val="3"/>
            <w:vMerge w:val="continue"/>
          </w:tcPr>
          <w:p>
            <w:pPr>
              <w:spacing w:after="0"/>
              <w:rPr>
                <w:sz w:val="17"/>
                <w:szCs w:val="17"/>
                <w:color w:val="auto"/>
              </w:rPr>
            </w:pPr>
          </w:p>
        </w:tc>
        <w:tc>
          <w:tcPr>
            <w:tcW w:w="22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debt</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Related party notes payable</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156.5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130.9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Due to related party</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300.8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293.0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Pensions</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329.3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323.3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(see Note 18)</w:t>
            </w: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parent investment</w:t>
            </w:r>
          </w:p>
        </w:tc>
        <w:tc>
          <w:tcPr>
            <w:tcW w:w="2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552.2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522.1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Total equity</w:t>
            </w: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486.5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440.1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815.8</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763.4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notes to combined financial statements are an integral part of these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386"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PERFORMANCE TECHNOLOGIES BUSINESS OF MODINE MANUFACTURING COMPANY</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COMBINED STATEMENTS OF CASH FLOWS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For the years ended March 31, 2026, 2025 and 2024</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(In millions)</w:t>
      </w:r>
    </w:p>
    <w:tbl>
      <w:tblPr>
        <w:tblLayout w:type="fixed"/>
        <w:tblInd w:w="136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340" w:type="dxa"/>
            <w:vAlign w:val="bottom"/>
            <w:gridSpan w:val="2"/>
          </w:tcPr>
          <w:p>
            <w:pPr>
              <w:jc w:val="right"/>
              <w:ind w:right="10"/>
              <w:spacing w:after="0" w:line="123" w:lineRule="exact"/>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0"/>
              <w:spacing w:after="0" w:line="123" w:lineRule="exact"/>
              <w:rPr>
                <w:sz w:val="20"/>
                <w:szCs w:val="20"/>
                <w:color w:val="auto"/>
              </w:rPr>
            </w:pPr>
            <w:r>
              <w:rPr>
                <w:rFonts w:ascii="Times New Roman" w:cs="Times New Roman" w:eastAsia="Times New Roman" w:hAnsi="Times New Roman"/>
                <w:sz w:val="11"/>
                <w:szCs w:val="11"/>
                <w:b w:val="1"/>
                <w:bCs w:val="1"/>
                <w:color w:val="auto"/>
                <w:w w:val="90"/>
              </w:rPr>
              <w:t>2025</w:t>
            </w:r>
          </w:p>
        </w:tc>
        <w:tc>
          <w:tcPr>
            <w:tcW w:w="140" w:type="dxa"/>
            <w:vAlign w:val="bottom"/>
          </w:tcPr>
          <w:p>
            <w:pPr>
              <w:spacing w:after="0"/>
              <w:rPr>
                <w:sz w:val="10"/>
                <w:szCs w:val="10"/>
                <w:color w:val="auto"/>
              </w:rPr>
            </w:pPr>
          </w:p>
        </w:tc>
        <w:tc>
          <w:tcPr>
            <w:tcW w:w="480" w:type="dxa"/>
            <w:vAlign w:val="bottom"/>
            <w:gridSpan w:val="2"/>
          </w:tcPr>
          <w:p>
            <w:pPr>
              <w:jc w:val="right"/>
              <w:ind w:right="10"/>
              <w:spacing w:after="0" w:line="123"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146.5</w:t>
            </w: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$ 65.6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earnings (loss) to net cash provided by operating activities:</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(gain) on sale of assets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 net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(11.1)</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Due from related party</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(13.6)</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Due to related party</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4"/>
                <w:szCs w:val="14"/>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compensation and employee benefits</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liabilities</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70"/>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8"/>
              </w:rPr>
              <w:t>149.0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Expenditures for property, plant and equipment</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(29.4)</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(payments for) disposition of assets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related party notes receivable from cash pooling activities</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Issuances of related party notes receivable</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(48.8)</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Collections of related party notes receivable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 net</w:t>
            </w:r>
          </w:p>
        </w:tc>
        <w:tc>
          <w:tcPr>
            <w:tcW w:w="9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9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(68.5)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(Repayments) borrowings on bank overdraft facilities – net</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noncontrolling interest</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Net transfers from (to) parent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related party notes payable from cash pooling activities</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related party borrowings</w:t>
            </w:r>
          </w:p>
        </w:tc>
        <w:tc>
          <w:tcPr>
            <w:tcW w:w="96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on related party borrowings</w:t>
            </w:r>
          </w:p>
        </w:tc>
        <w:tc>
          <w:tcPr>
            <w:tcW w:w="9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under finance lease obligations</w:t>
            </w:r>
          </w:p>
        </w:tc>
        <w:tc>
          <w:tcPr>
            <w:tcW w:w="9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for) financing activities</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(81.1)</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9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9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$ 33.9</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notes to combined financial statements are an integral part of these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386"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PERFORMANCE TECHNOLOGIES BUSINESS OF MODINE MANUFACTURING COMPANY</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COMBINED STATEMENTS OF EQUITY</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For the years ended March 31, 2026, 2025 and 2024</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(In millions)</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Net parent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400"/>
              <w:spacing w:after="0" w:line="116" w:lineRule="exact"/>
              <w:rPr>
                <w:sz w:val="20"/>
                <w:szCs w:val="20"/>
                <w:color w:val="auto"/>
              </w:rPr>
            </w:pPr>
            <w:r>
              <w:rPr>
                <w:rFonts w:ascii="Times New Roman" w:cs="Times New Roman" w:eastAsia="Times New Roman" w:hAnsi="Times New Roman"/>
                <w:sz w:val="11"/>
                <w:szCs w:val="11"/>
                <w:b w:val="1"/>
                <w:bCs w:val="1"/>
                <w:color w:val="auto"/>
              </w:rPr>
              <w:t>other</w:t>
            </w:r>
          </w:p>
        </w:tc>
        <w:tc>
          <w:tcPr>
            <w:tcW w:w="11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160" w:type="dxa"/>
            <w:vAlign w:val="bottom"/>
            <w:gridSpan w:val="4"/>
          </w:tcPr>
          <w:p>
            <w:pPr>
              <w:ind w:left="200"/>
              <w:spacing w:after="0" w:line="116"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1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2023</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820" w:type="dxa"/>
            <w:vAlign w:val="bottom"/>
            <w:tcBorders>
              <w:right w:val="single" w:sz="8" w:color="CCEEFF"/>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332.5</w:t>
            </w:r>
          </w:p>
        </w:tc>
        <w:tc>
          <w:tcPr>
            <w:tcW w:w="22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center"/>
              <w:ind w:left="11"/>
              <w:spacing w:after="0" w:line="159" w:lineRule="exact"/>
              <w:rPr>
                <w:sz w:val="20"/>
                <w:szCs w:val="20"/>
                <w:color w:val="auto"/>
              </w:rPr>
            </w:pPr>
            <w:r>
              <w:rPr>
                <w:rFonts w:ascii="Times New Roman" w:cs="Times New Roman" w:eastAsia="Times New Roman" w:hAnsi="Times New Roman"/>
                <w:sz w:val="14"/>
                <w:szCs w:val="14"/>
                <w:color w:val="auto"/>
              </w:rPr>
              <w:t>(79.6)</w:t>
            </w:r>
          </w:p>
        </w:tc>
        <w:tc>
          <w:tcPr>
            <w:tcW w:w="2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6.8</w:t>
            </w:r>
          </w:p>
        </w:tc>
        <w:tc>
          <w:tcPr>
            <w:tcW w:w="24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259.7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Dividend paid to noncontrolling interest</w:t>
            </w:r>
          </w:p>
        </w:tc>
        <w:tc>
          <w:tcPr>
            <w:tcW w:w="12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transfers to parent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 March 31, 2024</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40" w:type="dxa"/>
            <w:vAlign w:val="bottom"/>
            <w:gridSpan w:val="2"/>
            <w:vMerge w:val="continue"/>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2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color w:val="auto"/>
              </w:rPr>
              <w:t>(82.9)</w:t>
            </w:r>
          </w:p>
        </w:tc>
        <w:tc>
          <w:tcPr>
            <w:tcW w:w="200" w:type="dxa"/>
            <w:vAlign w:val="bottom"/>
            <w:vMerge w:val="continue"/>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320.1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paid to noncontrolling interest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Net transfers to parent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4"/>
                <w:szCs w:val="14"/>
                <w:color w:val="auto"/>
              </w:rPr>
              <w:t>(90.0)</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440.1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earnings (loss)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left="251"/>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rPr>
              <w:t>16.0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Dividend paid to noncontrolling interest</w:t>
            </w:r>
          </w:p>
        </w:tc>
        <w:tc>
          <w:tcPr>
            <w:tcW w:w="12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transfers from parent</w:t>
            </w:r>
          </w:p>
        </w:tc>
        <w:tc>
          <w:tcPr>
            <w:tcW w:w="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March 31, 2026</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color w:val="auto"/>
              </w:rPr>
              <w:t>(74.0)</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486.5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notes to combined financial statements are an integral part of these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386"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 – Organization and Basis of Presentation</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Organization</w:t>
      </w:r>
    </w:p>
    <w:p>
      <w:pPr>
        <w:spacing w:after="0" w:line="9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On January 29, 2026, Modine (“Modine” or “Parent”) entered into a definitive agreement with Gentherm Incorporated (“Gentherm”) whereby Modine will spin-off and simultaneously combine its Performance Technologies business (collectively, “Performance Technologies”, the “Company”, or “SpinCo”) with Gentherm in a Reverse Morris Trust (“RMT”) transaction that is intended to be tax-free for Modine and Modine shareholders for U.S. federal income tax purposes. Modine will retain its Climate Solutions business (“RemainCo”). Modine anticipates this transaction will close by the end of calendar year 2026, subject to approval by Gentherm’s shareholders and other closing conditions, including regulatory approvals.</w:t>
      </w:r>
    </w:p>
    <w:p>
      <w:pPr>
        <w:spacing w:after="0" w:line="144"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spin-off transaction (the “Spin-Off”) will consist of Modine making a pro-rata distribution of shares in the Performance Technologies business to its shareholders in a transaction that will be accounted for as a forward spin. The RMT transaction, occurring concurrently with the Spin-Off, consists of SpinCo merging with Gentherm. Modine shareholders will own approximately 40% of the combined company and Gentherm shareholders will own approximately 60% of the combined company. The shareholders of Gentherm will be voting on the transaction. A vote by Modine shareholders is not required.</w:t>
      </w:r>
    </w:p>
    <w:p>
      <w:pPr>
        <w:spacing w:after="0" w:line="144"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Performance Technologies provides products and solutions that enhance the performance of customer applications and develops solutions that provide mission-critical energy for a variety of end market applications. The Company also provides solutions that increase fuel economy, reduce harmful emissions and maximize range in zero emission applications. Performance Technologies designs and manufactures products and solutions for vehicular, stationary power, and industrial applications. In addition, Performance Technologies provides advanced thermal solutions to zero-emission and hybrid commercial vehicle, bus and specialty vehicle customers.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combined financial statements have been prepared on a “carve–out” basis. For the fiscal years ended March 31, 2026, 2025 and 2024, the Company operated as part of the Parent, and consisted of several entities for which separate financial statements have not historically been prepared. As such, the periods presented have been derived from the consolidated financial statements and accounting records of the Parent, including the historical cost basis of assets and liabilities comprising the Company, as well as the historical revenues, direct costs, and allocations of indirect costs attributable to the operations of the Company, using the historical accounting policies applied by the Parent. The combined financial statements have been prepared in accordance with U.S. generally accepted accounting principles (“U.S. GAAP”) and pursuant to the rules and regulations of the U.S. Securities and Exchange Commission (“SEC”).</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The combined financial statements include all revenues and costs directly attributable to Performance Technologies, along with a portion of Modine’s corporate costs. These expenses are comprised of an allocation to Performance Technologies based on direct usage or benefit where specifically identifiable, along with a portion of the corporate expenses applied on a pro rata basis. Performance Technologies considers these allocations to be a reasonable reflection of the utilization of services or the benefit received. However, the allocations may not be indicative of the actual expense that would have been incurred had Performance Technologies operated as an independent, standalone entity, nor are they indicative of Performance Technologies future expenses. Actual costs that may have been incurred if Performance Technologies had been a standalone company would depend on a number of factors, including the chosen organization structure and strategic decisions made in various areas, including information technology (“IT”), infrastructure and outsourcing of corporate functions. Refer to Note 17 for further information.</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386"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combined financial statements include $2.3 million of transaction costs in fiscal 2026 that were specifically identified and allocated to the Company, primarily consisting of audit-related fees and certain employee retention costs related to the RMT transaction with Gentherm. The Parent has incurred additional transaction costs related to the transaction; however, only those costs determined to be directly attributable to or otherwise for the benefit of the Company have been reflected in these combined financial statements.</w:t>
      </w:r>
    </w:p>
    <w:p>
      <w:pPr>
        <w:spacing w:after="0" w:line="141" w:lineRule="exact"/>
        <w:rPr>
          <w:sz w:val="20"/>
          <w:szCs w:val="20"/>
          <w:color w:val="auto"/>
        </w:rPr>
      </w:pPr>
    </w:p>
    <w:p>
      <w:pPr>
        <w:ind w:left="1360" w:right="439" w:firstLine="343"/>
        <w:spacing w:after="0" w:line="258" w:lineRule="auto"/>
        <w:rPr>
          <w:sz w:val="20"/>
          <w:szCs w:val="20"/>
          <w:color w:val="auto"/>
        </w:rPr>
      </w:pPr>
      <w:r>
        <w:rPr>
          <w:rFonts w:ascii="Times New Roman" w:cs="Times New Roman" w:eastAsia="Times New Roman" w:hAnsi="Times New Roman"/>
          <w:sz w:val="14"/>
          <w:szCs w:val="14"/>
          <w:color w:val="auto"/>
        </w:rPr>
        <w:t>The combined financial statements include assets and liabilities specifically attributable to Performance Technologies and certain assets and liabilities that are held by Modine that are specifically identifiable or otherwise attributable to Performance Technologies. The historical results of operations, financial position and cash flows of Performance Technologies presented in these combined financial statements may not be indicative of what they would have been had Performance Technologies been an independent standalone entity, nor are they necessarily indicative of Performance Technologies’ future results of operations, financial position and cash flows.</w:t>
      </w:r>
    </w:p>
    <w:p>
      <w:pPr>
        <w:spacing w:after="0" w:line="144"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As the separate legal entities of Performance Technologies were not historically held by a single legal entity, net parent investment is shown in lieu of shareholders’ equity in the combined financial statements. Net parent investment represents Modine’s interest in the net assets of Performance Technologies and represents the cumulative investment by Modine in Performance Technologies through the dates presented, inclusive of operating results.</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Modine uses a centralized approach to cash management and financing of its operations. These arrangements are not reflective of the manner in which the Company would have financed its operations had it been a standalone business separate from Modine during the periods presented. Accordingly, cash and cash equivalents held by the Parent at the corporate level were not attributable to the Company for any of the periods presented. Only cash amounts legally owned by entities dedicated to the Company are reflected in the combined balance sheets. Transfers of cash, both to and from the Parent’s treasury program, are reflected as a component of net parent investment in the combined balance sheets and as a financing activity on the accompanying combined statements of cash flows.</w:t>
      </w:r>
    </w:p>
    <w:p>
      <w:pPr>
        <w:spacing w:after="0" w:line="143"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Modine’s long-term debt and related interest expense have not been attributed to Performance Technologies for any of the periods presented because Performance Technologies is not the legal obligor of such borrowings.</w:t>
      </w:r>
    </w:p>
    <w:p>
      <w:pPr>
        <w:spacing w:after="0" w:line="125" w:lineRule="exact"/>
        <w:rPr>
          <w:sz w:val="20"/>
          <w:szCs w:val="20"/>
          <w:color w:val="auto"/>
        </w:rPr>
      </w:pPr>
    </w:p>
    <w:p>
      <w:pPr>
        <w:ind w:left="1360" w:right="359" w:firstLine="343"/>
        <w:spacing w:after="0" w:line="280" w:lineRule="auto"/>
        <w:rPr>
          <w:sz w:val="20"/>
          <w:szCs w:val="20"/>
          <w:color w:val="auto"/>
        </w:rPr>
      </w:pPr>
      <w:r>
        <w:rPr>
          <w:rFonts w:ascii="Times New Roman" w:cs="Times New Roman" w:eastAsia="Times New Roman" w:hAnsi="Times New Roman"/>
          <w:sz w:val="13"/>
          <w:szCs w:val="13"/>
          <w:color w:val="auto"/>
        </w:rPr>
        <w:t>All intercompany transactions and balances within Performance Technologies have been eliminated. Transactions between Performance Technologies and Modine that will not be cash settled are included within net parent investment. Transactions between Performance Technologies and Modine that have been or will be effectively settled for cash at the time the transaction is recorded through Modine’s centralized cash management system have been included in these combined financial statements. The total net effect of the settlement of these intercompany transactions is reflected in the combined statements of cash flows as a financing activity and in the combined balance sheets as net parent investment. Transactions between Performance Technologies and other businesses of Modine are considered related party transactions. See Note 17 for more information.</w:t>
      </w:r>
    </w:p>
    <w:p>
      <w:pPr>
        <w:spacing w:after="0" w:line="21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 – Significant Accounting Policies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Principles of combination</w:t>
      </w:r>
    </w:p>
    <w:p>
      <w:pPr>
        <w:spacing w:after="0" w:line="93"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The accompanying combined financial statements include the accounts of legal entities and business components that comprise Performance Technologies. All intercompany transactions and balances within the Company have been eliminated.</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386"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Use of estimates</w:t>
      </w:r>
    </w:p>
    <w:p>
      <w:pPr>
        <w:spacing w:after="0" w:line="93"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the use of estimates and assumptions that affect the reported amounts of assets and liabilities, the disclosure of contingent liabilities at the date of the financial statements and the reported amounts of revenues and expenses during the periods reported. Actual results could differ from those estimates.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Dispositions</w:t>
      </w:r>
    </w:p>
    <w:p>
      <w:pPr>
        <w:spacing w:after="0" w:line="93"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During fiscal 2024, the Company sold three vehicular businesses based in Germany. See Note 3 for information regarding the Company’s dispositions.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Revenue recognition</w:t>
      </w:r>
    </w:p>
    <w:p>
      <w:pPr>
        <w:spacing w:after="0" w:line="93" w:lineRule="exact"/>
        <w:rPr>
          <w:sz w:val="20"/>
          <w:szCs w:val="20"/>
          <w:color w:val="auto"/>
        </w:rPr>
      </w:pPr>
    </w:p>
    <w:p>
      <w:pPr>
        <w:jc w:val="both"/>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The Company recognizes revenue based upon consideration specified in a contract and as it satisfies performance obligations by transferring control over its products to its customers. The majority of the Company’s revenue is recognized at a point in time, based upon shipment terms. See Note 4 for additional information.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Shipping and handling costs</w:t>
      </w:r>
    </w:p>
    <w:p>
      <w:pPr>
        <w:spacing w:after="0" w:line="93"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The Company records shipping and handling costs incurred upon the shipment of products to its customers in cost of sales, and related amounts billed to these customers in net sales.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Trade accounts receivable</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Company records trade receivables at the invoiced amount. Trade receivables do not bear interest if paid according to the original terms. The Company maintains an allowance for credit losses, representing its estimate of expected losses associated with its trade accounts receivable. The Company bases its estimate using historical loss experience and considers the aging of the receivables and risks specific to customers where appropriate. At March 31, 2026 and 2025, the allowance for credit losses was $3.0 million and $1.6 million, respectively. The changes to the Company’s allowance for credit losses during fiscal 2026 and 2025 were not material and primarily consisted of current-period provisions, write-offs charged against the allowance, recoveries collected, and foreign currency translation.</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Company enters into supply chain financing programs from time to time to sell accounts receivable, without recourse, to third-party financial</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institutions. Sales of accounts receivable are reflected as a reduction of accounts receivable on the combined balance sheets and the proceeds are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included in cash flows from operating activities in the combined statements of cash flows. During fiscal 2026, 2025 and 2024, the Company sold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$2.2 million, $5.1 million and $127.0 million respectively, of accounts receivable to accelerate cash receipts. During fiscal 2026 and 2025, costs related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selling accounts receivable were not significant. During fiscal 2024, the Company recorded costs totaling $1.5 million related to selling accounts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receivable in the combined statements of operations.</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Warranty</w:t>
      </w:r>
    </w:p>
    <w:p>
      <w:pPr>
        <w:spacing w:after="0" w:line="93"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The Company provides product warranties for specific product lines and accrues for estimated future warranty costs in the period in which the sale is recorded. The Company records warranty expense, within cost of sales, based upon historical and current claims data or based upon estimated future claims. Accrual balances,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386"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which are recorded within other current liabilities, are monitored and adjusted if it is probable that expected claims will differ from previous estimates.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See Note 13 for additional information.</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Tooling</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The Company accounts for production tooling costs as a component of property, plant and equipment when it owns title to the tooling and amortizes the capitalized cost to cost of sales over the estimated life of the asset, which is generally three years. At March 31, 2026 and 2025, Company-owned tooling totaled $15.7 million and $17.5 million, respectively.</w:t>
      </w:r>
    </w:p>
    <w:p>
      <w:pPr>
        <w:spacing w:after="0" w:line="136" w:lineRule="exact"/>
        <w:rPr>
          <w:sz w:val="20"/>
          <w:szCs w:val="20"/>
          <w:color w:val="auto"/>
        </w:rPr>
      </w:pPr>
    </w:p>
    <w:p>
      <w:pPr>
        <w:jc w:val="both"/>
        <w:ind w:left="1360" w:right="279" w:firstLine="343"/>
        <w:spacing w:after="0" w:line="277" w:lineRule="auto"/>
        <w:rPr>
          <w:sz w:val="20"/>
          <w:szCs w:val="20"/>
          <w:color w:val="auto"/>
        </w:rPr>
      </w:pPr>
      <w:r>
        <w:rPr>
          <w:rFonts w:ascii="Times New Roman" w:cs="Times New Roman" w:eastAsia="Times New Roman" w:hAnsi="Times New Roman"/>
          <w:sz w:val="13"/>
          <w:szCs w:val="13"/>
          <w:color w:val="auto"/>
        </w:rPr>
        <w:t>In certain instances, tooling is owned by the customer. At the time customer-owned tooling is completed and customer acceptance is obtained, the Company records tooling revenue and related production costs within net sales and cost of sales, respectively, in the combined statements of operations. If the customer has agreed to reimburse the Company, unbilled customer-owned tooling costs are recorded as a receivable within other current assets.</w:t>
      </w:r>
    </w:p>
    <w:p>
      <w:pPr>
        <w:spacing w:after="0" w:line="2"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No significant arrangements exist where customer-owned tooling costs were not accompanied by guaranteed reimbursement. At March 31, 2026 and 2025, customer-owned tooling receivables totaled $2.6 million and $6.9 million, respectively.</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Stock-based compensation</w:t>
      </w:r>
    </w:p>
    <w:p>
      <w:pPr>
        <w:spacing w:after="0" w:line="9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Certain employees of the Company participate in the Parent’s share-based compensation plans, which include stock options, restricted stock and performance-based stock awards. Modine recognizes stock-based compensation using the fair value method. Accordingly, compensation expense for stock options, restricted stock and performance-based stock awards is calculated based upon the fair value of the instruments at the time of grant and is recognized as expense over the respective vesting periods. As the stock-based compensation plans are Modine’s plans and the awards are settled by Modine, the offset to the expense has been recognized through net parent investment on the combined balance sheets. See Note 6 for additional information on the Parent’s stock-based compensation plans in which certain employees of the Company participate.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Research and development</w:t>
      </w:r>
    </w:p>
    <w:p>
      <w:pPr>
        <w:spacing w:after="0" w:line="9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The Company expenses research and development costs as incurred within selling, general, and administrative (“SG&amp;A”) expenses. During fiscal 2026, 2025 and 2024, research and development costs totaled $16.1 million, $22.3 million and $33.2 million, respectively.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Translation of foreign currencies</w:t>
      </w:r>
    </w:p>
    <w:p>
      <w:pPr>
        <w:spacing w:after="0" w:line="93"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The Company translates assets and liabilities of foreign subsidiaries into U.S. dollars at the period-end exchange rates and translates income and expense items at the monthly average exchange rate for the period in which the transactions occur. The Company reports resulting translation adjustments within accumulated other comprehensive loss within the combined statements of equity. The Company includes foreign currency transaction gains or losses in the combined statements of operations within other income and expense.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Income taxes</w:t>
      </w:r>
    </w:p>
    <w:p>
      <w:pPr>
        <w:spacing w:after="0" w:line="93" w:lineRule="exact"/>
        <w:rPr>
          <w:sz w:val="20"/>
          <w:szCs w:val="20"/>
          <w:color w:val="auto"/>
        </w:rPr>
      </w:pPr>
    </w:p>
    <w:p>
      <w:pPr>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Income taxes as presented in the Company’s combined financial statements have been allocated in a manner that is systematic, rational, and consistent with the applicable income tax accounting principles. The Company has historically been included in certain international and U.S. federal, state and local income tax returns, and as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386"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part of unitary group or combined returns in relevant states. For purposes of these condensed combined financial statements, income taxes related to the Company have been presented as if it were a separate stand-alone taxpayer. Under this approach, the Company determined its current tax liability, deferred tax assets and liabilities, and related tax expense as if it were filing separate tax returns in each tax jurisdiction as a stand-alone entity.</w:t>
      </w:r>
    </w:p>
    <w:p>
      <w:pPr>
        <w:spacing w:after="0" w:line="136"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Since the Company’s results are included in the Parent’s consolidated tax returns, payments to certain tax authorities are made by the Parent, and not by the Company. For tax jurisdictions where the Company is included with the Parent in a consolidated tax filing, the Company does not record taxes payable to or from the Parent and the applicable payments are deemed to be settled through changes in net parent investment.</w:t>
      </w:r>
    </w:p>
    <w:p>
      <w:pPr>
        <w:spacing w:after="0" w:line="220"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The Company determines deferred tax assets and liabilities based upon the difference between the amounts reported in the financial statements and the tax basis of assets and liabilities, using enacted tax rates in effect in the years in which the differences are expected to reverse. The Company establishes a valuation allowance if it is more likely than not that a deferred tax asset, or portion thereof, will not be realized. The Company records the tax effects of global intangible low-taxed income (“GILTI”) as a period expense in the applicable tax year. The Company uses the portfolio approach for releasing income tax effects from accumulated other comprehensive income (loss). See Note 9 for additional information.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Cash and cash equivalents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Company considers all highly-liquid investments with original maturities of three months or less to be cash equivalents.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Inventories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Company values inventories using a first-in, first-out or weighted-average basis, at the lower of cost and net realizable value.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Property, plant and equipment</w:t>
      </w:r>
    </w:p>
    <w:p>
      <w:pPr>
        <w:spacing w:after="0" w:line="93"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The Company records property, plant and equipment at cost. For financial reporting purposes, the Company computes depreciation using the straight-line method over the expected useful lives of the assets. The Company expenses maintenance and repair costs as incurred. The Company capitalizes costs of improvements. Upon the sale or other disposition of an asset, the Company removes the cost and related accumulated depreciation from the accounts and includes the gain or loss in the combined statements of operations. Capital expenditures of $8.7 million and $8.0 million were accrued within accounts payable at March 31, 2026 and 2025, respectively.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Leases</w:t>
      </w:r>
    </w:p>
    <w:p>
      <w:pPr>
        <w:spacing w:after="0" w:line="93" w:lineRule="exact"/>
        <w:rPr>
          <w:sz w:val="20"/>
          <w:szCs w:val="20"/>
          <w:color w:val="auto"/>
        </w:rPr>
      </w:pPr>
    </w:p>
    <w:p>
      <w:pPr>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The Company’s most significant leases represent leases of real estate, such as manufacturing facilities, warehouses, and office buildings. The Company also leases manufacturing and information technology equipment and vehicles. The Company recognizes right-of-use (“ROU”) assets and lease liabilities at the lease commencement date, based upon the present value of lease payments over the lease term. See Note 14 for additional information.</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386"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Impairment of long-lived assets</w:t>
      </w:r>
    </w:p>
    <w:p>
      <w:pPr>
        <w:spacing w:after="0" w:line="9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The Company evaluates long-lived assets, including property, plant and equipment, for impairment whenever conditions or events indicate that those assets may be impaired. The Company considers factors such as operating losses, declining financial outlooks and market conditions when evaluating the need for an impairment analysis. In the event an impairment indicator is identified, the Company compares the undiscounted future cash flows expected to be generated by the assets with their carrying value. If the net asset values exceed expected future cash flows, the Company writes down the assets to fair value and records an impairment charge. The Company estimates fair value in various ways depending on the nature of the underlying assets. Fair value is generally based upon appraised value, estimated salvage value, or selling prices under negotiation, as applicable.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Self-insurance reserves</w:t>
      </w:r>
    </w:p>
    <w:p>
      <w:pPr>
        <w:spacing w:after="0" w:line="93" w:lineRule="exact"/>
        <w:rPr>
          <w:sz w:val="20"/>
          <w:szCs w:val="20"/>
          <w:color w:val="auto"/>
        </w:rPr>
      </w:pPr>
    </w:p>
    <w:p>
      <w:pPr>
        <w:jc w:val="both"/>
        <w:ind w:left="1360" w:right="439" w:firstLine="343"/>
        <w:spacing w:after="0" w:line="277" w:lineRule="auto"/>
        <w:rPr>
          <w:sz w:val="20"/>
          <w:szCs w:val="20"/>
          <w:color w:val="auto"/>
        </w:rPr>
      </w:pPr>
      <w:r>
        <w:rPr>
          <w:rFonts w:ascii="Times New Roman" w:cs="Times New Roman" w:eastAsia="Times New Roman" w:hAnsi="Times New Roman"/>
          <w:sz w:val="13"/>
          <w:szCs w:val="13"/>
          <w:color w:val="auto"/>
        </w:rPr>
        <w:t>The Company retains a portion of the financial risk for certain insurance coverage, including property, general liability, workers compensation, and employee healthcare, and therefore maintains reserves that estimate the impact of unreported and under-reported claims that fall below stop-loss limits and deductibles under its insurance policies. The Company maintains reserves for the estimated settlement cost of known claims, as well</w:t>
      </w:r>
    </w:p>
    <w:p>
      <w:pPr>
        <w:spacing w:after="0" w:line="2" w:lineRule="exact"/>
        <w:rPr>
          <w:sz w:val="20"/>
          <w:szCs w:val="20"/>
          <w:color w:val="auto"/>
        </w:rPr>
      </w:pPr>
    </w:p>
    <w:p>
      <w:pPr>
        <w:jc w:val="both"/>
        <w:ind w:left="1360" w:right="699"/>
        <w:spacing w:after="0" w:line="256" w:lineRule="auto"/>
        <w:rPr>
          <w:sz w:val="20"/>
          <w:szCs w:val="20"/>
          <w:color w:val="auto"/>
        </w:rPr>
      </w:pPr>
      <w:r>
        <w:rPr>
          <w:rFonts w:ascii="Times New Roman" w:cs="Times New Roman" w:eastAsia="Times New Roman" w:hAnsi="Times New Roman"/>
          <w:sz w:val="14"/>
          <w:szCs w:val="14"/>
          <w:color w:val="auto"/>
        </w:rPr>
        <w:t>as estimates of incurred but not reported claims. The Company charges costs of claims, including the impact of changes in reserves due to claim experience and severity, to cost of sales or SG&amp;A expenses. The Company reviews and updates the amount of its insurance-related reserves on a quarterly basis.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Supplier finance programs</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Company facilitates a voluntary supplier finance program through a financial institution that allows certain suppliers in the U.S. to request early payment for invoices, at a discount, from the financial institution. The Parent or the financial institution may terminate the supplier finance program upon 90 days’ notice. The Company’s obligations to its suppliers, including amounts due and payment terms, are consistent, irrespective of whether a supplier participates in the program. The Company is not party to the arrangements between the participating suppliers and the financial institution. Under this program, the Company confirms the validity of supplier invoices to the financial institution and remits payments to it based on the original payment terms, which typically range from 60 to 120 days. The outstanding obligations under this program are included within accounts payable in the combined balance sheets.</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The following table presents a roll forward of the Company’s obligations associated with the supplier finance program.</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10"/>
          </w:tcPr>
          <w:p>
            <w:pPr>
              <w:ind w:left="14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700" w:type="dxa"/>
            <w:vAlign w:val="bottom"/>
            <w:tcBorders>
              <w:top w:val="single" w:sz="8" w:color="auto"/>
            </w:tcBorders>
            <w:gridSpan w:val="3"/>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2026 </w:t>
            </w:r>
          </w:p>
        </w:tc>
        <w:tc>
          <w:tcPr>
            <w:tcW w:w="3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jc w:val="center"/>
              <w:ind w:right="49"/>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380" w:type="dxa"/>
            <w:vAlign w:val="bottom"/>
            <w:tcBorders>
              <w:top w:val="single" w:sz="8" w:color="auto"/>
            </w:tcBorders>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w w:val="78"/>
              </w:rPr>
              <w:t>2025 </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Obligations outstanding – beginning of period</w:t>
            </w:r>
          </w:p>
        </w:tc>
        <w:tc>
          <w:tcPr>
            <w:tcW w:w="19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w:t>
            </w:r>
          </w:p>
        </w:tc>
        <w:tc>
          <w:tcPr>
            <w:tcW w:w="3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jc w:val="center"/>
              <w:ind w:right="2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Invoices submitted</w:t>
            </w: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Invoices paid</w:t>
            </w:r>
          </w:p>
        </w:tc>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(19.0)</w:t>
            </w: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(20.5)</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2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Obligations outstanding – end of period</w:t>
            </w: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4"/>
                <w:szCs w:val="14"/>
                <w:u w:val="single" w:color="auto"/>
                <w:color w:val="auto"/>
              </w:rPr>
              <w:t>8</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gridSpan w:val="2"/>
          </w:tcPr>
          <w:p>
            <w:pPr>
              <w:jc w:val="center"/>
              <w:ind w:right="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Supplemental cash flow information</w:t>
            </w: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880" w:type="dxa"/>
            <w:vAlign w:val="bottom"/>
            <w:gridSpan w:val="4"/>
            <w:vMerge w:val="continue"/>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9"/>
          </w:tcPr>
          <w:p>
            <w:pPr>
              <w:ind w:left="14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gridSpan w:val="3"/>
          </w:tcPr>
          <w:p>
            <w:pPr>
              <w:ind w:left="10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3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2026 </w:t>
            </w:r>
          </w:p>
        </w:tc>
        <w:tc>
          <w:tcPr>
            <w:tcW w:w="4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2025 </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73"/>
              </w:rPr>
              <w:t>2024 </w:t>
            </w: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3200" w:type="dxa"/>
            <w:vAlign w:val="bottom"/>
            <w:tcBorders>
              <w:top w:val="single" w:sz="8" w:color="CCEE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Interest paid – related party borrowings</w:t>
            </w:r>
          </w:p>
        </w:tc>
        <w:tc>
          <w:tcPr>
            <w:tcW w:w="19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— </w:t>
            </w:r>
          </w:p>
        </w:tc>
        <w:tc>
          <w:tcPr>
            <w:tcW w:w="520" w:type="dxa"/>
            <w:vAlign w:val="bottom"/>
            <w:tcBorders>
              <w:top w:val="single" w:sz="8" w:color="CCEEFF"/>
            </w:tcBorders>
            <w:gridSpan w:val="2"/>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 — </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$ 1.1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1"/>
              </w:rPr>
              <w:t>0.3</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F-14</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See Note 14 for supplemental cash flow information related to the Company’s leases and Note 9 for supplemental cash flow information related to income taxes.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New accounting guidance - Disaggregation of income statement expenses</w:t>
      </w:r>
    </w:p>
    <w:p>
      <w:pPr>
        <w:spacing w:after="0" w:line="93" w:lineRule="exact"/>
        <w:rPr>
          <w:sz w:val="20"/>
          <w:szCs w:val="20"/>
          <w:color w:val="auto"/>
        </w:rPr>
      </w:pPr>
    </w:p>
    <w:p>
      <w:pPr>
        <w:ind w:left="1360" w:right="499" w:firstLine="343"/>
        <w:spacing w:after="0" w:line="261" w:lineRule="auto"/>
        <w:rPr>
          <w:sz w:val="20"/>
          <w:szCs w:val="20"/>
          <w:color w:val="auto"/>
        </w:rPr>
      </w:pPr>
      <w:r>
        <w:rPr>
          <w:rFonts w:ascii="Times New Roman" w:cs="Times New Roman" w:eastAsia="Times New Roman" w:hAnsi="Times New Roman"/>
          <w:sz w:val="14"/>
          <w:szCs w:val="14"/>
          <w:color w:val="auto"/>
        </w:rPr>
        <w:t>In November 2024, the FASB issued new guidance that will require additional disclosure regarding the nature of expenses presented within expense captions on the combined statements of operations and selling expenses. The new disclosure requirements will become effective for the Company’s fiscal 2028 annual financial statements. The Company is currently evaluating the new disclosures, but does not expect the guidance will have a material impact on its combined financial statements.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3 – Dispositions</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During fiscal 2022, the Company sold its Austrian automotive business. To facilitate the closing of this sale, the Company provided the buyer with a loan facility. During the fourth quarter of fiscal 2026, the Company and the buyer settled the loan facility for less than the principal balance outstanding. As a result, the Company recorded a loss of $3.9 million during fiscal 2026 to write-off the remaining loan receivable. The Company has reported this loss within the loss on sale of assets line on its combined statement of operations.</w:t>
      </w:r>
    </w:p>
    <w:p>
      <w:pPr>
        <w:spacing w:after="0" w:line="141"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In October 2023, the Company sold three vehicular businesses based in Germany (the “disposal group”) to affiliates of Regent, L.P. As a result of the sale, the Company recorded a $4.0 million gain on sale during fiscal 2024, primarily driven by the net liability position of the disposal group at the time of sale. In addition, the gain on sale included the write-off of $0.6 million of net actuarial gains related to the disposal group’s pension plans. The Company reported the $4.0 million gain on the gain on sale of assets line within the combined statement of operations. Prior to the disposition, the Company reported the financial results of the disposal group within its Automotive and Commercial Vehicle segments. Net sales of the disposal group included within the Company’s combined statements of operations for fiscal 2024 totaled $54.2 million.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4 – Revenue Recognition</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Company sells thermal management systems and engineered heat transfer components for vehicular, stationary power, and industrial applications. The Company’s products are primarily used in heavy-duty equipment, commercial vehicle, automotive, and advanced thermal applications, including solutions that support fuel efficiency, emissions reduction, and zero-emission technologies. The Company recognizes revenue based upon consideration specified in a contract and as it satisfies performance obligations by transferring control over its products to its customers. The majority of the Company’s revenue is recognized at a point in time, generally upon shipment, based upon shipment terms. While the Company provides customized production and service parts to customers under multi-year agreements, these agreements typically do not contain contractually-guaranteed volumes to be purchased by the customer. As a result, individual purchase orders typically represent the quantities ordered by the customer.</w:t>
      </w:r>
    </w:p>
    <w:p>
      <w:pPr>
        <w:spacing w:after="0" w:line="144"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The Company records an allowance for credit losses and accrues for estimated warranty costs at the time of sale. These estimates are based upon historical experience, current business trends, and current economic conditions. The Company accounts for shipping and handling activities as fulfillment costs rather than separate performance obligations and records shipping and handling costs in cost of sales and related amounts billed to customers in net sales. The Company establishes payment terms with its customers based upon industry and regional practices, which typically do not exceed 90 days. As the Company expects to receive payment from its customers within one year from the time of sale, it disregards the effects of the time value of money in its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386"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determination of the transaction price. The Company has not disclosed the value of unsatisfied performance obligations because the revenue associated with customer contracts for which the original expected performance period is greater than one year is not material.</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Disaggregation of revenue</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tables below present revenue for each of the Company’s operating segments; Heavy-Duty Equipment, Commercial Vehicle, and Automotive.</w:t>
      </w:r>
    </w:p>
    <w:p>
      <w:pPr>
        <w:spacing w:after="0" w:line="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Each segment’s revenue is disaggregated by geographic location.</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See Note 21 for additional segment financial information.</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March 31, 2026</w:t>
            </w: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Heavy-Duty</w:t>
            </w:r>
          </w:p>
        </w:tc>
        <w:tc>
          <w:tcPr>
            <w:tcW w:w="1060" w:type="dxa"/>
            <w:vAlign w:val="bottom"/>
            <w:gridSpan w:val="3"/>
          </w:tcPr>
          <w:p>
            <w:pPr>
              <w:ind w:left="460"/>
              <w:spacing w:after="0" w:line="87"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10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Vehicle</w:t>
            </w:r>
          </w:p>
        </w:tc>
        <w:tc>
          <w:tcPr>
            <w:tcW w:w="104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Geographic location:</w:t>
            </w:r>
          </w:p>
        </w:tc>
        <w:tc>
          <w:tcPr>
            <w:tcW w:w="15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Americas</w:t>
            </w:r>
          </w:p>
        </w:tc>
        <w:tc>
          <w:tcPr>
            <w:tcW w:w="1680" w:type="dxa"/>
            <w:vAlign w:val="bottom"/>
            <w:gridSpan w:val="2"/>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Europe</w:t>
            </w: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Asia</w:t>
            </w: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16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1,131.8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March 31, 2025</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Heavy-Duty</w:t>
            </w:r>
          </w:p>
        </w:tc>
        <w:tc>
          <w:tcPr>
            <w:tcW w:w="1060" w:type="dxa"/>
            <w:vAlign w:val="bottom"/>
            <w:gridSpan w:val="3"/>
          </w:tcPr>
          <w:p>
            <w:pPr>
              <w:ind w:left="460"/>
              <w:spacing w:after="0" w:line="87"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10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Vehicle</w:t>
            </w:r>
          </w:p>
        </w:tc>
        <w:tc>
          <w:tcPr>
            <w:tcW w:w="104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Geographic location:</w:t>
            </w:r>
          </w:p>
        </w:tc>
        <w:tc>
          <w:tcPr>
            <w:tcW w:w="15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Americas</w:t>
            </w:r>
          </w:p>
        </w:tc>
        <w:tc>
          <w:tcPr>
            <w:tcW w:w="1680" w:type="dxa"/>
            <w:vAlign w:val="bottom"/>
            <w:gridSpan w:val="2"/>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Europe</w:t>
            </w: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Asia</w:t>
            </w: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16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1,163.5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March 31, 2024</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Heavy-Duty</w:t>
            </w:r>
          </w:p>
        </w:tc>
        <w:tc>
          <w:tcPr>
            <w:tcW w:w="1060" w:type="dxa"/>
            <w:vAlign w:val="bottom"/>
            <w:gridSpan w:val="3"/>
          </w:tcPr>
          <w:p>
            <w:pPr>
              <w:ind w:left="460"/>
              <w:spacing w:after="0" w:line="87"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10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Vehicle</w:t>
            </w:r>
          </w:p>
        </w:tc>
        <w:tc>
          <w:tcPr>
            <w:tcW w:w="104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Geographic location:</w:t>
            </w:r>
          </w:p>
        </w:tc>
        <w:tc>
          <w:tcPr>
            <w:tcW w:w="15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Americas</w:t>
            </w:r>
          </w:p>
        </w:tc>
        <w:tc>
          <w:tcPr>
            <w:tcW w:w="1680" w:type="dxa"/>
            <w:vAlign w:val="bottom"/>
            <w:gridSpan w:val="2"/>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6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Europe</w:t>
            </w: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Asia</w:t>
            </w: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16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1,321.3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Contract balances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Contract assets and contract liabilities from contracts with customers were as follows:</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35"/>
        </w:trPr>
        <w:tc>
          <w:tcPr>
            <w:tcW w:w="20" w:type="dxa"/>
            <w:vAlign w:val="bottom"/>
          </w:tcPr>
          <w:p>
            <w:pPr>
              <w:spacing w:after="0"/>
              <w:rPr>
                <w:sz w:val="11"/>
                <w:szCs w:val="11"/>
                <w:color w:val="auto"/>
              </w:rPr>
            </w:pPr>
          </w:p>
        </w:tc>
        <w:tc>
          <w:tcPr>
            <w:tcW w:w="2060" w:type="dxa"/>
            <w:vAlign w:val="bottom"/>
            <w:tcBorders>
              <w:bottom w:val="single" w:sz="8" w:color="CCEEFF"/>
            </w:tcBorders>
          </w:tcPr>
          <w:p>
            <w:pPr>
              <w:spacing w:after="0"/>
              <w:rPr>
                <w:sz w:val="11"/>
                <w:szCs w:val="11"/>
                <w:color w:val="auto"/>
              </w:rPr>
            </w:pPr>
          </w:p>
        </w:tc>
        <w:tc>
          <w:tcPr>
            <w:tcW w:w="27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0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Contract assets</w:t>
            </w: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4.6</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8.8</w:t>
            </w:r>
          </w:p>
        </w:tc>
        <w:tc>
          <w:tcPr>
            <w:tcW w:w="40" w:type="dxa"/>
            <w:vAlign w:val="bottom"/>
            <w:shd w:val="clear" w:color="auto" w:fill="CCEEFF"/>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Contract liabilities</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4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840" w:type="dxa"/>
            <w:vAlign w:val="bottom"/>
            <w:gridSpan w:val="2"/>
          </w:tcPr>
          <w:p>
            <w:pPr>
              <w:jc w:val="right"/>
              <w:ind w:right="1465"/>
              <w:spacing w:after="0"/>
              <w:rPr>
                <w:sz w:val="20"/>
                <w:szCs w:val="20"/>
                <w:color w:val="auto"/>
              </w:rPr>
            </w:pPr>
            <w:r>
              <w:rPr>
                <w:rFonts w:ascii="Times New Roman" w:cs="Times New Roman" w:eastAsia="Times New Roman" w:hAnsi="Times New Roman"/>
                <w:sz w:val="14"/>
                <w:szCs w:val="14"/>
                <w:color w:val="auto"/>
              </w:rPr>
              <w:t>F-16</w:t>
            </w: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Contract assets, included within other current assets in the combined balance sheets, primarily consist of capitalized costs related to customer-owned tooling contracts, wherein the customer has guaranteed reimbursement. The $4.2 million decrease in contract assets during fiscal 2026 primarily resulted from a decrease in capitalized costs related to customer-owned tooling contracts.</w:t>
      </w:r>
    </w:p>
    <w:p>
      <w:pPr>
        <w:spacing w:after="0" w:line="136"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Contract liabilities, included within other current liabilities in the combined balance sheets, consist of payments received in advance of satisfying performance obligations under customer contracts, including contracts for customer-owned tooling. The $6.3 million decrease in contract liabilities during fiscal 2026 primarily resulted from the Company’s satisfaction of performance obligations under contracts that had required advanced payments.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5 – Fair Value Measurements</w:t>
      </w:r>
    </w:p>
    <w:p>
      <w:pPr>
        <w:spacing w:after="0" w:line="93"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Fair value is defined as the price that would be received for an asset or paid to transfer a liability in the principal or most advantageous market for the asset or liability in an orderly transaction between market participants. Fair value measurements are classified under the following hierarchy:</w:t>
      </w:r>
    </w:p>
    <w:p>
      <w:pPr>
        <w:spacing w:after="0" w:line="51" w:lineRule="exact"/>
        <w:rPr>
          <w:sz w:val="20"/>
          <w:szCs w:val="20"/>
          <w:color w:val="auto"/>
        </w:rPr>
      </w:pPr>
    </w:p>
    <w:p>
      <w:pPr>
        <w:ind w:left="2120" w:hanging="345"/>
        <w:spacing w:after="0"/>
        <w:tabs>
          <w:tab w:leader="none" w:pos="21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prices for identical instruments in active markets.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Quoted prices for similar instruments in active markets; quoted prices for identical or similar instruments in markets that are not active; and model-derived valuations in which all significant inputs are observable in active markets.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Model-derived valuations in which one or more significant inputs are not observable.</w:t>
      </w:r>
    </w:p>
    <w:p>
      <w:pPr>
        <w:spacing w:after="0" w:line="17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When available, the Company uses quoted market prices to determine fair value and classifies such measurements as Level 1. In some cases, where market prices are not available, the Company uses observable market-based inputs to calculate fair value, in which case the measurements are classified as Level 2. If quoted or observable market prices are not available, the Company determines fair value based upon valuation models that use, where possible, market-based data such as interest rates, yield curves or currency rates. These measurements are classified as Level 3.</w:t>
      </w:r>
    </w:p>
    <w:p>
      <w:pPr>
        <w:spacing w:after="0" w:line="141"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The carrying values of cash, cash equivalents, restricted cash, trade accounts receivable, due from related party, accounts payable, due to related party, and short-term debt approximate fair value due to the short-term nature of these instruments.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6 – Stock-Based Compensation</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Company does not maintain its own stock-based incentive plans. Certain employees of the Company participate in Modine’s stock-based incentive programs, which consist of the following: (i) a long-term incentive plan (“LTIP”) for officers and other executives that authorizes grants of stock awards, stock options, and performance-based awards granted for retention and performance, (ii) a discretionary equity program for other management and key employees, and (iii) stock awards for non-employee directors. The Parent’s Board of Directors and the Human Capital and Compensation Committee, as applicable, have discretionary authority to set the terms of the stock-based awards. Grants to employees during fiscal 2026 were issued under the Parent’s Amended and Restated 2020 Incentive Compensation Plan. In fiscal 2026, 2025 and 2024, the Parent granted performance-based stock awards and restricted stock awards. At present, the Parent settles equity-based grants through newly issued shares of common stock. As of March 31, 2026, approximately 1.0 million shares authorized under the Parent’s Amended and Restated 2020 Incentive Compensation Plan remain available for</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10159"/>
          </w:cols>
          <w:pgMar w:left="300" w:top="386"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future grants. Employee participants have the opportunity to deliver back to the Parent the number of shares from the vesting of stock awards sufficient to satisfy the individual’s minimum tax withholding obligations. These shares are held by the Parent as treasury shares. The Company recorded stock-based compensation expense of $6.9 million, $14.1 million and $5.8 million in fiscal 2026, 2025 and 2024, respectively. During fiscal 2025, in connection with restructuring actions, the Company modified certain stock-based awards for a limited number of employees to permit accelerated vesting, resulting in $4.2 million of incremental stock-based compensation expense.</w:t>
      </w:r>
    </w:p>
    <w:p>
      <w:pPr>
        <w:spacing w:after="0" w:line="14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3"/>
          <w:szCs w:val="13"/>
          <w:color w:val="auto"/>
        </w:rPr>
        <w:t>The Company’s combined financial statements include stock-based compensation expense directly attributable to employees of the Company, as well as an allocation of stock-based compensation expense. Stock-based compensation expense directly attributable to Company employees was specifically identified based on awards granted to those employees. Stock-based compensation expense associated with corporate and shared employees was allocated to the Company in an amount that management believes reflects the benefit received by the Company. For the combined statements of cash flows, stock-based compensation expense directly attributable to Company employees is reported as stock-based compensation expense.</w:t>
      </w:r>
    </w:p>
    <w:p>
      <w:pPr>
        <w:spacing w:after="0" w:line="1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Stock-based compensation was as follows:</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5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7"/>
        </w:trPr>
        <w:tc>
          <w:tcPr>
            <w:tcW w:w="50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gridSpan w:val="2"/>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right"/>
              <w:ind w:right="66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jc w:val="right"/>
              <w:ind w:right="137"/>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 w:type="dxa"/>
            <w:vAlign w:val="bottom"/>
          </w:tcPr>
          <w:p>
            <w:pPr>
              <w:spacing w:after="0"/>
              <w:rPr>
                <w:sz w:val="7"/>
                <w:szCs w:val="7"/>
                <w:color w:val="auto"/>
              </w:rPr>
            </w:pPr>
          </w:p>
        </w:tc>
      </w:tr>
      <w:tr>
        <w:trPr>
          <w:trHeight w:val="135"/>
        </w:trPr>
        <w:tc>
          <w:tcPr>
            <w:tcW w:w="5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6"/>
              </w:rPr>
              <w:t>2026 </w:t>
            </w:r>
          </w:p>
        </w:tc>
        <w:tc>
          <w:tcPr>
            <w:tcW w:w="560" w:type="dxa"/>
            <w:vAlign w:val="bottom"/>
          </w:tcPr>
          <w:p>
            <w:pPr>
              <w:spacing w:after="0"/>
              <w:rPr>
                <w:sz w:val="11"/>
                <w:szCs w:val="11"/>
                <w:color w:val="auto"/>
              </w:rPr>
            </w:pPr>
          </w:p>
        </w:tc>
        <w:tc>
          <w:tcPr>
            <w:tcW w:w="800" w:type="dxa"/>
            <w:vAlign w:val="bottom"/>
            <w:gridSpan w:val="3"/>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w w:val="73"/>
              </w:rPr>
              <w:t>2025 </w:t>
            </w:r>
          </w:p>
        </w:tc>
        <w:tc>
          <w:tcPr>
            <w:tcW w:w="100" w:type="dxa"/>
            <w:vAlign w:val="bottom"/>
          </w:tcPr>
          <w:p>
            <w:pPr>
              <w:spacing w:after="0"/>
              <w:rPr>
                <w:sz w:val="11"/>
                <w:szCs w:val="11"/>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2024 </w:t>
            </w:r>
          </w:p>
        </w:tc>
      </w:tr>
      <w:tr>
        <w:trPr>
          <w:trHeight w:val="148"/>
        </w:trPr>
        <w:tc>
          <w:tcPr>
            <w:tcW w:w="50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Restricted stock</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expense – direct</w:t>
            </w: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4"/>
                <w:szCs w:val="14"/>
                <w:color w:val="auto"/>
              </w:rPr>
            </w:pPr>
          </w:p>
        </w:tc>
      </w:tr>
      <w:tr>
        <w:trPr>
          <w:trHeight w:val="168"/>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Compensation expense – allocated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4"/>
                <w:szCs w:val="14"/>
                <w:color w:val="auto"/>
              </w:rPr>
            </w:pPr>
          </w:p>
        </w:tc>
      </w:tr>
      <w:tr>
        <w:trPr>
          <w:trHeight w:val="168"/>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Compensation expense – direct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shd w:val="clear" w:color="auto" w:fill="CCEEFF"/>
          </w:tcPr>
          <w:p>
            <w:pPr>
              <w:spacing w:after="0"/>
              <w:rPr>
                <w:sz w:val="14"/>
                <w:szCs w:val="14"/>
                <w:color w:val="auto"/>
              </w:rPr>
            </w:pPr>
          </w:p>
        </w:tc>
      </w:tr>
      <w:tr>
        <w:trPr>
          <w:trHeight w:val="168"/>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expense – allocated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40" w:type="dxa"/>
            <w:vAlign w:val="bottom"/>
          </w:tcPr>
          <w:p>
            <w:pPr>
              <w:spacing w:after="0"/>
              <w:rPr>
                <w:sz w:val="14"/>
                <w:szCs w:val="14"/>
                <w:color w:val="auto"/>
              </w:rPr>
            </w:pPr>
          </w:p>
        </w:tc>
      </w:tr>
      <w:tr>
        <w:trPr>
          <w:trHeight w:val="16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 performance based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5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 expense – direct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0.5</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Pr>
          <w:p>
            <w:pPr>
              <w:spacing w:after="0"/>
              <w:rPr>
                <w:sz w:val="14"/>
                <w:szCs w:val="14"/>
                <w:color w:val="auto"/>
              </w:rPr>
            </w:pPr>
          </w:p>
        </w:tc>
      </w:tr>
      <w:tr>
        <w:trPr>
          <w:trHeight w:val="168"/>
        </w:trPr>
        <w:tc>
          <w:tcPr>
            <w:tcW w:w="5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Compensation expense – allocated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CEEFF"/>
          </w:tcPr>
          <w:p>
            <w:pPr>
              <w:spacing w:after="0"/>
              <w:rPr>
                <w:sz w:val="14"/>
                <w:szCs w:val="14"/>
                <w:color w:val="auto"/>
              </w:rPr>
            </w:pPr>
          </w:p>
        </w:tc>
      </w:tr>
      <w:tr>
        <w:trPr>
          <w:trHeight w:val="16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9"/>
              </w:rPr>
              <w:t>14.1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Restricted stock</w:t>
      </w:r>
    </w:p>
    <w:p>
      <w:pPr>
        <w:spacing w:after="0" w:line="9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The Company recorded $0.4 million, $2.3 million and $1.3 million of direct compensation expense for Performance Technologies employees related to restricted stock in fiscal 2026, 2025 and 2024 respectively. The grant date fair value of restricted stock awards that vested during fiscal 2026, 2025 and 2024 was $1.1 million, $1.1 million and $0.9 million, respectively. At March 31, 2026, the Company had $1.2 million of unrecognized compensation expense related to non-vested restricted stock, which it expects to recognize over a weighted-average period of 1.8 years. The Company values restricted stock awards using the closing market price of the Parent’s common shares on the date of grant. Based upon the terms of the annual awards, restricted stock awards vest 33 percent, 33 percent, and 34 percent per year for three years, respectively.</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10159"/>
          </w:cols>
          <w:pgMar w:left="300" w:top="386"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759" w:firstLine="343"/>
        <w:spacing w:after="0" w:line="283" w:lineRule="auto"/>
        <w:rPr>
          <w:sz w:val="20"/>
          <w:szCs w:val="20"/>
          <w:color w:val="auto"/>
        </w:rPr>
      </w:pPr>
      <w:r>
        <w:rPr>
          <w:rFonts w:ascii="Times New Roman" w:cs="Times New Roman" w:eastAsia="Times New Roman" w:hAnsi="Times New Roman"/>
          <w:sz w:val="14"/>
          <w:szCs w:val="14"/>
          <w:color w:val="auto"/>
        </w:rPr>
        <w:t>A summary of restricted stock activity for fiscal 2026 was as follows. The number of restricted stock shares granted, vested, forfeited and outstanding at the beginning and end of the year were each less than 0.1 million shares.</w:t>
      </w:r>
    </w:p>
    <w:p>
      <w:pPr>
        <w:spacing w:after="0" w:line="13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620" w:type="dxa"/>
            <w:vAlign w:val="bottom"/>
            <w:gridSpan w:val="4"/>
          </w:tcPr>
          <w:p>
            <w:pPr>
              <w:jc w:val="center"/>
              <w:ind w:left="1617"/>
              <w:spacing w:after="0"/>
              <w:rPr>
                <w:sz w:val="20"/>
                <w:szCs w:val="20"/>
                <w:color w:val="auto"/>
              </w:rPr>
            </w:pPr>
            <w:r>
              <w:rPr>
                <w:rFonts w:ascii="Times New Roman" w:cs="Times New Roman" w:eastAsia="Times New Roman" w:hAnsi="Times New Roman"/>
                <w:sz w:val="11"/>
                <w:szCs w:val="11"/>
                <w:b w:val="1"/>
                <w:bCs w:val="1"/>
                <w:color w:val="auto"/>
              </w:rPr>
              <w:t>Weighted-average</w:t>
            </w:r>
          </w:p>
        </w:tc>
      </w:tr>
      <w:tr>
        <w:trPr>
          <w:trHeight w:val="135"/>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price</w:t>
            </w:r>
          </w:p>
        </w:tc>
      </w:tr>
      <w:tr>
        <w:trPr>
          <w:trHeight w:val="159"/>
        </w:trPr>
        <w:tc>
          <w:tcPr>
            <w:tcW w:w="20" w:type="dxa"/>
            <w:vAlign w:val="bottom"/>
          </w:tcPr>
          <w:p>
            <w:pPr>
              <w:spacing w:after="0"/>
              <w:rPr>
                <w:sz w:val="13"/>
                <w:szCs w:val="13"/>
                <w:color w:val="auto"/>
              </w:rPr>
            </w:pPr>
          </w:p>
        </w:tc>
        <w:tc>
          <w:tcPr>
            <w:tcW w:w="38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Non-vested balance, beginning of year</w:t>
            </w:r>
          </w:p>
        </w:tc>
        <w:tc>
          <w:tcPr>
            <w:tcW w:w="17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46.58</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148.11</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1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balance, end of year</w:t>
            </w:r>
          </w:p>
        </w:tc>
        <w:tc>
          <w:tcPr>
            <w:tcW w:w="19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Stock options</w:t>
      </w:r>
    </w:p>
    <w:p>
      <w:pPr>
        <w:spacing w:after="0" w:line="93"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The Company’s direct compensation expense recorded for Performance Technologies employees related to stock options was not significant in fiscal 2026. The Company recorded $0.6 million and $0.2 million of direct compensation expense for Performance Technologies employees related to stock options in fiscal 2025 and 2024, respectively. The grant date fair value of stock options that vested during fiscal 2026, 2025 and 2024 was $0.1 million, $0.2 million and $0.2 million, respectively. As of March 31, 2026, the Company has no unvested stock option awards.</w:t>
      </w:r>
    </w:p>
    <w:p>
      <w:pPr>
        <w:spacing w:after="0" w:line="141"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Stock options expire no later than 10 years after the grant date and have an exercise price equal to the fair market value of Modine’s common stock on the date of grant. The Company did not grant options in fiscal 2026, 2025 or 2024.</w:t>
      </w:r>
    </w:p>
    <w:p>
      <w:pPr>
        <w:spacing w:after="0" w:line="12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A summary of stock option activity for fiscal 2026 was as follows. The number of stock options exercised, forfeited or expired, outstanding at the beginning and end of the year, and exercisable at March 31, 2026 were each less than 0.1 million shares.</w:t>
      </w:r>
    </w:p>
    <w:p>
      <w:pPr>
        <w:spacing w:after="0" w:line="13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20" w:type="dxa"/>
            <w:vAlign w:val="bottom"/>
            <w:gridSpan w:val="2"/>
          </w:tcPr>
          <w:p>
            <w:pPr>
              <w:jc w:val="center"/>
              <w:ind w:right="760"/>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w w:val="98"/>
              </w:rPr>
              <w:t>Weighted-average</w:t>
            </w:r>
          </w:p>
        </w:tc>
        <w:tc>
          <w:tcPr>
            <w:tcW w:w="1620" w:type="dxa"/>
            <w:vAlign w:val="bottom"/>
            <w:gridSpan w:val="2"/>
          </w:tcPr>
          <w:p>
            <w:pPr>
              <w:jc w:val="center"/>
              <w:ind w:right="740"/>
              <w:spacing w:after="0" w:line="116" w:lineRule="exact"/>
              <w:rPr>
                <w:sz w:val="20"/>
                <w:szCs w:val="20"/>
                <w:color w:val="auto"/>
              </w:rPr>
            </w:pPr>
            <w:r>
              <w:rPr>
                <w:rFonts w:ascii="Times New Roman" w:cs="Times New Roman" w:eastAsia="Times New Roman" w:hAnsi="Times New Roman"/>
                <w:sz w:val="11"/>
                <w:szCs w:val="11"/>
                <w:b w:val="1"/>
                <w:bCs w:val="1"/>
                <w:color w:val="auto"/>
                <w:w w:val="99"/>
              </w:rPr>
              <w:t>remaining</w:t>
            </w:r>
          </w:p>
        </w:tc>
        <w:tc>
          <w:tcPr>
            <w:tcW w:w="8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620" w:type="dxa"/>
            <w:vAlign w:val="bottom"/>
            <w:gridSpan w:val="2"/>
          </w:tcPr>
          <w:p>
            <w:pPr>
              <w:jc w:val="center"/>
              <w:ind w:right="740"/>
              <w:spacing w:after="0" w:line="116" w:lineRule="exact"/>
              <w:rPr>
                <w:sz w:val="20"/>
                <w:szCs w:val="20"/>
                <w:color w:val="auto"/>
              </w:rPr>
            </w:pPr>
            <w:r>
              <w:rPr>
                <w:rFonts w:ascii="Times New Roman" w:cs="Times New Roman" w:eastAsia="Times New Roman" w:hAnsi="Times New Roman"/>
                <w:sz w:val="11"/>
                <w:szCs w:val="11"/>
                <w:b w:val="1"/>
                <w:bCs w:val="1"/>
                <w:color w:val="auto"/>
              </w:rPr>
              <w:t>contractual term</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jc w:val="right"/>
              <w:ind w:right="84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620" w:type="dxa"/>
            <w:vAlign w:val="bottom"/>
            <w:gridSpan w:val="2"/>
          </w:tcPr>
          <w:p>
            <w:pPr>
              <w:jc w:val="center"/>
              <w:ind w:right="740"/>
              <w:spacing w:after="0"/>
              <w:rPr>
                <w:sz w:val="20"/>
                <w:szCs w:val="20"/>
                <w:color w:val="auto"/>
              </w:rPr>
            </w:pPr>
            <w:r>
              <w:rPr>
                <w:rFonts w:ascii="Times New Roman" w:cs="Times New Roman" w:eastAsia="Times New Roman" w:hAnsi="Times New Roman"/>
                <w:sz w:val="11"/>
                <w:szCs w:val="11"/>
                <w:b w:val="1"/>
                <w:bCs w:val="1"/>
                <w:color w:val="auto"/>
                <w:w w:val="98"/>
              </w:rPr>
              <w:t>(years)</w:t>
            </w:r>
          </w:p>
        </w:tc>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59"/>
        </w:trPr>
        <w:tc>
          <w:tcPr>
            <w:tcW w:w="25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beginning of year</w:t>
            </w: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12.38</w:t>
            </w:r>
          </w:p>
        </w:tc>
        <w:tc>
          <w:tcPr>
            <w:tcW w:w="7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11.88</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 or expired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12.79</w:t>
            </w:r>
          </w:p>
        </w:tc>
        <w:tc>
          <w:tcPr>
            <w:tcW w:w="8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Outstanding, end of year</w:t>
            </w:r>
          </w:p>
        </w:tc>
        <w:tc>
          <w:tcPr>
            <w:tcW w:w="7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7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7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March 31, 2026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12.59</w:t>
            </w:r>
          </w:p>
        </w:tc>
        <w:tc>
          <w:tcPr>
            <w:tcW w:w="16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aggregate intrinsic value represents the difference between the closing price of Modine’s common shares on the last trading day of fiscal 2026 over the exercise price of the stock options, multiplied by the number of options outstanding or exercisable. The aggregate intrinsic value is not recorded for financial statement purposes, and this value will change based upon daily changes in the price of Modine’s common shares.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Additional information related to stock options exercised was as follows:</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28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540" w:type="dxa"/>
            <w:vAlign w:val="bottom"/>
            <w:gridSpan w:val="6"/>
          </w:tcPr>
          <w:p>
            <w:pPr>
              <w:ind w:left="20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r>
      <w:tr>
        <w:trPr>
          <w:trHeight w:val="106"/>
        </w:trPr>
        <w:tc>
          <w:tcPr>
            <w:tcW w:w="2880" w:type="dxa"/>
            <w:vAlign w:val="bottom"/>
            <w:tcBorders>
              <w:bottom w:val="single" w:sz="8" w:color="CCEEFF"/>
            </w:tcBorders>
          </w:tcPr>
          <w:p>
            <w:pPr>
              <w:spacing w:after="0"/>
              <w:rPr>
                <w:sz w:val="9"/>
                <w:szCs w:val="9"/>
                <w:color w:val="auto"/>
              </w:rPr>
            </w:pPr>
          </w:p>
        </w:tc>
        <w:tc>
          <w:tcPr>
            <w:tcW w:w="2780" w:type="dxa"/>
            <w:vAlign w:val="bottom"/>
            <w:tcBorders>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320" w:type="dxa"/>
            <w:vAlign w:val="bottom"/>
            <w:tcBorders>
              <w:top w:val="single" w:sz="8" w:color="auto"/>
              <w:bottom w:val="single" w:sz="8" w:color="CCEEFF"/>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CCEEFF"/>
            </w:tcBorders>
          </w:tcPr>
          <w:p>
            <w:pPr>
              <w:spacing w:after="0"/>
              <w:rPr>
                <w:sz w:val="9"/>
                <w:szCs w:val="9"/>
                <w:color w:val="auto"/>
              </w:rPr>
            </w:pPr>
          </w:p>
        </w:tc>
      </w:tr>
      <w:tr>
        <w:trPr>
          <w:trHeight w:val="159"/>
        </w:trPr>
        <w:tc>
          <w:tcPr>
            <w:tcW w:w="28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Intrinsic value of stock options exercised</w:t>
            </w:r>
          </w:p>
        </w:tc>
        <w:tc>
          <w:tcPr>
            <w:tcW w:w="27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$ 2.1</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$ 1.8</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$ 1.7</w:t>
            </w:r>
          </w:p>
        </w:tc>
        <w:tc>
          <w:tcPr>
            <w:tcW w:w="40" w:type="dxa"/>
            <w:vAlign w:val="bottom"/>
            <w:shd w:val="clear" w:color="auto" w:fill="CCEEFF"/>
          </w:tcPr>
          <w:p>
            <w:pPr>
              <w:spacing w:after="0"/>
              <w:rPr>
                <w:sz w:val="13"/>
                <w:szCs w:val="13"/>
                <w:color w:val="auto"/>
              </w:rPr>
            </w:pPr>
          </w:p>
        </w:tc>
      </w:tr>
      <w:tr>
        <w:trPr>
          <w:trHeight w:val="18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stock options exercised</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tcPr>
          <w:p>
            <w:pPr>
              <w:spacing w:after="0"/>
              <w:rPr>
                <w:sz w:val="15"/>
                <w:szCs w:val="15"/>
                <w:color w:val="auto"/>
              </w:rPr>
            </w:pPr>
          </w:p>
        </w:tc>
      </w:tr>
      <w:tr>
        <w:trPr>
          <w:trHeight w:val="269"/>
        </w:trPr>
        <w:tc>
          <w:tcPr>
            <w:tcW w:w="2880" w:type="dxa"/>
            <w:vAlign w:val="bottom"/>
          </w:tcPr>
          <w:p>
            <w:pPr>
              <w:spacing w:after="0"/>
              <w:rPr>
                <w:sz w:val="23"/>
                <w:szCs w:val="23"/>
                <w:color w:val="auto"/>
              </w:rPr>
            </w:pPr>
          </w:p>
        </w:tc>
        <w:tc>
          <w:tcPr>
            <w:tcW w:w="33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F-19</w:t>
            </w: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Restricted stock – performance-based stock awards</w:t>
      </w:r>
    </w:p>
    <w:p>
      <w:pPr>
        <w:spacing w:after="0" w:line="9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The Parent granted performance-based stock awards in fiscal 2026, 2025 and 2024. For performance-based stock awards, the Parent values the awards using the closing market price of its common shares on the date of grant. The Company recorded $0.5 million, $4.4 million and $0.8 million of direct compensation expense for Performance Technologies employees related to performance-based stock awards in fiscal 2026, 2025 and 2024, respectively. At March 31, 2026, the Company had $2.1 million of total unrecognized compensation expense related to non-vested performance-based stock awards, which is expected to be recognized over a weighted-average period of 1.9 years.</w:t>
      </w:r>
    </w:p>
    <w:p>
      <w:pPr>
        <w:spacing w:after="0" w:line="144"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Shares earned under the performance portion of the incentive program are based upon the attainment of certain financial targets over a three-year period and are issued after the end of that three-year performance period, if the performance targets have been achieved. The performance metrics, which are measured at the Parent level, for the performance-based awards granted in fiscal 2026, 2025 and 2024 are based upon both a target three-year average consolidated cash flow return on invested capital and a target three-year average growth in consolidated net earnings before interest, taxes, depreciation, amortization, and certain other adjustments (“Adjusted EBITDA”) at the end of the three-year performance period, commencing with the fiscal year of grant.</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7 – Restructuring Activities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Restructuring and repositioning expenses were as follows:</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3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7"/>
        </w:trPr>
        <w:tc>
          <w:tcPr>
            <w:tcW w:w="3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jc w:val="right"/>
              <w:ind w:right="142"/>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520" w:type="dxa"/>
            <w:vAlign w:val="bottom"/>
          </w:tcPr>
          <w:p>
            <w:pPr>
              <w:spacing w:after="0"/>
              <w:rPr>
                <w:sz w:val="7"/>
                <w:szCs w:val="7"/>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60" w:type="dxa"/>
            <w:vAlign w:val="bottom"/>
          </w:tcPr>
          <w:p>
            <w:pPr>
              <w:spacing w:after="0"/>
              <w:rPr>
                <w:sz w:val="7"/>
                <w:szCs w:val="7"/>
                <w:color w:val="auto"/>
              </w:rPr>
            </w:pPr>
          </w:p>
        </w:tc>
        <w:tc>
          <w:tcPr>
            <w:tcW w:w="340" w:type="dxa"/>
            <w:vAlign w:val="bottom"/>
          </w:tcPr>
          <w:p>
            <w:pPr>
              <w:jc w:val="center"/>
              <w:ind w:right="28"/>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 w:type="dxa"/>
            <w:vAlign w:val="bottom"/>
          </w:tcPr>
          <w:p>
            <w:pPr>
              <w:spacing w:after="0"/>
              <w:rPr>
                <w:sz w:val="7"/>
                <w:szCs w:val="7"/>
                <w:color w:val="auto"/>
              </w:rPr>
            </w:pPr>
          </w:p>
        </w:tc>
      </w:tr>
      <w:tr>
        <w:trPr>
          <w:trHeight w:val="135"/>
        </w:trPr>
        <w:tc>
          <w:tcPr>
            <w:tcW w:w="3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6"/>
              </w:rPr>
              <w:t>2026 </w:t>
            </w:r>
          </w:p>
        </w:tc>
        <w:tc>
          <w:tcPr>
            <w:tcW w:w="520" w:type="dxa"/>
            <w:vAlign w:val="bottom"/>
          </w:tcPr>
          <w:p>
            <w:pPr>
              <w:spacing w:after="0"/>
              <w:rPr>
                <w:sz w:val="11"/>
                <w:szCs w:val="11"/>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60" w:type="dxa"/>
            <w:vAlign w:val="bottom"/>
          </w:tcPr>
          <w:p>
            <w:pPr>
              <w:spacing w:after="0"/>
              <w:rPr>
                <w:sz w:val="11"/>
                <w:szCs w:val="11"/>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78"/>
              </w:rPr>
              <w:t>2024 </w:t>
            </w:r>
          </w:p>
        </w:tc>
      </w:tr>
      <w:tr>
        <w:trPr>
          <w:trHeight w:val="159"/>
        </w:trPr>
        <w:tc>
          <w:tcPr>
            <w:tcW w:w="38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Employee severance and related benefits</w:t>
            </w:r>
          </w:p>
        </w:tc>
        <w:tc>
          <w:tcPr>
            <w:tcW w:w="1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w:t>
            </w:r>
          </w:p>
        </w:tc>
        <w:tc>
          <w:tcPr>
            <w:tcW w:w="5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$ 19.3</w:t>
            </w: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$ 11.5</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restructuring and repositioning expenses</w:t>
            </w: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5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tcPr>
          <w:p>
            <w:pPr>
              <w:spacing w:after="0"/>
              <w:rPr>
                <w:sz w:val="14"/>
                <w:szCs w:val="14"/>
                <w:color w:val="auto"/>
              </w:rPr>
            </w:pPr>
          </w:p>
        </w:tc>
      </w:tr>
      <w:tr>
        <w:trPr>
          <w:trHeight w:val="168"/>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11.9</w:t>
            </w:r>
          </w:p>
        </w:tc>
        <w:tc>
          <w:tcPr>
            <w:tcW w:w="1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$ 20.5</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$ 12.0</w:t>
            </w:r>
          </w:p>
        </w:tc>
      </w:tr>
      <w:tr>
        <w:trPr>
          <w:trHeight w:val="20"/>
        </w:trPr>
        <w:tc>
          <w:tcPr>
            <w:tcW w:w="3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During fiscal 2026, restructuring and repositioning expenses primarily consisted of severance expenses in Europe and North America and included targeted headcount reductions intended to reduce SG&amp;A and operational expenses. In addition, as part of Modine’s transformational initiatives supported by 80/20 principles, the Company is taking steps to optimize its supply chain and manufacturing footprint. These repositioning activities have included transferring the production for certain product lines among its facilities.</w:t>
      </w:r>
    </w:p>
    <w:p>
      <w:pPr>
        <w:spacing w:after="0" w:line="141" w:lineRule="exact"/>
        <w:rPr>
          <w:sz w:val="20"/>
          <w:szCs w:val="20"/>
          <w:color w:val="auto"/>
        </w:rPr>
      </w:pPr>
    </w:p>
    <w:p>
      <w:pPr>
        <w:ind w:left="1360" w:right="539" w:firstLine="343"/>
        <w:spacing w:after="0" w:line="267" w:lineRule="auto"/>
        <w:rPr>
          <w:sz w:val="20"/>
          <w:szCs w:val="20"/>
          <w:color w:val="auto"/>
        </w:rPr>
      </w:pPr>
      <w:r>
        <w:rPr>
          <w:rFonts w:ascii="Times New Roman" w:cs="Times New Roman" w:eastAsia="Times New Roman" w:hAnsi="Times New Roman"/>
          <w:sz w:val="14"/>
          <w:szCs w:val="14"/>
          <w:color w:val="auto"/>
        </w:rPr>
        <w:t>During fiscal 2025, restructuring and repositioning expenses primarily consisted of severance expenses in Europe and North America and included targeted headcount reductions intended to reduce SG&amp;A and operational expenses. Other restructuring and repositioning expenses include costs to transfer production and warehousing for certain product lines among its facilities.</w:t>
      </w:r>
    </w:p>
    <w:p>
      <w:pPr>
        <w:spacing w:after="0" w:line="136"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During fiscal 2024, restructuring and repositioning expenses primarily consisted of severance expenses related to the closure of the Company’s European technical service center. In addition, the Company incurred equipment transfer costs related to its transformational initiatives.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F-20</w:t>
      </w:r>
    </w:p>
    <w:p>
      <w:pPr>
        <w:sectPr>
          <w:pgSz w:w="11900" w:h="16838" w:orient="portrait"/>
          <w:cols w:equalWidth="0" w:num="1">
            <w:col w:w="10159"/>
          </w:cols>
          <w:pgMar w:left="300" w:top="386"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699" w:firstLine="343"/>
        <w:spacing w:after="0" w:line="283" w:lineRule="auto"/>
        <w:rPr>
          <w:sz w:val="20"/>
          <w:szCs w:val="20"/>
          <w:color w:val="auto"/>
        </w:rPr>
      </w:pPr>
      <w:r>
        <w:rPr>
          <w:rFonts w:ascii="Times New Roman" w:cs="Times New Roman" w:eastAsia="Times New Roman" w:hAnsi="Times New Roman"/>
          <w:sz w:val="14"/>
          <w:szCs w:val="14"/>
          <w:color w:val="auto"/>
        </w:rPr>
        <w:t>The Company accrues severance in accordance with its written plans, procedures, and relevant statutory requirements. Changes in accrued severance were as follows:</w:t>
      </w:r>
    </w:p>
    <w:p>
      <w:pPr>
        <w:spacing w:after="0" w:line="141"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6"/>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00" w:type="dxa"/>
            <w:vAlign w:val="bottom"/>
            <w:tcBorders>
              <w:top w:val="single" w:sz="8" w:color="auto"/>
            </w:tcBorders>
            <w:gridSpan w:val="2"/>
          </w:tcPr>
          <w:p>
            <w:pPr>
              <w:jc w:val="right"/>
              <w:ind w:right="420"/>
              <w:spacing w:after="0" w:line="106" w:lineRule="exact"/>
              <w:rPr>
                <w:sz w:val="20"/>
                <w:szCs w:val="20"/>
                <w:color w:val="auto"/>
              </w:rPr>
            </w:pPr>
            <w:r>
              <w:rPr>
                <w:rFonts w:ascii="Times New Roman" w:cs="Times New Roman" w:eastAsia="Times New Roman" w:hAnsi="Times New Roman"/>
                <w:sz w:val="11"/>
                <w:szCs w:val="11"/>
                <w:b w:val="1"/>
                <w:bCs w:val="1"/>
                <w:color w:val="auto"/>
                <w:w w:val="78"/>
              </w:rPr>
              <w:t>2026 </w:t>
            </w: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380" w:type="dxa"/>
            <w:vAlign w:val="bottom"/>
            <w:tcBorders>
              <w:top w:val="single" w:sz="8" w:color="auto"/>
            </w:tcBorders>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w w:val="78"/>
              </w:rPr>
              <w:t>2025 </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Beginning balance</w:t>
            </w:r>
          </w:p>
        </w:tc>
        <w:tc>
          <w:tcPr>
            <w:tcW w:w="1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4.5</w:t>
            </w:r>
          </w:p>
        </w:tc>
        <w:tc>
          <w:tcPr>
            <w:tcW w:w="3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Additions (a)</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(9.0)</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4"/>
                <w:szCs w:val="14"/>
                <w:u w:val="single" w:color="auto"/>
                <w:color w:val="auto"/>
              </w:rPr>
              <w:t>3</w:t>
            </w: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r>
              <w:rPr>
                <w:rFonts w:ascii="Times New Roman" w:cs="Times New Roman" w:eastAsia="Times New Roman" w:hAnsi="Times New Roman"/>
                <w:sz w:val="14"/>
                <w:szCs w:val="14"/>
                <w:u w:val="single" w:color="auto"/>
                <w:color w:val="auto"/>
              </w:rPr>
              <w:t>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73660</wp:posOffset>
            </wp:positionV>
            <wp:extent cx="59436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23" w:lineRule="exact"/>
        <w:rPr>
          <w:sz w:val="20"/>
          <w:szCs w:val="20"/>
          <w:color w:val="auto"/>
        </w:rPr>
      </w:pPr>
    </w:p>
    <w:p>
      <w:pPr>
        <w:ind w:left="1700" w:right="459" w:hanging="345"/>
        <w:spacing w:after="0" w:line="283" w:lineRule="auto"/>
        <w:tabs>
          <w:tab w:leader="none" w:pos="170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2025 amount excludes $4.2 million of non-cash severance-related costs resulting from the accelerated vesting of certain stock-based compensation awards in connection with restructuring actions.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8 – Other Income and Expense</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Other income and expense consisted of the following:</w:t>
      </w:r>
    </w:p>
    <w:p>
      <w:pPr>
        <w:spacing w:after="0" w:line="1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4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87"/>
        </w:trPr>
        <w:tc>
          <w:tcPr>
            <w:tcW w:w="4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tcPr>
          <w:p>
            <w:pPr>
              <w:jc w:val="right"/>
              <w:ind w:right="3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tcPr>
          <w:p>
            <w:pPr>
              <w:jc w:val="right"/>
              <w:ind w:right="80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00" w:type="dxa"/>
            <w:vAlign w:val="bottom"/>
          </w:tcPr>
          <w:p>
            <w:pPr>
              <w:spacing w:after="0"/>
              <w:rPr>
                <w:sz w:val="7"/>
                <w:szCs w:val="7"/>
                <w:color w:val="auto"/>
              </w:rPr>
            </w:pPr>
          </w:p>
        </w:tc>
        <w:tc>
          <w:tcPr>
            <w:tcW w:w="240" w:type="dxa"/>
            <w:vAlign w:val="bottom"/>
          </w:tcPr>
          <w:p>
            <w:pPr>
              <w:jc w:val="right"/>
              <w:ind w:right="138"/>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80" w:type="dxa"/>
            <w:vAlign w:val="bottom"/>
          </w:tcPr>
          <w:p>
            <w:pPr>
              <w:spacing w:after="0"/>
              <w:rPr>
                <w:sz w:val="7"/>
                <w:szCs w:val="7"/>
                <w:color w:val="auto"/>
              </w:rPr>
            </w:pPr>
          </w:p>
        </w:tc>
      </w:tr>
      <w:tr>
        <w:trPr>
          <w:trHeight w:val="135"/>
        </w:trPr>
        <w:tc>
          <w:tcPr>
            <w:tcW w:w="4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2026 </w:t>
            </w:r>
          </w:p>
        </w:tc>
        <w:tc>
          <w:tcPr>
            <w:tcW w:w="46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2025 </w:t>
            </w:r>
          </w:p>
        </w:tc>
        <w:tc>
          <w:tcPr>
            <w:tcW w:w="4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2024 </w:t>
            </w:r>
          </w:p>
        </w:tc>
      </w:tr>
      <w:tr>
        <w:trPr>
          <w:trHeight w:val="159"/>
        </w:trPr>
        <w:tc>
          <w:tcPr>
            <w:tcW w:w="49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Interest income (a)</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6.6</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5.0</w:t>
            </w:r>
          </w:p>
        </w:tc>
        <w:tc>
          <w:tcPr>
            <w:tcW w:w="6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6"/>
              </w:rPr>
              <w:t>(0.2)</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(0.1)</w:t>
            </w:r>
          </w:p>
        </w:tc>
      </w:tr>
      <w:tr>
        <w:trPr>
          <w:trHeight w:val="16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transactions (b)</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(0.4)</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(0.7)</w:t>
            </w: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Net periodic benefit cost (c)</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6"/>
              </w:rPr>
              <w:t>(2.1)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(2.2)</w:t>
            </w:r>
          </w:p>
        </w:tc>
      </w:tr>
      <w:tr>
        <w:trPr>
          <w:trHeight w:val="16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(0.6)</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0.3</w:t>
            </w:r>
          </w:p>
        </w:tc>
      </w:tr>
      <w:tr>
        <w:trPr>
          <w:trHeight w:val="169"/>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Total other income – net</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4"/>
                <w:szCs w:val="14"/>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80010</wp:posOffset>
            </wp:positionV>
            <wp:extent cx="59436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23" w:lineRule="exact"/>
        <w:rPr>
          <w:sz w:val="20"/>
          <w:szCs w:val="20"/>
          <w:color w:val="auto"/>
        </w:rPr>
      </w:pPr>
    </w:p>
    <w:p>
      <w:pPr>
        <w:ind w:left="1700" w:hanging="345"/>
        <w:spacing w:after="0"/>
        <w:tabs>
          <w:tab w:leader="none" w:pos="17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interest income on related party borrowings. See Note 17 for more information.</w:t>
      </w:r>
    </w:p>
    <w:p>
      <w:pPr>
        <w:spacing w:after="0" w:line="21" w:lineRule="exact"/>
        <w:rPr>
          <w:rFonts w:ascii="Times New Roman" w:cs="Times New Roman" w:eastAsia="Times New Roman" w:hAnsi="Times New Roman"/>
          <w:sz w:val="14"/>
          <w:szCs w:val="14"/>
          <w:color w:val="auto"/>
        </w:rPr>
      </w:pPr>
    </w:p>
    <w:p>
      <w:pPr>
        <w:jc w:val="both"/>
        <w:ind w:left="1700" w:right="419" w:hanging="345"/>
        <w:spacing w:after="0" w:line="250" w:lineRule="auto"/>
        <w:tabs>
          <w:tab w:leader="none" w:pos="17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transactions primarily consist of foreign currency transaction gains and losses on the re-measurement or settlement of foreign currency-denominated assets and liabilities, including transactions denominated in a foreign currency and intercompany loans, along with gains and losses on foreign currency exchange contracts.</w:t>
      </w:r>
    </w:p>
    <w:p>
      <w:pPr>
        <w:spacing w:after="0" w:line="1" w:lineRule="exact"/>
        <w:rPr>
          <w:rFonts w:ascii="Times New Roman" w:cs="Times New Roman" w:eastAsia="Times New Roman" w:hAnsi="Times New Roman"/>
          <w:sz w:val="14"/>
          <w:szCs w:val="14"/>
          <w:color w:val="auto"/>
        </w:rPr>
      </w:pPr>
    </w:p>
    <w:p>
      <w:pPr>
        <w:ind w:left="1700" w:right="459" w:hanging="345"/>
        <w:spacing w:after="0" w:line="261" w:lineRule="auto"/>
        <w:tabs>
          <w:tab w:leader="none" w:pos="170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periodic benefit cost for the Company’s pension and postretirement plans is exclusive of service cost and the allocated pension termination charge recorded in fiscal 2026. See Note 16 for more information.</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9 – Income Taxes</w:t>
      </w:r>
    </w:p>
    <w:p>
      <w:pPr>
        <w:spacing w:after="0" w:line="93"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The Company’s domestic operations have historically been included in the consolidated U.S. federal, certain state and local tax returns filed by the Parent. Additionally, through its foreign subsidiaries, the Company’s foreign operations have historically been filed as separate foreign income tax returns. The Company has calculated its provision for income taxes using a separate return method as if the Company was a separate group of companies under common ownership. Under this method, for jurisdictions in which it did not already have an actual separate filing, the Company is assumed to file hypothetical separate returns with the tax authorities. The Company has recorded tax expense or benefit based on taxable income or loss for these hypothetical returns, although the liability for any current tax has been deemed settled by the Parent. Correspondingly, any deferred tax items, including carryforward attributes computed for</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10159"/>
          </w:cols>
          <w:pgMar w:left="300" w:top="386"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the financial statement period under the separate return method and contained below, may not be available for the Company in future periods as they may remain with the Parent.</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U.S. and foreign components of earnings before income taxes and the provision for income taxes consisted of the following:</w:t>
      </w:r>
    </w:p>
    <w:p>
      <w:pPr>
        <w:spacing w:after="0" w:line="1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49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87"/>
        </w:trPr>
        <w:tc>
          <w:tcPr>
            <w:tcW w:w="4980" w:type="dxa"/>
            <w:vAlign w:val="bottom"/>
          </w:tcPr>
          <w:p>
            <w:pPr>
              <w:spacing w:after="0"/>
              <w:rPr>
                <w:sz w:val="7"/>
                <w:szCs w:val="7"/>
                <w:color w:val="auto"/>
              </w:rPr>
            </w:pPr>
          </w:p>
        </w:tc>
        <w:tc>
          <w:tcPr>
            <w:tcW w:w="480" w:type="dxa"/>
            <w:vAlign w:val="bottom"/>
            <w:gridSpan w:val="3"/>
          </w:tcPr>
          <w:p>
            <w:pPr>
              <w:jc w:val="center"/>
              <w:ind w:right="1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Pr>
          <w:p>
            <w:pPr>
              <w:spacing w:after="0"/>
              <w:rPr>
                <w:sz w:val="7"/>
                <w:szCs w:val="7"/>
                <w:color w:val="auto"/>
              </w:rPr>
            </w:pPr>
          </w:p>
        </w:tc>
        <w:tc>
          <w:tcPr>
            <w:tcW w:w="300" w:type="dxa"/>
            <w:vAlign w:val="bottom"/>
          </w:tcPr>
          <w:p>
            <w:pPr>
              <w:jc w:val="center"/>
              <w:ind w:right="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80" w:type="dxa"/>
            <w:vAlign w:val="bottom"/>
          </w:tcPr>
          <w:p>
            <w:pPr>
              <w:spacing w:after="0"/>
              <w:rPr>
                <w:sz w:val="7"/>
                <w:szCs w:val="7"/>
                <w:color w:val="auto"/>
              </w:rPr>
            </w:pPr>
          </w:p>
        </w:tc>
      </w:tr>
      <w:tr>
        <w:trPr>
          <w:trHeight w:val="135"/>
        </w:trPr>
        <w:tc>
          <w:tcPr>
            <w:tcW w:w="4980" w:type="dxa"/>
            <w:vAlign w:val="bottom"/>
          </w:tcPr>
          <w:p>
            <w:pPr>
              <w:spacing w:after="0"/>
              <w:rPr>
                <w:sz w:val="11"/>
                <w:szCs w:val="11"/>
                <w:color w:val="auto"/>
              </w:rPr>
            </w:pPr>
          </w:p>
        </w:tc>
        <w:tc>
          <w:tcPr>
            <w:tcW w:w="48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78"/>
              </w:rPr>
              <w:t>2026 </w:t>
            </w:r>
          </w:p>
        </w:tc>
        <w:tc>
          <w:tcPr>
            <w:tcW w:w="400" w:type="dxa"/>
            <w:vAlign w:val="bottom"/>
          </w:tcPr>
          <w:p>
            <w:pPr>
              <w:spacing w:after="0"/>
              <w:rPr>
                <w:sz w:val="11"/>
                <w:szCs w:val="11"/>
                <w:color w:val="auto"/>
              </w:rPr>
            </w:pPr>
          </w:p>
        </w:tc>
        <w:tc>
          <w:tcPr>
            <w:tcW w:w="820" w:type="dxa"/>
            <w:vAlign w:val="bottom"/>
            <w:gridSpan w:val="3"/>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140" w:type="dxa"/>
            <w:vAlign w:val="bottom"/>
          </w:tcPr>
          <w:p>
            <w:pPr>
              <w:spacing w:after="0"/>
              <w:rPr>
                <w:sz w:val="11"/>
                <w:szCs w:val="11"/>
                <w:color w:val="auto"/>
              </w:rPr>
            </w:pPr>
          </w:p>
        </w:tc>
        <w:tc>
          <w:tcPr>
            <w:tcW w:w="3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73"/>
              </w:rPr>
              <w:t>2024 </w:t>
            </w:r>
          </w:p>
        </w:tc>
      </w:tr>
      <w:tr>
        <w:trPr>
          <w:trHeight w:val="148"/>
        </w:trPr>
        <w:tc>
          <w:tcPr>
            <w:tcW w:w="49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Components of earnings (loss) before income taxes:</w:t>
            </w:r>
          </w:p>
        </w:tc>
        <w:tc>
          <w:tcPr>
            <w:tcW w:w="3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8"/>
        </w:trPr>
        <w:tc>
          <w:tcPr>
            <w:tcW w:w="4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United States</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7"/>
              </w:rPr>
              <w:t>$(65.5)</w:t>
            </w:r>
          </w:p>
        </w:tc>
        <w:tc>
          <w:tcPr>
            <w:tcW w:w="4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r>
      <w:tr>
        <w:trPr>
          <w:trHeight w:val="168"/>
        </w:trPr>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w w:val="88"/>
              </w:rPr>
              <w:t>179.2</w:t>
            </w:r>
          </w:p>
        </w:tc>
        <w:tc>
          <w:tcPr>
            <w:tcW w:w="14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87.2</w:t>
            </w:r>
          </w:p>
        </w:tc>
      </w:tr>
      <w:tr>
        <w:trPr>
          <w:trHeight w:val="169"/>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Total earnings before income taxes</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174.2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79"/>
              </w:rPr>
              <w:t>$ 82.0</w:t>
            </w:r>
          </w:p>
        </w:tc>
        <w:tc>
          <w:tcPr>
            <w:tcW w:w="80" w:type="dxa"/>
            <w:vAlign w:val="bottom"/>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6"/>
        </w:trPr>
        <w:tc>
          <w:tcPr>
            <w:tcW w:w="49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87"/>
        </w:trPr>
        <w:tc>
          <w:tcPr>
            <w:tcW w:w="4980" w:type="dxa"/>
            <w:vAlign w:val="bottom"/>
          </w:tcPr>
          <w:p>
            <w:pPr>
              <w:spacing w:after="0"/>
              <w:rPr>
                <w:sz w:val="7"/>
                <w:szCs w:val="7"/>
                <w:color w:val="auto"/>
              </w:rPr>
            </w:pPr>
          </w:p>
        </w:tc>
        <w:tc>
          <w:tcPr>
            <w:tcW w:w="480" w:type="dxa"/>
            <w:vAlign w:val="bottom"/>
            <w:gridSpan w:val="3"/>
          </w:tcPr>
          <w:p>
            <w:pPr>
              <w:jc w:val="center"/>
              <w:ind w:right="1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tcPr>
          <w:p>
            <w:pPr>
              <w:spacing w:after="0"/>
              <w:rPr>
                <w:sz w:val="7"/>
                <w:szCs w:val="7"/>
                <w:color w:val="auto"/>
              </w:rPr>
            </w:pPr>
          </w:p>
        </w:tc>
        <w:tc>
          <w:tcPr>
            <w:tcW w:w="300" w:type="dxa"/>
            <w:vAlign w:val="bottom"/>
          </w:tcPr>
          <w:p>
            <w:pPr>
              <w:jc w:val="center"/>
              <w:ind w:right="10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80" w:type="dxa"/>
            <w:vAlign w:val="bottom"/>
          </w:tcPr>
          <w:p>
            <w:pPr>
              <w:spacing w:after="0"/>
              <w:rPr>
                <w:sz w:val="7"/>
                <w:szCs w:val="7"/>
                <w:color w:val="auto"/>
              </w:rPr>
            </w:pPr>
          </w:p>
        </w:tc>
      </w:tr>
      <w:tr>
        <w:trPr>
          <w:trHeight w:val="135"/>
        </w:trPr>
        <w:tc>
          <w:tcPr>
            <w:tcW w:w="4980" w:type="dxa"/>
            <w:vAlign w:val="bottom"/>
          </w:tcPr>
          <w:p>
            <w:pPr>
              <w:spacing w:after="0"/>
              <w:rPr>
                <w:sz w:val="11"/>
                <w:szCs w:val="11"/>
                <w:color w:val="auto"/>
              </w:rPr>
            </w:pPr>
          </w:p>
        </w:tc>
        <w:tc>
          <w:tcPr>
            <w:tcW w:w="48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78"/>
              </w:rPr>
              <w:t>2026 </w:t>
            </w:r>
          </w:p>
        </w:tc>
        <w:tc>
          <w:tcPr>
            <w:tcW w:w="400" w:type="dxa"/>
            <w:vAlign w:val="bottom"/>
          </w:tcPr>
          <w:p>
            <w:pPr>
              <w:spacing w:after="0"/>
              <w:rPr>
                <w:sz w:val="11"/>
                <w:szCs w:val="11"/>
                <w:color w:val="auto"/>
              </w:rPr>
            </w:pPr>
          </w:p>
        </w:tc>
        <w:tc>
          <w:tcPr>
            <w:tcW w:w="820" w:type="dxa"/>
            <w:vAlign w:val="bottom"/>
            <w:gridSpan w:val="3"/>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140" w:type="dxa"/>
            <w:vAlign w:val="bottom"/>
          </w:tcPr>
          <w:p>
            <w:pPr>
              <w:spacing w:after="0"/>
              <w:rPr>
                <w:sz w:val="11"/>
                <w:szCs w:val="11"/>
                <w:color w:val="auto"/>
              </w:rPr>
            </w:pPr>
          </w:p>
        </w:tc>
        <w:tc>
          <w:tcPr>
            <w:tcW w:w="38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73"/>
              </w:rPr>
              <w:t>2024 </w:t>
            </w:r>
          </w:p>
        </w:tc>
      </w:tr>
      <w:tr>
        <w:trPr>
          <w:trHeight w:val="148"/>
        </w:trPr>
        <w:tc>
          <w:tcPr>
            <w:tcW w:w="49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Income tax provision (benefit):</w:t>
            </w:r>
          </w:p>
        </w:tc>
        <w:tc>
          <w:tcPr>
            <w:tcW w:w="3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8"/>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Current: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Federal</w:t>
            </w: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— </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0.4</w:t>
            </w:r>
          </w:p>
        </w:tc>
      </w:tr>
      <w:tr>
        <w:trPr>
          <w:trHeight w:val="168"/>
        </w:trPr>
        <w:tc>
          <w:tcPr>
            <w:tcW w:w="4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0.8</w:t>
            </w:r>
          </w:p>
        </w:tc>
      </w:tr>
      <w:tr>
        <w:trPr>
          <w:trHeight w:val="168"/>
        </w:trPr>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22.5</w:t>
            </w:r>
          </w:p>
        </w:tc>
        <w:tc>
          <w:tcPr>
            <w:tcW w:w="14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25.9</w:t>
            </w:r>
          </w:p>
        </w:tc>
      </w:tr>
      <w:tr>
        <w:trPr>
          <w:trHeight w:val="169"/>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provision</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89"/>
              </w:rPr>
              <w:t>25.6</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49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Deferred:</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8"/>
        </w:trPr>
        <w:tc>
          <w:tcPr>
            <w:tcW w:w="4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Federal</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4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w:t>
            </w:r>
          </w:p>
        </w:tc>
      </w:tr>
      <w:tr>
        <w:trPr>
          <w:trHeight w:val="21"/>
        </w:trPr>
        <w:tc>
          <w:tcPr>
            <w:tcW w:w="4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provision (benefit)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4"/>
              </w:rPr>
              <w:t>(10.7)</w:t>
            </w:r>
          </w:p>
        </w:tc>
      </w:tr>
      <w:tr>
        <w:trPr>
          <w:trHeight w:val="169"/>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$ 37.7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89"/>
              </w:rPr>
              <w:t>27.7</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79"/>
              </w:rPr>
              <w:t>$ 16.4</w:t>
            </w:r>
          </w:p>
        </w:tc>
        <w:tc>
          <w:tcPr>
            <w:tcW w:w="80" w:type="dxa"/>
            <w:vAlign w:val="bottom"/>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reconciliation between the U.S. federal statutory tax rate and the Company’s effective tax rate was as follows: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gridSpan w:val="2"/>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3"/>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gridSpan w:val="3"/>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Borders>
              <w:top w:val="single" w:sz="8" w:color="auto"/>
            </w:tcBorders>
            <w:gridSpan w:val="2"/>
          </w:tcPr>
          <w:p>
            <w:pPr>
              <w:jc w:val="right"/>
              <w:ind w:right="320"/>
              <w:spacing w:after="0" w:line="87" w:lineRule="exact"/>
              <w:rPr>
                <w:sz w:val="20"/>
                <w:szCs w:val="20"/>
                <w:color w:val="auto"/>
              </w:rPr>
            </w:pPr>
            <w:r>
              <w:rPr>
                <w:rFonts w:ascii="Times New Roman" w:cs="Times New Roman" w:eastAsia="Times New Roman" w:hAnsi="Times New Roman"/>
                <w:sz w:val="10"/>
                <w:szCs w:val="10"/>
                <w:b w:val="1"/>
                <w:bCs w:val="1"/>
                <w:color w:val="auto"/>
              </w:rPr>
              <w:t>Final</w:t>
            </w:r>
          </w:p>
        </w:tc>
        <w:tc>
          <w:tcPr>
            <w:tcW w:w="30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top w:val="single" w:sz="8" w:color="auto"/>
            </w:tcBorders>
            <w:gridSpan w:val="2"/>
          </w:tcPr>
          <w:p>
            <w:pPr>
              <w:jc w:val="right"/>
              <w:ind w:right="320"/>
              <w:spacing w:after="0" w:line="87" w:lineRule="exact"/>
              <w:rPr>
                <w:sz w:val="20"/>
                <w:szCs w:val="20"/>
                <w:color w:val="auto"/>
              </w:rPr>
            </w:pPr>
            <w:r>
              <w:rPr>
                <w:rFonts w:ascii="Times New Roman" w:cs="Times New Roman" w:eastAsia="Times New Roman" w:hAnsi="Times New Roman"/>
                <w:sz w:val="10"/>
                <w:szCs w:val="10"/>
                <w:b w:val="1"/>
                <w:bCs w:val="1"/>
                <w:color w:val="auto"/>
              </w:rPr>
              <w:t>Final</w:t>
            </w:r>
          </w:p>
        </w:tc>
        <w:tc>
          <w:tcPr>
            <w:tcW w:w="28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top w:val="single" w:sz="8" w:color="auto"/>
            </w:tcBorders>
            <w:gridSpan w:val="2"/>
          </w:tcPr>
          <w:p>
            <w:pPr>
              <w:jc w:val="right"/>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Final</w:t>
            </w:r>
          </w:p>
        </w:tc>
        <w:tc>
          <w:tcPr>
            <w:tcW w:w="30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U.S. federal statutory income tax rate</w:t>
            </w:r>
          </w:p>
        </w:tc>
        <w:tc>
          <w:tcPr>
            <w:tcW w:w="10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90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4.2</w:t>
            </w:r>
          </w:p>
        </w:tc>
        <w:tc>
          <w:tcPr>
            <w:tcW w:w="240" w:type="dxa"/>
            <w:vAlign w:val="bottom"/>
            <w:vMerge w:val="continue"/>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14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$ 36.6</w:t>
            </w:r>
          </w:p>
        </w:tc>
        <w:tc>
          <w:tcPr>
            <w:tcW w:w="240" w:type="dxa"/>
            <w:vAlign w:val="bottom"/>
            <w:vMerge w:val="continue"/>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100" w:type="dxa"/>
            <w:vAlign w:val="bottom"/>
            <w:vMerge w:val="continue"/>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$ 17.2</w:t>
            </w:r>
          </w:p>
        </w:tc>
        <w:tc>
          <w:tcPr>
            <w:tcW w:w="220" w:type="dxa"/>
            <w:vAlign w:val="bottom"/>
            <w:vMerge w:val="continue"/>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8"/>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tax effects:</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State taxes, net of federal benefit (a)</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(0.8)</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8"/>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Effect of cross-border tax laws (b):</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Global intangible low-taxed income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3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General basket foreign tax credit</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U.S. tax effects on foreign branch income</w:t>
            </w:r>
          </w:p>
        </w:tc>
        <w:tc>
          <w:tcPr>
            <w:tcW w:w="10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(5.9)</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68"/>
        </w:trPr>
        <w:tc>
          <w:tcPr>
            <w:tcW w:w="3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Disposition of businesses (c)</w:t>
            </w:r>
          </w:p>
        </w:tc>
        <w:tc>
          <w:tcPr>
            <w:tcW w:w="10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(0.6)</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(0.7)</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color w:val="auto"/>
        </w:rPr>
        <w:t>F—  22</w:t>
      </w:r>
    </w:p>
    <w:p>
      <w:pPr>
        <w:sectPr>
          <w:pgSz w:w="11900" w:h="16838" w:orient="portrait"/>
          <w:cols w:equalWidth="0" w:num="1">
            <w:col w:w="10159"/>
          </w:cols>
          <w:pgMar w:left="300" w:top="386"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9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94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2"/>
          </w:tcPr>
          <w:p>
            <w:pPr>
              <w:jc w:val="right"/>
              <w:ind w:right="40"/>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3"/>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gridSpan w:val="3"/>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39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top w:val="single" w:sz="8" w:color="auto"/>
            </w:tcBorders>
            <w:gridSpan w:val="2"/>
          </w:tcPr>
          <w:p>
            <w:pPr>
              <w:jc w:val="right"/>
              <w:ind w:right="320"/>
              <w:spacing w:after="0" w:line="87" w:lineRule="exact"/>
              <w:rPr>
                <w:sz w:val="20"/>
                <w:szCs w:val="20"/>
                <w:color w:val="auto"/>
              </w:rPr>
            </w:pPr>
            <w:r>
              <w:rPr>
                <w:rFonts w:ascii="Times New Roman" w:cs="Times New Roman" w:eastAsia="Times New Roman" w:hAnsi="Times New Roman"/>
                <w:sz w:val="10"/>
                <w:szCs w:val="10"/>
                <w:b w:val="1"/>
                <w:bCs w:val="1"/>
                <w:color w:val="auto"/>
              </w:rPr>
              <w:t>Final</w:t>
            </w:r>
          </w:p>
        </w:tc>
        <w:tc>
          <w:tcPr>
            <w:tcW w:w="3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top w:val="single" w:sz="8" w:color="auto"/>
            </w:tcBorders>
            <w:gridSpan w:val="2"/>
          </w:tcPr>
          <w:p>
            <w:pPr>
              <w:jc w:val="right"/>
              <w:ind w:right="320"/>
              <w:spacing w:after="0" w:line="87" w:lineRule="exact"/>
              <w:rPr>
                <w:sz w:val="20"/>
                <w:szCs w:val="20"/>
                <w:color w:val="auto"/>
              </w:rPr>
            </w:pPr>
            <w:r>
              <w:rPr>
                <w:rFonts w:ascii="Times New Roman" w:cs="Times New Roman" w:eastAsia="Times New Roman" w:hAnsi="Times New Roman"/>
                <w:sz w:val="10"/>
                <w:szCs w:val="10"/>
                <w:b w:val="1"/>
                <w:bCs w:val="1"/>
                <w:color w:val="auto"/>
              </w:rPr>
              <w:t>Final</w:t>
            </w:r>
          </w:p>
        </w:tc>
        <w:tc>
          <w:tcPr>
            <w:tcW w:w="2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top w:val="single" w:sz="8" w:color="auto"/>
            </w:tcBorders>
            <w:gridSpan w:val="2"/>
          </w:tcPr>
          <w:p>
            <w:pPr>
              <w:jc w:val="right"/>
              <w:ind w:right="300"/>
              <w:spacing w:after="0" w:line="87" w:lineRule="exact"/>
              <w:rPr>
                <w:sz w:val="20"/>
                <w:szCs w:val="20"/>
                <w:color w:val="auto"/>
              </w:rPr>
            </w:pPr>
            <w:r>
              <w:rPr>
                <w:rFonts w:ascii="Times New Roman" w:cs="Times New Roman" w:eastAsia="Times New Roman" w:hAnsi="Times New Roman"/>
                <w:sz w:val="10"/>
                <w:szCs w:val="10"/>
                <w:b w:val="1"/>
                <w:bCs w:val="1"/>
                <w:color w:val="auto"/>
              </w:rPr>
              <w:t>Final</w:t>
            </w:r>
          </w:p>
        </w:tc>
        <w:tc>
          <w:tcPr>
            <w:tcW w:w="30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3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tcBorders>
              <w:top w:val="single" w:sz="8" w:color="CCEEFF"/>
            </w:tcBorders>
            <w:gridSpan w:val="2"/>
            <w:shd w:val="clear" w:color="auto" w:fill="CCEEFF"/>
          </w:tcPr>
          <w:p>
            <w:pPr>
              <w:ind w:left="280"/>
              <w:spacing w:after="0" w:line="148" w:lineRule="exact"/>
              <w:rPr>
                <w:sz w:val="20"/>
                <w:szCs w:val="20"/>
                <w:color w:val="auto"/>
              </w:rPr>
            </w:pPr>
            <w:r>
              <w:rPr>
                <w:rFonts w:ascii="Times New Roman" w:cs="Times New Roman" w:eastAsia="Times New Roman" w:hAnsi="Times New Roman"/>
                <w:sz w:val="14"/>
                <w:szCs w:val="14"/>
                <w:b w:val="1"/>
                <w:bCs w:val="1"/>
                <w:color w:val="auto"/>
              </w:rPr>
              <w:t>Nontaxable or nondeductible:</w:t>
            </w: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Pension termination (d)</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69.2%</w:t>
            </w:r>
          </w:p>
        </w:tc>
        <w:tc>
          <w:tcPr>
            <w:tcW w:w="1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8"/>
        </w:trPr>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Tax Credits</w:t>
            </w: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(1.5)</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(0.9%)</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(1.9)</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8"/>
        </w:trPr>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Foreign Tax Effects:</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Germany:</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Foreign income tax rate differential</w:t>
            </w:r>
          </w:p>
        </w:tc>
        <w:tc>
          <w:tcPr>
            <w:tcW w:w="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Related party dividends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(0.4)</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Foreign income tax rate differential</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Notional interest deduction</w:t>
            </w: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(0.9)</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China:</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Foreign income tax rate differential</w:t>
            </w: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Withholding tax</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Credits and incentives</w:t>
            </w:r>
          </w:p>
        </w:tc>
        <w:tc>
          <w:tcPr>
            <w:tcW w:w="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(0.9)</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(0.6)</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8"/>
        </w:trPr>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India:</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Withholding tax</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Hungary:</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Changes in valuation allowances</w:t>
            </w: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Foreign income tax rate differential (e)</w:t>
            </w: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(6.0%)</w:t>
            </w:r>
          </w:p>
        </w:tc>
        <w:tc>
          <w:tcPr>
            <w:tcW w:w="8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(12.4)</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Expiration of attribute carryforward</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Related party dividends</w:t>
            </w:r>
          </w:p>
        </w:tc>
        <w:tc>
          <w:tcPr>
            <w:tcW w:w="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Foreign Currency</w:t>
            </w: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8"/>
        </w:trPr>
        <w:tc>
          <w:tcPr>
            <w:tcW w:w="4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 foreign jurisdictions</w:t>
            </w:r>
          </w:p>
        </w:tc>
        <w:tc>
          <w:tcPr>
            <w:tcW w:w="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68"/>
        </w:trPr>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Changes in unrecognized tax benefits</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tax rate</w:t>
            </w:r>
          </w:p>
        </w:tc>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$ 37.7</w:t>
            </w:r>
          </w:p>
        </w:tc>
        <w:tc>
          <w:tcPr>
            <w:tcW w:w="24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187.6%</w:t>
            </w:r>
          </w:p>
        </w:tc>
        <w:tc>
          <w:tcPr>
            <w:tcW w:w="16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$ 27.7</w:t>
            </w:r>
          </w:p>
        </w:tc>
        <w:tc>
          <w:tcPr>
            <w:tcW w:w="240" w:type="dxa"/>
            <w:vAlign w:val="bottom"/>
            <w:vMerge w:val="continue"/>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vMerge w:val="continue"/>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$ 16.4</w:t>
            </w:r>
          </w:p>
        </w:tc>
        <w:tc>
          <w:tcPr>
            <w:tcW w:w="220" w:type="dxa"/>
            <w:vAlign w:val="bottom"/>
            <w:vMerge w:val="continue"/>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00" w:hanging="345"/>
        <w:spacing w:after="0"/>
        <w:tabs>
          <w:tab w:leader="none" w:pos="170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California, Illinois, and Iowa make up the majority of the tax effect in this category.</w:t>
      </w:r>
    </w:p>
    <w:p>
      <w:pPr>
        <w:spacing w:after="0" w:line="2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impact of tax credits.</w:t>
      </w:r>
    </w:p>
    <w:p>
      <w:pPr>
        <w:spacing w:after="0" w:line="7" w:lineRule="exact"/>
        <w:rPr>
          <w:rFonts w:ascii="Times New Roman" w:cs="Times New Roman" w:eastAsia="Times New Roman" w:hAnsi="Times New Roman"/>
          <w:sz w:val="14"/>
          <w:szCs w:val="14"/>
          <w:color w:val="auto"/>
        </w:rPr>
      </w:pPr>
    </w:p>
    <w:p>
      <w:pPr>
        <w:ind w:left="1700" w:right="619" w:hanging="345"/>
        <w:spacing w:after="0" w:line="261" w:lineRule="auto"/>
        <w:tabs>
          <w:tab w:leader="none" w:pos="170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benefit to U.S. federal taxes resulting from the sale of three businesses in Germany during fiscal 2024. In total, the Company recorded a $3.1 million tax benefit during fiscal 2024 related to the sale.</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386"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700" w:hanging="345"/>
        <w:spacing w:after="0"/>
        <w:tabs>
          <w:tab w:leader="none" w:pos="170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impact of nondeductible book cost for U.S. federal taxes related to the Company’s termination of its primary U.S. pension plan.</w:t>
      </w:r>
    </w:p>
    <w:p>
      <w:pPr>
        <w:spacing w:after="0" w:line="2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2025 amount mainly represents the impact of related party dividends.</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Cash paid for income taxes, net of refunds, consisted of the following:</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7"/>
        </w:trPr>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gridSpan w:val="2"/>
          </w:tcPr>
          <w:p>
            <w:pPr>
              <w:jc w:val="center"/>
              <w:ind w:right="12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500" w:type="dxa"/>
            <w:vAlign w:val="bottom"/>
          </w:tcPr>
          <w:p>
            <w:pPr>
              <w:spacing w:after="0"/>
              <w:rPr>
                <w:sz w:val="7"/>
                <w:szCs w:val="7"/>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60" w:type="dxa"/>
            <w:vAlign w:val="bottom"/>
          </w:tcPr>
          <w:p>
            <w:pPr>
              <w:spacing w:after="0"/>
              <w:rPr>
                <w:sz w:val="7"/>
                <w:szCs w:val="7"/>
                <w:color w:val="auto"/>
              </w:rPr>
            </w:pPr>
          </w:p>
        </w:tc>
        <w:tc>
          <w:tcPr>
            <w:tcW w:w="340" w:type="dxa"/>
            <w:vAlign w:val="bottom"/>
          </w:tcPr>
          <w:p>
            <w:pPr>
              <w:jc w:val="center"/>
              <w:ind w:right="22"/>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 w:type="dxa"/>
            <w:vAlign w:val="bottom"/>
          </w:tcPr>
          <w:p>
            <w:pPr>
              <w:spacing w:after="0"/>
              <w:rPr>
                <w:sz w:val="7"/>
                <w:szCs w:val="7"/>
                <w:color w:val="auto"/>
              </w:rPr>
            </w:pPr>
          </w:p>
        </w:tc>
      </w:tr>
      <w:tr>
        <w:trPr>
          <w:trHeight w:val="135"/>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72"/>
              </w:rPr>
              <w:t>2026 </w:t>
            </w:r>
          </w:p>
        </w:tc>
        <w:tc>
          <w:tcPr>
            <w:tcW w:w="500" w:type="dxa"/>
            <w:vAlign w:val="bottom"/>
          </w:tcPr>
          <w:p>
            <w:pPr>
              <w:spacing w:after="0"/>
              <w:rPr>
                <w:sz w:val="11"/>
                <w:szCs w:val="11"/>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60" w:type="dxa"/>
            <w:vAlign w:val="bottom"/>
          </w:tcPr>
          <w:p>
            <w:pPr>
              <w:spacing w:after="0"/>
              <w:rPr>
                <w:sz w:val="11"/>
                <w:szCs w:val="11"/>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78"/>
              </w:rPr>
              <w:t>2024 </w:t>
            </w:r>
          </w:p>
        </w:tc>
      </w:tr>
      <w:tr>
        <w:trPr>
          <w:trHeight w:val="159"/>
        </w:trPr>
        <w:tc>
          <w:tcPr>
            <w:tcW w:w="680" w:type="dxa"/>
            <w:vAlign w:val="bottom"/>
          </w:tcPr>
          <w:p>
            <w:pPr>
              <w:spacing w:after="0"/>
              <w:rPr>
                <w:sz w:val="13"/>
                <w:szCs w:val="13"/>
                <w:color w:val="auto"/>
              </w:rPr>
            </w:pPr>
          </w:p>
        </w:tc>
        <w:tc>
          <w:tcPr>
            <w:tcW w:w="510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U.S. federal (a)</w:t>
            </w: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2"/>
              </w:rPr>
              <w:t>$ — </w:t>
            </w: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8"/>
              </w:rPr>
              <w:t>$ — </w:t>
            </w: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8"/>
              </w:rPr>
              <w:t>$ — </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68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state and local (a) &amp; (b)</w:t>
            </w:r>
          </w:p>
        </w:tc>
        <w:tc>
          <w:tcPr>
            <w:tcW w:w="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4"/>
                <w:szCs w:val="14"/>
                <w:color w:val="auto"/>
              </w:rPr>
            </w:pP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80" w:type="dxa"/>
            <w:vAlign w:val="bottom"/>
          </w:tcPr>
          <w:p>
            <w:pPr>
              <w:spacing w:after="0"/>
              <w:rPr>
                <w:sz w:val="14"/>
                <w:szCs w:val="14"/>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4"/>
                <w:szCs w:val="14"/>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Hungary</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4"/>
                <w:szCs w:val="14"/>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4"/>
                <w:szCs w:val="14"/>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shd w:val="clear" w:color="auto" w:fill="CCEEFF"/>
          </w:tcPr>
          <w:p>
            <w:pPr>
              <w:spacing w:after="0"/>
              <w:rPr>
                <w:sz w:val="14"/>
                <w:szCs w:val="14"/>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4"/>
                <w:szCs w:val="14"/>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shd w:val="clear" w:color="auto" w:fill="CCEEFF"/>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foreign (b)</w:t>
            </w:r>
          </w:p>
        </w:tc>
        <w:tc>
          <w:tcPr>
            <w:tcW w:w="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4"/>
                <w:szCs w:val="14"/>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Foreign</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24.0</w:t>
            </w:r>
          </w:p>
        </w:tc>
        <w:tc>
          <w:tcPr>
            <w:tcW w:w="13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24.2</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24.1</w:t>
            </w:r>
          </w:p>
        </w:tc>
      </w:tr>
      <w:tr>
        <w:trPr>
          <w:trHeight w:val="169"/>
        </w:trPr>
        <w:tc>
          <w:tcPr>
            <w:tcW w:w="68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income taxes paid, net</w:t>
            </w:r>
          </w:p>
        </w:tc>
        <w:tc>
          <w:tcPr>
            <w:tcW w:w="2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$ 24.0</w:t>
            </w:r>
          </w:p>
        </w:tc>
        <w:tc>
          <w:tcPr>
            <w:tcW w:w="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$ 24.2</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$ 24.1</w:t>
            </w:r>
          </w:p>
        </w:tc>
        <w:tc>
          <w:tcPr>
            <w:tcW w:w="4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
        </w:trPr>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8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17" w:lineRule="exact"/>
        <w:rPr>
          <w:sz w:val="20"/>
          <w:szCs w:val="20"/>
          <w:color w:val="auto"/>
        </w:rPr>
      </w:pPr>
    </w:p>
    <w:p>
      <w:pPr>
        <w:ind w:left="1700" w:hanging="345"/>
        <w:spacing w:after="0"/>
        <w:tabs>
          <w:tab w:leader="none" w:pos="170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payments for U.S. federal or state to taxing authorities are the responsibility of the Parent.</w:t>
      </w:r>
    </w:p>
    <w:p>
      <w:pPr>
        <w:spacing w:after="0" w:line="21" w:lineRule="exact"/>
        <w:rPr>
          <w:rFonts w:ascii="Times New Roman" w:cs="Times New Roman" w:eastAsia="Times New Roman" w:hAnsi="Times New Roman"/>
          <w:sz w:val="14"/>
          <w:szCs w:val="14"/>
          <w:color w:val="auto"/>
        </w:rPr>
      </w:pPr>
    </w:p>
    <w:p>
      <w:pPr>
        <w:ind w:left="1700" w:hanging="345"/>
        <w:spacing w:after="0"/>
        <w:tabs>
          <w:tab w:leader="none" w:pos="170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single state or local jurisdiction accounted for more than 5 percent of total income taxes paid.</w:t>
      </w:r>
    </w:p>
    <w:p>
      <w:pPr>
        <w:spacing w:after="0" w:line="161" w:lineRule="exact"/>
        <w:rPr>
          <w:sz w:val="20"/>
          <w:szCs w:val="20"/>
          <w:color w:val="auto"/>
        </w:rPr>
      </w:pPr>
    </w:p>
    <w:p>
      <w:pPr>
        <w:ind w:left="1360" w:right="299" w:firstLine="343"/>
        <w:spacing w:after="0" w:line="255" w:lineRule="auto"/>
        <w:rPr>
          <w:sz w:val="20"/>
          <w:szCs w:val="20"/>
          <w:color w:val="auto"/>
        </w:rPr>
      </w:pPr>
      <w:r>
        <w:rPr>
          <w:rFonts w:ascii="Times New Roman" w:cs="Times New Roman" w:eastAsia="Times New Roman" w:hAnsi="Times New Roman"/>
          <w:sz w:val="14"/>
          <w:szCs w:val="14"/>
          <w:color w:val="auto"/>
        </w:rPr>
        <w:t>In July 2025, the One Big Beautiful Bill Act (“OBBBA”) was enacted in the U.S. The OBBBA includes the permanent extension of certain provisions of the Tax Cuts and Jobs Act, including 100% bonus depreciation and domestic research cost expensing. It also includes modifications to the international tax framework. The legislation has multiple effective dates, with certain provisions impacting the Company through fiscal 2027. The Company began recognizing the impacts of the OBBBA for the provisions currently enacted during fiscal 2026, including the provision regarding domestic research costs. During fiscal 2026, impacts associated with provisions of the OBBBA on state deferred taxes and the utilization of foreign tax credits negatively impacted the Company’s income tax provision. The effects of which are included in the reconciliation between the U.S. federal statutory income tax rate and the Company’s effective tax rate. The Company is continuing to assess provisions that are expected to impact future periods.</w:t>
      </w:r>
    </w:p>
    <w:p>
      <w:pPr>
        <w:spacing w:after="0" w:line="145"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The Company records valuation allowances against its net deferred tax assets to the extent it determines it is more likely than not that such assets will not be realized in the future. Each quarter, the Company evaluates the probability that its deferred tax assets will be realized and determines whether valuation allowances or adjustments thereto are needed. This determination involves judgment and the use of significant estimates and assumptions, including expectations of future taxable income and tax planning strategies. In addition, the Company considers the duration of statutory carryforward periods and historical financial results. The Company will maintain the valuation allowances in each applicable tax jurisdiction until it determines it is more likely than not the deferred tax assets will be realized, thereby eliminating the need for a valuation allowance. Future events or circumstances, such as lower taxable income or unfavorable changes in the financial outlook of the Company’s operations in the U.S. and certain foreign jurisdictions, could necessitate the establishment of further valuation allowances.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10159"/>
          </w:cols>
          <w:pgMar w:left="300" w:top="386"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As of March 31, 2026 and 2025, the Company’s deferred tax asset valuation allowances totaled $41.4 million and $31.6 million, respectively. The net $9.8 million increase during fiscal 2026 was primarily attributable to an increase in deferred tax assets in the U.S. related to certain federal and state tax credits, an increase in net operating losses in Germany, and foreign currency impacts. These increases were partially offset by a decrease in net operating losses in Hungary.</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tax effects of temporary differences that gave rise to deferred tax assets and liabilities were as follows:</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7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70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2"/>
          </w:tcPr>
          <w:p>
            <w:pPr>
              <w:jc w:val="center"/>
              <w:ind w:right="1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jc w:val="center"/>
              <w:ind w:right="92"/>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78"/>
              </w:rPr>
              <w:t>2026 </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9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Deferred tax assets:</w:t>
            </w:r>
          </w:p>
        </w:tc>
        <w:tc>
          <w:tcPr>
            <w:tcW w:w="19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tcPr>
          <w:p>
            <w:pPr>
              <w:jc w:val="center"/>
              <w:ind w:left="7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Plant and equipment</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Lease liabilities</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Pension and employee benefits</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operating and capital losses</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Credit carryforwards</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experimental expenditures</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principally accrued liabilities</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Less: valuation allowances</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4"/>
              </w:rPr>
              <w:t>(41.4)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(31.6)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tax assets</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Plant and equipment</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Lease assets</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Intangible assets</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deferred tax assets</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Unrecognized tax benefits were as follows:</w:t>
            </w: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60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7"/>
            <w:vMerge w:val="restart"/>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7"/>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jc w:val="right"/>
              <w:ind w:right="7"/>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56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72"/>
              </w:rPr>
              <w:t>2026 </w:t>
            </w:r>
          </w:p>
        </w:tc>
        <w:tc>
          <w:tcPr>
            <w:tcW w:w="460" w:type="dxa"/>
            <w:vAlign w:val="bottom"/>
          </w:tcPr>
          <w:p>
            <w:pPr>
              <w:spacing w:after="0"/>
              <w:rPr>
                <w:sz w:val="13"/>
                <w:szCs w:val="13"/>
                <w:color w:val="auto"/>
              </w:rPr>
            </w:pPr>
          </w:p>
        </w:tc>
        <w:tc>
          <w:tcPr>
            <w:tcW w:w="5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   2025 </w:t>
            </w: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29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Beginning balance</w:t>
            </w:r>
          </w:p>
        </w:tc>
        <w:tc>
          <w:tcPr>
            <w:tcW w:w="19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Gross decreases – tax positions in prior period</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w w:val="95"/>
              </w:rPr>
              <w:t>— </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increases – tax positions in current period</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5"/>
              </w:rPr>
              <w:t>— </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7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40" w:type="dxa"/>
            <w:vAlign w:val="bottom"/>
            <w:gridSpan w:val="2"/>
          </w:tcPr>
          <w:p>
            <w:pPr>
              <w:jc w:val="right"/>
              <w:ind w:right="1527"/>
              <w:spacing w:after="0"/>
              <w:rPr>
                <w:sz w:val="20"/>
                <w:szCs w:val="20"/>
                <w:color w:val="auto"/>
              </w:rPr>
            </w:pPr>
            <w:r>
              <w:rPr>
                <w:rFonts w:ascii="Times New Roman" w:cs="Times New Roman" w:eastAsia="Times New Roman" w:hAnsi="Times New Roman"/>
                <w:sz w:val="14"/>
                <w:szCs w:val="14"/>
                <w:color w:val="auto"/>
              </w:rPr>
              <w:t>F-25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The Company’s liability for unrecognized tax benefits as of March 31, 2026 was $2.8 million and, if recognized, $0.9 million would have an effective tax rate impact.</w:t>
      </w:r>
    </w:p>
    <w:p>
      <w:pPr>
        <w:spacing w:after="0" w:line="125" w:lineRule="exact"/>
        <w:rPr>
          <w:sz w:val="20"/>
          <w:szCs w:val="20"/>
          <w:color w:val="auto"/>
        </w:rPr>
      </w:pPr>
    </w:p>
    <w:p>
      <w:pPr>
        <w:jc w:val="both"/>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The Company recognizes interest and penalties related to unrecognized tax benefits as a component of income tax expense. During fiscal 2026, 2025 and 2024, interest and penalties accrued on the combined balance sheets and included within income tax expense in the combined statements of operations were not significant.</w:t>
      </w:r>
    </w:p>
    <w:p>
      <w:pPr>
        <w:spacing w:after="0" w:line="136" w:lineRule="exact"/>
        <w:rPr>
          <w:sz w:val="20"/>
          <w:szCs w:val="20"/>
          <w:color w:val="auto"/>
        </w:rPr>
      </w:pPr>
    </w:p>
    <w:p>
      <w:pPr>
        <w:jc w:val="both"/>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The Company is part of the Parent’s consolidated U.S. federal income tax return and state filings, as well as separate and combined income tax returns in international jurisdictions. The Parent is under examination by numerous tax authorities in various jurisdictions globally. The Company has not reported or disclosed uncertain tax positions or deferred tax balances for positions taken in jurisdictions in which the Company is a member of the Parent’s consolidated tax group, as such uncertainties are expected to be retained or indemnified by the Parent.</w:t>
      </w:r>
    </w:p>
    <w:p>
      <w:pPr>
        <w:spacing w:after="0" w:line="14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At March 31, 2026, the Company generated accumulated federal and state tax credits of $18.5 million that, if not utilized against U.S. taxes, will expire between fiscal 2034 and 2050. The Company also had state and local tax loss carryforwards totaling $9.5 million. If not utilized against state apportioned taxable income, certain state and local carryforwards will expire between fiscal 2041 and 2046, while some will not expire due to an unlimited carryforward period. These tax attributes may have been generated by or utilized within the Parent’s consolidated tax return and may not be attributable to the Company. Accordingly, these amounts may not be transferable or available to the Company following the Spin-Off. In addition, the Company had tax loss and foreign attribute carryforwards totaling $208.9 million in various tax jurisdictions throughout the world. Certain of the carryforwards in foreign jurisdictions are offset by valuation allowances. If not utilized against taxable income, $56.4 million of these carryforwards will expire between fiscal 2027 and 2041, and $152.5 million mainly related to Germany will not expire due to an unlimited carryforward period.</w:t>
      </w:r>
    </w:p>
    <w:p>
      <w:pPr>
        <w:spacing w:after="0" w:line="145"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Company’s practice and intention is to reinvest, with certain insignificant exceptions, the earnings of its non-U.S. subsidiaries outside of the U.S., and therefore, the Company has not recorded foreign withholding taxes or deferred income taxes for these unremitted earnings. The Company has estimated the net amount of unrecognized foreign withholding tax and deferred tax liabilities would total approximately $13.0 million if the accumulated foreign earnings were distributed; however, the actual tax cost would be dependent on circumstances existing when remittance occurs.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10 – Cash, Cash Equivalents, and Restricted Cash</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Cash, cash equivalents and restricted cash consisted of the following:</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06"/>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68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41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$33.8</w:t>
            </w:r>
          </w:p>
        </w:tc>
        <w:tc>
          <w:tcPr>
            <w:tcW w:w="3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$34.1</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2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33.9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34.3</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699" w:firstLine="343"/>
        <w:spacing w:after="0" w:line="283" w:lineRule="auto"/>
        <w:rPr>
          <w:sz w:val="20"/>
          <w:szCs w:val="20"/>
          <w:color w:val="auto"/>
        </w:rPr>
      </w:pPr>
      <w:r>
        <w:rPr>
          <w:rFonts w:ascii="Times New Roman" w:cs="Times New Roman" w:eastAsia="Times New Roman" w:hAnsi="Times New Roman"/>
          <w:sz w:val="14"/>
          <w:szCs w:val="14"/>
          <w:color w:val="auto"/>
        </w:rPr>
        <w:t>Restricted cash, which is reported within other current assets in the combined balance sheets, consists primarily of deposits for contractual guarantees or commitments required for rents, import and export duties, and commercial agreements.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10159"/>
          </w:cols>
          <w:pgMar w:left="300" w:top="386"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11 – Inventories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Inventories consisted of the following:</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104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040" w:type="dxa"/>
            <w:vAlign w:val="bottom"/>
          </w:tcPr>
          <w:p>
            <w:pPr>
              <w:spacing w:after="0"/>
              <w:rPr>
                <w:sz w:val="9"/>
                <w:szCs w:val="9"/>
                <w:color w:val="auto"/>
              </w:rPr>
            </w:pPr>
          </w:p>
        </w:tc>
        <w:tc>
          <w:tcPr>
            <w:tcW w:w="50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gridSpan w:val="2"/>
          </w:tcPr>
          <w:p>
            <w:pPr>
              <w:jc w:val="right"/>
              <w:ind w:right="24"/>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Raw materials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$111.2</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92.3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Work in process</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inventories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164.4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145.1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 Property, Plant, and Equipment</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61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1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Property, plant and equipment, including depreciable lives, consisted of the following:</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10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04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gridSpan w:val="2"/>
          </w:tcPr>
          <w:p>
            <w:pPr>
              <w:jc w:val="right"/>
              <w:ind w:right="57"/>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9"/>
                <w:szCs w:val="9"/>
                <w:color w:val="auto"/>
              </w:rPr>
            </w:pPr>
          </w:p>
        </w:tc>
        <w:tc>
          <w:tcPr>
            <w:tcW w:w="720" w:type="dxa"/>
            <w:vAlign w:val="bottom"/>
            <w:gridSpan w:val="4"/>
          </w:tcPr>
          <w:p>
            <w:pPr>
              <w:ind w:left="38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50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Land</w:t>
            </w:r>
          </w:p>
        </w:tc>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5.7</w:t>
            </w:r>
          </w:p>
        </w:tc>
        <w:tc>
          <w:tcPr>
            <w:tcW w:w="1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5.4</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Buildings and improvements (10-40 years)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8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Machinery and equipment (3-15 years)</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638.8</w:t>
            </w:r>
          </w:p>
        </w:tc>
        <w:tc>
          <w:tcPr>
            <w:tcW w:w="180" w:type="dxa"/>
            <w:vAlign w:val="bottom"/>
            <w:shd w:val="clear" w:color="auto" w:fill="CCEEFF"/>
          </w:tcPr>
          <w:p>
            <w:pPr>
              <w:spacing w:after="0"/>
              <w:rPr>
                <w:sz w:val="14"/>
                <w:szCs w:val="14"/>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Office equipment (3-10 years)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875.2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620" w:type="dxa"/>
            <w:vAlign w:val="bottom"/>
            <w:gridSpan w:val="4"/>
            <w:shd w:val="clear" w:color="auto" w:fill="CCEEFF"/>
          </w:tcPr>
          <w:p>
            <w:pPr>
              <w:jc w:val="right"/>
              <w:ind w:right="84"/>
              <w:spacing w:after="0"/>
              <w:rPr>
                <w:sz w:val="20"/>
                <w:szCs w:val="20"/>
                <w:color w:val="auto"/>
              </w:rPr>
            </w:pPr>
            <w:r>
              <w:rPr>
                <w:rFonts w:ascii="Times New Roman" w:cs="Times New Roman" w:eastAsia="Times New Roman" w:hAnsi="Times New Roman"/>
                <w:sz w:val="14"/>
                <w:szCs w:val="14"/>
                <w:color w:val="auto"/>
              </w:rPr>
              <w:t>(681.6)</w:t>
            </w: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0" w:type="dxa"/>
            <w:vAlign w:val="bottom"/>
            <w:tcBorders>
              <w:bottom w:val="single" w:sz="8" w:color="auto"/>
            </w:tcBorders>
          </w:tcPr>
          <w:p>
            <w:pPr>
              <w:spacing w:after="0"/>
              <w:rPr>
                <w:sz w:val="14"/>
                <w:szCs w:val="14"/>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5"/>
              </w:rPr>
              <w:t>$ 187.2</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9"/>
              </w:rPr>
              <w:t>$ 183.9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Depreciation expense totaled $31.3 million, $28.2 million and $28.1 million in fiscal 2026, 2025 and 2024, respectively.</w:t>
      </w:r>
    </w:p>
    <w:p>
      <w:pPr>
        <w:spacing w:after="0" w:line="175"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Gains and losses related to the disposal of property, plant and equipment are recorded within SG&amp;A expenses. For fiscal 2026, 2025 and 2024 gains and losses related to the disposal of property, plant and equipment were not significant.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13 – Product Warranties and Other Commitments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Product warranties</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Many of the Company’s products are covered under warranty periods that typically extend from one to two years from the shipment of the underlying products. The Company records a liability for product warranty obligations at the time of sale and adjusts the warranty accruals if it becomes probable that expected claims will differ from previous estimates.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159"/>
          </w:cols>
          <w:pgMar w:left="300" w:top="386"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Changes in accrued warranty costs were as follows:</w:t>
      </w:r>
    </w:p>
    <w:p>
      <w:pPr>
        <w:spacing w:after="0" w:line="1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tcPr>
          <w:p>
            <w:pPr>
              <w:jc w:val="center"/>
              <w:ind w:right="24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jc w:val="right"/>
              <w:ind w:right="1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860" w:type="dxa"/>
            <w:vAlign w:val="bottom"/>
            <w:gridSpan w:val="4"/>
          </w:tcPr>
          <w:p>
            <w:pPr>
              <w:jc w:val="center"/>
              <w:ind w:left="1237"/>
              <w:spacing w:after="0"/>
              <w:rPr>
                <w:sz w:val="20"/>
                <w:szCs w:val="20"/>
                <w:color w:val="auto"/>
              </w:rPr>
            </w:pPr>
            <w:r>
              <w:rPr>
                <w:rFonts w:ascii="Times New Roman" w:cs="Times New Roman" w:eastAsia="Times New Roman" w:hAnsi="Times New Roman"/>
                <w:sz w:val="11"/>
                <w:szCs w:val="11"/>
                <w:b w:val="1"/>
                <w:bCs w:val="1"/>
                <w:color w:val="auto"/>
                <w:w w:val="72"/>
              </w:rPr>
              <w:t>2026 </w:t>
            </w:r>
          </w:p>
        </w:tc>
        <w:tc>
          <w:tcPr>
            <w:tcW w:w="104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2025 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Beginning balance</w:t>
            </w:r>
          </w:p>
        </w:tc>
        <w:tc>
          <w:tcPr>
            <w:tcW w:w="1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Warranties recorded at time of sale</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pre-existing warranties</w:t>
            </w: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(0.1)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Settlements</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Indemnification agreements</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Standard indemnification provisions reside in many commercial agreements to which the Company is a party and relate to responsibility in the event of potential third-party claims. In addition, from time to time, the Company provides indemnification agreements related to the sale or purchase of an entity or facility. These indemnification agreements cover customary representations and warranties typically provided in conjunction with such transactions, including income, sales, excise or other tax matters, environmental matters and other third-party claims. The indemnification periods provided generally range from less than one year to fifteen years. The fair value of the Company’s outstanding indemnification obligations at March 31, 2026 was not material.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Commitments</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At March 31, 2026, the Company had capital expenditure commitments of $7.3 million. Significant commitments include tooling and equipment expenditures for new and renewal programs with vehicular customers. The Company utilizes inventory arrangements with certain vendors in the normal course of business under which the vendors maintain inventory stock at the Company’s facilities or at outside facilities. Title passes to the Company at the time goods are withdrawn for use in production. The Company has agreements with the vendors to use the material within a specific period of time. In some cases, the Company bears the risk of loss for the inventory because Performance Technologies is required to insure the inventory against damage and/or theft. This inventory is included within the Company’s combined balance sheets as raw materials inventory.</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14 – Leases</w:t>
      </w:r>
    </w:p>
    <w:p>
      <w:pPr>
        <w:spacing w:after="0" w:line="93" w:lineRule="exact"/>
        <w:rPr>
          <w:sz w:val="20"/>
          <w:szCs w:val="20"/>
          <w:color w:val="auto"/>
        </w:rPr>
      </w:pPr>
    </w:p>
    <w:p>
      <w:pPr>
        <w:jc w:val="both"/>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The Company determines if an arrangement is a lease at contract inception. The lease term begins upon lease commencement, which is when the Company takes possession of the asset, and may include options to extend or terminate the lease when it is reasonably certain that such options will be exercised. The Company uses the lease term within its determination of the appropriate lease classification, either as an operating lease or as a finance lease, and to calculate straight-line lease expense for its operating leases.</w:t>
      </w:r>
    </w:p>
    <w:p>
      <w:pPr>
        <w:spacing w:after="0" w:line="141"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ROU assets represent the Company’s right to use an underlying asset for the lease term and lease liabilities represent the Company’s obligation to make lease payments arising from the lease. The Company recognizes ROU assets and lease liabilities at the lease commencement date, based upon the present value of lease payments over the lease term. As its lease agreements typically do not provide an implicit interest rate, the Company primarily uses the Parent’s incremental borrowing rate to calculate the ROU asset and lease liability. In determining the incremental borrowing rate, the Company considers the Parent’s current collateralized borrowing</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10159"/>
          </w:cols>
          <w:pgMar w:left="300" w:top="386"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rate, the term of the lease, and the economic environment where the lease activity is concentrated. The Company believes this method effectively estimates a borrowing rate that it could obtain for a debt instrument with similar terms as the lease agreement.</w:t>
      </w:r>
    </w:p>
    <w:p>
      <w:pPr>
        <w:spacing w:after="0" w:line="125"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Based upon its accounting policy, the Company does not separate lease and non-lease components for any asset class. In addition, the Company does not record short-term leases (i.e. leases with an initial term of 12 months or less) on its combined balance sheets.</w:t>
      </w:r>
    </w:p>
    <w:p>
      <w:pPr>
        <w:spacing w:after="0" w:line="125"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variable lease expense when incurred. The depreciable life of the ROU assets and related leasehold improvements are limited by the expected lease term, unless the lease contains a provision to transfer title to the Company or a purchase option that the Company expects to execute.</w:t>
      </w:r>
    </w:p>
    <w:p>
      <w:pPr>
        <w:spacing w:after="0" w:line="14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Company’s most significant leases represent leases of real estate, such as manufacturing facilities, warehouses, and offices. In addition, the Company leases manufacturing and IT equipment and vehicles. The Company’s most significant leases have remaining lease terms of 1 to 7 years. Certain leases contain renewal options for varying periods, which are at the Company’s discretion. If reasonably certain of exercise, the Company includes the renewal periods within the calculation of ROU assets and lease liabilities. The Company’s lease agreements do not contain material residual value guarantees or material restrictive covenants.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Lease assets and liabilities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table provides a summary of leases recorded on the combined balance sheets.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Pr>
          <w:p>
            <w:pPr>
              <w:ind w:left="780"/>
              <w:spacing w:after="0"/>
              <w:rPr>
                <w:sz w:val="20"/>
                <w:szCs w:val="20"/>
                <w:color w:val="auto"/>
              </w:rPr>
            </w:pPr>
            <w:r>
              <w:rPr>
                <w:rFonts w:ascii="Times New Roman" w:cs="Times New Roman" w:eastAsia="Times New Roman" w:hAnsi="Times New Roman"/>
                <w:sz w:val="11"/>
                <w:szCs w:val="11"/>
                <w:b w:val="1"/>
                <w:bCs w:val="1"/>
                <w:color w:val="auto"/>
              </w:rPr>
              <w:t>Balance Sheet Location</w:t>
            </w:r>
          </w:p>
        </w:tc>
        <w:tc>
          <w:tcPr>
            <w:tcW w:w="118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26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March 31, 2025</w:t>
            </w:r>
          </w:p>
        </w:tc>
      </w:tr>
      <w:tr>
        <w:trPr>
          <w:trHeight w:val="117"/>
        </w:trPr>
        <w:tc>
          <w:tcPr>
            <w:tcW w:w="2680" w:type="dxa"/>
            <w:vAlign w:val="bottom"/>
            <w:tcBorders>
              <w:top w:val="single" w:sz="8" w:color="CCEEFF"/>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Lease Assets</w:t>
            </w:r>
          </w:p>
        </w:tc>
        <w:tc>
          <w:tcPr>
            <w:tcW w:w="780" w:type="dxa"/>
            <w:vAlign w:val="bottom"/>
            <w:tcBorders>
              <w:top w:val="single" w:sz="8" w:color="CCEEFF"/>
            </w:tcBorders>
            <w:shd w:val="clear" w:color="auto" w:fill="CCEEFF"/>
          </w:tcPr>
          <w:p>
            <w:pPr>
              <w:spacing w:after="0"/>
              <w:rPr>
                <w:sz w:val="10"/>
                <w:szCs w:val="10"/>
                <w:color w:val="auto"/>
              </w:rPr>
            </w:pPr>
          </w:p>
        </w:tc>
        <w:tc>
          <w:tcPr>
            <w:tcW w:w="26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32"/>
        </w:trPr>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8"/>
        </w:trPr>
        <w:tc>
          <w:tcPr>
            <w:tcW w:w="26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Operating lease ROU assets</w:t>
            </w:r>
          </w:p>
        </w:tc>
        <w:tc>
          <w:tcPr>
            <w:tcW w:w="34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Other noncurrent assets</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40" w:type="dxa"/>
            <w:vAlign w:val="bottom"/>
          </w:tcPr>
          <w:p>
            <w:pPr>
              <w:spacing w:after="0"/>
              <w:rPr>
                <w:sz w:val="14"/>
                <w:szCs w:val="14"/>
                <w:color w:val="auto"/>
              </w:rPr>
            </w:pPr>
          </w:p>
        </w:tc>
      </w:tr>
      <w:tr>
        <w:trPr>
          <w:trHeight w:val="168"/>
        </w:trPr>
        <w:tc>
          <w:tcPr>
            <w:tcW w:w="26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lease ROU assets (a)</w:t>
            </w:r>
          </w:p>
        </w:tc>
        <w:tc>
          <w:tcPr>
            <w:tcW w:w="34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shd w:val="clear" w:color="auto" w:fill="CCEEFF"/>
          </w:tcPr>
          <w:p>
            <w:pPr>
              <w:spacing w:after="0"/>
              <w:rPr>
                <w:sz w:val="14"/>
                <w:szCs w:val="14"/>
                <w:color w:val="auto"/>
              </w:rPr>
            </w:pPr>
          </w:p>
        </w:tc>
      </w:tr>
      <w:tr>
        <w:trPr>
          <w:trHeight w:val="142"/>
        </w:trPr>
        <w:tc>
          <w:tcPr>
            <w:tcW w:w="980" w:type="dxa"/>
            <w:vAlign w:val="bottom"/>
            <w:tcBorders>
              <w:bottom w:val="single" w:sz="8" w:color="auto"/>
            </w:tcBorders>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w w:val="98"/>
              </w:rPr>
              <w:t>Lease Liabilities</w:t>
            </w:r>
          </w:p>
        </w:tc>
        <w:tc>
          <w:tcPr>
            <w:tcW w:w="1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4"/>
        </w:trPr>
        <w:tc>
          <w:tcPr>
            <w:tcW w:w="26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shd w:val="clear" w:color="auto" w:fill="CCEEFF"/>
          </w:tcPr>
          <w:p>
            <w:pPr>
              <w:spacing w:after="0"/>
              <w:rPr>
                <w:sz w:val="15"/>
                <w:szCs w:val="15"/>
                <w:color w:val="auto"/>
              </w:rPr>
            </w:pPr>
          </w:p>
        </w:tc>
      </w:tr>
      <w:tr>
        <w:trPr>
          <w:trHeight w:val="168"/>
        </w:trPr>
        <w:tc>
          <w:tcPr>
            <w:tcW w:w="26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40" w:type="dxa"/>
            <w:vAlign w:val="bottom"/>
          </w:tcPr>
          <w:p>
            <w:pPr>
              <w:spacing w:after="0"/>
              <w:rPr>
                <w:sz w:val="14"/>
                <w:szCs w:val="14"/>
                <w:color w:val="auto"/>
              </w:rPr>
            </w:pPr>
          </w:p>
        </w:tc>
      </w:tr>
      <w:tr>
        <w:trPr>
          <w:trHeight w:val="168"/>
        </w:trPr>
        <w:tc>
          <w:tcPr>
            <w:tcW w:w="26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34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shd w:val="clear" w:color="auto" w:fill="CCEEFF"/>
          </w:tcPr>
          <w:p>
            <w:pPr>
              <w:spacing w:after="0"/>
              <w:rPr>
                <w:sz w:val="14"/>
                <w:szCs w:val="14"/>
                <w:color w:val="auto"/>
              </w:rPr>
            </w:pPr>
          </w:p>
        </w:tc>
      </w:tr>
      <w:tr>
        <w:trPr>
          <w:trHeight w:val="183"/>
        </w:trPr>
        <w:tc>
          <w:tcPr>
            <w:tcW w:w="268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34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57150</wp:posOffset>
            </wp:positionV>
            <wp:extent cx="59436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98" w:lineRule="exact"/>
        <w:rPr>
          <w:sz w:val="20"/>
          <w:szCs w:val="20"/>
          <w:color w:val="auto"/>
        </w:rPr>
      </w:pPr>
    </w:p>
    <w:p>
      <w:pPr>
        <w:ind w:left="1700" w:right="699" w:hanging="345"/>
        <w:spacing w:after="0" w:line="283" w:lineRule="auto"/>
        <w:tabs>
          <w:tab w:leader="none" w:pos="170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ROU assets were recorded net of accumulated amortization of $2.4 million and $2.0 million as of March 31, 2026 and 2025, respectively.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Components of lease expense</w:t>
      </w:r>
    </w:p>
    <w:p>
      <w:pPr>
        <w:spacing w:after="0" w:line="93"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Company records operating lease expense as either cost of sales or SG&amp;A expenses within its combined statements of operations, depending upon the nature and use of the ROU assets. The Company records finance lease expense as depreciation expense within cost of sales or SG&amp;A expenses, depending upon the nature and use of the ROU assets, and as interest expense within other income (expense) – net in its combined statements of operations.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F-29</w:t>
      </w:r>
    </w:p>
    <w:p>
      <w:pPr>
        <w:sectPr>
          <w:pgSz w:w="11900" w:h="16838" w:orient="portrait"/>
          <w:cols w:equalWidth="0" w:num="1">
            <w:col w:w="10159"/>
          </w:cols>
          <w:pgMar w:left="300" w:top="386"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components of lease expense were as follows: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7"/>
        </w:trPr>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40" w:type="dxa"/>
            <w:vAlign w:val="bottom"/>
          </w:tcPr>
          <w:p>
            <w:pPr>
              <w:jc w:val="center"/>
              <w:ind w:right="28"/>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520" w:type="dxa"/>
            <w:vAlign w:val="bottom"/>
          </w:tcPr>
          <w:p>
            <w:pPr>
              <w:spacing w:after="0"/>
              <w:rPr>
                <w:sz w:val="7"/>
                <w:szCs w:val="7"/>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60" w:type="dxa"/>
            <w:vAlign w:val="bottom"/>
          </w:tcPr>
          <w:p>
            <w:pPr>
              <w:spacing w:after="0"/>
              <w:rPr>
                <w:sz w:val="7"/>
                <w:szCs w:val="7"/>
                <w:color w:val="auto"/>
              </w:rPr>
            </w:pPr>
          </w:p>
        </w:tc>
        <w:tc>
          <w:tcPr>
            <w:tcW w:w="340" w:type="dxa"/>
            <w:vAlign w:val="bottom"/>
          </w:tcPr>
          <w:p>
            <w:pPr>
              <w:jc w:val="center"/>
              <w:ind w:right="28"/>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0" w:type="dxa"/>
            <w:vAlign w:val="bottom"/>
          </w:tcPr>
          <w:p>
            <w:pPr>
              <w:spacing w:after="0"/>
              <w:rPr>
                <w:sz w:val="7"/>
                <w:szCs w:val="7"/>
                <w:color w:val="auto"/>
              </w:rPr>
            </w:pPr>
          </w:p>
        </w:tc>
      </w:tr>
      <w:tr>
        <w:trPr>
          <w:trHeight w:val="135"/>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78"/>
              </w:rPr>
              <w:t>2026 </w:t>
            </w:r>
          </w:p>
        </w:tc>
        <w:tc>
          <w:tcPr>
            <w:tcW w:w="520" w:type="dxa"/>
            <w:vAlign w:val="bottom"/>
          </w:tcPr>
          <w:p>
            <w:pPr>
              <w:spacing w:after="0"/>
              <w:rPr>
                <w:sz w:val="11"/>
                <w:szCs w:val="11"/>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60" w:type="dxa"/>
            <w:vAlign w:val="bottom"/>
          </w:tcPr>
          <w:p>
            <w:pPr>
              <w:spacing w:after="0"/>
              <w:rPr>
                <w:sz w:val="11"/>
                <w:szCs w:val="11"/>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78"/>
              </w:rPr>
              <w:t>2024 </w:t>
            </w:r>
          </w:p>
        </w:tc>
      </w:tr>
      <w:tr>
        <w:trPr>
          <w:trHeight w:val="159"/>
        </w:trPr>
        <w:tc>
          <w:tcPr>
            <w:tcW w:w="680" w:type="dxa"/>
            <w:vAlign w:val="bottom"/>
          </w:tcPr>
          <w:p>
            <w:pPr>
              <w:spacing w:after="0"/>
              <w:rPr>
                <w:sz w:val="13"/>
                <w:szCs w:val="13"/>
                <w:color w:val="auto"/>
              </w:rPr>
            </w:pPr>
          </w:p>
        </w:tc>
        <w:tc>
          <w:tcPr>
            <w:tcW w:w="348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Operating lease expense (a)</w:t>
            </w:r>
          </w:p>
        </w:tc>
        <w:tc>
          <w:tcPr>
            <w:tcW w:w="16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$ 11.2</w:t>
            </w:r>
          </w:p>
        </w:tc>
        <w:tc>
          <w:tcPr>
            <w:tcW w:w="5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$ 10.0</w:t>
            </w: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$ 10.0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68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 expense:</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of ROU assets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16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5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4"/>
                <w:szCs w:val="14"/>
                <w:color w:val="auto"/>
              </w:rPr>
            </w:pPr>
          </w:p>
        </w:tc>
      </w:tr>
      <w:tr>
        <w:trPr>
          <w:trHeight w:val="168"/>
        </w:trPr>
        <w:tc>
          <w:tcPr>
            <w:tcW w:w="680" w:type="dxa"/>
            <w:vAlign w:val="bottom"/>
          </w:tcPr>
          <w:p>
            <w:pPr>
              <w:spacing w:after="0"/>
              <w:rPr>
                <w:sz w:val="14"/>
                <w:szCs w:val="14"/>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expense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$ 11.5</w:t>
            </w:r>
          </w:p>
        </w:tc>
        <w:tc>
          <w:tcPr>
            <w:tcW w:w="13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$ 10.3</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$ 10.2</w:t>
            </w:r>
          </w:p>
        </w:tc>
      </w:tr>
      <w:tr>
        <w:trPr>
          <w:trHeight w:val="20"/>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
        </w:trPr>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17" w:lineRule="exact"/>
        <w:rPr>
          <w:sz w:val="20"/>
          <w:szCs w:val="20"/>
          <w:color w:val="auto"/>
        </w:rPr>
      </w:pPr>
    </w:p>
    <w:p>
      <w:pPr>
        <w:ind w:left="1700" w:right="839" w:hanging="345"/>
        <w:spacing w:after="0" w:line="283" w:lineRule="auto"/>
        <w:tabs>
          <w:tab w:leader="none" w:pos="170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2026, 2025 and 2024, operating lease expense included short-term lease expense of $3.4 million, $2.7 million and $2.7 million, respectively. Variable lease expense was not significant.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Supplemental cash flow information</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4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87"/>
        </w:trPr>
        <w:tc>
          <w:tcPr>
            <w:tcW w:w="4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2"/>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tcPr>
          <w:p>
            <w:pPr>
              <w:jc w:val="right"/>
              <w:ind w:right="66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ind w:left="4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40" w:type="dxa"/>
            <w:vAlign w:val="bottom"/>
          </w:tcPr>
          <w:p>
            <w:pPr>
              <w:spacing w:after="0"/>
              <w:rPr>
                <w:sz w:val="7"/>
                <w:szCs w:val="7"/>
                <w:color w:val="auto"/>
              </w:rPr>
            </w:pPr>
          </w:p>
        </w:tc>
      </w:tr>
      <w:tr>
        <w:trPr>
          <w:trHeight w:val="135"/>
        </w:trPr>
        <w:tc>
          <w:tcPr>
            <w:tcW w:w="4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2026 </w:t>
            </w:r>
          </w:p>
        </w:tc>
        <w:tc>
          <w:tcPr>
            <w:tcW w:w="480" w:type="dxa"/>
            <w:vAlign w:val="bottom"/>
          </w:tcPr>
          <w:p>
            <w:pPr>
              <w:spacing w:after="0"/>
              <w:rPr>
                <w:sz w:val="11"/>
                <w:szCs w:val="11"/>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2025 </w:t>
            </w:r>
          </w:p>
        </w:tc>
        <w:tc>
          <w:tcPr>
            <w:tcW w:w="100" w:type="dxa"/>
            <w:vAlign w:val="bottom"/>
          </w:tcPr>
          <w:p>
            <w:pPr>
              <w:spacing w:after="0"/>
              <w:rPr>
                <w:sz w:val="11"/>
                <w:szCs w:val="11"/>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2024 </w:t>
            </w:r>
          </w:p>
        </w:tc>
      </w:tr>
      <w:tr>
        <w:trPr>
          <w:trHeight w:val="148"/>
        </w:trPr>
        <w:tc>
          <w:tcPr>
            <w:tcW w:w="44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5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w:t>
            </w:r>
          </w:p>
        </w:tc>
        <w:tc>
          <w:tcPr>
            <w:tcW w:w="5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6.2</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Pr>
          <w:p>
            <w:pPr>
              <w:spacing w:after="0"/>
              <w:rPr>
                <w:sz w:val="14"/>
                <w:szCs w:val="14"/>
                <w:color w:val="auto"/>
              </w:rPr>
            </w:pPr>
          </w:p>
        </w:tc>
      </w:tr>
      <w:tr>
        <w:trPr>
          <w:trHeight w:val="168"/>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Financing cash flows for finance leases</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0.6</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40" w:type="dxa"/>
            <w:vAlign w:val="bottom"/>
            <w:shd w:val="clear" w:color="auto" w:fill="CCEEFF"/>
          </w:tcPr>
          <w:p>
            <w:pPr>
              <w:spacing w:after="0"/>
              <w:rPr>
                <w:sz w:val="14"/>
                <w:szCs w:val="14"/>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ROU assets obtained in exchange for lease liabilities: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4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leases</w:t>
            </w:r>
          </w:p>
        </w:tc>
        <w:tc>
          <w:tcPr>
            <w:tcW w:w="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w:t>
            </w:r>
          </w:p>
        </w:tc>
        <w:tc>
          <w:tcPr>
            <w:tcW w:w="5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6.7</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11.8</w:t>
            </w:r>
          </w:p>
        </w:tc>
        <w:tc>
          <w:tcPr>
            <w:tcW w:w="40" w:type="dxa"/>
            <w:vAlign w:val="bottom"/>
            <w:shd w:val="clear" w:color="auto" w:fill="CCEEFF"/>
          </w:tcPr>
          <w:p>
            <w:pPr>
              <w:spacing w:after="0"/>
              <w:rPr>
                <w:sz w:val="14"/>
                <w:szCs w:val="14"/>
                <w:color w:val="auto"/>
              </w:rPr>
            </w:pPr>
          </w:p>
        </w:tc>
      </w:tr>
      <w:tr>
        <w:trPr>
          <w:trHeight w:val="183"/>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leases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w:t>
            </w:r>
          </w:p>
        </w:tc>
      </w:tr>
    </w:tbl>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Lease term and discount rates</w:t>
      </w:r>
    </w:p>
    <w:p>
      <w:pPr>
        <w:spacing w:after="0" w:line="194"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100" w:type="dxa"/>
            <w:vAlign w:val="bottom"/>
            <w:gridSpan w:val="3"/>
          </w:tcPr>
          <w:p>
            <w:pPr>
              <w:ind w:left="820"/>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March 31, 2025</w:t>
            </w:r>
          </w:p>
        </w:tc>
      </w:tr>
      <w:tr>
        <w:trPr>
          <w:trHeight w:val="148"/>
        </w:trPr>
        <w:tc>
          <w:tcPr>
            <w:tcW w:w="2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Weighted-average remaining lease term:</w:t>
            </w:r>
          </w:p>
        </w:tc>
        <w:tc>
          <w:tcPr>
            <w:tcW w:w="8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leases</w:t>
            </w:r>
          </w:p>
        </w:tc>
        <w:tc>
          <w:tcPr>
            <w:tcW w:w="15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w w:val="91"/>
              </w:rPr>
              <w:t>4.8</w:t>
            </w:r>
          </w:p>
        </w:tc>
        <w:tc>
          <w:tcPr>
            <w:tcW w:w="520" w:type="dxa"/>
            <w:vAlign w:val="bottom"/>
          </w:tcPr>
          <w:p>
            <w:pPr>
              <w:spacing w:after="0"/>
              <w:rPr>
                <w:sz w:val="14"/>
                <w:szCs w:val="14"/>
                <w:color w:val="auto"/>
              </w:rPr>
            </w:pPr>
          </w:p>
        </w:tc>
        <w:tc>
          <w:tcPr>
            <w:tcW w:w="118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w w:val="91"/>
              </w:rPr>
              <w:t>4.8</w:t>
            </w:r>
          </w:p>
        </w:tc>
        <w:tc>
          <w:tcPr>
            <w:tcW w:w="1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leases</w:t>
            </w:r>
          </w:p>
        </w:tc>
        <w:tc>
          <w:tcPr>
            <w:tcW w:w="15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91"/>
              </w:rPr>
              <w:t>5.7</w:t>
            </w:r>
          </w:p>
        </w:tc>
        <w:tc>
          <w:tcPr>
            <w:tcW w:w="5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w w:val="91"/>
              </w:rPr>
              <w:t>6.4</w:t>
            </w:r>
          </w:p>
        </w:tc>
        <w:tc>
          <w:tcPr>
            <w:tcW w:w="1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leases</w:t>
            </w:r>
          </w:p>
        </w:tc>
        <w:tc>
          <w:tcPr>
            <w:tcW w:w="210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4.2%</w:t>
            </w:r>
          </w:p>
        </w:tc>
        <w:tc>
          <w:tcPr>
            <w:tcW w:w="13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4.2%</w:t>
            </w:r>
          </w:p>
        </w:tc>
      </w:tr>
      <w:tr>
        <w:trPr>
          <w:trHeight w:val="183"/>
        </w:trPr>
        <w:tc>
          <w:tcPr>
            <w:tcW w:w="20" w:type="dxa"/>
            <w:vAlign w:val="bottom"/>
          </w:tcPr>
          <w:p>
            <w:pPr>
              <w:spacing w:after="0"/>
              <w:rPr>
                <w:sz w:val="15"/>
                <w:szCs w:val="15"/>
                <w:color w:val="auto"/>
              </w:rPr>
            </w:pPr>
          </w:p>
        </w:tc>
        <w:tc>
          <w:tcPr>
            <w:tcW w:w="3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leases</w:t>
            </w:r>
          </w:p>
        </w:tc>
        <w:tc>
          <w:tcPr>
            <w:tcW w:w="2100" w:type="dxa"/>
            <w:vAlign w:val="bottom"/>
            <w:gridSpan w:val="3"/>
          </w:tcPr>
          <w:p>
            <w:pPr>
              <w:ind w:left="1400"/>
              <w:spacing w:after="0"/>
              <w:rPr>
                <w:sz w:val="20"/>
                <w:szCs w:val="20"/>
                <w:color w:val="auto"/>
              </w:rPr>
            </w:pPr>
            <w:r>
              <w:rPr>
                <w:rFonts w:ascii="Times New Roman" w:cs="Times New Roman" w:eastAsia="Times New Roman" w:hAnsi="Times New Roman"/>
                <w:sz w:val="14"/>
                <w:szCs w:val="14"/>
                <w:color w:val="auto"/>
              </w:rPr>
              <w:t>4.9%</w:t>
            </w:r>
          </w:p>
        </w:tc>
        <w:tc>
          <w:tcPr>
            <w:tcW w:w="1320" w:type="dxa"/>
            <w:vAlign w:val="bottom"/>
            <w:gridSpan w:val="3"/>
          </w:tcPr>
          <w:p>
            <w:pPr>
              <w:ind w:left="1000"/>
              <w:spacing w:after="0"/>
              <w:rPr>
                <w:sz w:val="20"/>
                <w:szCs w:val="20"/>
                <w:color w:val="auto"/>
              </w:rPr>
            </w:pPr>
            <w:r>
              <w:rPr>
                <w:rFonts w:ascii="Times New Roman" w:cs="Times New Roman" w:eastAsia="Times New Roman" w:hAnsi="Times New Roman"/>
                <w:sz w:val="14"/>
                <w:szCs w:val="14"/>
                <w:color w:val="auto"/>
              </w:rPr>
              <w:t>4.9%</w:t>
            </w:r>
          </w:p>
        </w:tc>
      </w:tr>
    </w:tbl>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Maturity of lease liabilities</w:t>
      </w:r>
    </w:p>
    <w:p>
      <w:pPr>
        <w:spacing w:after="0" w:line="93"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4"/>
          <w:szCs w:val="14"/>
          <w:color w:val="auto"/>
        </w:rPr>
        <w:t>Future minimum rental payments for leases with initial non-cancellable lease terms in excess of one year were as follows at March 31, 2026:</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55"/>
        </w:trPr>
        <w:tc>
          <w:tcPr>
            <w:tcW w:w="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Fiscal Year</w:t>
            </w:r>
          </w:p>
        </w:tc>
        <w:tc>
          <w:tcPr>
            <w:tcW w:w="43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16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Finance Leases</w:t>
            </w:r>
          </w:p>
        </w:tc>
      </w:tr>
      <w:tr>
        <w:trPr>
          <w:trHeight w:val="149"/>
        </w:trPr>
        <w:tc>
          <w:tcPr>
            <w:tcW w:w="20" w:type="dxa"/>
            <w:vAlign w:val="bottom"/>
          </w:tcPr>
          <w:p>
            <w:pPr>
              <w:spacing w:after="0"/>
              <w:rPr>
                <w:sz w:val="12"/>
                <w:szCs w:val="12"/>
                <w:color w:val="auto"/>
              </w:rPr>
            </w:pPr>
          </w:p>
        </w:tc>
        <w:tc>
          <w:tcPr>
            <w:tcW w:w="5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34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1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9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3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0" w:type="dxa"/>
            <w:vAlign w:val="bottom"/>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2030</w:t>
            </w:r>
          </w:p>
        </w:tc>
        <w:tc>
          <w:tcPr>
            <w:tcW w:w="3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20" w:type="dxa"/>
            <w:vAlign w:val="bottom"/>
            <w:gridSpan w:val="2"/>
          </w:tcPr>
          <w:p>
            <w:pPr>
              <w:jc w:val="right"/>
              <w:ind w:right="890"/>
              <w:spacing w:after="0"/>
              <w:rPr>
                <w:sz w:val="20"/>
                <w:szCs w:val="20"/>
                <w:color w:val="auto"/>
              </w:rPr>
            </w:pPr>
            <w:r>
              <w:rPr>
                <w:rFonts w:ascii="Times New Roman" w:cs="Times New Roman" w:eastAsia="Times New Roman" w:hAnsi="Times New Roman"/>
                <w:sz w:val="14"/>
                <w:szCs w:val="14"/>
                <w:color w:val="auto"/>
              </w:rPr>
              <w:t>F-30</w:t>
            </w: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86"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4" w:lineRule="exact"/>
        <w:rPr>
          <w:sz w:val="20"/>
          <w:szCs w:val="20"/>
          <w:color w:val="auto"/>
        </w:rPr>
      </w:pPr>
    </w:p>
    <w:tbl>
      <w:tblPr>
        <w:tblLayout w:type="fixed"/>
        <w:tblInd w:w="2380" w:type="dxa"/>
        <w:tblCellMar>
          <w:top w:w="0" w:type="dxa"/>
          <w:left w:w="0" w:type="dxa"/>
          <w:bottom w:w="0" w:type="dxa"/>
          <w:right w:w="0" w:type="dxa"/>
        </w:tblCellMar>
      </w:tblPr>
      <w:tr>
        <w:trPr>
          <w:trHeight w:val="155"/>
        </w:trPr>
        <w:tc>
          <w:tcPr>
            <w:tcW w:w="30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2260" w:type="dxa"/>
            <w:vAlign w:val="bottom"/>
            <w:gridSpan w:val="4"/>
          </w:tcPr>
          <w:p>
            <w:pPr>
              <w:ind w:left="96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1240" w:type="dxa"/>
            <w:vAlign w:val="bottom"/>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Finance Leases</w:t>
            </w:r>
          </w:p>
        </w:tc>
      </w:tr>
      <w:tr>
        <w:trPr>
          <w:trHeight w:val="149"/>
        </w:trPr>
        <w:tc>
          <w:tcPr>
            <w:tcW w:w="20" w:type="dxa"/>
            <w:vAlign w:val="bottom"/>
          </w:tcPr>
          <w:p>
            <w:pPr>
              <w:spacing w:after="0"/>
              <w:rPr>
                <w:sz w:val="12"/>
                <w:szCs w:val="12"/>
                <w:color w:val="auto"/>
              </w:rPr>
            </w:pPr>
          </w:p>
        </w:tc>
        <w:tc>
          <w:tcPr>
            <w:tcW w:w="5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2031</w:t>
            </w:r>
          </w:p>
        </w:tc>
        <w:tc>
          <w:tcPr>
            <w:tcW w:w="24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4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tcBorders>
              <w:top w:val="single" w:sz="8" w:color="CCEEFF"/>
            </w:tcBorders>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2032 and beyond</w:t>
            </w:r>
          </w:p>
        </w:tc>
        <w:tc>
          <w:tcPr>
            <w:tcW w:w="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lease payments</w:t>
            </w: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(1.7)</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15 – Indebtedness</w:t>
      </w:r>
    </w:p>
    <w:p>
      <w:pPr>
        <w:spacing w:after="0" w:line="9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As of March 31, 2025, the Company had bank overdrafts of $8.6 million recorded within short-term debt on the combined balance sheet. The overdrafts relate to short-term borrowings under foreign subsidiary credit agreements. There were no overdrafts related to these agreements at March 31, 2026.</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16 – Pension and Employee Benefit Plans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Parent Pension and Employee Benefit Plans</w:t>
      </w:r>
    </w:p>
    <w:p>
      <w:pPr>
        <w:spacing w:after="0" w:line="93"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The Company’s employees participate, as eligible, in certain pension and other postretirement benefit plans sponsored either directly by the Company or by the Parent. These plans include defined benefit pension plans, defined contribution plans and other postretirement benefit plans. Where permitted by applicable law, Modine or the applicable legal entity reserves the right to amend, modify, or discontinue the plans at any time.</w:t>
      </w:r>
    </w:p>
    <w:p>
      <w:pPr>
        <w:spacing w:after="0" w:line="136"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Certain U.S. employees of the Company participate in a defined benefit pension plan sponsored by Modine that covers employees across multiple Modine businesses. For purposes of these combined financial statements, participation in this plan has been reported under the multiemployer approach. Accordingly, the Company recognizes its proportionate share of net periodic pension cost within the combined statements of operations. However, the related pension plan assets and liabilities are retained by Modine and are not reflected in the combined balance sheets.</w:t>
      </w:r>
    </w:p>
    <w:p>
      <w:pPr>
        <w:spacing w:after="0" w:line="141"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During fiscal 2026, Modine completed the termination of this pension plan. The Parent offered certain participants the option to receive their pension benefits in the form of a lump-sum distribution, which was completed in November 2025, prior to purchasing annuity contracts to transfer its remaining obligations under the plan in November 2025.</w:t>
      </w:r>
    </w:p>
    <w:p>
      <w:pPr>
        <w:spacing w:after="0" w:line="136"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The Company’s net periodic benefit cost associated with this plan was based on participation of Performance Technologies employees and is included within other expense in the combined statements of operations. The allocated expense was $1.9 million, $2.5 million and $1.7 million for the years ended March 31, 2026, 2025 and 2024, respectively. Additionally, in connection with the plan termination in fiscal 2026, the Parent recorded a non-cash pension settlement charge to recognize actuarial losses that were previously in accumulated other comprehensive loss. The Company’s allocated share of the pension termination charge was $66.2 million.</w:t>
      </w:r>
    </w:p>
    <w:p>
      <w:pPr>
        <w:spacing w:after="0" w:line="144" w:lineRule="exact"/>
        <w:rPr>
          <w:sz w:val="20"/>
          <w:szCs w:val="20"/>
          <w:color w:val="auto"/>
        </w:rPr>
      </w:pPr>
    </w:p>
    <w:p>
      <w:pPr>
        <w:jc w:val="both"/>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The Parent maintains a domestic 401(k) plan that allows employees to contribute a portion of their salary to help them save for retirement. The Parent currently matches employee contributions up to 4.5 percent of their compensation. The Company’s expense for defined contribution employee benefit plans during fiscal 2026, 2025 and 2024 was $3.5 million, $4.5 million and $4.1 million, respectively.</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10159"/>
          </w:cols>
          <w:pgMar w:left="300" w:top="386"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In addition, the Parent maintains non-qualified deferred compensation plans for eligible employees, and various non-U.S. subsidiaries have government-required defined contribution plans in place, under which they contribute a percentage of employee earnings into accounts, consistent with local laws.</w:t>
      </w:r>
    </w:p>
    <w:p>
      <w:pPr>
        <w:spacing w:after="0" w:line="136"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Certain non-U.S. subsidiaries have statutory termination indemnity plans covering eligible employees. The benefits under these plans are based upon years of service and final average compensation levels or a monthly retirement benefit amount. These programs are substantially unfunded in accordance with local laws.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Company Sponsored Defined Benefit Plans</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Certain non-U.S. subsidiaries of the Company have legacy defined benefit plans which cover a smaller number of active employees and are substantially unfunded. The primary non-U.S. plans are maintained in Germany and are closed to new participants. The Company previously maintained certain other pension plans in Germany that conveyed to the buyer of the Germany automotive businesses during fiscal 2024; see Note 3 for additional information.</w:t>
      </w:r>
    </w:p>
    <w:p>
      <w:pPr>
        <w:spacing w:after="0" w:line="141"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Company recognizes the funded status of these plans in the combined balance sheets, with pension liabilities recorded within other noncurrent liabilities. The benefits under these plans are generally based on years of service and compensation levels. Contributions are made in accordance with local funding requirements and plan provisions. Net periodic pension cost for these plans includes service cost, interest cost, and amortization of actuarial gains and losses. The Company uses March 31 as the measurement date for its defined benefit plans.</w:t>
      </w:r>
    </w:p>
    <w:p>
      <w:pPr>
        <w:spacing w:after="0" w:line="141" w:lineRule="exact"/>
        <w:rPr>
          <w:sz w:val="20"/>
          <w:szCs w:val="20"/>
          <w:color w:val="auto"/>
        </w:rPr>
      </w:pPr>
    </w:p>
    <w:p>
      <w:pPr>
        <w:ind w:left="1360" w:right="919" w:firstLine="343"/>
        <w:spacing w:after="0" w:line="283" w:lineRule="auto"/>
        <w:rPr>
          <w:sz w:val="20"/>
          <w:szCs w:val="20"/>
          <w:color w:val="auto"/>
        </w:rPr>
      </w:pPr>
      <w:r>
        <w:rPr>
          <w:rFonts w:ascii="Times New Roman" w:cs="Times New Roman" w:eastAsia="Times New Roman" w:hAnsi="Times New Roman"/>
          <w:sz w:val="14"/>
          <w:szCs w:val="14"/>
          <w:color w:val="auto"/>
        </w:rPr>
        <w:t>The Company contributed $0.6 million, $0.6 million and $0.8 million to its non-U.S. pension plans during fiscal 2026, 2025 and 2024, respectively. These contributions are reported within the change in other liabilities in the combined statements of cash flows.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Changes in benefit obligations of the Company’s pension plans, were as follows: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50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jc w:val="right"/>
              <w:ind w:right="240"/>
              <w:spacing w:after="0"/>
              <w:rPr>
                <w:sz w:val="20"/>
                <w:szCs w:val="20"/>
                <w:color w:val="auto"/>
              </w:rPr>
            </w:pPr>
            <w:r>
              <w:rPr>
                <w:rFonts w:ascii="Times New Roman" w:cs="Times New Roman" w:eastAsia="Times New Roman" w:hAnsi="Times New Roman"/>
                <w:sz w:val="2"/>
                <w:szCs w:val="2"/>
                <w:b w:val="1"/>
                <w:bCs w:val="1"/>
                <w:color w:val="auto"/>
                <w:w w:val="97"/>
              </w:rPr>
              <w:t> </w:t>
            </w:r>
          </w:p>
        </w:tc>
      </w:tr>
      <w:tr>
        <w:trPr>
          <w:trHeight w:val="135"/>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2026 </w:t>
            </w:r>
          </w:p>
        </w:tc>
        <w:tc>
          <w:tcPr>
            <w:tcW w:w="700" w:type="dxa"/>
            <w:vAlign w:val="bottom"/>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2025 </w:t>
            </w:r>
          </w:p>
        </w:tc>
      </w:tr>
      <w:tr>
        <w:trPr>
          <w:trHeight w:val="148"/>
        </w:trPr>
        <w:tc>
          <w:tcPr>
            <w:tcW w:w="20" w:type="dxa"/>
            <w:vAlign w:val="bottom"/>
          </w:tcPr>
          <w:p>
            <w:pPr>
              <w:spacing w:after="0"/>
              <w:rPr>
                <w:sz w:val="12"/>
                <w:szCs w:val="12"/>
                <w:color w:val="auto"/>
              </w:rPr>
            </w:pPr>
          </w:p>
        </w:tc>
        <w:tc>
          <w:tcPr>
            <w:tcW w:w="51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Change in benefit obligation:</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340" w:type="dxa"/>
            <w:vAlign w:val="bottom"/>
          </w:tcPr>
          <w:p>
            <w:pPr>
              <w:spacing w:after="0"/>
              <w:rPr>
                <w:sz w:val="14"/>
                <w:szCs w:val="14"/>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Service cost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cost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Actuarial gain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(0.9)</w:t>
            </w:r>
          </w:p>
        </w:tc>
      </w:tr>
      <w:tr>
        <w:trPr>
          <w:trHeight w:val="168"/>
        </w:trPr>
        <w:tc>
          <w:tcPr>
            <w:tcW w:w="20" w:type="dxa"/>
            <w:vAlign w:val="bottom"/>
          </w:tcPr>
          <w:p>
            <w:pPr>
              <w:spacing w:after="0"/>
              <w:rPr>
                <w:sz w:val="14"/>
                <w:szCs w:val="14"/>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Benefits paid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(0.6)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6"/>
              </w:rPr>
              <w:t>(0.6)</w:t>
            </w:r>
          </w:p>
        </w:tc>
      </w:tr>
      <w:tr>
        <w:trPr>
          <w:trHeight w:val="168"/>
        </w:trPr>
        <w:tc>
          <w:tcPr>
            <w:tcW w:w="20" w:type="dxa"/>
            <w:vAlign w:val="bottom"/>
          </w:tcPr>
          <w:p>
            <w:pPr>
              <w:spacing w:after="0"/>
              <w:rPr>
                <w:sz w:val="14"/>
                <w:szCs w:val="14"/>
                <w:color w:val="auto"/>
              </w:rPr>
            </w:pPr>
          </w:p>
        </w:tc>
        <w:tc>
          <w:tcPr>
            <w:tcW w:w="5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1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Benefit obligation at end of year</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Amounts recognized in the combined balance sheets: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liability</w:t>
            </w:r>
          </w:p>
        </w:tc>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(0.5)</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6"/>
              </w:rPr>
              <w:t>(0.5)</w:t>
            </w:r>
          </w:p>
        </w:tc>
      </w:tr>
      <w:tr>
        <w:trPr>
          <w:trHeight w:val="168"/>
        </w:trPr>
        <w:tc>
          <w:tcPr>
            <w:tcW w:w="20" w:type="dxa"/>
            <w:vAlign w:val="bottom"/>
          </w:tcPr>
          <w:p>
            <w:pPr>
              <w:spacing w:after="0"/>
              <w:rPr>
                <w:sz w:val="14"/>
                <w:szCs w:val="14"/>
                <w:color w:val="auto"/>
              </w:rPr>
            </w:pPr>
          </w:p>
        </w:tc>
        <w:tc>
          <w:tcPr>
            <w:tcW w:w="5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Noncurrent liability</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(6.6)</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(6.7)</w:t>
            </w:r>
          </w:p>
        </w:tc>
      </w:tr>
      <w:tr>
        <w:trPr>
          <w:trHeight w:val="169"/>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340" w:type="dxa"/>
            <w:vAlign w:val="bottom"/>
          </w:tcPr>
          <w:p>
            <w:pPr>
              <w:jc w:val="right"/>
              <w:ind w:right="26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(7.2</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The accumulated benefit obligation for the Company’s pension plans was $6.8 million and $6.7 million as of March 31, 2026 and 2025, respectively. As of March 31, 2026, these pension plans had a net actuarial gain of $0.1 million in accumulated other comprehensive loss, compared with a net actuarial loss of $0.1 million as of March 31, 2025.</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159"/>
          </w:cols>
          <w:pgMar w:left="300" w:top="386"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Costs for the Company’s pension plans included the following components: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jc w:val="right"/>
              <w:ind w:right="137"/>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8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2026 </w:t>
            </w:r>
          </w:p>
        </w:tc>
        <w:tc>
          <w:tcPr>
            <w:tcW w:w="126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2025 </w:t>
            </w:r>
          </w:p>
        </w:tc>
        <w:tc>
          <w:tcPr>
            <w:tcW w:w="52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2024 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Components of net periodic benefit cost:</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4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4"/>
                <w:szCs w:val="14"/>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4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unrecognized net (gain) loss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4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changes in benefit obligation recognized in other</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actuarial gain (loss)</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net actuarial (gain) loss (a)</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recognized in other comprehensive income (loss)</w:t>
            </w:r>
          </w:p>
        </w:tc>
        <w:tc>
          <w:tcPr>
            <w:tcW w:w="4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4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73660</wp:posOffset>
            </wp:positionV>
            <wp:extent cx="59436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23" w:lineRule="exact"/>
        <w:rPr>
          <w:sz w:val="20"/>
          <w:szCs w:val="20"/>
          <w:color w:val="auto"/>
        </w:rPr>
      </w:pPr>
    </w:p>
    <w:p>
      <w:pPr>
        <w:ind w:left="1700" w:right="379" w:hanging="345"/>
        <w:spacing w:after="0" w:line="283" w:lineRule="auto"/>
        <w:tabs>
          <w:tab w:leader="none" w:pos="170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2024 amount includes $0.6 million of net actuarial gains written-off as a result of the sale of the Germany automotive businesses. See Note 3 for additional information on the sale of these businesses.</w:t>
      </w:r>
    </w:p>
    <w:p>
      <w:pPr>
        <w:spacing w:after="0" w:line="125"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The Company used a weighted average discount rate of 4.7% and 4.2% as of March 31, 2026 and 2025, respectively, for determining its benefit obligations under its pension plans. The Company used a weighted average discount rate of 4.4%, 4.2% and 4.1% to determine its costs under its pension plans for fiscal 2026, 2025 and 2024, respectively. The Company determined the discount rates by modeling a portfolio of high-quality corporate bonds, with appropriate consideration given to expected defined benefit payment terms and duration of the respective pension obligations.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Company estimates that pension benefit payments will total approximately $0.6 million in each of the next ten fiscal years.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17 – Related Party Transactions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Related-party transactions</w:t>
      </w:r>
    </w:p>
    <w:p>
      <w:pPr>
        <w:spacing w:after="0" w:line="9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Performance Technologies occasionally provides services to other Modine businesses. The nature of services provided is similar to the services that Performance Technologies provides to its third party customers.</w:t>
      </w:r>
    </w:p>
    <w:p>
      <w:pPr>
        <w:spacing w:after="0" w:line="125"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All significant intercompany transactions between Performance Technologies and Modine have been included in the combined financial statements and are considered to have been effectively settled at the time the transactions were recorded or are expected to be settled for cash. Sales to Modine during the years ended March 31, 2026, 2025 and 2024 were $6.1 million, $20.6 million and $21.6 million, respectively. Cost of sales for purchases from Modine during the years ended March 31, 2026, 2025 and 2024, were $5.4 million, $0.6 million, and $0.6 million, respectively. Selling, general and administrative expenses for services received from Modine were $1.7 million during each of the years ended March 31, 2026, 2025 and 2024. Receivables and payables, between the Company and Parent are cash settled and have been presented on the combined balance sheets as due from related party and due to related party, respectively. In the combined statement of cash flows, this related party activity is reported within cash flows from operating activities.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10159"/>
          </w:cols>
          <w:pgMar w:left="300" w:top="386"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During the year ended March 31, 2025, the Company received a $100.0 million dividend from one of its wholly-owned subsidiaries. Although this subsidiary was owned by the Company at the time of the dividend, it is not included in the combined financial statements because it will not be merged with Gentherm through the Spin-Off. Other than its investment interest in the subsidiary, the Company does not have an ongoing business relationship with the subsidiary. This dividend distribution was sourced entirely from the subsidiary’s historical accumulated earnings, which were fully attributable to RemainCo business operations, and represented a return on investment.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Cash pooling arrangement</w:t>
      </w:r>
    </w:p>
    <w:p>
      <w:pPr>
        <w:spacing w:after="0" w:line="93" w:lineRule="exact"/>
        <w:rPr>
          <w:sz w:val="20"/>
          <w:szCs w:val="20"/>
          <w:color w:val="auto"/>
        </w:rPr>
      </w:pPr>
    </w:p>
    <w:p>
      <w:pPr>
        <w:jc w:val="both"/>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Modine utilizes a centralized approach by region for the purposes of cash management and financing its operations. The Company participates in and manages certain of these cash pooling arrangements. Cash is swept daily to the cash pool owner who funds the businesses’ operating and investing activities as needed. This mechanism optimizes cash management and is used to ensure all of the Parent’s businesses have the working capital needed to run their day-to-day activities.</w:t>
      </w:r>
    </w:p>
    <w:p>
      <w:pPr>
        <w:spacing w:after="0" w:line="14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Amounts due from or to Modine under this arrangement are presented as related party notes receivable or related party notes payable, respectively, on the combined balance sheets. Interest income and interest expense associated with these balances are reflected within the combined statements of operations. As of March 31, 2026 and 2025, related party notes receivable include $46.4 million and $32.2 million, respectively, classified as current assets because the related amounts are either due on demand or within one year of the balance sheet date and $69.4 million and $50.9 million, respectively, classified as noncurrent assets. Related party notes payable totaled $91.1 million and $95.0 million, respectively, as of March 31, 2026 and 2025. For the combined statements of cash flows, related party notes receivable activity is presented within cash flows from investing activities and related party notes payable activity is presented within cash flows from financing activities.</w:t>
      </w:r>
    </w:p>
    <w:p>
      <w:pPr>
        <w:spacing w:after="0" w:line="144" w:lineRule="exact"/>
        <w:rPr>
          <w:sz w:val="20"/>
          <w:szCs w:val="20"/>
          <w:color w:val="auto"/>
        </w:rPr>
      </w:pPr>
    </w:p>
    <w:p>
      <w:pPr>
        <w:ind w:left="1360" w:right="659" w:firstLine="343"/>
        <w:spacing w:after="0" w:line="267" w:lineRule="auto"/>
        <w:rPr>
          <w:sz w:val="20"/>
          <w:szCs w:val="20"/>
          <w:color w:val="auto"/>
        </w:rPr>
      </w:pPr>
      <w:r>
        <w:rPr>
          <w:rFonts w:ascii="Times New Roman" w:cs="Times New Roman" w:eastAsia="Times New Roman" w:hAnsi="Times New Roman"/>
          <w:sz w:val="14"/>
          <w:szCs w:val="14"/>
          <w:color w:val="auto"/>
        </w:rPr>
        <w:t>For the years ended March 31, 2026, 2025 and 2024, the Company incurred interest expense of $2.9 million, $5.4 million and $7.4 million, respectively, on borrowings from the Parent’s centralized cash management and financing function, and earned interest income of $5.1 million, $2.9 million and $0.6 million, respectively, on amounts contributed to the cash pooling program.</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Allocation of corporate expenses</w:t>
      </w:r>
    </w:p>
    <w:p>
      <w:pPr>
        <w:spacing w:after="0" w:line="93"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Performance Technologies has historically operated as part of Modine and not as a standalone company. Accordingly, Modine has allocated certain shared costs to Performance Technologies that are reflected as expenses in these combined financial statements including, but not limited to, general corporate expenses such as senior management, legal, human resources, finance, accounting, treasury, tax and IT support and services. It is not practicable to estimate actual costs that would have been incurred had Performance Technologies been an independent, standalone company during the periods presented. Actual costs that the Company may have incurred, had it been a standalone company, would depend on a number of factors, including the chosen organizational structure and strategic decisions made in areas such as manufacturing, selling and marketing, research and development, information technology and infrastructure. Management considers the allocations to be a reasonable reflection of the utilization of services by, or the benefits provided to it. These allocations are made on a direct usage basis when identifiable, with the remainder allocated using a reasonable methodology based on revenue, headcount or other relevant measures. These allocated costs are reflected primarily within selling, general and administrative expenses in the combined statements of operations. Allocations for management costs and corporate support services provided by the Parent to Performance Technologies totaled $23.2 million, $27.1 million, and $19.6 million during the years ended March 31, 2026, 2025 and 2024, respectively.</w:t>
      </w:r>
    </w:p>
    <w:p>
      <w:pPr>
        <w:spacing w:after="0" w:line="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10159"/>
          </w:cols>
          <w:pgMar w:left="300" w:top="386"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financial information in these combined financial statements does not necessarily include actual costs that would have been incurred by Performance Technologies had it operated as a separate, standalone entity. Such actual costs would depend on a number of factors, including the chosen organizational structure and strategic decisions made in various areas, including information technology infrastructure and corporate functions outsourced or performed by employees.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18 – Contingencies and Litigation</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In the normal course of business, the Company is named as a defendant in various lawsuits and enforcement proceedings by private parties, governmental agencies and/or others in which claims are asserted against Performance Technologies. The Company believes that any additional loss in excess of amounts already accrued would not have a material effect on the Company’s combined balance sheet, results of operations, and cash flows. In addition, management expects that the liabilities which may ultimately result from such lawsuits or proceedings, if any, would not have a material adverse effect on the Company’s financial position.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19 – Net Parent Investment</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Net parent investment in the combined balance sheets and combined statements of equity represents the Parent’s historical investment in the Company, the net effect of transactions with Modine and allocations from Modine, and the Company’s accumulated earnings. Net transfers to Parent are included within net parent investment.</w:t>
      </w:r>
    </w:p>
    <w:p>
      <w:pPr>
        <w:spacing w:after="0" w:line="136" w:lineRule="exact"/>
        <w:rPr>
          <w:sz w:val="20"/>
          <w:szCs w:val="20"/>
          <w:color w:val="auto"/>
        </w:rPr>
      </w:pPr>
    </w:p>
    <w:p>
      <w:pPr>
        <w:ind w:left="1360" w:right="799" w:firstLine="343"/>
        <w:spacing w:after="0" w:line="283" w:lineRule="auto"/>
        <w:rPr>
          <w:sz w:val="20"/>
          <w:szCs w:val="20"/>
          <w:color w:val="auto"/>
        </w:rPr>
      </w:pPr>
      <w:r>
        <w:rPr>
          <w:rFonts w:ascii="Times New Roman" w:cs="Times New Roman" w:eastAsia="Times New Roman" w:hAnsi="Times New Roman"/>
          <w:sz w:val="14"/>
          <w:szCs w:val="14"/>
          <w:color w:val="auto"/>
        </w:rPr>
        <w:t>The components of net transfers to Parent on the combined statements of cash flows and the reconciliation to the corresponding amounts presented within the combined statements of equity, which includes certain non-cash elements, were as follows:</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tcPr>
          <w:p>
            <w:pPr>
              <w:jc w:val="center"/>
              <w:ind w:right="6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00" w:type="dxa"/>
            <w:vAlign w:val="bottom"/>
          </w:tcPr>
          <w:p>
            <w:pPr>
              <w:spacing w:after="0"/>
              <w:rPr>
                <w:sz w:val="7"/>
                <w:szCs w:val="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jc w:val="center"/>
              <w:ind w:right="32"/>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4"/>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78"/>
              </w:rPr>
              <w:t>2026 </w:t>
            </w:r>
          </w:p>
        </w:tc>
        <w:tc>
          <w:tcPr>
            <w:tcW w:w="820" w:type="dxa"/>
            <w:vAlign w:val="bottom"/>
            <w:gridSpan w:val="5"/>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72"/>
              </w:rPr>
              <w:t>2025 </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78"/>
              </w:rPr>
              <w:t>2024 </w:t>
            </w:r>
          </w:p>
        </w:tc>
        <w:tc>
          <w:tcPr>
            <w:tcW w:w="0" w:type="dxa"/>
            <w:vAlign w:val="bottom"/>
          </w:tcPr>
          <w:p>
            <w:pPr>
              <w:spacing w:after="0"/>
              <w:rPr>
                <w:sz w:val="1"/>
                <w:szCs w:val="1"/>
                <w:color w:val="auto"/>
              </w:rPr>
            </w:pPr>
          </w:p>
        </w:tc>
      </w:tr>
      <w:tr>
        <w:trPr>
          <w:trHeight w:val="133"/>
        </w:trPr>
        <w:tc>
          <w:tcPr>
            <w:tcW w:w="680" w:type="dxa"/>
            <w:vAlign w:val="bottom"/>
          </w:tcPr>
          <w:p>
            <w:pPr>
              <w:spacing w:after="0"/>
              <w:rPr>
                <w:sz w:val="11"/>
                <w:szCs w:val="11"/>
                <w:color w:val="auto"/>
              </w:rPr>
            </w:pPr>
          </w:p>
        </w:tc>
        <w:tc>
          <w:tcPr>
            <w:tcW w:w="470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Net transfers from (to) Parent as reflected in the combined statement of cash</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flows</w:t>
            </w:r>
          </w:p>
        </w:tc>
        <w:tc>
          <w:tcPr>
            <w:tcW w:w="860" w:type="dxa"/>
            <w:vAlign w:val="bottom"/>
            <w:gridSpan w:val="4"/>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$ 48.6</w:t>
            </w:r>
          </w:p>
        </w:tc>
        <w:tc>
          <w:tcPr>
            <w:tcW w:w="300" w:type="dxa"/>
            <w:vAlign w:val="bottom"/>
            <w:shd w:val="clear" w:color="auto" w:fill="CCEEFF"/>
          </w:tcPr>
          <w:p>
            <w:pPr>
              <w:spacing w:after="0"/>
              <w:rPr>
                <w:sz w:val="15"/>
                <w:szCs w:val="15"/>
                <w:color w:val="auto"/>
              </w:rPr>
            </w:pPr>
          </w:p>
        </w:tc>
        <w:tc>
          <w:tcPr>
            <w:tcW w:w="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7"/>
              </w:rPr>
              <w:t>$(25.3)</w:t>
            </w:r>
          </w:p>
        </w:tc>
        <w:tc>
          <w:tcPr>
            <w:tcW w:w="34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(3.4)</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Non-cash direct stock-based compensation expense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7.3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transfers from (to) Parent as reflected in the combined statement of equity</w:t>
            </w:r>
          </w:p>
        </w:tc>
        <w:tc>
          <w:tcPr>
            <w:tcW w:w="3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w w:val="91"/>
              </w:rPr>
              <w:t>$ 49.5</w:t>
            </w:r>
          </w:p>
        </w:tc>
        <w:tc>
          <w:tcPr>
            <w:tcW w:w="30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(18.0)</w:t>
            </w:r>
          </w:p>
        </w:tc>
        <w:tc>
          <w:tcPr>
            <w:tcW w:w="340" w:type="dxa"/>
            <w:vAlign w:val="bottom"/>
            <w:shd w:val="clear" w:color="auto" w:fill="CCEEFF"/>
          </w:tcPr>
          <w:p>
            <w:pPr>
              <w:spacing w:after="0"/>
              <w:rPr>
                <w:sz w:val="14"/>
                <w:szCs w:val="14"/>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(1.1)</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20 – Accumulated Other Comprehensive Loss</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53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Changes in accumulated other comprehensive loss were as follows: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Foreign</w:t>
            </w:r>
          </w:p>
        </w:tc>
        <w:tc>
          <w:tcPr>
            <w:tcW w:w="100" w:type="dxa"/>
            <w:vAlign w:val="bottom"/>
          </w:tcPr>
          <w:p>
            <w:pPr>
              <w:spacing w:after="0"/>
              <w:rPr>
                <w:sz w:val="24"/>
                <w:szCs w:val="24"/>
                <w:color w:val="auto"/>
              </w:rPr>
            </w:pPr>
          </w:p>
        </w:tc>
        <w:tc>
          <w:tcPr>
            <w:tcW w:w="720" w:type="dxa"/>
            <w:vAlign w:val="bottom"/>
            <w:gridSpan w:val="4"/>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Defined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4"/>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Currency</w:t>
            </w:r>
          </w:p>
        </w:tc>
        <w:tc>
          <w:tcPr>
            <w:tcW w:w="100" w:type="dxa"/>
            <w:vAlign w:val="bottom"/>
          </w:tcPr>
          <w:p>
            <w:pPr>
              <w:spacing w:after="0"/>
              <w:rPr>
                <w:sz w:val="10"/>
                <w:szCs w:val="10"/>
                <w:color w:val="auto"/>
              </w:rPr>
            </w:pPr>
          </w:p>
        </w:tc>
        <w:tc>
          <w:tcPr>
            <w:tcW w:w="720" w:type="dxa"/>
            <w:vAlign w:val="bottom"/>
            <w:gridSpan w:val="4"/>
          </w:tcPr>
          <w:p>
            <w:pPr>
              <w:jc w:val="center"/>
              <w:ind w:right="340"/>
              <w:spacing w:after="0" w:line="116" w:lineRule="exact"/>
              <w:rPr>
                <w:sz w:val="20"/>
                <w:szCs w:val="20"/>
                <w:color w:val="auto"/>
              </w:rPr>
            </w:pPr>
            <w:r>
              <w:rPr>
                <w:rFonts w:ascii="Times New Roman" w:cs="Times New Roman" w:eastAsia="Times New Roman" w:hAnsi="Times New Roman"/>
                <w:sz w:val="11"/>
                <w:szCs w:val="11"/>
                <w:b w:val="1"/>
                <w:bCs w:val="1"/>
                <w:color w:val="auto"/>
              </w:rPr>
              <w:t>Benefit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100" w:type="dxa"/>
            <w:vAlign w:val="bottom"/>
          </w:tcPr>
          <w:p>
            <w:pPr>
              <w:spacing w:after="0"/>
              <w:rPr>
                <w:sz w:val="11"/>
                <w:szCs w:val="11"/>
                <w:color w:val="auto"/>
              </w:rPr>
            </w:pPr>
          </w:p>
        </w:tc>
        <w:tc>
          <w:tcPr>
            <w:tcW w:w="720" w:type="dxa"/>
            <w:vAlign w:val="bottom"/>
            <w:gridSpan w:val="4"/>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47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March 31, 2025</w:t>
            </w: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(88.5)</w:t>
            </w: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w:t>
            </w: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3"/>
              </w:rPr>
              <w:t>$(90.0)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0.3</w:t>
            </w:r>
          </w:p>
        </w:tc>
        <w:tc>
          <w:tcPr>
            <w:tcW w:w="5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Reclassifications:</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unrecognized net gain (a)</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(0.1)</w:t>
            </w: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(0.1)</w:t>
            </w: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4"/>
                <w:szCs w:val="14"/>
                <w:color w:val="auto"/>
              </w:rPr>
              <w:t>15.9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2026</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(72.6)</w:t>
            </w:r>
          </w:p>
        </w:tc>
        <w:tc>
          <w:tcPr>
            <w:tcW w:w="1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(1.4)</w:t>
            </w: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3480"/>
              <w:spacing w:after="0"/>
              <w:rPr>
                <w:sz w:val="20"/>
                <w:szCs w:val="20"/>
                <w:color w:val="auto"/>
              </w:rPr>
            </w:pPr>
            <w:r>
              <w:rPr>
                <w:rFonts w:ascii="Times New Roman" w:cs="Times New Roman" w:eastAsia="Times New Roman" w:hAnsi="Times New Roman"/>
                <w:sz w:val="14"/>
                <w:szCs w:val="14"/>
                <w:color w:val="auto"/>
              </w:rPr>
              <w:t>F-35</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680" w:type="dxa"/>
            <w:vAlign w:val="bottom"/>
          </w:tcPr>
          <w:p>
            <w:pPr>
              <w:spacing w:after="0"/>
              <w:rPr>
                <w:sz w:val="23"/>
                <w:szCs w:val="23"/>
                <w:color w:val="auto"/>
              </w:rPr>
            </w:pPr>
          </w:p>
        </w:tc>
        <w:tc>
          <w:tcPr>
            <w:tcW w:w="470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8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Foreign</w:t>
            </w:r>
          </w:p>
        </w:tc>
        <w:tc>
          <w:tcPr>
            <w:tcW w:w="180" w:type="dxa"/>
            <w:vAlign w:val="bottom"/>
          </w:tcPr>
          <w:p>
            <w:pPr>
              <w:spacing w:after="0"/>
              <w:rPr>
                <w:sz w:val="11"/>
                <w:szCs w:val="1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Defined</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4"/>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Currency</w:t>
            </w:r>
          </w:p>
        </w:tc>
        <w:tc>
          <w:tcPr>
            <w:tcW w:w="180" w:type="dxa"/>
            <w:vAlign w:val="bottom"/>
          </w:tcPr>
          <w:p>
            <w:pPr>
              <w:spacing w:after="0"/>
              <w:rPr>
                <w:sz w:val="10"/>
                <w:szCs w:val="10"/>
                <w:color w:val="auto"/>
              </w:rPr>
            </w:pPr>
          </w:p>
        </w:tc>
        <w:tc>
          <w:tcPr>
            <w:tcW w:w="62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Benefit</w:t>
            </w:r>
          </w:p>
        </w:tc>
        <w:tc>
          <w:tcPr>
            <w:tcW w:w="180" w:type="dxa"/>
            <w:vAlign w:val="bottom"/>
          </w:tcPr>
          <w:p>
            <w:pPr>
              <w:spacing w:after="0"/>
              <w:rPr>
                <w:sz w:val="10"/>
                <w:szCs w:val="10"/>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180" w:type="dxa"/>
            <w:vAlign w:val="bottom"/>
          </w:tcPr>
          <w:p>
            <w:pPr>
              <w:spacing w:after="0"/>
              <w:rPr>
                <w:sz w:val="11"/>
                <w:szCs w:val="11"/>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1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500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March 31, 2024</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(80.5)</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(2.4)</w:t>
            </w: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3"/>
              </w:rPr>
              <w:t>$(82.9)</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(8.0)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0.8</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unrecognized net loss (a)</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2025</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(88.5)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Foreign</w:t>
            </w:r>
          </w:p>
        </w:tc>
        <w:tc>
          <w:tcPr>
            <w:tcW w:w="180" w:type="dxa"/>
            <w:vAlign w:val="bottom"/>
          </w:tcPr>
          <w:p>
            <w:pPr>
              <w:spacing w:after="0"/>
              <w:rPr>
                <w:sz w:val="23"/>
                <w:szCs w:val="23"/>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Defined</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6"/>
        </w:trPr>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4"/>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rPr>
              <w:t>Currency</w:t>
            </w:r>
          </w:p>
        </w:tc>
        <w:tc>
          <w:tcPr>
            <w:tcW w:w="180" w:type="dxa"/>
            <w:vAlign w:val="bottom"/>
          </w:tcPr>
          <w:p>
            <w:pPr>
              <w:spacing w:after="0"/>
              <w:rPr>
                <w:sz w:val="10"/>
                <w:szCs w:val="10"/>
                <w:color w:val="auto"/>
              </w:rPr>
            </w:pPr>
          </w:p>
        </w:tc>
        <w:tc>
          <w:tcPr>
            <w:tcW w:w="62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Benefit</w:t>
            </w:r>
          </w:p>
        </w:tc>
        <w:tc>
          <w:tcPr>
            <w:tcW w:w="180" w:type="dxa"/>
            <w:vAlign w:val="bottom"/>
          </w:tcPr>
          <w:p>
            <w:pPr>
              <w:spacing w:after="0"/>
              <w:rPr>
                <w:sz w:val="10"/>
                <w:szCs w:val="10"/>
                <w:color w:val="auto"/>
              </w:rPr>
            </w:pPr>
          </w:p>
        </w:tc>
        <w:tc>
          <w:tcPr>
            <w:tcW w:w="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180" w:type="dxa"/>
            <w:vAlign w:val="bottom"/>
          </w:tcPr>
          <w:p>
            <w:pPr>
              <w:spacing w:after="0"/>
              <w:rPr>
                <w:sz w:val="11"/>
                <w:szCs w:val="11"/>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18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5000" w:type="dxa"/>
            <w:vAlign w:val="bottom"/>
            <w:tcBorders>
              <w:top w:val="single" w:sz="8" w:color="CCEE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March 31, 2023</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(78.2)</w:t>
            </w:r>
          </w:p>
        </w:tc>
        <w:tc>
          <w:tcPr>
            <w:tcW w:w="22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(1.4)</w:t>
            </w: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3"/>
              </w:rPr>
              <w:t>$(79.6)</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(0.7)</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unrecognized net loss (a)</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net pension gain in disposed business (b)</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(0.6)</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80" w:type="dxa"/>
            <w:vAlign w:val="bottom"/>
          </w:tcPr>
          <w:p>
            <w:pPr>
              <w:spacing w:after="0"/>
              <w:rPr>
                <w:sz w:val="14"/>
                <w:szCs w:val="14"/>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March 31, 2024</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2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(82.9</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00" w:right="519" w:hanging="345"/>
        <w:spacing w:after="0" w:line="261" w:lineRule="auto"/>
        <w:tabs>
          <w:tab w:leader="none" w:pos="170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calculation of net periodic benefit cost for the Company’s defined benefit plans, which include pension and other postretirement plans. See Note 16 for additional information about the Company’s pension plans.</w:t>
      </w:r>
    </w:p>
    <w:p>
      <w:pPr>
        <w:ind w:left="1700" w:right="479" w:hanging="345"/>
        <w:spacing w:after="0" w:line="261" w:lineRule="auto"/>
        <w:tabs>
          <w:tab w:leader="none" w:pos="170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sale of three vehicular businesses based in Germany, the Company wrote-off $0.6 million of net actuarial gains related to the disposal group’s pension plan. See Note 3 for additional information regarding the sale.</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21 – Segment and Geographic Information</w:t>
      </w:r>
    </w:p>
    <w:p>
      <w:pPr>
        <w:spacing w:after="0" w:line="93" w:lineRule="exact"/>
        <w:rPr>
          <w:sz w:val="20"/>
          <w:szCs w:val="20"/>
          <w:color w:val="auto"/>
        </w:rPr>
      </w:pPr>
    </w:p>
    <w:p>
      <w:pPr>
        <w:ind w:left="1360" w:right="659" w:firstLine="343"/>
        <w:spacing w:after="0" w:line="296" w:lineRule="auto"/>
        <w:rPr>
          <w:sz w:val="20"/>
          <w:szCs w:val="20"/>
          <w:color w:val="auto"/>
        </w:rPr>
      </w:pPr>
      <w:r>
        <w:rPr>
          <w:rFonts w:ascii="Times New Roman" w:cs="Times New Roman" w:eastAsia="Times New Roman" w:hAnsi="Times New Roman"/>
          <w:sz w:val="13"/>
          <w:szCs w:val="13"/>
          <w:color w:val="auto"/>
        </w:rPr>
        <w:t>The Company operates as the Performance Technologies segment within Modine’s consolidated group. The President of Performance Technologies, is the chief operating decision maker (“CODM”) of the Company. As a result of an organizational realignment within Performance Technologies during fiscal 2026, the Company has three operating segments: Heavy-Duty Equipment, Commercial Vehicle, and Automotive.</w:t>
      </w:r>
    </w:p>
    <w:p>
      <w:pPr>
        <w:spacing w:after="0" w:line="120"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Heavy-Duty Equipment segment provides heat exchangers and cooling modules for off-highway markets, including agricultural, construction, and mining. In addition, the Heavy-Duty Equipment business sells cooling module generator sets that provide mission-critical stationary power. The Commercial Vehicle and Automotive businesses provide heat exchangers and cooling systems for vehicular customers. In addition to products for traditional powertrains, the Commercial Vehicle and Automotive businesses provide products and solutions for zero-emission and hybrid vehicles, primarily for commercial vehicle, bus and specialty vehicles.</w:t>
      </w:r>
    </w:p>
    <w:p>
      <w:pPr>
        <w:spacing w:after="0" w:line="144"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Company’s CODM, its President, reviews the separate financial results for each of its operating segments. The CODM uses segment operating income as a measure of profit and loss to evaluate the financial performance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10159"/>
          </w:cols>
          <w:pgMar w:left="300" w:top="386"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of each segment and as the basis for allocating company resources. The tables below present net sales and significant expense categories for each of the Company’s segments that are regularly provided to the CODM. Inter-segment sales are accounted for based upon an established markup over production costs.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8"/>
          </w:tcPr>
          <w:p>
            <w:pPr>
              <w:jc w:val="center"/>
              <w:ind w:right="117"/>
              <w:spacing w:after="0"/>
              <w:rPr>
                <w:sz w:val="20"/>
                <w:szCs w:val="20"/>
                <w:color w:val="auto"/>
              </w:rPr>
            </w:pPr>
            <w:r>
              <w:rPr>
                <w:rFonts w:ascii="Times New Roman" w:cs="Times New Roman" w:eastAsia="Times New Roman" w:hAnsi="Times New Roman"/>
                <w:sz w:val="11"/>
                <w:szCs w:val="11"/>
                <w:b w:val="1"/>
                <w:bCs w:val="1"/>
                <w:color w:val="auto"/>
              </w:rPr>
              <w:t>Year Ended March 31, 2026</w:t>
            </w: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Heavy-Duty</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60" w:type="dxa"/>
            <w:vAlign w:val="bottom"/>
          </w:tcPr>
          <w:p>
            <w:pPr>
              <w:spacing w:after="0"/>
              <w:rPr>
                <w:sz w:val="7"/>
                <w:szCs w:val="7"/>
                <w:color w:val="auto"/>
              </w:rPr>
            </w:pPr>
          </w:p>
        </w:tc>
        <w:tc>
          <w:tcPr>
            <w:tcW w:w="900" w:type="dxa"/>
            <w:vAlign w:val="bottom"/>
            <w:gridSpan w:val="4"/>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Inter-segment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5"/>
              </w:rPr>
              <w:t>Equipment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Vehicle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External sales</w:t>
            </w: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521.0</w:t>
            </w:r>
          </w:p>
        </w:tc>
        <w:tc>
          <w:tcPr>
            <w:tcW w:w="32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333.0</w:t>
            </w:r>
          </w:p>
        </w:tc>
        <w:tc>
          <w:tcPr>
            <w:tcW w:w="36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277.8</w:t>
            </w:r>
          </w:p>
        </w:tc>
        <w:tc>
          <w:tcPr>
            <w:tcW w:w="40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top w:val="single" w:sz="8" w:color="CCEEFF"/>
              <w:left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$1,131.8</w:t>
            </w: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sales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534.3</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36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(24.1)</w:t>
            </w:r>
          </w:p>
        </w:tc>
        <w:tc>
          <w:tcPr>
            <w:tcW w:w="2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1,131.8</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36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lef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Loss on sale of assets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9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500" w:type="dxa"/>
            <w:vAlign w:val="bottom"/>
            <w:tcBorders>
              <w:left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540" w:type="dxa"/>
            <w:vAlign w:val="bottom"/>
            <w:tcBorders>
              <w:left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0" w:type="dxa"/>
            <w:vAlign w:val="bottom"/>
            <w:tcBorders>
              <w:left w:val="single" w:sz="8" w:color="CCEEFF"/>
            </w:tcBorders>
            <w:shd w:val="clear" w:color="auto" w:fill="CCEEFF"/>
          </w:tcPr>
          <w:p>
            <w:pPr>
              <w:spacing w:after="0"/>
              <w:rPr>
                <w:sz w:val="14"/>
                <w:szCs w:val="14"/>
                <w:color w:val="auto"/>
              </w:rPr>
            </w:pP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w w:val="99"/>
              </w:rPr>
              <w:t>Year Ended March 31, 2025</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Heavy-Duty</w:t>
            </w:r>
          </w:p>
        </w:tc>
        <w:tc>
          <w:tcPr>
            <w:tcW w:w="320" w:type="dxa"/>
            <w:vAlign w:val="bottom"/>
          </w:tcPr>
          <w:p>
            <w:pPr>
              <w:spacing w:after="0"/>
              <w:rPr>
                <w:sz w:val="7"/>
                <w:szCs w:val="7"/>
                <w:color w:val="auto"/>
              </w:rPr>
            </w:pPr>
          </w:p>
        </w:tc>
        <w:tc>
          <w:tcPr>
            <w:tcW w:w="680" w:type="dxa"/>
            <w:vAlign w:val="bottom"/>
            <w:gridSpan w:val="4"/>
          </w:tcPr>
          <w:p>
            <w:pPr>
              <w:ind w:left="80"/>
              <w:spacing w:after="0" w:line="87"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360" w:type="dxa"/>
            <w:vAlign w:val="bottom"/>
          </w:tcPr>
          <w:p>
            <w:pPr>
              <w:spacing w:after="0"/>
              <w:rPr>
                <w:sz w:val="7"/>
                <w:szCs w:val="7"/>
                <w:color w:val="auto"/>
              </w:rPr>
            </w:pPr>
          </w:p>
        </w:tc>
        <w:tc>
          <w:tcPr>
            <w:tcW w:w="96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60" w:type="dxa"/>
            <w:vAlign w:val="bottom"/>
          </w:tcPr>
          <w:p>
            <w:pPr>
              <w:spacing w:after="0"/>
              <w:rPr>
                <w:sz w:val="7"/>
                <w:szCs w:val="7"/>
                <w:color w:val="auto"/>
              </w:rPr>
            </w:pPr>
          </w:p>
        </w:tc>
        <w:tc>
          <w:tcPr>
            <w:tcW w:w="900" w:type="dxa"/>
            <w:vAlign w:val="bottom"/>
            <w:gridSpan w:val="4"/>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Inter-segment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8"/>
              </w:rPr>
              <w:t>Equipment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97"/>
              </w:rPr>
              <w:t>Vehicle</w:t>
            </w:r>
          </w:p>
        </w:tc>
        <w:tc>
          <w:tcPr>
            <w:tcW w:w="36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External sales</w:t>
            </w: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559.0</w:t>
            </w:r>
          </w:p>
        </w:tc>
        <w:tc>
          <w:tcPr>
            <w:tcW w:w="32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367.5</w:t>
            </w:r>
          </w:p>
        </w:tc>
        <w:tc>
          <w:tcPr>
            <w:tcW w:w="36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237.0</w:t>
            </w:r>
          </w:p>
        </w:tc>
        <w:tc>
          <w:tcPr>
            <w:tcW w:w="40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center"/>
              <w:ind w:left="17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top w:val="single" w:sz="8" w:color="CCEEFF"/>
              <w:left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$1,163.5</w:t>
            </w: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sales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(49.1)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w:t>
            </w:r>
          </w:p>
        </w:tc>
        <w:tc>
          <w:tcPr>
            <w:tcW w:w="36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(49.1)</w:t>
            </w:r>
          </w:p>
        </w:tc>
        <w:tc>
          <w:tcPr>
            <w:tcW w:w="2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1,163.5</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(49.1)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36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Borders>
              <w:lef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center"/>
              <w:ind w:left="170"/>
              <w:spacing w:after="0"/>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Year Ended March 31, 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4"/>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Heavy-Duty</w:t>
            </w:r>
          </w:p>
        </w:tc>
        <w:tc>
          <w:tcPr>
            <w:tcW w:w="1000" w:type="dxa"/>
            <w:vAlign w:val="bottom"/>
            <w:gridSpan w:val="5"/>
          </w:tcPr>
          <w:p>
            <w:pPr>
              <w:ind w:left="320"/>
              <w:spacing w:after="0" w:line="87"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132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960" w:type="dxa"/>
            <w:vAlign w:val="bottom"/>
            <w:gridSpan w:val="5"/>
          </w:tcPr>
          <w:p>
            <w:pPr>
              <w:jc w:val="right"/>
              <w:ind w:right="260"/>
              <w:spacing w:after="0" w:line="87" w:lineRule="exact"/>
              <w:rPr>
                <w:sz w:val="20"/>
                <w:szCs w:val="20"/>
                <w:color w:val="auto"/>
              </w:rPr>
            </w:pPr>
            <w:r>
              <w:rPr>
                <w:rFonts w:ascii="Times New Roman" w:cs="Times New Roman" w:eastAsia="Times New Roman" w:hAnsi="Times New Roman"/>
                <w:sz w:val="10"/>
                <w:szCs w:val="10"/>
                <w:b w:val="1"/>
                <w:bCs w:val="1"/>
                <w:color w:val="auto"/>
              </w:rPr>
              <w:t>Inter-segment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Equipment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rPr>
              <w:t>Vehicle</w:t>
            </w:r>
          </w:p>
        </w:tc>
        <w:tc>
          <w:tcPr>
            <w:tcW w:w="13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External sales</w:t>
            </w: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612.6</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left w:val="single" w:sz="8" w:color="CCEEFF"/>
            </w:tcBorders>
            <w:shd w:val="clear" w:color="auto" w:fill="CCEEFF"/>
          </w:tcPr>
          <w:p>
            <w:pPr>
              <w:spacing w:after="0"/>
              <w:rPr>
                <w:sz w:val="13"/>
                <w:szCs w:val="13"/>
                <w:color w:val="auto"/>
              </w:rPr>
            </w:pPr>
          </w:p>
        </w:tc>
        <w:tc>
          <w:tcPr>
            <w:tcW w:w="100" w:type="dxa"/>
            <w:vAlign w:val="bottom"/>
            <w:tcBorders>
              <w:top w:val="single" w:sz="8" w:color="auto"/>
              <w:right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412.0</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left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296.7</w:t>
            </w:r>
          </w:p>
        </w:tc>
        <w:tc>
          <w:tcPr>
            <w:tcW w:w="40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shd w:val="clear" w:color="auto" w:fill="CCEEFF"/>
          </w:tcPr>
          <w:p>
            <w:pPr>
              <w:ind w:left="220"/>
              <w:spacing w:after="0" w:line="159" w:lineRule="exact"/>
              <w:rPr>
                <w:sz w:val="20"/>
                <w:szCs w:val="20"/>
                <w:color w:val="auto"/>
              </w:rPr>
            </w:pPr>
            <w:r>
              <w:rPr>
                <w:rFonts w:ascii="Times New Roman" w:cs="Times New Roman" w:eastAsia="Times New Roman" w:hAnsi="Times New Roman"/>
                <w:sz w:val="14"/>
                <w:szCs w:val="14"/>
                <w:color w:val="auto"/>
                <w:w w:val="75"/>
              </w:rPr>
              <w:t>— </w:t>
            </w:r>
          </w:p>
        </w:tc>
        <w:tc>
          <w:tcPr>
            <w:tcW w:w="260" w:type="dxa"/>
            <w:vAlign w:val="bottom"/>
            <w:tcBorders>
              <w:top w:val="single" w:sz="8" w:color="CCEEFF"/>
              <w:left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$1,321.3</w:t>
            </w:r>
          </w:p>
        </w:tc>
        <w:tc>
          <w:tcPr>
            <w:tcW w:w="80" w:type="dxa"/>
            <w:vAlign w:val="bottom"/>
            <w:tcBorders>
              <w:top w:val="single" w:sz="8" w:color="CCEEFF"/>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sales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8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80" w:type="dxa"/>
            <w:vAlign w:val="bottom"/>
            <w:shd w:val="clear" w:color="auto" w:fill="CCEEFF"/>
          </w:tcPr>
          <w:p>
            <w:pPr>
              <w:spacing w:after="0"/>
              <w:rPr>
                <w:sz w:val="14"/>
                <w:szCs w:val="14"/>
                <w:color w:val="auto"/>
              </w:rPr>
            </w:pPr>
          </w:p>
        </w:tc>
        <w:tc>
          <w:tcPr>
            <w:tcW w:w="36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60" w:type="dxa"/>
            <w:vAlign w:val="bottom"/>
            <w:tcBorders>
              <w:left w:val="single" w:sz="8" w:color="CCEEFF"/>
            </w:tcBorders>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1,321.3</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6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1,091.6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700" w:type="dxa"/>
            <w:vAlign w:val="bottom"/>
            <w:shd w:val="clear" w:color="auto" w:fill="CCEEFF"/>
          </w:tcPr>
          <w:p>
            <w:pPr>
              <w:spacing w:after="0"/>
              <w:rPr>
                <w:sz w:val="14"/>
                <w:szCs w:val="14"/>
                <w:color w:val="auto"/>
              </w:rPr>
            </w:pPr>
          </w:p>
        </w:tc>
        <w:tc>
          <w:tcPr>
            <w:tcW w:w="1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shd w:val="clear" w:color="auto" w:fill="CCEEFF"/>
          </w:tcPr>
          <w:p>
            <w:pPr>
              <w:spacing w:after="0"/>
              <w:rPr>
                <w:sz w:val="14"/>
                <w:szCs w:val="14"/>
                <w:color w:val="auto"/>
              </w:rPr>
            </w:pPr>
          </w:p>
        </w:tc>
        <w:tc>
          <w:tcPr>
            <w:tcW w:w="360" w:type="dxa"/>
            <w:vAlign w:val="bottom"/>
            <w:tcBorders>
              <w:left w:val="single" w:sz="8" w:color="CCEEFF"/>
            </w:tcBorders>
            <w:shd w:val="clear" w:color="auto" w:fill="CCEEFF"/>
          </w:tcPr>
          <w:p>
            <w:pPr>
              <w:spacing w:after="0"/>
              <w:rPr>
                <w:sz w:val="14"/>
                <w:szCs w:val="14"/>
                <w:color w:val="auto"/>
              </w:rPr>
            </w:pPr>
          </w:p>
        </w:tc>
        <w:tc>
          <w:tcPr>
            <w:tcW w:w="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75"/>
              </w:rPr>
              <w:t>— </w:t>
            </w:r>
          </w:p>
        </w:tc>
        <w:tc>
          <w:tcPr>
            <w:tcW w:w="260" w:type="dxa"/>
            <w:vAlign w:val="bottom"/>
            <w:tcBorders>
              <w:lef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expenses</w:t>
            </w: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400" w:type="dxa"/>
            <w:vAlign w:val="bottom"/>
            <w:tcBorders>
              <w:left w:val="single" w:sz="8" w:color="CCEEFF"/>
            </w:tcBorders>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assets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800" w:type="dxa"/>
            <w:vAlign w:val="bottom"/>
            <w:tcBorders>
              <w:right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shd w:val="clear" w:color="auto" w:fill="CCEEFF"/>
          </w:tcPr>
          <w:p>
            <w:pPr>
              <w:spacing w:after="0"/>
              <w:rPr>
                <w:sz w:val="14"/>
                <w:szCs w:val="14"/>
                <w:color w:val="auto"/>
              </w:rPr>
            </w:pPr>
          </w:p>
        </w:tc>
        <w:tc>
          <w:tcPr>
            <w:tcW w:w="420" w:type="dxa"/>
            <w:vAlign w:val="bottom"/>
            <w:tcBorders>
              <w:left w:val="single" w:sz="8" w:color="CCEEFF"/>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4"/>
                <w:szCs w:val="14"/>
                <w:color w:val="auto"/>
              </w:rPr>
            </w:pPr>
          </w:p>
        </w:tc>
        <w:tc>
          <w:tcPr>
            <w:tcW w:w="540" w:type="dxa"/>
            <w:vAlign w:val="bottom"/>
            <w:tcBorders>
              <w:left w:val="single" w:sz="8" w:color="CCEEFF"/>
            </w:tcBorders>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0" w:type="dxa"/>
            <w:vAlign w:val="bottom"/>
            <w:tcBorders>
              <w:left w:val="single" w:sz="8" w:color="CCEEFF"/>
            </w:tcBorders>
            <w:shd w:val="clear" w:color="auto" w:fill="CCEEFF"/>
          </w:tcPr>
          <w:p>
            <w:pPr>
              <w:spacing w:after="0"/>
              <w:rPr>
                <w:sz w:val="14"/>
                <w:szCs w:val="14"/>
                <w:color w:val="auto"/>
              </w:rPr>
            </w:pPr>
          </w:p>
        </w:tc>
        <w:tc>
          <w:tcPr>
            <w:tcW w:w="280" w:type="dxa"/>
            <w:vAlign w:val="bottom"/>
            <w:gridSpan w:val="3"/>
            <w:shd w:val="clear" w:color="auto" w:fill="CCEEFF"/>
          </w:tcPr>
          <w:p>
            <w:pPr>
              <w:jc w:val="right"/>
              <w:ind w:right="117"/>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F-37</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is a summary of segment assets, comprised entirely of trade accounts receivable and inventories, and other assets: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March 31,</w:t>
            </w:r>
          </w:p>
        </w:tc>
      </w:tr>
      <w:tr>
        <w:trPr>
          <w:trHeight w:val="106"/>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auto"/>
            </w:tcBorders>
          </w:tcPr>
          <w:p>
            <w:pPr>
              <w:jc w:val="right"/>
              <w:ind w:right="19"/>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760" w:type="dxa"/>
            <w:vAlign w:val="bottom"/>
            <w:tcBorders>
              <w:top w:val="single" w:sz="8" w:color="auto"/>
            </w:tcBorders>
            <w:gridSpan w:val="2"/>
          </w:tcPr>
          <w:p>
            <w:pPr>
              <w:jc w:val="right"/>
              <w:ind w:right="1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Heavy-Duty Equipment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3"/>
              </w:rPr>
              <w:t>$215.0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Vehicle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Automotive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(a)</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3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8"/>
              </w:rPr>
              <w:t>$</w:t>
            </w:r>
            <w:r>
              <w:rPr>
                <w:rFonts w:ascii="Times New Roman" w:cs="Times New Roman" w:eastAsia="Times New Roman" w:hAnsi="Times New Roman"/>
                <w:sz w:val="14"/>
                <w:szCs w:val="14"/>
                <w:color w:val="auto"/>
                <w:w w:val="88"/>
              </w:rPr>
              <w:t>815.8</w:t>
            </w:r>
          </w:p>
        </w:tc>
        <w:tc>
          <w:tcPr>
            <w:tcW w:w="3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763.4</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73660</wp:posOffset>
            </wp:positionV>
            <wp:extent cx="59436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23" w:lineRule="exact"/>
        <w:rPr>
          <w:sz w:val="20"/>
          <w:szCs w:val="20"/>
          <w:color w:val="auto"/>
        </w:rPr>
      </w:pPr>
    </w:p>
    <w:p>
      <w:pPr>
        <w:ind w:left="1700" w:right="439" w:hanging="345"/>
        <w:spacing w:after="0" w:line="283" w:lineRule="auto"/>
        <w:tabs>
          <w:tab w:leader="none" w:pos="17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and cash equivalents, related party notes receivable, due from related party, other current assets, property plant and equipment, deferred income taxes, other noncurrent assets, and noncurrent related party notes receivable.</w:t>
      </w:r>
    </w:p>
    <w:p>
      <w:pPr>
        <w:spacing w:after="0" w:line="124"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is a summary of capital expenditures and depreciation expense by segment:</w:t>
      </w:r>
    </w:p>
    <w:p>
      <w:pPr>
        <w:spacing w:after="0" w:line="381"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3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87"/>
        </w:trPr>
        <w:tc>
          <w:tcPr>
            <w:tcW w:w="3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tcPr>
          <w:p>
            <w:pPr>
              <w:jc w:val="right"/>
              <w:ind w:right="24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60" w:type="dxa"/>
            <w:vAlign w:val="bottom"/>
          </w:tcPr>
          <w:p>
            <w:pPr>
              <w:spacing w:after="0"/>
              <w:rPr>
                <w:sz w:val="7"/>
                <w:szCs w:val="7"/>
                <w:color w:val="auto"/>
              </w:rPr>
            </w:pPr>
          </w:p>
        </w:tc>
        <w:tc>
          <w:tcPr>
            <w:tcW w:w="360" w:type="dxa"/>
            <w:vAlign w:val="bottom"/>
          </w:tcPr>
          <w:p>
            <w:pPr>
              <w:jc w:val="center"/>
              <w:ind w:right="66"/>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0" w:type="dxa"/>
            <w:vAlign w:val="bottom"/>
          </w:tcPr>
          <w:p>
            <w:pPr>
              <w:spacing w:after="0"/>
              <w:rPr>
                <w:sz w:val="7"/>
                <w:szCs w:val="7"/>
                <w:color w:val="auto"/>
              </w:rPr>
            </w:pPr>
          </w:p>
        </w:tc>
      </w:tr>
      <w:tr>
        <w:trPr>
          <w:trHeight w:val="135"/>
        </w:trPr>
        <w:tc>
          <w:tcPr>
            <w:tcW w:w="3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2026 </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60" w:type="dxa"/>
            <w:vAlign w:val="bottom"/>
          </w:tcPr>
          <w:p>
            <w:pPr>
              <w:spacing w:after="0"/>
              <w:rPr>
                <w:sz w:val="11"/>
                <w:szCs w:val="11"/>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78"/>
              </w:rPr>
              <w:t>2024 </w:t>
            </w:r>
          </w:p>
        </w:tc>
      </w:tr>
      <w:tr>
        <w:trPr>
          <w:trHeight w:val="148"/>
        </w:trPr>
        <w:tc>
          <w:tcPr>
            <w:tcW w:w="340" w:type="dxa"/>
            <w:vAlign w:val="bottom"/>
          </w:tcPr>
          <w:p>
            <w:pPr>
              <w:spacing w:after="0"/>
              <w:rPr>
                <w:sz w:val="12"/>
                <w:szCs w:val="12"/>
                <w:color w:val="auto"/>
              </w:rPr>
            </w:pPr>
          </w:p>
        </w:tc>
        <w:tc>
          <w:tcPr>
            <w:tcW w:w="27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Capital expenditures:</w:t>
            </w:r>
          </w:p>
        </w:tc>
        <w:tc>
          <w:tcPr>
            <w:tcW w:w="2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8"/>
        </w:trPr>
        <w:tc>
          <w:tcPr>
            <w:tcW w:w="340" w:type="dxa"/>
            <w:vAlign w:val="bottom"/>
          </w:tcPr>
          <w:p>
            <w:pPr>
              <w:spacing w:after="0"/>
              <w:rPr>
                <w:sz w:val="14"/>
                <w:szCs w:val="14"/>
                <w:color w:val="auto"/>
              </w:rPr>
            </w:pPr>
          </w:p>
        </w:tc>
        <w:tc>
          <w:tcPr>
            <w:tcW w:w="2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Heavy-Duty Equipment</w:t>
            </w:r>
          </w:p>
        </w:tc>
        <w:tc>
          <w:tcPr>
            <w:tcW w:w="27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$ 14.9</w:t>
            </w:r>
          </w:p>
        </w:tc>
        <w:tc>
          <w:tcPr>
            <w:tcW w:w="12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$ 18.1</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$ 19.5</w:t>
            </w:r>
          </w:p>
        </w:tc>
      </w:tr>
      <w:tr>
        <w:trPr>
          <w:trHeight w:val="168"/>
        </w:trPr>
        <w:tc>
          <w:tcPr>
            <w:tcW w:w="340" w:type="dxa"/>
            <w:vAlign w:val="bottom"/>
          </w:tcPr>
          <w:p>
            <w:pPr>
              <w:spacing w:after="0"/>
              <w:rPr>
                <w:sz w:val="14"/>
                <w:szCs w:val="14"/>
                <w:color w:val="auto"/>
              </w:rPr>
            </w:pPr>
          </w:p>
        </w:tc>
        <w:tc>
          <w:tcPr>
            <w:tcW w:w="2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Vehicle</w:t>
            </w:r>
          </w:p>
        </w:tc>
        <w:tc>
          <w:tcPr>
            <w:tcW w:w="2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shd w:val="clear" w:color="auto" w:fill="CCEEFF"/>
          </w:tcPr>
          <w:p>
            <w:pPr>
              <w:spacing w:after="0"/>
              <w:rPr>
                <w:sz w:val="14"/>
                <w:szCs w:val="14"/>
                <w:color w:val="auto"/>
              </w:rPr>
            </w:pPr>
          </w:p>
        </w:tc>
      </w:tr>
      <w:tr>
        <w:trPr>
          <w:trHeight w:val="168"/>
        </w:trPr>
        <w:tc>
          <w:tcPr>
            <w:tcW w:w="340" w:type="dxa"/>
            <w:vAlign w:val="bottom"/>
          </w:tcPr>
          <w:p>
            <w:pPr>
              <w:spacing w:after="0"/>
              <w:rPr>
                <w:sz w:val="14"/>
                <w:szCs w:val="14"/>
                <w:color w:val="auto"/>
              </w:rPr>
            </w:pPr>
          </w:p>
        </w:tc>
        <w:tc>
          <w:tcPr>
            <w:tcW w:w="2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Automotive</w:t>
            </w:r>
          </w:p>
        </w:tc>
        <w:tc>
          <w:tcPr>
            <w:tcW w:w="2360" w:type="dxa"/>
            <w:vAlign w:val="bottom"/>
            <w:gridSpan w:val="2"/>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 w:type="dxa"/>
            <w:vAlign w:val="bottom"/>
          </w:tcPr>
          <w:p>
            <w:pPr>
              <w:spacing w:after="0"/>
              <w:rPr>
                <w:sz w:val="14"/>
                <w:szCs w:val="14"/>
                <w:color w:val="auto"/>
              </w:rPr>
            </w:pPr>
          </w:p>
        </w:tc>
      </w:tr>
      <w:tr>
        <w:trPr>
          <w:trHeight w:val="21"/>
        </w:trPr>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2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2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$ 28.4</w:t>
            </w:r>
          </w:p>
        </w:tc>
        <w:tc>
          <w:tcPr>
            <w:tcW w:w="126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$ 29.4</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$ 35.0</w:t>
            </w:r>
          </w:p>
        </w:tc>
      </w:tr>
      <w:tr>
        <w:trPr>
          <w:trHeight w:val="20"/>
        </w:trPr>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7"/>
        </w:trPr>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34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2"/>
          </w:tcPr>
          <w:p>
            <w:pPr>
              <w:jc w:val="right"/>
              <w:ind w:right="24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60" w:type="dxa"/>
            <w:vAlign w:val="bottom"/>
          </w:tcPr>
          <w:p>
            <w:pPr>
              <w:spacing w:after="0"/>
              <w:rPr>
                <w:sz w:val="7"/>
                <w:szCs w:val="7"/>
                <w:color w:val="auto"/>
              </w:rPr>
            </w:pPr>
          </w:p>
        </w:tc>
        <w:tc>
          <w:tcPr>
            <w:tcW w:w="360" w:type="dxa"/>
            <w:vAlign w:val="bottom"/>
          </w:tcPr>
          <w:p>
            <w:pPr>
              <w:jc w:val="center"/>
              <w:ind w:right="66"/>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0" w:type="dxa"/>
            <w:vAlign w:val="bottom"/>
          </w:tcPr>
          <w:p>
            <w:pPr>
              <w:spacing w:after="0"/>
              <w:rPr>
                <w:sz w:val="7"/>
                <w:szCs w:val="7"/>
                <w:color w:val="auto"/>
              </w:rPr>
            </w:pPr>
          </w:p>
        </w:tc>
      </w:tr>
      <w:tr>
        <w:trPr>
          <w:trHeight w:val="135"/>
        </w:trPr>
        <w:tc>
          <w:tcPr>
            <w:tcW w:w="3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2026 </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60" w:type="dxa"/>
            <w:vAlign w:val="bottom"/>
          </w:tcPr>
          <w:p>
            <w:pPr>
              <w:spacing w:after="0"/>
              <w:rPr>
                <w:sz w:val="11"/>
                <w:szCs w:val="11"/>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78"/>
              </w:rPr>
              <w:t>2024 </w:t>
            </w:r>
          </w:p>
        </w:tc>
      </w:tr>
      <w:tr>
        <w:trPr>
          <w:trHeight w:val="148"/>
        </w:trPr>
        <w:tc>
          <w:tcPr>
            <w:tcW w:w="340" w:type="dxa"/>
            <w:vAlign w:val="bottom"/>
          </w:tcPr>
          <w:p>
            <w:pPr>
              <w:spacing w:after="0"/>
              <w:rPr>
                <w:sz w:val="12"/>
                <w:szCs w:val="12"/>
                <w:color w:val="auto"/>
              </w:rPr>
            </w:pPr>
          </w:p>
        </w:tc>
        <w:tc>
          <w:tcPr>
            <w:tcW w:w="27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Depreciation expense:</w:t>
            </w:r>
          </w:p>
        </w:tc>
        <w:tc>
          <w:tcPr>
            <w:tcW w:w="2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right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8"/>
        </w:trPr>
        <w:tc>
          <w:tcPr>
            <w:tcW w:w="340" w:type="dxa"/>
            <w:vAlign w:val="bottom"/>
          </w:tcPr>
          <w:p>
            <w:pPr>
              <w:spacing w:after="0"/>
              <w:rPr>
                <w:sz w:val="14"/>
                <w:szCs w:val="14"/>
                <w:color w:val="auto"/>
              </w:rPr>
            </w:pPr>
          </w:p>
        </w:tc>
        <w:tc>
          <w:tcPr>
            <w:tcW w:w="2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Heavy-Duty Equipment</w:t>
            </w:r>
          </w:p>
        </w:tc>
        <w:tc>
          <w:tcPr>
            <w:tcW w:w="27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$ 14.3</w:t>
            </w:r>
          </w:p>
        </w:tc>
        <w:tc>
          <w:tcPr>
            <w:tcW w:w="12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color w:val="auto"/>
              </w:rPr>
              <w:t>$ 13.1</w:t>
            </w:r>
          </w:p>
        </w:tc>
        <w:tc>
          <w:tcPr>
            <w:tcW w:w="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$ 13.7</w:t>
            </w:r>
          </w:p>
        </w:tc>
      </w:tr>
      <w:tr>
        <w:trPr>
          <w:trHeight w:val="168"/>
        </w:trPr>
        <w:tc>
          <w:tcPr>
            <w:tcW w:w="340" w:type="dxa"/>
            <w:vAlign w:val="bottom"/>
          </w:tcPr>
          <w:p>
            <w:pPr>
              <w:spacing w:after="0"/>
              <w:rPr>
                <w:sz w:val="14"/>
                <w:szCs w:val="14"/>
                <w:color w:val="auto"/>
              </w:rPr>
            </w:pPr>
          </w:p>
        </w:tc>
        <w:tc>
          <w:tcPr>
            <w:tcW w:w="2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Vehicle</w:t>
            </w:r>
          </w:p>
        </w:tc>
        <w:tc>
          <w:tcPr>
            <w:tcW w:w="2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shd w:val="clear" w:color="auto" w:fill="CCEEFF"/>
          </w:tcPr>
          <w:p>
            <w:pPr>
              <w:spacing w:after="0"/>
              <w:rPr>
                <w:sz w:val="14"/>
                <w:szCs w:val="14"/>
                <w:color w:val="auto"/>
              </w:rPr>
            </w:pPr>
          </w:p>
        </w:tc>
      </w:tr>
      <w:tr>
        <w:trPr>
          <w:trHeight w:val="168"/>
        </w:trPr>
        <w:tc>
          <w:tcPr>
            <w:tcW w:w="340" w:type="dxa"/>
            <w:vAlign w:val="bottom"/>
          </w:tcPr>
          <w:p>
            <w:pPr>
              <w:spacing w:after="0"/>
              <w:rPr>
                <w:sz w:val="14"/>
                <w:szCs w:val="14"/>
                <w:color w:val="auto"/>
              </w:rPr>
            </w:pPr>
          </w:p>
        </w:tc>
        <w:tc>
          <w:tcPr>
            <w:tcW w:w="2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Automotive</w:t>
            </w:r>
          </w:p>
        </w:tc>
        <w:tc>
          <w:tcPr>
            <w:tcW w:w="2360" w:type="dxa"/>
            <w:vAlign w:val="bottom"/>
            <w:gridSpan w:val="2"/>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4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 w:type="dxa"/>
            <w:vAlign w:val="bottom"/>
          </w:tcPr>
          <w:p>
            <w:pPr>
              <w:spacing w:after="0"/>
              <w:rPr>
                <w:sz w:val="14"/>
                <w:szCs w:val="14"/>
                <w:color w:val="auto"/>
              </w:rPr>
            </w:pPr>
          </w:p>
        </w:tc>
      </w:tr>
      <w:tr>
        <w:trPr>
          <w:trHeight w:val="21"/>
        </w:trPr>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340" w:type="dxa"/>
            <w:vAlign w:val="bottom"/>
          </w:tcPr>
          <w:p>
            <w:pPr>
              <w:spacing w:after="0"/>
              <w:rPr>
                <w:sz w:val="14"/>
                <w:szCs w:val="14"/>
                <w:color w:val="auto"/>
              </w:rPr>
            </w:pPr>
          </w:p>
        </w:tc>
        <w:tc>
          <w:tcPr>
            <w:tcW w:w="2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depreciation expense</w:t>
            </w:r>
          </w:p>
        </w:tc>
        <w:tc>
          <w:tcPr>
            <w:tcW w:w="2360" w:type="dxa"/>
            <w:vAlign w:val="bottom"/>
            <w:gridSpan w:val="2"/>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31.3</w:t>
            </w:r>
          </w:p>
        </w:tc>
        <w:tc>
          <w:tcPr>
            <w:tcW w:w="126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$ 28.2</w:t>
            </w:r>
          </w:p>
        </w:tc>
        <w:tc>
          <w:tcPr>
            <w:tcW w:w="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$ 28.1</w:t>
            </w:r>
          </w:p>
        </w:tc>
      </w:tr>
      <w:tr>
        <w:trPr>
          <w:trHeight w:val="20"/>
        </w:trPr>
        <w:tc>
          <w:tcPr>
            <w:tcW w:w="5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584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color w:val="auto"/>
                <w:w w:val="99"/>
              </w:rPr>
              <w:t>The following is a summary of net sales by geographic area, based upon the location of the selling unit:</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5"/>
        </w:trPr>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Years ended March 31,</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3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00" w:type="dxa"/>
            <w:vAlign w:val="bottom"/>
            <w:gridSpan w:val="2"/>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60" w:type="dxa"/>
            <w:vAlign w:val="bottom"/>
          </w:tcPr>
          <w:p>
            <w:pPr>
              <w:spacing w:after="0"/>
              <w:rPr>
                <w:sz w:val="9"/>
                <w:szCs w:val="9"/>
                <w:color w:val="auto"/>
              </w:rPr>
            </w:pPr>
          </w:p>
        </w:tc>
        <w:tc>
          <w:tcPr>
            <w:tcW w:w="800" w:type="dxa"/>
            <w:vAlign w:val="bottom"/>
            <w:gridSpan w:val="3"/>
          </w:tcPr>
          <w:p>
            <w:pPr>
              <w:jc w:val="center"/>
              <w:ind w:left="313"/>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460" w:type="dxa"/>
            <w:vAlign w:val="bottom"/>
          </w:tcPr>
          <w:p>
            <w:pPr>
              <w:spacing w:after="0"/>
              <w:rPr>
                <w:sz w:val="9"/>
                <w:szCs w:val="9"/>
                <w:color w:val="auto"/>
              </w:rPr>
            </w:pPr>
          </w:p>
        </w:tc>
        <w:tc>
          <w:tcPr>
            <w:tcW w:w="420" w:type="dxa"/>
            <w:vAlign w:val="bottom"/>
            <w:gridSpan w:val="2"/>
          </w:tcPr>
          <w:p>
            <w:pPr>
              <w:jc w:val="center"/>
              <w:ind w:right="6"/>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0" w:type="dxa"/>
            <w:vAlign w:val="bottom"/>
          </w:tcPr>
          <w:p>
            <w:pPr>
              <w:spacing w:after="0"/>
              <w:rPr>
                <w:sz w:val="9"/>
                <w:szCs w:val="9"/>
                <w:color w:val="auto"/>
              </w:rPr>
            </w:pPr>
          </w:p>
        </w:tc>
      </w:tr>
      <w:tr>
        <w:trPr>
          <w:trHeight w:val="159"/>
        </w:trPr>
        <w:tc>
          <w:tcPr>
            <w:tcW w:w="340" w:type="dxa"/>
            <w:vAlign w:val="bottom"/>
          </w:tcPr>
          <w:p>
            <w:pPr>
              <w:spacing w:after="0"/>
              <w:rPr>
                <w:sz w:val="13"/>
                <w:szCs w:val="13"/>
                <w:color w:val="auto"/>
              </w:rPr>
            </w:pPr>
          </w:p>
        </w:tc>
        <w:tc>
          <w:tcPr>
            <w:tcW w:w="27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United States</w:t>
            </w:r>
          </w:p>
        </w:tc>
        <w:tc>
          <w:tcPr>
            <w:tcW w:w="22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right w:val="single" w:sz="8" w:color="CCEE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$507.1</w:t>
            </w: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right w:val="single" w:sz="8" w:color="CCEEFF"/>
            </w:tcBorders>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$607.5</w:t>
            </w:r>
          </w:p>
        </w:tc>
        <w:tc>
          <w:tcPr>
            <w:tcW w:w="4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right w:val="single" w:sz="8" w:color="CCEEFF"/>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$630.1</w:t>
            </w:r>
          </w:p>
        </w:tc>
        <w:tc>
          <w:tcPr>
            <w:tcW w:w="20" w:type="dxa"/>
            <w:vAlign w:val="bottom"/>
            <w:tcBorders>
              <w:top w:val="single" w:sz="8" w:color="CCEEFF"/>
            </w:tcBorders>
            <w:shd w:val="clear" w:color="auto" w:fill="CCEEFF"/>
          </w:tcPr>
          <w:p>
            <w:pPr>
              <w:spacing w:after="0"/>
              <w:rPr>
                <w:sz w:val="13"/>
                <w:szCs w:val="13"/>
                <w:color w:val="auto"/>
              </w:rPr>
            </w:pPr>
          </w:p>
        </w:tc>
      </w:tr>
      <w:tr>
        <w:trPr>
          <w:trHeight w:val="168"/>
        </w:trPr>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Hungary</w:t>
            </w:r>
          </w:p>
        </w:tc>
        <w:tc>
          <w:tcPr>
            <w:tcW w:w="2680" w:type="dxa"/>
            <w:vAlign w:val="bottom"/>
            <w:gridSpan w:val="3"/>
          </w:tcPr>
          <w:p>
            <w:pPr>
              <w:ind w:left="2360"/>
              <w:spacing w:after="0"/>
              <w:rPr>
                <w:sz w:val="20"/>
                <w:szCs w:val="20"/>
                <w:color w:val="auto"/>
              </w:rPr>
            </w:pPr>
            <w:r>
              <w:rPr>
                <w:rFonts w:ascii="Times New Roman" w:cs="Times New Roman" w:eastAsia="Times New Roman" w:hAnsi="Times New Roman"/>
                <w:sz w:val="14"/>
                <w:szCs w:val="14"/>
                <w:color w:val="auto"/>
                <w:w w:val="88"/>
              </w:rPr>
              <w:t>213.4</w:t>
            </w:r>
          </w:p>
        </w:tc>
        <w:tc>
          <w:tcPr>
            <w:tcW w:w="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4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20" w:type="dxa"/>
            <w:vAlign w:val="bottom"/>
          </w:tcPr>
          <w:p>
            <w:pPr>
              <w:spacing w:after="0"/>
              <w:rPr>
                <w:sz w:val="14"/>
                <w:szCs w:val="14"/>
                <w:color w:val="auto"/>
              </w:rPr>
            </w:pPr>
          </w:p>
        </w:tc>
      </w:tr>
      <w:tr>
        <w:trPr>
          <w:trHeight w:val="168"/>
        </w:trPr>
        <w:tc>
          <w:tcPr>
            <w:tcW w:w="34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China</w:t>
            </w:r>
          </w:p>
        </w:tc>
        <w:tc>
          <w:tcPr>
            <w:tcW w:w="2680" w:type="dxa"/>
            <w:vAlign w:val="bottom"/>
            <w:tcBorders>
              <w:right w:val="single" w:sz="8" w:color="CCEEFF"/>
            </w:tcBorders>
            <w:gridSpan w:val="3"/>
            <w:shd w:val="clear" w:color="auto" w:fill="CCEEFF"/>
          </w:tcPr>
          <w:p>
            <w:pPr>
              <w:ind w:left="2360"/>
              <w:spacing w:after="0"/>
              <w:rPr>
                <w:sz w:val="20"/>
                <w:szCs w:val="20"/>
                <w:color w:val="auto"/>
              </w:rPr>
            </w:pPr>
            <w:r>
              <w:rPr>
                <w:rFonts w:ascii="Times New Roman" w:cs="Times New Roman" w:eastAsia="Times New Roman" w:hAnsi="Times New Roman"/>
                <w:sz w:val="14"/>
                <w:szCs w:val="14"/>
                <w:color w:val="auto"/>
                <w:w w:val="88"/>
              </w:rPr>
              <w:t>114.0</w:t>
            </w:r>
          </w:p>
        </w:tc>
        <w:tc>
          <w:tcPr>
            <w:tcW w:w="6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4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20" w:type="dxa"/>
            <w:vAlign w:val="bottom"/>
            <w:shd w:val="clear" w:color="auto" w:fill="CCEEFF"/>
          </w:tcPr>
          <w:p>
            <w:pPr>
              <w:spacing w:after="0"/>
              <w:rPr>
                <w:sz w:val="14"/>
                <w:szCs w:val="14"/>
                <w:color w:val="auto"/>
              </w:rPr>
            </w:pPr>
          </w:p>
        </w:tc>
      </w:tr>
      <w:tr>
        <w:trPr>
          <w:trHeight w:val="168"/>
        </w:trPr>
        <w:tc>
          <w:tcPr>
            <w:tcW w:w="3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Brazil</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4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20" w:type="dxa"/>
            <w:vAlign w:val="bottom"/>
          </w:tcPr>
          <w:p>
            <w:pPr>
              <w:spacing w:after="0"/>
              <w:rPr>
                <w:sz w:val="14"/>
                <w:szCs w:val="14"/>
                <w:color w:val="auto"/>
              </w:rPr>
            </w:pPr>
          </w:p>
        </w:tc>
      </w:tr>
      <w:tr>
        <w:trPr>
          <w:trHeight w:val="168"/>
        </w:trPr>
        <w:tc>
          <w:tcPr>
            <w:tcW w:w="34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India</w:t>
            </w:r>
          </w:p>
        </w:tc>
        <w:tc>
          <w:tcPr>
            <w:tcW w:w="2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60" w:type="dxa"/>
            <w:vAlign w:val="bottom"/>
            <w:shd w:val="clear" w:color="auto" w:fill="CCEEFF"/>
          </w:tcPr>
          <w:p>
            <w:pPr>
              <w:spacing w:after="0"/>
              <w:rPr>
                <w:sz w:val="14"/>
                <w:szCs w:val="14"/>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4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20" w:type="dxa"/>
            <w:vAlign w:val="bottom"/>
            <w:shd w:val="clear" w:color="auto" w:fill="CCEEFF"/>
          </w:tcPr>
          <w:p>
            <w:pPr>
              <w:spacing w:after="0"/>
              <w:rPr>
                <w:sz w:val="14"/>
                <w:szCs w:val="14"/>
                <w:color w:val="auto"/>
              </w:rPr>
            </w:pPr>
          </w:p>
        </w:tc>
      </w:tr>
      <w:tr>
        <w:trPr>
          <w:trHeight w:val="284"/>
        </w:trPr>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40" w:type="dxa"/>
            <w:vAlign w:val="bottom"/>
            <w:gridSpan w:val="4"/>
          </w:tcPr>
          <w:p>
            <w:pPr>
              <w:jc w:val="right"/>
              <w:ind w:right="1760"/>
              <w:spacing w:after="0"/>
              <w:rPr>
                <w:sz w:val="20"/>
                <w:szCs w:val="20"/>
                <w:color w:val="auto"/>
              </w:rPr>
            </w:pPr>
            <w:r>
              <w:rPr>
                <w:rFonts w:ascii="Times New Roman" w:cs="Times New Roman" w:eastAsia="Times New Roman" w:hAnsi="Times New Roman"/>
                <w:sz w:val="14"/>
                <w:szCs w:val="14"/>
                <w:color w:val="auto"/>
              </w:rPr>
              <w:t>F-38</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NOTES TO COMBINED FINANCIAL STATEMENTS</w:t>
      </w:r>
    </w:p>
    <w:p>
      <w:pPr>
        <w:spacing w:after="0" w:line="17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94"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49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w w:val="98"/>
              </w:rPr>
              <w:t>Years ended March 31,</w:t>
            </w: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4900" w:type="dxa"/>
            <w:vAlign w:val="bottom"/>
          </w:tcPr>
          <w:p>
            <w:pPr>
              <w:spacing w:after="0"/>
              <w:rPr>
                <w:sz w:val="9"/>
                <w:szCs w:val="9"/>
                <w:color w:val="auto"/>
              </w:rPr>
            </w:pPr>
          </w:p>
        </w:tc>
        <w:tc>
          <w:tcPr>
            <w:tcW w:w="520" w:type="dxa"/>
            <w:vAlign w:val="bottom"/>
          </w:tcPr>
          <w:p>
            <w:pPr>
              <w:jc w:val="right"/>
              <w:ind w:right="93"/>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20" w:type="dxa"/>
            <w:vAlign w:val="bottom"/>
          </w:tcPr>
          <w:p>
            <w:pPr>
              <w:spacing w:after="0"/>
              <w:rPr>
                <w:sz w:val="9"/>
                <w:szCs w:val="9"/>
                <w:color w:val="auto"/>
              </w:rPr>
            </w:pPr>
          </w:p>
        </w:tc>
        <w:tc>
          <w:tcPr>
            <w:tcW w:w="840" w:type="dxa"/>
            <w:vAlign w:val="bottom"/>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Pr>
          <w:p>
            <w:pPr>
              <w:spacing w:after="0"/>
              <w:rPr>
                <w:sz w:val="9"/>
                <w:szCs w:val="9"/>
                <w:color w:val="auto"/>
              </w:rPr>
            </w:pPr>
          </w:p>
        </w:tc>
        <w:tc>
          <w:tcPr>
            <w:tcW w:w="580" w:type="dxa"/>
            <w:vAlign w:val="bottom"/>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r>
      <w:tr>
        <w:trPr>
          <w:trHeight w:val="159"/>
        </w:trPr>
        <w:tc>
          <w:tcPr>
            <w:tcW w:w="49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Netherlands</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63.2</w:t>
            </w: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62.4</w:t>
            </w:r>
          </w:p>
        </w:tc>
        <w:tc>
          <w:tcPr>
            <w:tcW w:w="3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63.4</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54.9</w:t>
            </w:r>
          </w:p>
        </w:tc>
      </w:tr>
      <w:tr>
        <w:trPr>
          <w:trHeight w:val="168"/>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82.7</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69.8</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85.6</w:t>
            </w:r>
          </w:p>
        </w:tc>
      </w:tr>
      <w:tr>
        <w:trPr>
          <w:trHeight w:val="169"/>
        </w:trPr>
        <w:tc>
          <w:tcPr>
            <w:tcW w:w="4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sales</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$ 1,131.8</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$ 1,163.5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$ 1,321.3</w:t>
            </w:r>
          </w:p>
        </w:tc>
        <w:tc>
          <w:tcPr>
            <w:tcW w:w="40" w:type="dxa"/>
            <w:vAlign w:val="bottom"/>
          </w:tcPr>
          <w:p>
            <w:pPr>
              <w:spacing w:after="0"/>
              <w:rPr>
                <w:sz w:val="14"/>
                <w:szCs w:val="14"/>
                <w:color w:val="auto"/>
              </w:rPr>
            </w:pPr>
          </w:p>
        </w:tc>
      </w:tr>
      <w:tr>
        <w:trPr>
          <w:trHeight w:val="20"/>
        </w:trPr>
        <w:tc>
          <w:tcPr>
            <w:tcW w:w="4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following is a summary of property, plant and equipment by geographic area:</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3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20" w:type="dxa"/>
            <w:vAlign w:val="bottom"/>
          </w:tcPr>
          <w:p>
            <w:pPr>
              <w:spacing w:after="0"/>
              <w:rPr>
                <w:sz w:val="9"/>
                <w:szCs w:val="9"/>
                <w:color w:val="auto"/>
              </w:rPr>
            </w:pPr>
          </w:p>
        </w:tc>
        <w:tc>
          <w:tcPr>
            <w:tcW w:w="3660" w:type="dxa"/>
            <w:vAlign w:val="bottom"/>
            <w:tcBorders>
              <w:bottom w:val="single" w:sz="8" w:color="CCEEFF"/>
            </w:tcBorders>
          </w:tcPr>
          <w:p>
            <w:pPr>
              <w:spacing w:after="0"/>
              <w:rPr>
                <w:sz w:val="9"/>
                <w:szCs w:val="9"/>
                <w:color w:val="auto"/>
              </w:rPr>
            </w:pPr>
          </w:p>
        </w:tc>
        <w:tc>
          <w:tcPr>
            <w:tcW w:w="16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3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12"/>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40" w:type="dxa"/>
            <w:vAlign w:val="bottom"/>
            <w:tcBorders>
              <w:bottom w:val="single" w:sz="8" w:color="CCEEFF"/>
            </w:tcBorders>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36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United States</w:t>
            </w:r>
          </w:p>
        </w:tc>
        <w:tc>
          <w:tcPr>
            <w:tcW w:w="16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48.7</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47.0</w:t>
            </w:r>
          </w:p>
        </w:tc>
        <w:tc>
          <w:tcPr>
            <w:tcW w:w="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Hungary</w:t>
            </w: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China</w:t>
            </w:r>
          </w:p>
        </w:tc>
        <w:tc>
          <w:tcPr>
            <w:tcW w:w="1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Mexico</w:t>
            </w: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Italy</w:t>
            </w:r>
          </w:p>
        </w:tc>
        <w:tc>
          <w:tcPr>
            <w:tcW w:w="1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6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187.2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183.9</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In fiscal 2026, 2025 and 2024, two customers accounted for more than ten percent of the Company’s net sales. Sales to the Company’s top two customers were 28 percent, 31 percent, and 27 percent of total sales in fiscal 2026, 2025 and 2024, respectively. These customers operate in the Heavy-Duty Equipment, Commercial Vehicle, and Automotive markets.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22 – Subsequent Events</w:t>
      </w:r>
    </w:p>
    <w:p>
      <w:pPr>
        <w:spacing w:after="0" w:line="93"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These combined financial statements are derived from the consolidated financial statements of Modine Manufacturing Company, which issued its annual financial statements for the years ended March 31, 2026, 2025 and 2024 on May 27, 2026. Management has evaluated transactions or other events that occurred through June 25, 2026, the date these combined financial statements were available to be issued, for purposes of disclosure of subsequent events.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10159"/>
          </w:cols>
          <w:pgMar w:left="300" w:top="386"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17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3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dated as of January 29, 2026</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by and among</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MODINE MANUFACTURING COMPANY,</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PLATINUM SPINCO INC.,</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GENTHERM INCORPORATED</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PLATINUM GOLD MERGER SUB INC.</w:t>
      </w:r>
    </w:p>
    <w:p>
      <w:pPr>
        <w:sectPr>
          <w:pgSz w:w="11900" w:h="16838" w:orient="portrait"/>
          <w:cols w:equalWidth="0" w:num="1">
            <w:col w:w="10159"/>
          </w:cols>
          <w:pgMar w:left="300" w:top="386"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1100" w:type="dxa"/>
            <w:vAlign w:val="bottom"/>
          </w:tcPr>
          <w:p>
            <w:pPr>
              <w:spacing w:after="0"/>
              <w:rPr>
                <w:sz w:val="16"/>
                <w:szCs w:val="16"/>
                <w:color w:val="auto"/>
              </w:rPr>
            </w:pPr>
          </w:p>
        </w:tc>
        <w:tc>
          <w:tcPr>
            <w:tcW w:w="710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8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ARTICLE I DEFINITIONS</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73"/>
        </w:trPr>
        <w:tc>
          <w:tcPr>
            <w:tcW w:w="8200" w:type="dxa"/>
            <w:vAlign w:val="bottom"/>
            <w:gridSpan w:val="2"/>
            <w:vMerge w:val="continue"/>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223"/>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Cross References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A-17</w:t>
            </w:r>
          </w:p>
        </w:tc>
        <w:tc>
          <w:tcPr>
            <w:tcW w:w="0" w:type="dxa"/>
            <w:vAlign w:val="bottom"/>
          </w:tcPr>
          <w:p>
            <w:pPr>
              <w:spacing w:after="0"/>
              <w:rPr>
                <w:sz w:val="1"/>
                <w:szCs w:val="1"/>
                <w:color w:val="auto"/>
              </w:rPr>
            </w:pPr>
          </w:p>
        </w:tc>
      </w:tr>
      <w:tr>
        <w:trPr>
          <w:trHeight w:val="183"/>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Interpretation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A-19</w:t>
            </w:r>
          </w:p>
        </w:tc>
        <w:tc>
          <w:tcPr>
            <w:tcW w:w="0" w:type="dxa"/>
            <w:vAlign w:val="bottom"/>
          </w:tcPr>
          <w:p>
            <w:pPr>
              <w:spacing w:after="0"/>
              <w:rPr>
                <w:sz w:val="1"/>
                <w:szCs w:val="1"/>
                <w:color w:val="auto"/>
              </w:rPr>
            </w:pPr>
          </w:p>
        </w:tc>
      </w:tr>
      <w:tr>
        <w:trPr>
          <w:trHeight w:val="252"/>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THE MERGER</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A-20</w:t>
            </w:r>
          </w:p>
        </w:tc>
        <w:tc>
          <w:tcPr>
            <w:tcW w:w="0" w:type="dxa"/>
            <w:vAlign w:val="bottom"/>
          </w:tcPr>
          <w:p>
            <w:pPr>
              <w:spacing w:after="0"/>
              <w:rPr>
                <w:sz w:val="1"/>
                <w:szCs w:val="1"/>
                <w:color w:val="auto"/>
              </w:rPr>
            </w:pPr>
          </w:p>
        </w:tc>
      </w:tr>
      <w:tr>
        <w:trPr>
          <w:trHeight w:val="23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Merger</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A-20</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Closing</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A-20</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Effective Time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A-21</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Certificate of Incorporation and Bylaws of the Surviving Corporation; Directors and Officers of the Surviving 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A-21</w:t>
            </w:r>
          </w:p>
        </w:tc>
        <w:tc>
          <w:tcPr>
            <w:tcW w:w="0" w:type="dxa"/>
            <w:vAlign w:val="bottom"/>
          </w:tcPr>
          <w:p>
            <w:pPr>
              <w:spacing w:after="0"/>
              <w:rPr>
                <w:sz w:val="1"/>
                <w:szCs w:val="1"/>
                <w:color w:val="auto"/>
              </w:rPr>
            </w:pPr>
          </w:p>
        </w:tc>
      </w:tr>
      <w:tr>
        <w:trPr>
          <w:trHeight w:val="183"/>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Governance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A-21</w:t>
            </w:r>
          </w:p>
        </w:tc>
        <w:tc>
          <w:tcPr>
            <w:tcW w:w="0" w:type="dxa"/>
            <w:vAlign w:val="bottom"/>
          </w:tcPr>
          <w:p>
            <w:pPr>
              <w:spacing w:after="0"/>
              <w:rPr>
                <w:sz w:val="1"/>
                <w:szCs w:val="1"/>
                <w:color w:val="auto"/>
              </w:rPr>
            </w:pPr>
          </w:p>
        </w:tc>
      </w:tr>
      <w:tr>
        <w:trPr>
          <w:trHeight w:val="252"/>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CONVERSION OF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A-21</w:t>
            </w:r>
          </w:p>
        </w:tc>
        <w:tc>
          <w:tcPr>
            <w:tcW w:w="0" w:type="dxa"/>
            <w:vAlign w:val="bottom"/>
          </w:tcPr>
          <w:p>
            <w:pPr>
              <w:spacing w:after="0"/>
              <w:rPr>
                <w:sz w:val="1"/>
                <w:szCs w:val="1"/>
                <w:color w:val="auto"/>
              </w:rPr>
            </w:pPr>
          </w:p>
        </w:tc>
      </w:tr>
      <w:tr>
        <w:trPr>
          <w:trHeight w:val="23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on Capital Stock; Gold Special Dividend</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A-21</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Surrender and Payment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A-24</w:t>
            </w:r>
          </w:p>
        </w:tc>
        <w:tc>
          <w:tcPr>
            <w:tcW w:w="0" w:type="dxa"/>
            <w:vAlign w:val="bottom"/>
          </w:tcPr>
          <w:p>
            <w:pPr>
              <w:spacing w:after="0"/>
              <w:rPr>
                <w:sz w:val="1"/>
                <w:szCs w:val="1"/>
                <w:color w:val="auto"/>
              </w:rPr>
            </w:pPr>
          </w:p>
        </w:tc>
      </w:tr>
      <w:tr>
        <w:trPr>
          <w:trHeight w:val="183"/>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3.3</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Appraisal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A-26</w:t>
            </w:r>
          </w:p>
        </w:tc>
        <w:tc>
          <w:tcPr>
            <w:tcW w:w="0" w:type="dxa"/>
            <w:vAlign w:val="bottom"/>
          </w:tcPr>
          <w:p>
            <w:pPr>
              <w:spacing w:after="0"/>
              <w:rPr>
                <w:sz w:val="1"/>
                <w:szCs w:val="1"/>
                <w:color w:val="auto"/>
              </w:rPr>
            </w:pPr>
          </w:p>
        </w:tc>
      </w:tr>
      <w:tr>
        <w:trPr>
          <w:trHeight w:val="252"/>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REPRESENTATIONS AND WARRANTIES OF MERCURY RELATING TO MERCURY</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A-26</w:t>
            </w:r>
          </w:p>
        </w:tc>
        <w:tc>
          <w:tcPr>
            <w:tcW w:w="0" w:type="dxa"/>
            <w:vAlign w:val="bottom"/>
          </w:tcPr>
          <w:p>
            <w:pPr>
              <w:spacing w:after="0"/>
              <w:rPr>
                <w:sz w:val="1"/>
                <w:szCs w:val="1"/>
                <w:color w:val="auto"/>
              </w:rPr>
            </w:pPr>
          </w:p>
        </w:tc>
      </w:tr>
      <w:tr>
        <w:trPr>
          <w:trHeight w:val="23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Organization of Mercury</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A-26</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Authorization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A-27</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Consents and Approvals; No Violations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A-27</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4.4</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Litigation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A-28</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4.5</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Brokers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A-28</w:t>
            </w:r>
          </w:p>
        </w:tc>
        <w:tc>
          <w:tcPr>
            <w:tcW w:w="0" w:type="dxa"/>
            <w:vAlign w:val="bottom"/>
          </w:tcPr>
          <w:p>
            <w:pPr>
              <w:spacing w:after="0"/>
              <w:rPr>
                <w:sz w:val="1"/>
                <w:szCs w:val="1"/>
                <w:color w:val="auto"/>
              </w:rPr>
            </w:pPr>
          </w:p>
        </w:tc>
      </w:tr>
      <w:tr>
        <w:trPr>
          <w:trHeight w:val="183"/>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4.6</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Mercury Reports and 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A-28</w:t>
            </w:r>
          </w:p>
        </w:tc>
        <w:tc>
          <w:tcPr>
            <w:tcW w:w="0" w:type="dxa"/>
            <w:vAlign w:val="bottom"/>
          </w:tcPr>
          <w:p>
            <w:pPr>
              <w:spacing w:after="0"/>
              <w:rPr>
                <w:sz w:val="1"/>
                <w:szCs w:val="1"/>
                <w:color w:val="auto"/>
              </w:rPr>
            </w:pPr>
          </w:p>
        </w:tc>
      </w:tr>
      <w:tr>
        <w:trPr>
          <w:trHeight w:val="252"/>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REPRESENTATIONS AND WARRANTIES OF MERCURY RELATING TO SPINCO</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A-28</w:t>
            </w:r>
          </w:p>
        </w:tc>
        <w:tc>
          <w:tcPr>
            <w:tcW w:w="0" w:type="dxa"/>
            <w:vAlign w:val="bottom"/>
          </w:tcPr>
          <w:p>
            <w:pPr>
              <w:spacing w:after="0"/>
              <w:rPr>
                <w:sz w:val="1"/>
                <w:szCs w:val="1"/>
                <w:color w:val="auto"/>
              </w:rPr>
            </w:pPr>
          </w:p>
        </w:tc>
      </w:tr>
      <w:tr>
        <w:trPr>
          <w:trHeight w:val="23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Organization of the SpinCo Group</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A-29</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Authorization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A-29</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5.3</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Capitalization of the Members of the SpinCo Group</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A-29</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5.4</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Consents and Approvals; No Violations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A-30</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5.5</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Financial Statements; Undisclosed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A-31</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5.6</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Absence of Certain Changes or Events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A-32</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5.7</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Sufficiency of the SpinCo Assets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A-32</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5.8</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Litigation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A-32</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5.9</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Property</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A-33</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5.10</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A-34</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5.11</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Material Contracts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A-35</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5.12</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Labor Relations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A-37</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5.13</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Compliance with Law; Permits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A-37</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5.14</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Regulatory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A-38</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5.15</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SpinCo Benefit Plans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A-39</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5.16</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Intellectual Property</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A-41</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5.17</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Environmental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A-43</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5.18</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Insurance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A-44</w:t>
            </w:r>
          </w:p>
        </w:tc>
        <w:tc>
          <w:tcPr>
            <w:tcW w:w="0" w:type="dxa"/>
            <w:vAlign w:val="bottom"/>
          </w:tcPr>
          <w:p>
            <w:pPr>
              <w:spacing w:after="0"/>
              <w:rPr>
                <w:sz w:val="1"/>
                <w:szCs w:val="1"/>
                <w:color w:val="auto"/>
              </w:rPr>
            </w:pPr>
          </w:p>
        </w:tc>
      </w:tr>
      <w:tr>
        <w:trPr>
          <w:trHeight w:val="168"/>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5.19</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Affiliate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A-44</w:t>
            </w:r>
          </w:p>
        </w:tc>
        <w:tc>
          <w:tcPr>
            <w:tcW w:w="0" w:type="dxa"/>
            <w:vAlign w:val="bottom"/>
          </w:tcPr>
          <w:p>
            <w:pPr>
              <w:spacing w:after="0"/>
              <w:rPr>
                <w:sz w:val="1"/>
                <w:szCs w:val="1"/>
                <w:color w:val="auto"/>
              </w:rPr>
            </w:pPr>
          </w:p>
        </w:tc>
      </w:tr>
      <w:tr>
        <w:trPr>
          <w:trHeight w:val="183"/>
        </w:trPr>
        <w:tc>
          <w:tcPr>
            <w:tcW w:w="1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5.20</w:t>
            </w:r>
          </w:p>
        </w:tc>
        <w:tc>
          <w:tcPr>
            <w:tcW w:w="7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Proxy Statement; Registration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A-44</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A-i</w:t>
      </w:r>
    </w:p>
    <w:p>
      <w:pPr>
        <w:sectPr>
          <w:pgSz w:w="11900" w:h="16838" w:orient="portrait"/>
          <w:cols w:equalWidth="0" w:num="1">
            <w:col w:w="10159"/>
          </w:cols>
          <w:pgMar w:left="300" w:top="386"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5.21</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Board and Stockholder Approval</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A-44</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5.22</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Gold Common Stock</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A-45</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5.23</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SpinCo Financing</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A-45</w:t>
            </w:r>
          </w:p>
        </w:tc>
      </w:tr>
      <w:tr>
        <w:trPr>
          <w:trHeight w:val="183"/>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5.24</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 Other Representations and Warranties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A-45</w:t>
            </w:r>
          </w:p>
        </w:tc>
      </w:tr>
      <w:tr>
        <w:trPr>
          <w:trHeight w:val="252"/>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REPRESENTATIONS AND WARRANTIES OF GOLD AND MERGER SUB</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A-46</w:t>
            </w:r>
          </w:p>
        </w:tc>
      </w:tr>
      <w:tr>
        <w:trPr>
          <w:trHeight w:val="23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Organization</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A-46</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Due Authorization</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A-46</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Stock and Other Matters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A-47</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6.4</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Capitalization of Subsidiaries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A-47</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6.5</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Subsidiaries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A-47</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6.6</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Consents and Approvals; No Violations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A-48</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6.7</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Gold Reports and Financial Statements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A-48</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6.8</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 Undisclosed Liabilities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A-49</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6.9</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Litigation</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A-49</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6.10</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 Property</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A-50</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6.11</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Matters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A-51</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6.12</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Absence of Certain Changes or Events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A-52</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6.13</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Material Contracts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A-52</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6.14</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Labor Relations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A-53</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6.15</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Compliance with Law; Permits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A-54</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6.16</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Regulatory Matters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A-55</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6.17</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Gold Benefit Plans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A-55</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6.18</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Intellectual Property</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A-57</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6.19</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Environmental Matters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A-59</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6.20</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Insurance</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6.21</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Affiliate Matters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6.22</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Brokers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6.23</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Proxy Statement; Registration Statements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6.24</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Opinion of Gold Financial Advisor</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6.25</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Certain Board Findings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6.26</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Shareholder Approval Required</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6.27</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SpinCo Common Stock</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6.28</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Gold Financing</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6.29</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 Rights Plan; No Antitakeover Law</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83"/>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6.30</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 Other Representations and Warranties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A-61</w:t>
            </w:r>
          </w:p>
        </w:tc>
      </w:tr>
      <w:tr>
        <w:trPr>
          <w:trHeight w:val="252"/>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COVENANTS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A-62</w:t>
            </w:r>
          </w:p>
        </w:tc>
      </w:tr>
      <w:tr>
        <w:trPr>
          <w:trHeight w:val="23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Conduct of Business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A-62</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7.2</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Matters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A-69</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7.3</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Preparation of the Registration Statements and Prospectus; Gold Shareholders Meeting</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A-73</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7.4</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Reasonable Best Efforts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A-75</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7.5</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SpinCo Financing; Mercury Credit Agreement</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A-77</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7.6</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Gold Financing</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A-82</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7.7</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Access to Information</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A-85</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7.8</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D&amp;O Indemnification and Insurance.</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A-86</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7.9</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 Solicitation</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A-87</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7.10</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Exclusivity</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A-90</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7.11</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Public Announcements</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A-91</w:t>
            </w:r>
          </w:p>
        </w:tc>
      </w:tr>
      <w:tr>
        <w:trPr>
          <w:trHeight w:val="168"/>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7.12</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Employee Non-Solicitation; Non-Competition</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A-91</w:t>
            </w:r>
          </w:p>
        </w:tc>
      </w:tr>
      <w:tr>
        <w:trPr>
          <w:trHeight w:val="183"/>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7.13</w:t>
            </w:r>
          </w:p>
        </w:tc>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Defense of Litigation</w:t>
            </w:r>
          </w:p>
        </w:tc>
        <w:tc>
          <w:tcPr>
            <w:tcW w:w="12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7"/>
              </w:rPr>
              <w:t>A-92</w:t>
            </w:r>
          </w:p>
        </w:tc>
      </w:tr>
    </w:tbl>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A-ii</w:t>
      </w:r>
    </w:p>
    <w:p>
      <w:pPr>
        <w:sectPr>
          <w:pgSz w:w="11900" w:h="16838" w:orient="portrait"/>
          <w:cols w:equalWidth="0" w:num="1">
            <w:col w:w="10159"/>
          </w:cols>
          <w:pgMar w:left="300" w:top="386"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7.14</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Section 16 Matters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A-93</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7.15</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Control of Other Party’s Business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A-93</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7.16</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SpinCo Share Issuance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A-93</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7.17</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Transaction Documents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A-93</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7.18</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Stock Exchange Listing</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A-93</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7.19</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Takeover Statutes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A-93</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7.20</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Works Council Matters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A-94</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7.21</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Further Assurances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A-94</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7.22</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Sole Stockholder Approvals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A-94</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7.23</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Obligations of Merger Sub</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A-94</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7.24</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A-94</w:t>
            </w:r>
          </w:p>
        </w:tc>
      </w:tr>
      <w:tr>
        <w:trPr>
          <w:trHeight w:val="183"/>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7.25</w:t>
            </w:r>
          </w:p>
        </w:tc>
        <w:tc>
          <w:tcPr>
            <w:tcW w:w="240" w:type="dxa"/>
            <w:vAlign w:val="bottom"/>
          </w:tcPr>
          <w:p>
            <w:pPr>
              <w:spacing w:after="0"/>
              <w:rPr>
                <w:sz w:val="15"/>
                <w:szCs w:val="15"/>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Notices of Certain Events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A-96</w:t>
            </w:r>
          </w:p>
        </w:tc>
      </w:tr>
      <w:tr>
        <w:trPr>
          <w:trHeight w:val="252"/>
        </w:trPr>
        <w:tc>
          <w:tcPr>
            <w:tcW w:w="7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VIII CONDITIONS TO THE MERGER</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A-96</w:t>
            </w:r>
          </w:p>
        </w:tc>
      </w:tr>
      <w:tr>
        <w:trPr>
          <w:trHeight w:val="23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w:t>
            </w:r>
          </w:p>
        </w:tc>
        <w:tc>
          <w:tcPr>
            <w:tcW w:w="240" w:type="dxa"/>
            <w:vAlign w:val="bottom"/>
          </w:tcPr>
          <w:p>
            <w:pPr>
              <w:spacing w:after="0"/>
              <w:rPr>
                <w:sz w:val="20"/>
                <w:szCs w:val="20"/>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Conditions to the Obligations of SpinCo, Mercury, Gold and Merger Sub to Effect the Merger</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A-96</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Additional Conditions to the Obligations of Mercury and SpinCo</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A-96</w:t>
            </w:r>
          </w:p>
        </w:tc>
      </w:tr>
      <w:tr>
        <w:trPr>
          <w:trHeight w:val="183"/>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8.3</w:t>
            </w:r>
          </w:p>
        </w:tc>
        <w:tc>
          <w:tcPr>
            <w:tcW w:w="240" w:type="dxa"/>
            <w:vAlign w:val="bottom"/>
          </w:tcPr>
          <w:p>
            <w:pPr>
              <w:spacing w:after="0"/>
              <w:rPr>
                <w:sz w:val="15"/>
                <w:szCs w:val="15"/>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Additional Conditions to the Obligations of Gold and Merger Sub</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A-97</w:t>
            </w:r>
          </w:p>
        </w:tc>
      </w:tr>
      <w:tr>
        <w:trPr>
          <w:trHeight w:val="252"/>
        </w:trPr>
        <w:tc>
          <w:tcPr>
            <w:tcW w:w="7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IX TERMINATION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A-98</w:t>
            </w:r>
          </w:p>
        </w:tc>
      </w:tr>
      <w:tr>
        <w:trPr>
          <w:trHeight w:val="23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9.1</w:t>
            </w:r>
          </w:p>
        </w:tc>
        <w:tc>
          <w:tcPr>
            <w:tcW w:w="240" w:type="dxa"/>
            <w:vAlign w:val="bottom"/>
          </w:tcPr>
          <w:p>
            <w:pPr>
              <w:spacing w:after="0"/>
              <w:rPr>
                <w:sz w:val="20"/>
                <w:szCs w:val="20"/>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Termination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A-98</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9.2</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Effect of Termination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A-99</w:t>
            </w:r>
          </w:p>
        </w:tc>
      </w:tr>
      <w:tr>
        <w:trPr>
          <w:trHeight w:val="183"/>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9.3</w:t>
            </w:r>
          </w:p>
        </w:tc>
        <w:tc>
          <w:tcPr>
            <w:tcW w:w="240" w:type="dxa"/>
            <w:vAlign w:val="bottom"/>
          </w:tcPr>
          <w:p>
            <w:pPr>
              <w:spacing w:after="0"/>
              <w:rPr>
                <w:sz w:val="15"/>
                <w:szCs w:val="15"/>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Termination Fee; Other Fees and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A-99</w:t>
            </w:r>
          </w:p>
        </w:tc>
      </w:tr>
      <w:tr>
        <w:trPr>
          <w:trHeight w:val="252"/>
        </w:trPr>
        <w:tc>
          <w:tcPr>
            <w:tcW w:w="7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ARTICLE X MISCELLANEOUS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A-100</w:t>
            </w:r>
          </w:p>
        </w:tc>
      </w:tr>
      <w:tr>
        <w:trPr>
          <w:trHeight w:val="23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10.1</w:t>
            </w:r>
          </w:p>
        </w:tc>
        <w:tc>
          <w:tcPr>
            <w:tcW w:w="240" w:type="dxa"/>
            <w:vAlign w:val="bottom"/>
          </w:tcPr>
          <w:p>
            <w:pPr>
              <w:spacing w:after="0"/>
              <w:rPr>
                <w:sz w:val="20"/>
                <w:szCs w:val="20"/>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Non-Survival of Representations, Warranties and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A-100</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10.2</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Governing Law; Jurisdiction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A-100</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10.3</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Notices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A-101</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10.4</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Headings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A-102</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10.5</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Entire Agreement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A-102</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10.6</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Amendments and Waivers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A-102</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10.7</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Assignment; Parties in Interest; Non-Parties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A-103</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10.8</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Specific Performance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A-103</w:t>
            </w:r>
          </w:p>
        </w:tc>
      </w:tr>
      <w:tr>
        <w:trPr>
          <w:trHeight w:val="168"/>
        </w:trPr>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9"/>
              </w:rPr>
              <w:t>Section 10.9</w:t>
            </w:r>
          </w:p>
        </w:tc>
        <w:tc>
          <w:tcPr>
            <w:tcW w:w="240" w:type="dxa"/>
            <w:vAlign w:val="bottom"/>
          </w:tcPr>
          <w:p>
            <w:pPr>
              <w:spacing w:after="0"/>
              <w:rPr>
                <w:sz w:val="14"/>
                <w:szCs w:val="14"/>
                <w:color w:val="auto"/>
              </w:rPr>
            </w:pP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WAIVER OF JURY TRIAL</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A-103</w:t>
            </w:r>
          </w:p>
        </w:tc>
      </w:tr>
      <w:tr>
        <w:trPr>
          <w:trHeight w:val="168"/>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10.10</w:t>
            </w: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Severability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A-104</w:t>
            </w:r>
          </w:p>
        </w:tc>
      </w:tr>
      <w:tr>
        <w:trPr>
          <w:trHeight w:val="168"/>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10.11</w:t>
            </w: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Counterparts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A-104</w:t>
            </w:r>
          </w:p>
        </w:tc>
      </w:tr>
      <w:tr>
        <w:trPr>
          <w:trHeight w:val="18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10.12</w:t>
            </w:r>
          </w:p>
        </w:tc>
        <w:tc>
          <w:tcPr>
            <w:tcW w:w="62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Certain Financing Provisions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A-104</w:t>
            </w:r>
          </w:p>
        </w:tc>
      </w:tr>
      <w:tr>
        <w:trPr>
          <w:trHeight w:val="305"/>
        </w:trPr>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w w:val="98"/>
              </w:rPr>
              <w:t>SCHEDULES AND EXHIBITS</w:t>
            </w:r>
          </w:p>
        </w:tc>
        <w:tc>
          <w:tcPr>
            <w:tcW w:w="5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4"/>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Exhibit A</w:t>
            </w:r>
          </w:p>
        </w:tc>
        <w:tc>
          <w:tcPr>
            <w:tcW w:w="6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Separation Agreement</w:t>
            </w:r>
          </w:p>
        </w:tc>
        <w:tc>
          <w:tcPr>
            <w:tcW w:w="1080" w:type="dxa"/>
            <w:vAlign w:val="bottom"/>
          </w:tcPr>
          <w:p>
            <w:pPr>
              <w:spacing w:after="0"/>
              <w:rPr>
                <w:sz w:val="24"/>
                <w:szCs w:val="24"/>
                <w:color w:val="auto"/>
              </w:rPr>
            </w:pPr>
          </w:p>
        </w:tc>
      </w:tr>
      <w:tr>
        <w:trPr>
          <w:trHeight w:val="16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Exhibit B</w:t>
            </w:r>
          </w:p>
        </w:tc>
        <w:tc>
          <w:tcPr>
            <w:tcW w:w="6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Form of Tax Matters Agreement</w:t>
            </w:r>
          </w:p>
        </w:tc>
        <w:tc>
          <w:tcPr>
            <w:tcW w:w="1080" w:type="dxa"/>
            <w:vAlign w:val="bottom"/>
          </w:tcPr>
          <w:p>
            <w:pPr>
              <w:spacing w:after="0"/>
              <w:rPr>
                <w:sz w:val="14"/>
                <w:szCs w:val="14"/>
                <w:color w:val="auto"/>
              </w:rPr>
            </w:pPr>
          </w:p>
        </w:tc>
      </w:tr>
      <w:tr>
        <w:trPr>
          <w:trHeight w:val="16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Exhibit C</w:t>
            </w:r>
          </w:p>
        </w:tc>
        <w:tc>
          <w:tcPr>
            <w:tcW w:w="6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Form of Employee Matters Agreement</w:t>
            </w:r>
          </w:p>
        </w:tc>
        <w:tc>
          <w:tcPr>
            <w:tcW w:w="1080" w:type="dxa"/>
            <w:vAlign w:val="bottom"/>
          </w:tcPr>
          <w:p>
            <w:pPr>
              <w:spacing w:after="0"/>
              <w:rPr>
                <w:sz w:val="14"/>
                <w:szCs w:val="14"/>
                <w:color w:val="auto"/>
              </w:rPr>
            </w:pPr>
          </w:p>
        </w:tc>
      </w:tr>
      <w:tr>
        <w:trPr>
          <w:trHeight w:val="16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Exhibit D</w:t>
            </w:r>
          </w:p>
        </w:tc>
        <w:tc>
          <w:tcPr>
            <w:tcW w:w="6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Form of Transition Services Agreement</w:t>
            </w:r>
          </w:p>
        </w:tc>
        <w:tc>
          <w:tcPr>
            <w:tcW w:w="1080" w:type="dxa"/>
            <w:vAlign w:val="bottom"/>
          </w:tcPr>
          <w:p>
            <w:pPr>
              <w:spacing w:after="0"/>
              <w:rPr>
                <w:sz w:val="14"/>
                <w:szCs w:val="14"/>
                <w:color w:val="auto"/>
              </w:rPr>
            </w:pPr>
          </w:p>
        </w:tc>
      </w:tr>
      <w:tr>
        <w:trPr>
          <w:trHeight w:val="16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Exhibit E</w:t>
            </w:r>
          </w:p>
        </w:tc>
        <w:tc>
          <w:tcPr>
            <w:tcW w:w="6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Form of Intellectual Property Matters Agreement</w:t>
            </w:r>
          </w:p>
        </w:tc>
        <w:tc>
          <w:tcPr>
            <w:tcW w:w="1080" w:type="dxa"/>
            <w:vAlign w:val="bottom"/>
          </w:tcPr>
          <w:p>
            <w:pPr>
              <w:spacing w:after="0"/>
              <w:rPr>
                <w:sz w:val="14"/>
                <w:szCs w:val="14"/>
                <w:color w:val="auto"/>
              </w:rPr>
            </w:pPr>
          </w:p>
        </w:tc>
      </w:tr>
      <w:tr>
        <w:trPr>
          <w:trHeight w:val="16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Exhibit F</w:t>
            </w:r>
          </w:p>
        </w:tc>
        <w:tc>
          <w:tcPr>
            <w:tcW w:w="6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Form of Gold Charter Amendment</w:t>
            </w:r>
          </w:p>
        </w:tc>
        <w:tc>
          <w:tcPr>
            <w:tcW w:w="1080" w:type="dxa"/>
            <w:vAlign w:val="bottom"/>
          </w:tcPr>
          <w:p>
            <w:pPr>
              <w:spacing w:after="0"/>
              <w:rPr>
                <w:sz w:val="14"/>
                <w:szCs w:val="14"/>
                <w:color w:val="auto"/>
              </w:rPr>
            </w:pPr>
          </w:p>
        </w:tc>
      </w:tr>
      <w:tr>
        <w:trPr>
          <w:trHeight w:val="16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Exhibit G</w:t>
            </w:r>
          </w:p>
        </w:tc>
        <w:tc>
          <w:tcPr>
            <w:tcW w:w="6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Form of Lease Agreement</w:t>
            </w:r>
          </w:p>
        </w:tc>
        <w:tc>
          <w:tcPr>
            <w:tcW w:w="1080" w:type="dxa"/>
            <w:vAlign w:val="bottom"/>
          </w:tcPr>
          <w:p>
            <w:pPr>
              <w:spacing w:after="0"/>
              <w:rPr>
                <w:sz w:val="14"/>
                <w:szCs w:val="14"/>
                <w:color w:val="auto"/>
              </w:rPr>
            </w:pPr>
          </w:p>
        </w:tc>
      </w:tr>
      <w:tr>
        <w:trPr>
          <w:trHeight w:val="183"/>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Schedule A</w:t>
            </w:r>
          </w:p>
        </w:tc>
        <w:tc>
          <w:tcPr>
            <w:tcW w:w="64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Overlap Counting Principles</w:t>
            </w:r>
          </w:p>
        </w:tc>
        <w:tc>
          <w:tcPr>
            <w:tcW w:w="1080" w:type="dxa"/>
            <w:vAlign w:val="bottom"/>
          </w:tcPr>
          <w:p>
            <w:pPr>
              <w:spacing w:after="0"/>
              <w:rPr>
                <w:sz w:val="15"/>
                <w:szCs w:val="15"/>
                <w:color w:val="auto"/>
              </w:rPr>
            </w:pPr>
          </w:p>
        </w:tc>
      </w:tr>
    </w:tbl>
    <w:p>
      <w:pPr>
        <w:spacing w:after="0" w:line="2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A-iii</w:t>
      </w:r>
    </w:p>
    <w:p>
      <w:pPr>
        <w:sectPr>
          <w:pgSz w:w="11900" w:h="16838" w:orient="portrait"/>
          <w:cols w:equalWidth="0" w:num="1">
            <w:col w:w="10159"/>
          </w:cols>
          <w:pgMar w:left="300" w:top="386"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77"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This AGREEMENT AND PLAN OF MERGER, dated as of January 29, 2026, is entered into by and among Modine Manufacturing Company, a Wisconsin corporation (“</w:t>
      </w:r>
      <w:r>
        <w:rPr>
          <w:rFonts w:ascii="Times New Roman" w:cs="Times New Roman" w:eastAsia="Times New Roman" w:hAnsi="Times New Roman"/>
          <w:sz w:val="14"/>
          <w:szCs w:val="14"/>
          <w:u w:val="single" w:color="auto"/>
          <w:color w:val="auto"/>
        </w:rPr>
        <w:t>Mercury</w:t>
      </w:r>
      <w:r>
        <w:rPr>
          <w:rFonts w:ascii="Times New Roman" w:cs="Times New Roman" w:eastAsia="Times New Roman" w:hAnsi="Times New Roman"/>
          <w:sz w:val="14"/>
          <w:szCs w:val="14"/>
          <w:color w:val="auto"/>
        </w:rPr>
        <w:t>”), Platinum SpinCo Inc., a Delaware corporation and a wholly owned Subsidiary of Mercury (“</w:t>
      </w:r>
      <w:r>
        <w:rPr>
          <w:rFonts w:ascii="Times New Roman" w:cs="Times New Roman" w:eastAsia="Times New Roman" w:hAnsi="Times New Roman"/>
          <w:sz w:val="14"/>
          <w:szCs w:val="14"/>
          <w:u w:val="single" w:color="auto"/>
          <w:color w:val="auto"/>
        </w:rPr>
        <w:t>SpinCo</w:t>
      </w:r>
      <w:r>
        <w:rPr>
          <w:rFonts w:ascii="Times New Roman" w:cs="Times New Roman" w:eastAsia="Times New Roman" w:hAnsi="Times New Roman"/>
          <w:sz w:val="14"/>
          <w:szCs w:val="14"/>
          <w:color w:val="auto"/>
        </w:rPr>
        <w:t>”), Gentherm Incorporated, a Michigan corporation (“</w:t>
      </w:r>
      <w:r>
        <w:rPr>
          <w:rFonts w:ascii="Times New Roman" w:cs="Times New Roman" w:eastAsia="Times New Roman" w:hAnsi="Times New Roman"/>
          <w:sz w:val="14"/>
          <w:szCs w:val="14"/>
          <w:u w:val="single" w:color="auto"/>
          <w:color w:val="auto"/>
        </w:rPr>
        <w:t>Gold</w:t>
      </w:r>
      <w:r>
        <w:rPr>
          <w:rFonts w:ascii="Times New Roman" w:cs="Times New Roman" w:eastAsia="Times New Roman" w:hAnsi="Times New Roman"/>
          <w:sz w:val="14"/>
          <w:szCs w:val="14"/>
          <w:color w:val="auto"/>
        </w:rPr>
        <w:t>”), and Platinum Gold Merger Sub Inc., a Delaware corporation and wholly owned Subsidiary of Gold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Each of the foregoing parties is referred to herein as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7" w:lineRule="exact"/>
        <w:rPr>
          <w:sz w:val="20"/>
          <w:szCs w:val="20"/>
          <w:color w:val="auto"/>
        </w:rPr>
      </w:pPr>
    </w:p>
    <w:p>
      <w:pPr>
        <w:ind w:left="1360" w:right="599" w:firstLine="343"/>
        <w:spacing w:after="0" w:line="283" w:lineRule="auto"/>
        <w:rPr>
          <w:sz w:val="20"/>
          <w:szCs w:val="20"/>
          <w:color w:val="auto"/>
        </w:rPr>
      </w:pPr>
      <w:r>
        <w:rPr>
          <w:rFonts w:ascii="Times New Roman" w:cs="Times New Roman" w:eastAsia="Times New Roman" w:hAnsi="Times New Roman"/>
          <w:sz w:val="14"/>
          <w:szCs w:val="14"/>
          <w:color w:val="auto"/>
        </w:rPr>
        <w:t>WHEREAS, Mercury, acting through itself and its direct and indirect Subsidiaries, currently conducts the Mercury Business and the SpinCo Business;</w:t>
      </w:r>
    </w:p>
    <w:p>
      <w:pPr>
        <w:spacing w:after="0" w:line="125"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WHEREAS, contemporaneously with the execution of this Agreement, Mercury, SpinCo and Gold are entering into the Separation Agreement, pursuant to which Mercury will, upon the terms and conditions set forth therein and in accordance with the Reorganization, separate the SpinCo Business such that, as of the Distribution, the SpinCo Business is held by the members of the SpinCo Group;</w:t>
      </w:r>
    </w:p>
    <w:p>
      <w:pPr>
        <w:spacing w:after="0" w:line="136"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WHEREAS, to effect such separation, Mercury shall, and cause members of the Mercury Group to, contribute, convey, transfer, assign and deliver to SpinCo and members of the SpinCo Group, and SpinCo and members of the SpinCo Group shall accept and assume from Mercury and members of the Mercury Group, all of the right, title and interest of Mercury and the members of the Mercury Group in, to and under certain assets and liabilities relating to the SpinCo Business, in each case on the terms and subject to the conditions set forth in the Separation Agreement;</w:t>
      </w:r>
    </w:p>
    <w:p>
      <w:pPr>
        <w:spacing w:after="0" w:line="141"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WHEREAS, in connection with such separation and in partial consideration of the transfer to SpinCo of such assets, SpinCo will make the SpinCo Cash Distribution (as may be adjusted in accordance with this Agreement) to Mercury;</w:t>
      </w:r>
    </w:p>
    <w:p>
      <w:pPr>
        <w:spacing w:after="0" w:line="125"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WHEREAS, after such separation and upon the terms and subject to the conditions set forth in the Separation Agreement, Mercury will distribute all of the outstanding shares of the common stock, $0.001 par value, of SpinCo (the “</w:t>
      </w:r>
      <w:r>
        <w:rPr>
          <w:rFonts w:ascii="Times New Roman" w:cs="Times New Roman" w:eastAsia="Times New Roman" w:hAnsi="Times New Roman"/>
          <w:sz w:val="14"/>
          <w:szCs w:val="14"/>
          <w:u w:val="single" w:color="auto"/>
          <w:color w:val="auto"/>
        </w:rPr>
        <w:t>SpinCo Common Stock</w:t>
      </w:r>
      <w:r>
        <w:rPr>
          <w:rFonts w:ascii="Times New Roman" w:cs="Times New Roman" w:eastAsia="Times New Roman" w:hAnsi="Times New Roman"/>
          <w:sz w:val="14"/>
          <w:szCs w:val="14"/>
          <w:color w:val="auto"/>
        </w:rPr>
        <w:t>”) to Mercury’s shareholders without consideration on a pro rata basis (the disposition by Mercury of 100% of the SpinCo Common Stock by way of such distribution is referred to as the “</w:t>
      </w:r>
      <w:r>
        <w:rPr>
          <w:rFonts w:ascii="Times New Roman" w:cs="Times New Roman" w:eastAsia="Times New Roman" w:hAnsi="Times New Roman"/>
          <w:sz w:val="14"/>
          <w:szCs w:val="14"/>
          <w:u w:val="single" w:color="auto"/>
          <w:color w:val="auto"/>
        </w:rPr>
        <w:t>Distribution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WHEREAS, following the Distribution, at the Effective Time, the Parties will effect the merger of Merger Sub with and into SpinCo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with SpinCo continuing as the surviving corporation and becoming a wholly owned Subsidiary of Gold, all upon the terms and subject to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conditions set forth herein;</w:t>
      </w:r>
    </w:p>
    <w:p>
      <w:pPr>
        <w:spacing w:after="0" w:line="16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WHEREAS, the board of directors of Gold (the “</w:t>
      </w:r>
      <w:r>
        <w:rPr>
          <w:rFonts w:ascii="Times New Roman" w:cs="Times New Roman" w:eastAsia="Times New Roman" w:hAnsi="Times New Roman"/>
          <w:sz w:val="14"/>
          <w:szCs w:val="14"/>
          <w:u w:val="single" w:color="auto"/>
          <w:color w:val="auto"/>
        </w:rPr>
        <w:t>Gold Board</w:t>
      </w:r>
      <w:r>
        <w:rPr>
          <w:rFonts w:ascii="Times New Roman" w:cs="Times New Roman" w:eastAsia="Times New Roman" w:hAnsi="Times New Roman"/>
          <w:sz w:val="14"/>
          <w:szCs w:val="14"/>
          <w:color w:val="auto"/>
        </w:rPr>
        <w:t xml:space="preserve">”) has unanimously (a) determined that the terms of this Agreement and the transactions contemplated hereby, including the Gold Share Issuance, are fair to and in the best interests of Gold and its shareholders, (b) approved and declared advisable the execution, delivery and performance of this Agreement and the consummation of the transactions contemplated hereby, including the Merger and the Gold Share Issuance, on the terms and subject to the conditions set forth herein, (c) determined it advisable for the Gold shareholders to approve an amendment to the certificate of incorporation of Gold, substantially in the form of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Gold Charter Amendment</w:t>
      </w:r>
      <w:r>
        <w:rPr>
          <w:rFonts w:ascii="Times New Roman" w:cs="Times New Roman" w:eastAsia="Times New Roman" w:hAnsi="Times New Roman"/>
          <w:sz w:val="14"/>
          <w:szCs w:val="14"/>
          <w:color w:val="auto"/>
        </w:rPr>
        <w:t>”) to effect an increase to the number of authorized shares of Gold Common Stock, (d) resolved to recommend that the shareholders of Gold approve the Gold Share Issuance and the Gold Charter Amendment (the “</w:t>
      </w:r>
      <w:r>
        <w:rPr>
          <w:rFonts w:ascii="Times New Roman" w:cs="Times New Roman" w:eastAsia="Times New Roman" w:hAnsi="Times New Roman"/>
          <w:sz w:val="14"/>
          <w:szCs w:val="14"/>
          <w:u w:val="single" w:color="auto"/>
          <w:color w:val="auto"/>
        </w:rPr>
        <w:t>Gold Board Recommendation</w:t>
      </w:r>
      <w:r>
        <w:rPr>
          <w:rFonts w:ascii="Times New Roman" w:cs="Times New Roman" w:eastAsia="Times New Roman" w:hAnsi="Times New Roman"/>
          <w:sz w:val="14"/>
          <w:szCs w:val="14"/>
          <w:color w:val="auto"/>
        </w:rPr>
        <w:t>”), and (e) directed</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0159"/>
          </w:cols>
          <w:pgMar w:left="300" w:top="386"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that the Gold Share Issuance and the Gold Charter Amendment be submitted to a vote at a meeting of Gold’s shareholders;</w:t>
      </w:r>
    </w:p>
    <w:p>
      <w:pPr>
        <w:spacing w:after="0" w:line="17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WHEREAS, the board of directors of Merger Sub has determined that the Merger and this Agreement are advisable and in the best interests of its sole stockholder and has approved this Agreement and the transactions contemplated hereby, including the Merger;</w:t>
      </w:r>
    </w:p>
    <w:p>
      <w:pPr>
        <w:spacing w:after="0" w:line="12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WHEREAS, the board of directors of Mercury (the “</w:t>
      </w:r>
      <w:r>
        <w:rPr>
          <w:rFonts w:ascii="Times New Roman" w:cs="Times New Roman" w:eastAsia="Times New Roman" w:hAnsi="Times New Roman"/>
          <w:sz w:val="14"/>
          <w:szCs w:val="14"/>
          <w:u w:val="single" w:color="auto"/>
          <w:color w:val="auto"/>
        </w:rPr>
        <w:t>Mercury Board</w:t>
      </w:r>
      <w:r>
        <w:rPr>
          <w:rFonts w:ascii="Times New Roman" w:cs="Times New Roman" w:eastAsia="Times New Roman" w:hAnsi="Times New Roman"/>
          <w:sz w:val="14"/>
          <w:szCs w:val="14"/>
          <w:color w:val="auto"/>
        </w:rPr>
        <w:t>”) has approved this Agreement and the transactions contemplated hereby, subject to such further action by the Mercury Board required to establish the Record Date and the Distribution Date, and the effectiveness of the declaration of the Distribution by the Mercury Board (which shall be subject to the satisfaction or, to the extent permitted by applicable Law, waiver of the conditions set forth in the Separation Agreement);</w:t>
      </w:r>
    </w:p>
    <w:p>
      <w:pPr>
        <w:spacing w:after="0" w:line="141"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WHEREAS, the board of directors of SpinCo (the “</w:t>
      </w:r>
      <w:r>
        <w:rPr>
          <w:rFonts w:ascii="Times New Roman" w:cs="Times New Roman" w:eastAsia="Times New Roman" w:hAnsi="Times New Roman"/>
          <w:sz w:val="14"/>
          <w:szCs w:val="14"/>
          <w:u w:val="single" w:color="auto"/>
          <w:color w:val="auto"/>
        </w:rPr>
        <w:t>SpinCo Board</w:t>
      </w:r>
      <w:r>
        <w:rPr>
          <w:rFonts w:ascii="Times New Roman" w:cs="Times New Roman" w:eastAsia="Times New Roman" w:hAnsi="Times New Roman"/>
          <w:sz w:val="14"/>
          <w:szCs w:val="14"/>
          <w:color w:val="auto"/>
        </w:rPr>
        <w:t>”) has determined that the Merger and this Agreement are advisable and in the best interests of its sole stockholder and has approved this Agreement and the transactions contemplated hereby, including the Merger; and</w:t>
      </w:r>
    </w:p>
    <w:p>
      <w:pPr>
        <w:spacing w:after="0" w:line="125" w:lineRule="exact"/>
        <w:rPr>
          <w:sz w:val="20"/>
          <w:szCs w:val="20"/>
          <w:color w:val="auto"/>
        </w:rPr>
      </w:pPr>
    </w:p>
    <w:p>
      <w:pPr>
        <w:jc w:val="both"/>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WHEREAS, it is the intention of the Parties that, for U.S. federal income Tax purposes: (a) the Contribution and the Distribution, taken together, qualify as a “reorganization” within the meanings of Sections 368(a)(1)(D) and 355(a) of the Code; (b) the Merger qualify as a “reorganization” within the meaning of Section 368(a) of the Code; and (c) this Agreement constitutes, and is hereby adopted as, a “plan of reorganization” within the meaning of Section 368 of the Code and Treasury Regulations Sections 1.368-2(g) and 1.368-3(a) for the Merger and for purposes of Sections 354, 361 and 368 of the Code.</w:t>
      </w:r>
    </w:p>
    <w:p>
      <w:pPr>
        <w:spacing w:after="0" w:line="144"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NOW, THEREFORE, in consideration of the premises and mutual covenants contained herein and other good and valuable consideration, the receipt and sufficiency of which are hereby acknowledged, the Parties agree as follows:</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As used herein, the following terms have the following meanings:</w:t>
      </w:r>
    </w:p>
    <w:p>
      <w:pPr>
        <w:spacing w:after="0" w:line="175"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Acceptable Confidentiality Agreement</w:t>
      </w:r>
      <w:r>
        <w:rPr>
          <w:rFonts w:ascii="Times New Roman" w:cs="Times New Roman" w:eastAsia="Times New Roman" w:hAnsi="Times New Roman"/>
          <w:sz w:val="14"/>
          <w:szCs w:val="14"/>
          <w:color w:val="auto"/>
        </w:rPr>
        <w:t xml:space="preserve">” shall mean a confidentiality agreement that contains confidentiality and use provisions that are not materially less restrictive to the other party than the terms in the Confidentiality Agreement are on Gold;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confidentiality agreement shall not include any provision calling for an exclusive right to negotiate with any Party to this Agreement or otherwise prohibiting Gold’s compliance with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-241300</wp:posOffset>
            </wp:positionV>
            <wp:extent cx="2222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21"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Action</w:t>
      </w:r>
      <w:r>
        <w:rPr>
          <w:rFonts w:ascii="Times New Roman" w:cs="Times New Roman" w:eastAsia="Times New Roman" w:hAnsi="Times New Roman"/>
          <w:sz w:val="14"/>
          <w:szCs w:val="14"/>
          <w:color w:val="auto"/>
        </w:rPr>
        <w:t>” shall mean any action, claim, charges, complaint, examination, investigation, dispute, suit, countersuit, arbitration or other proceeding of any nature (whether criminal, civil, legislative, administrative, regulatory, prosecutorial or otherwise) by or before any federal, state, local, foreign or international Governmental Authority or any arbitration or mediation tribunal.</w:t>
      </w:r>
    </w:p>
    <w:p>
      <w:pPr>
        <w:spacing w:after="0" w:line="136" w:lineRule="exact"/>
        <w:rPr>
          <w:sz w:val="20"/>
          <w:szCs w:val="20"/>
          <w:color w:val="auto"/>
        </w:rPr>
      </w:pPr>
    </w:p>
    <w:p>
      <w:pPr>
        <w:jc w:val="center"/>
        <w:ind w:left="1540" w:right="120"/>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Adverse Law Event</w:t>
      </w:r>
      <w:r>
        <w:rPr>
          <w:rFonts w:ascii="Times New Roman" w:cs="Times New Roman" w:eastAsia="Times New Roman" w:hAnsi="Times New Roman"/>
          <w:sz w:val="13"/>
          <w:szCs w:val="13"/>
          <w:color w:val="auto"/>
        </w:rPr>
        <w:t>” shall mean (a) the enactment of any Law, issuance of any judicial determination or proposal or promulgation of any administrative authority or pronouncement (including any interpretation of Law) which would materially adversely affect the Intended Tax Treatment,</w:t>
      </w:r>
    </w:p>
    <w:p>
      <w:pPr>
        <w:spacing w:after="0" w:line="1" w:lineRule="exact"/>
        <w:rPr>
          <w:sz w:val="20"/>
          <w:szCs w:val="20"/>
          <w:color w:val="auto"/>
        </w:rPr>
      </w:pPr>
    </w:p>
    <w:p>
      <w:pPr>
        <w:ind w:left="1360" w:right="339" w:hanging="5"/>
        <w:spacing w:after="0" w:line="256" w:lineRule="auto"/>
        <w:tabs>
          <w:tab w:leader="none" w:pos="1558"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by either house of the U.S. Congress or the U.S. executive branch of any legislation which would if enacted and signed into Law, or would reasonably be expected to if enacted and signed into Law, materially adversely affect the Intended Tax Treatment or (c) the refusal by the IRS to issue any ruling requested in the IRS Ruling Request.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0159"/>
          </w:cols>
          <w:pgMar w:left="300" w:top="386"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shall mean, when used with respect to a specified Person (at any point of time or with respect to a period of time, as applicable), a Person that, directly or indirectly, through one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 Following the Effective Time, Affiliates of Gold shall include the members of the SpinCo Group.</w:t>
      </w:r>
    </w:p>
    <w:p>
      <w:pPr>
        <w:spacing w:after="0" w:line="144"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shall mean this Agreement and Plan of Merger, including all Annexes, Exhibits and Schedules hereto, including the Gold Disclosure Letter and the SpinCo Disclosure Letter, in each case as may be amended, restated, modified or supplemented from time to time in accordance with its terms.</w:t>
      </w:r>
    </w:p>
    <w:p>
      <w:pPr>
        <w:spacing w:after="0" w:line="136"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Anti-Corruption Laws</w:t>
      </w:r>
      <w:r>
        <w:rPr>
          <w:rFonts w:ascii="Times New Roman" w:cs="Times New Roman" w:eastAsia="Times New Roman" w:hAnsi="Times New Roman"/>
          <w:sz w:val="14"/>
          <w:szCs w:val="14"/>
          <w:color w:val="auto"/>
        </w:rPr>
        <w:t>” shall mean all Laws relating to the prevention of corruption, money laundering and bribery, including the U.S. Foreign Corrupt Practices Act of 1977 and the UK Bribery Act 2010.</w:t>
      </w:r>
    </w:p>
    <w:p>
      <w:pPr>
        <w:spacing w:after="0" w:line="125" w:lineRule="exact"/>
        <w:rPr>
          <w:sz w:val="20"/>
          <w:szCs w:val="20"/>
          <w:color w:val="auto"/>
        </w:rPr>
      </w:pPr>
    </w:p>
    <w:p>
      <w:pPr>
        <w:ind w:left="1360" w:right="5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Antitrust Laws</w:t>
      </w:r>
      <w:r>
        <w:rPr>
          <w:rFonts w:ascii="Times New Roman" w:cs="Times New Roman" w:eastAsia="Times New Roman" w:hAnsi="Times New Roman"/>
          <w:sz w:val="14"/>
          <w:szCs w:val="14"/>
          <w:color w:val="auto"/>
        </w:rPr>
        <w:t>” shall mean the Sherman Antitrust Act, as amended, the Clayton Act, as amended, the Federal Trade Commission Act, as amended, the HSR Act and any other federal, state, foreign or supranational Law that is designed or intended to prohibit, restrict or regulate actions having the purpose or effect of monopolization or restraint of trade or lessening of competition through merger or acquisition.</w:t>
      </w:r>
    </w:p>
    <w:p>
      <w:pPr>
        <w:spacing w:after="0" w:line="136"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Audit Reimbursement Obligations</w:t>
      </w:r>
      <w:r>
        <w:rPr>
          <w:rFonts w:ascii="Times New Roman" w:cs="Times New Roman" w:eastAsia="Times New Roman" w:hAnsi="Times New Roman"/>
          <w:sz w:val="14"/>
          <w:szCs w:val="14"/>
          <w:color w:val="auto"/>
        </w:rPr>
        <w:t>” shall mean the reasonable and documented out-of-pocket costs and expenses incurred by Mercury, SpinCo or any of their respective Subsidiaries in connection with the preparation of the SpinCo Audited Financial Statements.</w:t>
      </w:r>
    </w:p>
    <w:p>
      <w:pPr>
        <w:spacing w:after="0" w:line="125"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Benefit Plan</w:t>
      </w:r>
      <w:r>
        <w:rPr>
          <w:rFonts w:ascii="Times New Roman" w:cs="Times New Roman" w:eastAsia="Times New Roman" w:hAnsi="Times New Roman"/>
          <w:sz w:val="14"/>
          <w:szCs w:val="14"/>
          <w:color w:val="auto"/>
        </w:rPr>
        <w:t>” shall mean each “employee benefit plan” (within the meaning of Section 3(3) of ERISA but regardless of whether such plan is subject to ERISA) and each benefit or compensation plan, program, policy, contract, agreement or arrangement, including each pension, post-employment or retirement, profit sharing, 401(k), severance, health and welfare, disability, deferred compensation, employment, consulting, termination, supplemental unemployment, change-in-control, retention, fringe benefit, stock purchase, cash bonus or equity or equity-based incentive plan, program, agreement, policy or other arrangement, in each case, excluding any plan, program or arrangement that is sponsored, maintained or administered by any Governmental Authority or any Multiemployer Plan.</w:t>
      </w:r>
    </w:p>
    <w:p>
      <w:pPr>
        <w:spacing w:after="0" w:line="143"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shall mean any day that is not a Saturday, a Sunday or other day on which banking institutions are authorized or obligated by Law to be closed in New York, New York.</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shall mean the U.S. Internal Revenue Code of 1986, as amended.</w:t>
      </w:r>
    </w:p>
    <w:p>
      <w:pPr>
        <w:spacing w:after="0" w:line="175"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Collective Bargaining Agreement</w:t>
      </w:r>
      <w:r>
        <w:rPr>
          <w:rFonts w:ascii="Times New Roman" w:cs="Times New Roman" w:eastAsia="Times New Roman" w:hAnsi="Times New Roman"/>
          <w:sz w:val="14"/>
          <w:szCs w:val="14"/>
          <w:color w:val="auto"/>
        </w:rPr>
        <w:t>” shall mean each written Contract with a labor union, labor organization, works council or other employee representative body.</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Awards</w:t>
      </w:r>
      <w:r>
        <w:rPr>
          <w:rFonts w:ascii="Times New Roman" w:cs="Times New Roman" w:eastAsia="Times New Roman" w:hAnsi="Times New Roman"/>
          <w:sz w:val="14"/>
          <w:szCs w:val="14"/>
          <w:color w:val="auto"/>
        </w:rPr>
        <w:t>” has the meaning set forth in the definition of “Company Awards” in the Employee Matters Agreement.</w:t>
      </w:r>
    </w:p>
    <w:p>
      <w:pPr>
        <w:spacing w:after="0" w:line="175" w:lineRule="exact"/>
        <w:rPr>
          <w:sz w:val="20"/>
          <w:szCs w:val="20"/>
          <w:color w:val="auto"/>
        </w:rPr>
      </w:pPr>
    </w:p>
    <w:p>
      <w:pPr>
        <w:ind w:left="1360" w:right="7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Confidentiality Agreement</w:t>
      </w:r>
      <w:r>
        <w:rPr>
          <w:rFonts w:ascii="Times New Roman" w:cs="Times New Roman" w:eastAsia="Times New Roman" w:hAnsi="Times New Roman"/>
          <w:sz w:val="14"/>
          <w:szCs w:val="14"/>
          <w:color w:val="auto"/>
        </w:rPr>
        <w:t>” shall mean that certain Amended and Restated Mutual Confidentiality Agreement, by and between Gold and Mercury, dated as of November 17, 2025, as amended, restated or supplemented from time to time, including any addendum thereto.</w:t>
      </w:r>
    </w:p>
    <w:p>
      <w:pPr>
        <w:spacing w:after="0" w:line="125"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Consent</w:t>
      </w:r>
      <w:r>
        <w:rPr>
          <w:rFonts w:ascii="Times New Roman" w:cs="Times New Roman" w:eastAsia="Times New Roman" w:hAnsi="Times New Roman"/>
          <w:sz w:val="14"/>
          <w:szCs w:val="14"/>
          <w:color w:val="auto"/>
        </w:rPr>
        <w:t>” shall mean any consent, clearance, expiration or termination of a waiting period, approval, exemption, waiver, authorization, filing, registration or notification.</w:t>
      </w:r>
    </w:p>
    <w:p>
      <w:pPr>
        <w:spacing w:after="0" w:line="125"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w:t>
      </w:r>
      <w:r>
        <w:rPr>
          <w:rFonts w:ascii="Times New Roman" w:cs="Times New Roman" w:eastAsia="Times New Roman" w:hAnsi="Times New Roman"/>
          <w:sz w:val="14"/>
          <w:szCs w:val="14"/>
          <w:color w:val="auto"/>
        </w:rPr>
        <w:t>” shall mean any legally binding contract (whether written or oral), agreement, understanding, arrangement, subcontract, commitment, loan or credit agreement, note, bond, indenture, lease, warranty, accepted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10159"/>
          </w:cols>
          <w:pgMar w:left="300" w:top="386"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purchase order with outstanding performance obligations at the applicable time of determination, sublicense or license or other instrument, including all amendments, supplements or modifications thereto.</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Controlled Group Liability</w:t>
      </w:r>
      <w:r>
        <w:rPr>
          <w:rFonts w:ascii="Times New Roman" w:cs="Times New Roman" w:eastAsia="Times New Roman" w:hAnsi="Times New Roman"/>
          <w:sz w:val="14"/>
          <w:szCs w:val="14"/>
          <w:color w:val="auto"/>
        </w:rPr>
        <w:t>” shall mean any and all Liabilities (a) under Title IV of ERISA, (b) under Section 302 of ERISA, (c) under</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Sections 412 and 4971 of the Code, and (d) as a result of a failure to comply with the continuing coverage requirements of Section 601 et seq. of ERISA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Section 4980B of the Code.</w:t>
      </w:r>
    </w:p>
    <w:p>
      <w:pPr>
        <w:spacing w:after="0" w:line="161"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Determination Time</w:t>
      </w:r>
      <w:r>
        <w:rPr>
          <w:rFonts w:ascii="Times New Roman" w:cs="Times New Roman" w:eastAsia="Times New Roman" w:hAnsi="Times New Roman"/>
          <w:sz w:val="14"/>
          <w:szCs w:val="14"/>
          <w:color w:val="auto"/>
        </w:rPr>
        <w:t>” means 4:30 p.m. Eastern Time on the second (2nd) Business Day immediately prior to the date on which the Closing occurs.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shall mean the Delaware General Corporation Law.</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Distribution Date</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Distribution Time</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Employee Matters Agreement</w:t>
      </w:r>
      <w:r>
        <w:rPr>
          <w:rFonts w:ascii="Times New Roman" w:cs="Times New Roman" w:eastAsia="Times New Roman" w:hAnsi="Times New Roman"/>
          <w:sz w:val="14"/>
          <w:szCs w:val="14"/>
          <w:color w:val="auto"/>
        </w:rPr>
        <w:t xml:space="preserve">” shall mean an Employee Matters Agreement in substantially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as such agreement may be amended, restated, modified or supplemented from time to time in accordance with its terms.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Liabilities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shall mean the Employee Retirement Income Security Act of 1974.</w:t>
      </w:r>
    </w:p>
    <w:p>
      <w:pPr>
        <w:spacing w:after="0" w:line="175" w:lineRule="exact"/>
        <w:rPr>
          <w:sz w:val="20"/>
          <w:szCs w:val="20"/>
          <w:color w:val="auto"/>
        </w:rPr>
      </w:pPr>
    </w:p>
    <w:p>
      <w:pPr>
        <w:ind w:left="1360" w:right="3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Affiliate</w:t>
      </w:r>
      <w:r>
        <w:rPr>
          <w:rFonts w:ascii="Times New Roman" w:cs="Times New Roman" w:eastAsia="Times New Roman" w:hAnsi="Times New Roman"/>
          <w:sz w:val="14"/>
          <w:szCs w:val="14"/>
          <w:color w:val="auto"/>
        </w:rPr>
        <w:t>” shall mean, with respect to any entity, trade or business (whether or not incorporated), any other entity, trade or business (whether or not incorporated)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shall mean the U.S. Securities Exchange Act of 1934, as amended, and the rules and regulations promulgated thereunder.</w:t>
      </w:r>
    </w:p>
    <w:p>
      <w:pPr>
        <w:spacing w:after="0" w:line="17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Ratio</w:t>
      </w:r>
      <w:r>
        <w:rPr>
          <w:rFonts w:ascii="Times New Roman" w:cs="Times New Roman" w:eastAsia="Times New Roman" w:hAnsi="Times New Roman"/>
          <w:sz w:val="14"/>
          <w:szCs w:val="14"/>
          <w:color w:val="auto"/>
        </w:rPr>
        <w:t xml:space="preserve">” shall mean (subject to adjustment as contemplated by </w:t>
      </w:r>
      <w:r>
        <w:rPr>
          <w:rFonts w:ascii="Times New Roman" w:cs="Times New Roman" w:eastAsia="Times New Roman" w:hAnsi="Times New Roman"/>
          <w:sz w:val="14"/>
          <w:szCs w:val="14"/>
          <w:u w:val="single" w:color="auto"/>
          <w:color w:val="auto"/>
        </w:rPr>
        <w:t>Section 3.1(a)(iv)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3.1(c)</w:t>
      </w:r>
      <w:r>
        <w:rPr>
          <w:rFonts w:ascii="Times New Roman" w:cs="Times New Roman" w:eastAsia="Times New Roman" w:hAnsi="Times New Roman"/>
          <w:sz w:val="14"/>
          <w:szCs w:val="14"/>
          <w:color w:val="auto"/>
        </w:rPr>
        <w:t xml:space="preserve">), a number equal to (a) the Fully Diluted SpinCo Shares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SpinCo Make Whole Awards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(b) the number of outstanding shares of SpinCo Common Stock immediately following the Distribution.</w:t>
      </w:r>
    </w:p>
    <w:p>
      <w:pPr>
        <w:spacing w:after="0" w:line="136"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Ex-Im Laws</w:t>
      </w:r>
      <w:r>
        <w:rPr>
          <w:rFonts w:ascii="Times New Roman" w:cs="Times New Roman" w:eastAsia="Times New Roman" w:hAnsi="Times New Roman"/>
          <w:sz w:val="14"/>
          <w:szCs w:val="14"/>
          <w:color w:val="auto"/>
        </w:rPr>
        <w:t>” shall mean all Laws relating to export, reexport, transfer, and import controls, including the Export Administration Regulations, the customs and import Laws administered by U.S. Customs and Border Protection, and the EU Dual Use Regulation.</w:t>
      </w:r>
    </w:p>
    <w:p>
      <w:pPr>
        <w:spacing w:after="0" w:line="125"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Financing Reimbursement Obligations</w:t>
      </w:r>
      <w:r>
        <w:rPr>
          <w:rFonts w:ascii="Times New Roman" w:cs="Times New Roman" w:eastAsia="Times New Roman" w:hAnsi="Times New Roman"/>
          <w:sz w:val="14"/>
          <w:szCs w:val="14"/>
          <w:color w:val="auto"/>
        </w:rPr>
        <w:t>” shall mean the sum of (a) all documented out-of-pocket costs and expenses incurred by Mercury, SpinCo or any of their respective Subsidiaries in connection with the SpinCo Financing or any Permanent SpinCo Financing (including all commitment fees and other fees, obligations and expenses arising pursuant to the terms of the Commitment Letter or the SpinCo Financing Agreements or in connection with any Permanent SpinCo Financing, and the documented out-of-pocket fees, costs and expenses of counsel, accountants, consultants or other advisors (including financial or capital markets advisors)), (b) all</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10159"/>
          </w:cols>
          <w:pgMar w:left="300" w:top="386"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57" w:lineRule="auto"/>
        <w:rPr>
          <w:sz w:val="20"/>
          <w:szCs w:val="20"/>
          <w:color w:val="auto"/>
        </w:rPr>
      </w:pPr>
      <w:r>
        <w:rPr>
          <w:rFonts w:ascii="Times New Roman" w:cs="Times New Roman" w:eastAsia="Times New Roman" w:hAnsi="Times New Roman"/>
          <w:sz w:val="14"/>
          <w:szCs w:val="14"/>
          <w:color w:val="auto"/>
        </w:rPr>
        <w:t xml:space="preserve">documented out-of-pocket costs and expenses incurred by Mercury, SpinCo or any of their respective Subsidiaries in connection with the Gold Financing, and (c) all interest expense incurred and fees paid by Mercury, SpinCo or any of their respective Subsidiaries with respect to any SpinCo Financing (whether pursuant to the Commitment Letter, the SpinCo Financing Agreements or otherwise) or any Permanent SpinCo Financing with respect to any period, or on any date, at or prior to the earlier of the Closing or the termination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“Financing Reimbursement Obligations” shall not include costs and expenses incurred by Mercury, SpinCo or any of their respective Subsidiaries in connection with the actions contemplated by </w:t>
      </w:r>
      <w:r>
        <w:rPr>
          <w:rFonts w:ascii="Times New Roman" w:cs="Times New Roman" w:eastAsia="Times New Roman" w:hAnsi="Times New Roman"/>
          <w:sz w:val="14"/>
          <w:szCs w:val="14"/>
          <w:u w:val="single" w:color="auto"/>
          <w:color w:val="auto"/>
        </w:rPr>
        <w:t>Section 7.5(k)</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Benefit Plan</w:t>
      </w:r>
      <w:r>
        <w:rPr>
          <w:rFonts w:ascii="Times New Roman" w:cs="Times New Roman" w:eastAsia="Times New Roman" w:hAnsi="Times New Roman"/>
          <w:sz w:val="14"/>
          <w:szCs w:val="14"/>
          <w:color w:val="auto"/>
        </w:rPr>
        <w:t>” shall mean any Benefit Plan that is primarily subject to the laws of a jurisdiction outside the United States.</w:t>
      </w:r>
    </w:p>
    <w:p>
      <w:pPr>
        <w:spacing w:after="0" w:line="175"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Investment Law</w:t>
      </w:r>
      <w:r>
        <w:rPr>
          <w:rFonts w:ascii="Times New Roman" w:cs="Times New Roman" w:eastAsia="Times New Roman" w:hAnsi="Times New Roman"/>
          <w:sz w:val="14"/>
          <w:szCs w:val="14"/>
          <w:color w:val="auto"/>
        </w:rPr>
        <w:t>” shall mean any federal, state, foreign, or supranational Law that is designed or intended to screen, prohibit, restrict or regulate investments on cultural, public order or safety, privacy, or national or economic security grounds.</w:t>
      </w:r>
    </w:p>
    <w:p>
      <w:pPr>
        <w:spacing w:after="0" w:line="125"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Fraud</w:t>
      </w:r>
      <w:r>
        <w:rPr>
          <w:rFonts w:ascii="Times New Roman" w:cs="Times New Roman" w:eastAsia="Times New Roman" w:hAnsi="Times New Roman"/>
          <w:sz w:val="14"/>
          <w:szCs w:val="14"/>
          <w:color w:val="auto"/>
        </w:rPr>
        <w:t xml:space="preserve">” shall mean any actual and intentional misrepresentation of a material fact by a Party in making the representations and warranties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as applicable, or in the certificate contemplated by </w:t>
      </w:r>
      <w:r>
        <w:rPr>
          <w:rFonts w:ascii="Times New Roman" w:cs="Times New Roman" w:eastAsia="Times New Roman" w:hAnsi="Times New Roman"/>
          <w:sz w:val="14"/>
          <w:szCs w:val="14"/>
          <w:u w:val="single" w:color="auto"/>
          <w:color w:val="auto"/>
        </w:rPr>
        <w:t>Section 8.2(c)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8.3(c)</w:t>
      </w:r>
      <w:r>
        <w:rPr>
          <w:rFonts w:ascii="Times New Roman" w:cs="Times New Roman" w:eastAsia="Times New Roman" w:hAnsi="Times New Roman"/>
          <w:sz w:val="14"/>
          <w:szCs w:val="14"/>
          <w:color w:val="auto"/>
        </w:rPr>
        <w:t>, as applicable, that constitutes actual common law fraud under the Laws of the State of Delaware, but does not include fraud based on constructive knowledge, negligent misrepresentation, recklessness or a similar theory.</w:t>
      </w:r>
    </w:p>
    <w:p>
      <w:pPr>
        <w:spacing w:after="0" w:line="141"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Fully Diluted Gold Shares</w:t>
      </w:r>
      <w:r>
        <w:rPr>
          <w:rFonts w:ascii="Times New Roman" w:cs="Times New Roman" w:eastAsia="Times New Roman" w:hAnsi="Times New Roman"/>
          <w:sz w:val="14"/>
          <w:szCs w:val="14"/>
          <w:color w:val="auto"/>
        </w:rPr>
        <w:t xml:space="preserve">” shall mean the sum of (a) the number of shares of Gold Common Stock outstanding as of the Determination Time </w:t>
      </w: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(b) the number of shares of Gold Common Stock underlying Gold Equity Awards as of the Determination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purposes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shares of Gold Common Stock underlying Gold RSU Awards and Gold PSU Awards will be calculated using the treasury stock method and performance awards will be calculated assuming performance goals are satisfied based on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-241300</wp:posOffset>
            </wp:positionV>
            <wp:extent cx="2222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19"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Fully Diluted SpinCo Shares</w:t>
      </w:r>
      <w:r>
        <w:rPr>
          <w:rFonts w:ascii="Times New Roman" w:cs="Times New Roman" w:eastAsia="Times New Roman" w:hAnsi="Times New Roman"/>
          <w:sz w:val="14"/>
          <w:szCs w:val="14"/>
          <w:color w:val="auto"/>
        </w:rPr>
        <w:t xml:space="preserve">” shall mean a number of shares of Gold Common Stock equal to (a) the Fully Diluted Gold Shares,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(b) a fraction equal to (i) 40%,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(ii) 60%.</w:t>
      </w:r>
    </w:p>
    <w:p>
      <w:pPr>
        <w:spacing w:after="0" w:line="1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shall mean generally accepted accounting principles in the United States, consistently applied.</w:t>
      </w:r>
    </w:p>
    <w:p>
      <w:pPr>
        <w:spacing w:after="0" w:line="175"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Affiliate Contract</w:t>
      </w:r>
      <w:r>
        <w:rPr>
          <w:rFonts w:ascii="Times New Roman" w:cs="Times New Roman" w:eastAsia="Times New Roman" w:hAnsi="Times New Roman"/>
          <w:sz w:val="14"/>
          <w:szCs w:val="14"/>
          <w:color w:val="auto"/>
        </w:rPr>
        <w:t>” shall mean any Contract, whether or not in writing, between any of Gold or any of the Gold Subsidiaries, on the one hand, and any present or former officer or director of Gold or any of the Gold Subsidiaries or “immediate family member” thereof (as defined in Rule 16a-1 under the Exchange Act), on the other hand.</w:t>
      </w:r>
    </w:p>
    <w:p>
      <w:pPr>
        <w:spacing w:after="0" w:line="136" w:lineRule="exact"/>
        <w:rPr>
          <w:sz w:val="20"/>
          <w:szCs w:val="20"/>
          <w:color w:val="auto"/>
        </w:rPr>
      </w:pPr>
    </w:p>
    <w:p>
      <w:pPr>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Benefit Plan</w:t>
      </w:r>
      <w:r>
        <w:rPr>
          <w:rFonts w:ascii="Times New Roman" w:cs="Times New Roman" w:eastAsia="Times New Roman" w:hAnsi="Times New Roman"/>
          <w:sz w:val="14"/>
          <w:szCs w:val="14"/>
          <w:color w:val="auto"/>
        </w:rPr>
        <w:t>” shall mean each Benefit Plan (a) that is maintained, sponsored, contributed to or entered into, by Gold or any of the Gold Subsidiaries, or to which Gold or any of the Gold Subsidiaries is required to contribute or (b) under or with respect to which Gold or any of its Subsidiaries has any Liability.</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Business</w:t>
      </w:r>
      <w:r>
        <w:rPr>
          <w:rFonts w:ascii="Times New Roman" w:cs="Times New Roman" w:eastAsia="Times New Roman" w:hAnsi="Times New Roman"/>
          <w:sz w:val="14"/>
          <w:szCs w:val="14"/>
          <w:color w:val="auto"/>
        </w:rPr>
        <w:t>” shall mean the businesses of Gold and the Gold Subsidiaries, as conducted as of the date hereof.</w:t>
      </w:r>
    </w:p>
    <w:p>
      <w:pPr>
        <w:spacing w:after="0" w:line="175"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Business Systems</w:t>
      </w:r>
      <w:r>
        <w:rPr>
          <w:rFonts w:ascii="Times New Roman" w:cs="Times New Roman" w:eastAsia="Times New Roman" w:hAnsi="Times New Roman"/>
          <w:sz w:val="14"/>
          <w:szCs w:val="14"/>
          <w:color w:val="auto"/>
        </w:rPr>
        <w:t>” shall mean the Information Technology and Software used or relied on by or for the operation of the Gold Business, including in each case any outsourced systems and processes.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Common Stock</w:t>
      </w:r>
      <w:r>
        <w:rPr>
          <w:rFonts w:ascii="Times New Roman" w:cs="Times New Roman" w:eastAsia="Times New Roman" w:hAnsi="Times New Roman"/>
          <w:sz w:val="14"/>
          <w:szCs w:val="14"/>
          <w:color w:val="auto"/>
        </w:rPr>
        <w:t>” shall mean the common stock, without par value, of Gold.</w:t>
      </w:r>
    </w:p>
    <w:p>
      <w:pPr>
        <w:spacing w:after="0" w:line="175"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Credit Agreement</w:t>
      </w:r>
      <w:r>
        <w:rPr>
          <w:rFonts w:ascii="Times New Roman" w:cs="Times New Roman" w:eastAsia="Times New Roman" w:hAnsi="Times New Roman"/>
          <w:sz w:val="14"/>
          <w:szCs w:val="14"/>
          <w:color w:val="auto"/>
        </w:rPr>
        <w:t>” shall mean the Second Amended and Restated Credit Agreement, dated as of June 10, 2022, by and among Gold, the other borrower parties from time to time party thereto, the lenders from</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10159"/>
          </w:cols>
          <w:pgMar w:left="300" w:top="386"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time to time party thereto and Bank of America, N.A., as administrative agent, as amended, restated, supplemented or otherwise modified from time to time.</w:t>
      </w:r>
    </w:p>
    <w:p>
      <w:pPr>
        <w:spacing w:after="0" w:line="125"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Datasite</w:t>
      </w:r>
      <w:r>
        <w:rPr>
          <w:rFonts w:ascii="Times New Roman" w:cs="Times New Roman" w:eastAsia="Times New Roman" w:hAnsi="Times New Roman"/>
          <w:sz w:val="14"/>
          <w:szCs w:val="14"/>
          <w:color w:val="auto"/>
        </w:rPr>
        <w:t>” shall mean the datasite established by Gold for purposes of due diligence of Gold and the Gold Subsidiaries and their respective businesses (including any “clean room” or similar subset of a datasite or folders in which access is restricted to certain Representatives of Mercury) located at www.intralinks.com.</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Disclosure Letter</w:t>
      </w:r>
      <w:r>
        <w:rPr>
          <w:rFonts w:ascii="Times New Roman" w:cs="Times New Roman" w:eastAsia="Times New Roman" w:hAnsi="Times New Roman"/>
          <w:sz w:val="14"/>
          <w:szCs w:val="14"/>
          <w:color w:val="auto"/>
        </w:rPr>
        <w:t>” shall mean the Disclosure Letter delivered by Gold to Mercury and SpinCo on the date hereof and identified as such.</w:t>
      </w:r>
    </w:p>
    <w:p>
      <w:pPr>
        <w:spacing w:after="0" w:line="175"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Distribution Tax Representations</w:t>
      </w:r>
      <w:r>
        <w:rPr>
          <w:rFonts w:ascii="Times New Roman" w:cs="Times New Roman" w:eastAsia="Times New Roman" w:hAnsi="Times New Roman"/>
          <w:sz w:val="14"/>
          <w:szCs w:val="14"/>
          <w:color w:val="auto"/>
        </w:rPr>
        <w:t>” shall mean the representations of an officer of Gold, dated as of the Closing Date, in form and substance reasonably satisfactory to Tax Counsel, delivered to Tax Counsel in connection with the Distribution Tax Opinion.</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Equity Awards</w:t>
      </w:r>
      <w:r>
        <w:rPr>
          <w:rFonts w:ascii="Times New Roman" w:cs="Times New Roman" w:eastAsia="Times New Roman" w:hAnsi="Times New Roman"/>
          <w:sz w:val="14"/>
          <w:szCs w:val="14"/>
          <w:color w:val="auto"/>
        </w:rPr>
        <w:t>” shall mean, collectively, all Gold RSU Awards, Gold Restricted Stock Awards and Gold PSU Awards.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Equity Incentive Plan</w:t>
      </w:r>
      <w:r>
        <w:rPr>
          <w:rFonts w:ascii="Times New Roman" w:cs="Times New Roman" w:eastAsia="Times New Roman" w:hAnsi="Times New Roman"/>
          <w:sz w:val="14"/>
          <w:szCs w:val="14"/>
          <w:color w:val="auto"/>
        </w:rPr>
        <w:t>” shall mean the Gold 2013 Equity Incentive Plan and the Gold 2023 Equity Incentive Plan.</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Intellectual Property</w:t>
      </w:r>
      <w:r>
        <w:rPr>
          <w:rFonts w:ascii="Times New Roman" w:cs="Times New Roman" w:eastAsia="Times New Roman" w:hAnsi="Times New Roman"/>
          <w:sz w:val="14"/>
          <w:szCs w:val="14"/>
          <w:color w:val="auto"/>
        </w:rPr>
        <w:t>” shall mean the Intellectual Property owned by Gold or any of its Subsidiaries.</w:t>
      </w:r>
    </w:p>
    <w:p>
      <w:pPr>
        <w:spacing w:after="0" w:line="175" w:lineRule="exact"/>
        <w:rPr>
          <w:sz w:val="20"/>
          <w:szCs w:val="20"/>
          <w:color w:val="auto"/>
        </w:rPr>
      </w:pPr>
    </w:p>
    <w:p>
      <w:pPr>
        <w:ind w:left="1360" w:right="259" w:firstLine="343"/>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Material Adverse Effect</w:t>
      </w:r>
      <w:r>
        <w:rPr>
          <w:rFonts w:ascii="Times New Roman" w:cs="Times New Roman" w:eastAsia="Times New Roman" w:hAnsi="Times New Roman"/>
          <w:sz w:val="14"/>
          <w:szCs w:val="14"/>
          <w:color w:val="auto"/>
        </w:rPr>
        <w:t xml:space="preserve">” shall mean any change, event, development, occurrence or effect that has, individually or in the aggregate, a material adverse effect on the business, financial condition or results of operations of Gold and the Gold Subsidiaries, taken as a whole;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none of the following shall be deemed in themselves, either alone or in combination, to constitute, and none of the following shall be taken into account in determining whether there has been or would reasonably be expected to be a Gold Material Adverse Effect: (a) any change resulting from general market, economic, financial, capital markets or regulatory conditions, (b) any general change in the credit, debt, financial or capital markets or changes in interest or exchange rates, (c) any change in applicable Law or GAAP (or, in each case, authoritative interpretations thereof), (d) any change resulting from any hurricane, flood, tornado, earthquake or other natural disaster or weather-related event, or other force majeure event, any epidemic, pandemic or disease, or any worsening thereof, (e) 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(f) any change generally affecting the industries in which Gold and the Gold Subsidiaries operate, (g) any change resulting from the execution of this Agreement or the Separation Agreement or the announcement or the pendency of the Merger or the Separation, including, to the extent resulting therefrom, any actions of or loss of customers, suppliers, distributors, employees or other material business relationships (including any cancellation or delay in customer orders or any termination of or adverse change to any Contract effected or proposed by any customer, supplier, distributor or other counterparty)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(g)</w:t>
      </w:r>
      <w:r>
        <w:rPr>
          <w:rFonts w:ascii="Times New Roman" w:cs="Times New Roman" w:eastAsia="Times New Roman" w:hAnsi="Times New Roman"/>
          <w:sz w:val="14"/>
          <w:szCs w:val="14"/>
          <w:color w:val="auto"/>
        </w:rPr>
        <w:t xml:space="preserve"> shall not apply to any representation or warranty to the extent the purpose of such representation or warranty is to address, as applicable, the consequences resulting from the execution of this Agreement or the Separation Agreement or the announcement or the pendency of the Merger or the Separation), (h) any change in Gold’s stock price or the trading volume of Gold’s stock or any change in the credit rating of Gold (but not, in each case, the underlying cause of any such change, unless such underlying cause would otherwise be excepted by another clause of this definition), (i) any change resulting from any action required to be taken by the terms of this Agreement (other than pursuant to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(j) any change in or the imposition of any tariff, or any action relating to any trade dispute, or change in funding policies of or spending by any Governmental Authority, (k) any failure to meet internal or analysts’ expectations, projections or results of operations (but not, in each case, the underlying cause of any such failure, unless such underlying cause would otherwise be excepted by another clause of this definition) or (l) any shareholder or derivative litigation arising from or relating to this Agreement or the transactions contemplated hereby;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case of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-2158365</wp:posOffset>
            </wp:positionV>
            <wp:extent cx="2222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22225" cy="698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-983615</wp:posOffset>
            </wp:positionV>
            <wp:extent cx="22225"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0159"/>
          </w:cols>
          <w:pgMar w:left="300" w:top="386"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(j)</w:t>
      </w:r>
      <w:r>
        <w:rPr>
          <w:rFonts w:ascii="Times New Roman" w:cs="Times New Roman" w:eastAsia="Times New Roman" w:hAnsi="Times New Roman"/>
          <w:sz w:val="14"/>
          <w:szCs w:val="14"/>
          <w:color w:val="auto"/>
        </w:rPr>
        <w:t>, if any such change, event, development, condition, occurrence or effect disproportionately impacts Gold and the Gold Subsidiaries, taken as a whole, as compared to other participants in the industries in which Gold and the Gold Subsidiaries operate, the incremental disproportionate impact thereof may be taken into account in determining whether a Gold Material Adverse Effect has occurred or would reasonably be expected to occur.</w:t>
      </w:r>
    </w:p>
    <w:p>
      <w:pPr>
        <w:spacing w:after="0" w:line="14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Merger Tax Representations</w:t>
      </w:r>
      <w:r>
        <w:rPr>
          <w:rFonts w:ascii="Times New Roman" w:cs="Times New Roman" w:eastAsia="Times New Roman" w:hAnsi="Times New Roman"/>
          <w:sz w:val="14"/>
          <w:szCs w:val="14"/>
          <w:color w:val="auto"/>
        </w:rPr>
        <w:t xml:space="preserve">” shall mean the representations of an officer of Gold, dated as of the Closing Date, in substantially the form set forth in </w:t>
      </w:r>
      <w:r>
        <w:rPr>
          <w:rFonts w:ascii="Times New Roman" w:cs="Times New Roman" w:eastAsia="Times New Roman" w:hAnsi="Times New Roman"/>
          <w:sz w:val="14"/>
          <w:szCs w:val="14"/>
          <w:u w:val="single" w:color="auto"/>
          <w:color w:val="auto"/>
        </w:rPr>
        <w:t>Section 7.2(c)</w:t>
      </w:r>
      <w:r>
        <w:rPr>
          <w:rFonts w:ascii="Times New Roman" w:cs="Times New Roman" w:eastAsia="Times New Roman" w:hAnsi="Times New Roman"/>
          <w:sz w:val="14"/>
          <w:szCs w:val="14"/>
          <w:color w:val="auto"/>
        </w:rPr>
        <w:t xml:space="preserve"> of the Gold Disclosure Letter (with any modifications reasonably requested by Tax Counsel or Gold Tax Counsel), delivered to Tax Counsel and Gold Tax Counsel in connection with the Merger Tax Opinions.</w:t>
      </w:r>
    </w:p>
    <w:p>
      <w:pPr>
        <w:spacing w:after="0" w:line="136" w:lineRule="exact"/>
        <w:rPr>
          <w:sz w:val="20"/>
          <w:szCs w:val="20"/>
          <w:color w:val="auto"/>
        </w:rPr>
      </w:pPr>
    </w:p>
    <w:p>
      <w:pPr>
        <w:ind w:left="1360" w:right="399" w:firstLine="343"/>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Overlap Ownership Percentage</w:t>
      </w:r>
      <w:r>
        <w:rPr>
          <w:rFonts w:ascii="Times New Roman" w:cs="Times New Roman" w:eastAsia="Times New Roman" w:hAnsi="Times New Roman"/>
          <w:sz w:val="14"/>
          <w:szCs w:val="14"/>
          <w:color w:val="auto"/>
        </w:rPr>
        <w:t xml:space="preserve">” shall mean, with respect to any Overlap Shareholder, the fraction obtained by dividing (a) the number of shares of Gold Common Stock that will be owned directly or indirectly by such Overlap Shareholder immediately following the Effective Time (calculated pursuant to this Agreement and in accordance with the methodology set forth in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but excluding any shares of Gold Common Stock issued pursuant to the Merger in exchange for shares of SpinCo Common Stock that do not constitute Qualified SpinCo Common Stock) </w:t>
      </w:r>
      <w:r>
        <w:rPr>
          <w:rFonts w:ascii="Times New Roman" w:cs="Times New Roman" w:eastAsia="Times New Roman" w:hAnsi="Times New Roman"/>
          <w:sz w:val="14"/>
          <w:szCs w:val="14"/>
          <w:i w:val="1"/>
          <w:iCs w:val="1"/>
          <w:color w:val="auto"/>
        </w:rPr>
        <w:t>by</w:t>
      </w:r>
    </w:p>
    <w:p>
      <w:pPr>
        <w:spacing w:after="0" w:line="1" w:lineRule="exact"/>
        <w:rPr>
          <w:sz w:val="20"/>
          <w:szCs w:val="20"/>
          <w:color w:val="auto"/>
        </w:rPr>
      </w:pPr>
    </w:p>
    <w:p>
      <w:pPr>
        <w:ind w:left="1360" w:right="379" w:hanging="5"/>
        <w:spacing w:after="0" w:line="261" w:lineRule="auto"/>
        <w:tabs>
          <w:tab w:leader="none" w:pos="1558"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Gold Common Stock that will be issued and outstanding immediately following the Effective Time (calculated pursuant to this Agreement).</w:t>
      </w:r>
    </w:p>
    <w:p>
      <w:pPr>
        <w:spacing w:after="0" w:line="14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PSU Award</w:t>
      </w:r>
      <w:r>
        <w:rPr>
          <w:rFonts w:ascii="Times New Roman" w:cs="Times New Roman" w:eastAsia="Times New Roman" w:hAnsi="Times New Roman"/>
          <w:sz w:val="14"/>
          <w:szCs w:val="14"/>
          <w:color w:val="auto"/>
        </w:rPr>
        <w:t>” shall mean a restricted stock unit award subject to performance-vesting conditions granted under a Gold Equity Incentive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Plan.</w:t>
      </w:r>
    </w:p>
    <w:p>
      <w:pPr>
        <w:spacing w:after="0" w:line="161"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Registration Statement</w:t>
      </w:r>
      <w:r>
        <w:rPr>
          <w:rFonts w:ascii="Times New Roman" w:cs="Times New Roman" w:eastAsia="Times New Roman" w:hAnsi="Times New Roman"/>
          <w:sz w:val="14"/>
          <w:szCs w:val="14"/>
          <w:color w:val="auto"/>
        </w:rPr>
        <w:t>” shall mean the registration statement on Form S-4 to be filed or confidentially submitted by Gold with the SEC to effect the registration under the Securities Act of the issuance of the shares of Gold Common Stock that will be issued to holders of SpinCo Common Stock pursuant to the Merger (as amended and supplemented from time to time).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Restricted Stock Award</w:t>
      </w:r>
      <w:r>
        <w:rPr>
          <w:rFonts w:ascii="Times New Roman" w:cs="Times New Roman" w:eastAsia="Times New Roman" w:hAnsi="Times New Roman"/>
          <w:sz w:val="14"/>
          <w:szCs w:val="14"/>
          <w:color w:val="auto"/>
        </w:rPr>
        <w:t>” shall mean a restricted stock award granted under a Gold Equity Incentive Plan.</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RSU Award</w:t>
      </w:r>
      <w:r>
        <w:rPr>
          <w:rFonts w:ascii="Times New Roman" w:cs="Times New Roman" w:eastAsia="Times New Roman" w:hAnsi="Times New Roman"/>
          <w:sz w:val="14"/>
          <w:szCs w:val="14"/>
          <w:color w:val="auto"/>
        </w:rPr>
        <w:t>” shall mean a restricted stock unit award granted under a Gold Equity Incentive Plan that is not a Gold PSU Award.</w:t>
      </w:r>
    </w:p>
    <w:p>
      <w:pPr>
        <w:spacing w:after="0" w:line="175"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SEC Documents</w:t>
      </w:r>
      <w:r>
        <w:rPr>
          <w:rFonts w:ascii="Times New Roman" w:cs="Times New Roman" w:eastAsia="Times New Roman" w:hAnsi="Times New Roman"/>
          <w:sz w:val="14"/>
          <w:szCs w:val="14"/>
          <w:color w:val="auto"/>
        </w:rPr>
        <w:t>” shall mean all forms, reports, schedules, statements and other documents required to be filed or furnished by Gold with the SEC since January 1, 2024.</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Share Issuance</w:t>
      </w:r>
      <w:r>
        <w:rPr>
          <w:rFonts w:ascii="Times New Roman" w:cs="Times New Roman" w:eastAsia="Times New Roman" w:hAnsi="Times New Roman"/>
          <w:sz w:val="14"/>
          <w:szCs w:val="14"/>
          <w:color w:val="auto"/>
        </w:rPr>
        <w:t>” shall mean the issuance of the shares of Gold Common Stock in the Merger.</w:t>
      </w:r>
    </w:p>
    <w:p>
      <w:pPr>
        <w:spacing w:after="0" w:line="175"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Shareholder Approval</w:t>
      </w:r>
      <w:r>
        <w:rPr>
          <w:rFonts w:ascii="Times New Roman" w:cs="Times New Roman" w:eastAsia="Times New Roman" w:hAnsi="Times New Roman"/>
          <w:sz w:val="14"/>
          <w:szCs w:val="14"/>
          <w:color w:val="auto"/>
        </w:rPr>
        <w:t>” shall mean (i) the approval of the Gold Share Issuance at the Gold Shareholders Meeting by the affirmative vote of a majority of the total votes cast by the holders of Gold Common Stock entitled to vote thereon and (ii) the approval of the Gold Charter Amendment at the Gold Shareholders Meeting by the affirmative vote of a majority of the shares of Gold Common Stock outstanding and entitled to vote thereon.</w:t>
      </w:r>
    </w:p>
    <w:p>
      <w:pPr>
        <w:spacing w:after="0" w:line="136"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Subsidiaries</w:t>
      </w:r>
      <w:r>
        <w:rPr>
          <w:rFonts w:ascii="Times New Roman" w:cs="Times New Roman" w:eastAsia="Times New Roman" w:hAnsi="Times New Roman"/>
          <w:sz w:val="14"/>
          <w:szCs w:val="14"/>
          <w:color w:val="auto"/>
        </w:rPr>
        <w:t>” shall mean all direct and indirect Subsidiaries of Gold. Following the Effective Time, the Gold Subsidiaries shall include SpinCo and the SpinCo Subsidiaries.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Tax Counsel</w:t>
      </w:r>
      <w:r>
        <w:rPr>
          <w:rFonts w:ascii="Times New Roman" w:cs="Times New Roman" w:eastAsia="Times New Roman" w:hAnsi="Times New Roman"/>
          <w:sz w:val="14"/>
          <w:szCs w:val="14"/>
          <w:color w:val="auto"/>
        </w:rPr>
        <w:t>” shall mean Gold’s outside tax counsel, Latham &amp; Watkins LLP.</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Tax Representations</w:t>
      </w:r>
      <w:r>
        <w:rPr>
          <w:rFonts w:ascii="Times New Roman" w:cs="Times New Roman" w:eastAsia="Times New Roman" w:hAnsi="Times New Roman"/>
          <w:sz w:val="14"/>
          <w:szCs w:val="14"/>
          <w:color w:val="auto"/>
        </w:rPr>
        <w:t>” shall mean the Gold Distribution Tax Representations and the Gold Merger Tax Representations.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10159"/>
          </w:cols>
          <w:pgMar w:left="300" w:top="386"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1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shall mean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HSR Act</w:t>
      </w:r>
      <w:r>
        <w:rPr>
          <w:rFonts w:ascii="Times New Roman" w:cs="Times New Roman" w:eastAsia="Times New Roman" w:hAnsi="Times New Roman"/>
          <w:sz w:val="14"/>
          <w:szCs w:val="14"/>
          <w:color w:val="auto"/>
        </w:rPr>
        <w:t>” shall mean the Hart-Scott-Rodino Antitrust Improvements Act of 1976 and the rules and regulations promulgated thereunder.</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Information Technology</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 Matters Agreement</w:t>
      </w:r>
      <w:r>
        <w:rPr>
          <w:rFonts w:ascii="Times New Roman" w:cs="Times New Roman" w:eastAsia="Times New Roman" w:hAnsi="Times New Roman"/>
          <w:sz w:val="14"/>
          <w:szCs w:val="14"/>
          <w:color w:val="auto"/>
        </w:rPr>
        <w:t xml:space="preserve">” shall mean an Intellectual Property Matters Agreement in substantially the form attached hereto as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as such agreement may be amended, restated, modified or supplemented from time to time in accordance with its terms.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Interests</w:t>
      </w:r>
      <w:r>
        <w:rPr>
          <w:rFonts w:ascii="Times New Roman" w:cs="Times New Roman" w:eastAsia="Times New Roman" w:hAnsi="Times New Roman"/>
          <w:sz w:val="14"/>
          <w:szCs w:val="14"/>
          <w:color w:val="auto"/>
        </w:rPr>
        <w:t>” shall mean shares, partnership interests, limited liability company interests or any other equity interest in any Person.</w:t>
      </w:r>
    </w:p>
    <w:p>
      <w:pPr>
        <w:spacing w:after="0" w:line="175"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Intervening Event</w:t>
      </w:r>
      <w:r>
        <w:rPr>
          <w:rFonts w:ascii="Times New Roman" w:cs="Times New Roman" w:eastAsia="Times New Roman" w:hAnsi="Times New Roman"/>
          <w:sz w:val="14"/>
          <w:szCs w:val="14"/>
          <w:color w:val="auto"/>
        </w:rPr>
        <w:t xml:space="preserve">” shall mean any change, event, development or occurrence with respect to Gold that is material to Gold and its Subsidiaries (taken as a whole) which was not known by or was not reasonably foreseeable to, the Gold Board as of the date of this Agreement (or which was known or reasonably foreseeable but in respect of which the probability or magnitude of the consequences were neither known nor reasonably foreseeable as of the date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no event shall (a) the receipt, existence or terms of a Competing Proposal or Superior Proposal, (b) any events, developments, occurrences or changes in circumstances of Mercury or the members of the SpinCo Group, including any event, development or occurrence that results from the announcement, pendency and consummation of this Agreement or the Transaction or any actions required to be taken or to be refrained from being taken pursuant to this Agreement, (c) the status of the Merger under the HSR Act or of any of the other Requisite Regulatory Approvals, (d) any change in the price, or change in trading volume, of Gold Common Stock, or any change in the credit rating of Gold (it being understood that the underlying facts giving rise or contributing to such change may be taken into account in determining whether there has been an Intervening Event, to the extent not otherwise expressly prohibited by this definition), (e) the fact in and of itself that Gold met or exceeded internal or analysts’ expectations, projections, forecasts, guidance, estimates, budgets or results of operations (it being understood that the underlying facts giving rise or contributing to such event may be taken into account in determining whether there has been an Intervening Event, to the extent not otherwise expressly prohibited by this definition) or (f) changes in general economic, political or financial conditions or markets (including changes in interest rates, exchange rates, stock, bond or debt prices), constitute or be deemed to contribute to an Intervening Event.</w:t>
      </w:r>
    </w:p>
    <w:p>
      <w:pPr>
        <w:spacing w:after="0" w:line="1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shall mean the U.S. Internal Revenue Service.</w:t>
      </w:r>
    </w:p>
    <w:p>
      <w:pPr>
        <w:spacing w:after="0" w:line="17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IRS Ruling</w:t>
      </w:r>
      <w:r>
        <w:rPr>
          <w:rFonts w:ascii="Times New Roman" w:cs="Times New Roman" w:eastAsia="Times New Roman" w:hAnsi="Times New Roman"/>
          <w:sz w:val="14"/>
          <w:szCs w:val="14"/>
          <w:color w:val="auto"/>
        </w:rPr>
        <w:t xml:space="preserve">” shall mean a private letter ruling from the IRS received by Mercury after the date hereof regarding such matters germane to the U.S. federal income Tax consequences of the Reorganization, Contribution, Distribution and Merger and any related transactions as Mercury and Gold may determine in accordance with </w:t>
      </w:r>
      <w:r>
        <w:rPr>
          <w:rFonts w:ascii="Times New Roman" w:cs="Times New Roman" w:eastAsia="Times New Roman" w:hAnsi="Times New Roman"/>
          <w:sz w:val="14"/>
          <w:szCs w:val="14"/>
          <w:u w:val="single" w:color="auto"/>
          <w:color w:val="auto"/>
        </w:rPr>
        <w:t>Section 7.2(h)</w:t>
      </w:r>
      <w:r>
        <w:rPr>
          <w:rFonts w:ascii="Times New Roman" w:cs="Times New Roman" w:eastAsia="Times New Roman" w:hAnsi="Times New Roman"/>
          <w:sz w:val="14"/>
          <w:szCs w:val="14"/>
          <w:color w:val="auto"/>
        </w:rPr>
        <w:t xml:space="preserve">, including any matters included in the initial formal private letter ruling request (as distinguished from any pre-submission conference memorandum) submitted by Mercury pursuant to </w:t>
      </w:r>
      <w:r>
        <w:rPr>
          <w:rFonts w:ascii="Times New Roman" w:cs="Times New Roman" w:eastAsia="Times New Roman" w:hAnsi="Times New Roman"/>
          <w:sz w:val="14"/>
          <w:szCs w:val="14"/>
          <w:u w:val="single" w:color="auto"/>
          <w:color w:val="auto"/>
        </w:rPr>
        <w:t>Section 7.2(h)</w:t>
      </w:r>
      <w:r>
        <w:rPr>
          <w:rFonts w:ascii="Times New Roman" w:cs="Times New Roman" w:eastAsia="Times New Roman" w:hAnsi="Times New Roman"/>
          <w:sz w:val="14"/>
          <w:szCs w:val="14"/>
          <w:color w:val="auto"/>
        </w:rPr>
        <w:t xml:space="preserve"> and any supplemental requests or information submissions by Mercury with respect to modifications requested by, or needed or appropriate to accommodate or respond to, the IRS after such initial formal request, which private letter ruling (a) shall include rulings substantively similar to the rulings contained</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A-8</w:t>
      </w:r>
    </w:p>
    <w:p>
      <w:pPr>
        <w:sectPr>
          <w:pgSz w:w="11900" w:h="16838" w:orient="portrait"/>
          <w:cols w:equalWidth="0" w:num="1">
            <w:col w:w="10159"/>
          </w:cols>
          <w:pgMar w:left="300" w:top="386"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in IRS Private Letter Ruling 202145020, including with respect to the “Overlap Counting Principles” described therein, except the rulings shall also permit Mercury to rely on voluntary disclosures to investment research companies in determining the share ownership by “Overlapping Shareholders,” and (b) shall not impose an obligation to review investor websites or other sources of information to gather information at a time following the beginning of the day on the date that is two (2) Business Days prior to the Closing Date.</w:t>
      </w:r>
    </w:p>
    <w:p>
      <w:pPr>
        <w:spacing w:after="0" w:line="141"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IRS Ruling Request</w:t>
      </w:r>
      <w:r>
        <w:rPr>
          <w:rFonts w:ascii="Times New Roman" w:cs="Times New Roman" w:eastAsia="Times New Roman" w:hAnsi="Times New Roman"/>
          <w:sz w:val="14"/>
          <w:szCs w:val="14"/>
          <w:color w:val="auto"/>
        </w:rPr>
        <w:t>” shall mean a formal request (as distinguished from any pre-submission conference memorandum) for the IRS Ruling that will be submitted by Mercury to the IRS.</w:t>
      </w:r>
    </w:p>
    <w:p>
      <w:pPr>
        <w:spacing w:after="0" w:line="125"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Knowledge</w:t>
      </w:r>
      <w:r>
        <w:rPr>
          <w:rFonts w:ascii="Times New Roman" w:cs="Times New Roman" w:eastAsia="Times New Roman" w:hAnsi="Times New Roman"/>
          <w:sz w:val="14"/>
          <w:szCs w:val="14"/>
          <w:color w:val="auto"/>
        </w:rPr>
        <w:t xml:space="preserve">” shall mean (a) with respect to Mercury, the actual knowledge of the persons set forth in </w:t>
      </w:r>
      <w:r>
        <w:rPr>
          <w:rFonts w:ascii="Times New Roman" w:cs="Times New Roman" w:eastAsia="Times New Roman" w:hAnsi="Times New Roman"/>
          <w:sz w:val="14"/>
          <w:szCs w:val="14"/>
          <w:u w:val="single" w:color="auto"/>
          <w:color w:val="auto"/>
        </w:rPr>
        <w:t>Section 1.1(a)</w:t>
      </w:r>
      <w:r>
        <w:rPr>
          <w:rFonts w:ascii="Times New Roman" w:cs="Times New Roman" w:eastAsia="Times New Roman" w:hAnsi="Times New Roman"/>
          <w:sz w:val="14"/>
          <w:szCs w:val="14"/>
          <w:color w:val="auto"/>
        </w:rPr>
        <w:t xml:space="preserve"> of the SpinCo Disclosure Letter, (b) with respect to SpinCo, the actual knowledge of the persons set forth in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xml:space="preserve"> of the SpinCo Disclosure Letter, and (c) with respect to Gold, the actual knowledge of the persons set forth in </w:t>
      </w:r>
      <w:r>
        <w:rPr>
          <w:rFonts w:ascii="Times New Roman" w:cs="Times New Roman" w:eastAsia="Times New Roman" w:hAnsi="Times New Roman"/>
          <w:sz w:val="14"/>
          <w:szCs w:val="14"/>
          <w:u w:val="single" w:color="auto"/>
          <w:color w:val="auto"/>
        </w:rPr>
        <w:t>Section 1.1(a)</w:t>
      </w:r>
      <w:r>
        <w:rPr>
          <w:rFonts w:ascii="Times New Roman" w:cs="Times New Roman" w:eastAsia="Times New Roman" w:hAnsi="Times New Roman"/>
          <w:sz w:val="14"/>
          <w:szCs w:val="14"/>
          <w:color w:val="auto"/>
        </w:rPr>
        <w:t xml:space="preserve"> of the Gold Disclosure Letter.</w:t>
      </w:r>
    </w:p>
    <w:p>
      <w:pPr>
        <w:spacing w:after="0" w:line="136" w:lineRule="exact"/>
        <w:rPr>
          <w:sz w:val="20"/>
          <w:szCs w:val="20"/>
          <w:color w:val="auto"/>
        </w:rPr>
      </w:pPr>
    </w:p>
    <w:p>
      <w:pPr>
        <w:ind w:left="1360" w:right="6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shall mean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41"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Lease Agreement</w:t>
      </w:r>
      <w:r>
        <w:rPr>
          <w:rFonts w:ascii="Times New Roman" w:cs="Times New Roman" w:eastAsia="Times New Roman" w:hAnsi="Times New Roman"/>
          <w:sz w:val="14"/>
          <w:szCs w:val="14"/>
          <w:color w:val="auto"/>
        </w:rPr>
        <w:t xml:space="preserve">” shall mean a Lease Agreement in substantially the form attached hereto as </w:t>
      </w:r>
      <w:r>
        <w:rPr>
          <w:rFonts w:ascii="Times New Roman" w:cs="Times New Roman" w:eastAsia="Times New Roman" w:hAnsi="Times New Roman"/>
          <w:sz w:val="14"/>
          <w:szCs w:val="14"/>
          <w:u w:val="single" w:color="auto"/>
          <w:color w:val="auto"/>
        </w:rPr>
        <w:t>Exhibit G</w:t>
      </w:r>
      <w:r>
        <w:rPr>
          <w:rFonts w:ascii="Times New Roman" w:cs="Times New Roman" w:eastAsia="Times New Roman" w:hAnsi="Times New Roman"/>
          <w:sz w:val="14"/>
          <w:szCs w:val="14"/>
          <w:color w:val="auto"/>
        </w:rPr>
        <w:t>, as such agreement may be amended, restated, modified or supplemented from time to time in accordance with its terms.</w:t>
      </w:r>
    </w:p>
    <w:p>
      <w:pPr>
        <w:spacing w:after="0" w:line="125"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 Parties</w:t>
      </w:r>
      <w:r>
        <w:rPr>
          <w:rFonts w:ascii="Times New Roman" w:cs="Times New Roman" w:eastAsia="Times New Roman" w:hAnsi="Times New Roman"/>
          <w:sz w:val="14"/>
          <w:szCs w:val="14"/>
          <w:color w:val="auto"/>
        </w:rPr>
        <w:t>” shall mean (i) the Lenders, together with their Affiliates, and their Affiliates’ current or future officers, directors, employees, agents, Representatives, stockholders, limited partners, managers, members or partners and (ii) the permitted successors and assigns of each of the Persons described in the foregoing clause (i), in each case in their respective capacities as such.</w:t>
      </w:r>
    </w:p>
    <w:p>
      <w:pPr>
        <w:spacing w:after="0" w:line="136" w:lineRule="exact"/>
        <w:rPr>
          <w:sz w:val="20"/>
          <w:szCs w:val="20"/>
          <w:color w:val="auto"/>
        </w:rPr>
      </w:pPr>
    </w:p>
    <w:p>
      <w:pPr>
        <w:ind w:left="1360" w:right="45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Lenders</w:t>
      </w:r>
      <w:r>
        <w:rPr>
          <w:rFonts w:ascii="Times New Roman" w:cs="Times New Roman" w:eastAsia="Times New Roman" w:hAnsi="Times New Roman"/>
          <w:sz w:val="14"/>
          <w:szCs w:val="14"/>
          <w:color w:val="auto"/>
        </w:rPr>
        <w:t>” shall mean the entities (including commitment parties, agents, co-agents, lenders, arrangers, bookrunners, underwriters, financial institutions, investors or similar debt financing sources) that have committed or commit, after the date hereof, to provide or otherwise enter into agreements as lenders in connection with the Gold Financing, the SpinCo Financing or the Permanent SpinCo Financing, including the Commitment Letter and any joinder agreements, credit agreements or similar definitive financing documents entered into pursuant to the Commitment Letter or relating thereto.</w:t>
      </w:r>
    </w:p>
    <w:p>
      <w:pPr>
        <w:spacing w:after="0" w:line="144"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Liability</w:t>
      </w:r>
      <w:r>
        <w:rPr>
          <w:rFonts w:ascii="Times New Roman" w:cs="Times New Roman" w:eastAsia="Times New Roman" w:hAnsi="Times New Roman"/>
          <w:sz w:val="14"/>
          <w:szCs w:val="14"/>
          <w:color w:val="auto"/>
        </w:rPr>
        <w:t>” shall mean all debts, guarantees, assurances, commitments, liabilities, responsibilities, Losses,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connection therewith, in each case, including all costs and expenses relating thereto.</w:t>
      </w:r>
    </w:p>
    <w:p>
      <w:pPr>
        <w:spacing w:after="0" w:line="144" w:lineRule="exact"/>
        <w:rPr>
          <w:sz w:val="20"/>
          <w:szCs w:val="20"/>
          <w:color w:val="auto"/>
        </w:rPr>
      </w:pPr>
    </w:p>
    <w:p>
      <w:pPr>
        <w:ind w:left="1360" w:right="5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shall mean any mortgage, deed of trust, pledge, hypothecation, encumbrance, easement, license, purchase option, right of first refusal, security interest or other lien of any kind.</w:t>
      </w:r>
    </w:p>
    <w:p>
      <w:pPr>
        <w:spacing w:after="0" w:line="125" w:lineRule="exact"/>
        <w:rPr>
          <w:sz w:val="20"/>
          <w:szCs w:val="20"/>
          <w:color w:val="auto"/>
        </w:rPr>
      </w:pPr>
    </w:p>
    <w:p>
      <w:pPr>
        <w:ind w:left="1360" w:right="2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Losses</w:t>
      </w:r>
      <w:r>
        <w:rPr>
          <w:rFonts w:ascii="Times New Roman" w:cs="Times New Roman" w:eastAsia="Times New Roman" w:hAnsi="Times New Roman"/>
          <w:sz w:val="14"/>
          <w:szCs w:val="14"/>
          <w:color w:val="auto"/>
        </w:rPr>
        <w:t>” shall mean actual losses (including any diminution in value), costs, damages, penalties and expenses (including legal and accounting fees and expenses and costs of investigation and litigation).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A-9</w:t>
      </w:r>
    </w:p>
    <w:p>
      <w:pPr>
        <w:sectPr>
          <w:pgSz w:w="11900" w:h="16838" w:orient="portrait"/>
          <w:cols w:equalWidth="0" w:num="1">
            <w:col w:w="10159"/>
          </w:cols>
          <w:pgMar w:left="300" w:top="386"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Assets</w:t>
      </w:r>
      <w:r>
        <w:rPr>
          <w:rFonts w:ascii="Times New Roman" w:cs="Times New Roman" w:eastAsia="Times New Roman" w:hAnsi="Times New Roman"/>
          <w:sz w:val="14"/>
          <w:szCs w:val="14"/>
          <w:color w:val="auto"/>
        </w:rPr>
        <w:t>” has the meaning set forth in the definition of “Company Assets” in the Separation Agreement.</w:t>
      </w:r>
    </w:p>
    <w:p>
      <w:pPr>
        <w:spacing w:after="0" w:line="175" w:lineRule="exact"/>
        <w:rPr>
          <w:sz w:val="20"/>
          <w:szCs w:val="20"/>
          <w:color w:val="auto"/>
        </w:rPr>
      </w:pPr>
    </w:p>
    <w:p>
      <w:pPr>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Benefit Plan</w:t>
      </w:r>
      <w:r>
        <w:rPr>
          <w:rFonts w:ascii="Times New Roman" w:cs="Times New Roman" w:eastAsia="Times New Roman" w:hAnsi="Times New Roman"/>
          <w:sz w:val="14"/>
          <w:szCs w:val="14"/>
          <w:color w:val="auto"/>
        </w:rPr>
        <w:t>” shall mean each Benefit Plan (a) that is maintained, sponsored, contributed to or entered into by Mercury or any of its Affiliates (including SpinCo and its Subsidiaries) or to which Mercury or any of its Affiliates (including SpinCo and its Subsidiaries) is required to contribute, in each case for the benefit of any SpinCo Group Employee or any other current or former director, officer, consultant, employee or other individual service provider of the SpinCo Business or (b) under or with respect to which SpinCo has any Liability.</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Business</w:t>
      </w:r>
      <w:r>
        <w:rPr>
          <w:rFonts w:ascii="Times New Roman" w:cs="Times New Roman" w:eastAsia="Times New Roman" w:hAnsi="Times New Roman"/>
          <w:sz w:val="14"/>
          <w:szCs w:val="14"/>
          <w:color w:val="auto"/>
        </w:rPr>
        <w:t>” has the meaning set forth in the definition of “Company Business”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Common Stock</w:t>
      </w:r>
      <w:r>
        <w:rPr>
          <w:rFonts w:ascii="Times New Roman" w:cs="Times New Roman" w:eastAsia="Times New Roman" w:hAnsi="Times New Roman"/>
          <w:sz w:val="14"/>
          <w:szCs w:val="14"/>
          <w:color w:val="auto"/>
        </w:rPr>
        <w:t>” shall mean the common stock, $0.625 par value per share, of Mercury.</w:t>
      </w:r>
    </w:p>
    <w:p>
      <w:pPr>
        <w:spacing w:after="0" w:line="17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Credit Agreement</w:t>
      </w:r>
      <w:r>
        <w:rPr>
          <w:rFonts w:ascii="Times New Roman" w:cs="Times New Roman" w:eastAsia="Times New Roman" w:hAnsi="Times New Roman"/>
          <w:sz w:val="14"/>
          <w:szCs w:val="14"/>
          <w:color w:val="auto"/>
        </w:rPr>
        <w:t>” shall mean that certain Sixth Amended and Restated Credit Agreement, dated as of July 10, 2025, by and among Mercury, the other borrowers from time to time party thereto, the lenders from time to time party thereto and JPMorgan Chase Bank, N.A., as administrative agent and collateral agent, as amended, restated, supplemented or otherwise modified from time to time (including Amendment No. 1 to Credit Agreement, dated as of December 23, 2025).</w:t>
      </w:r>
    </w:p>
    <w:p>
      <w:pPr>
        <w:spacing w:after="0" w:line="141"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Combined Tax Return</w:t>
      </w:r>
      <w:r>
        <w:rPr>
          <w:rFonts w:ascii="Times New Roman" w:cs="Times New Roman" w:eastAsia="Times New Roman" w:hAnsi="Times New Roman"/>
          <w:sz w:val="14"/>
          <w:szCs w:val="14"/>
          <w:color w:val="auto"/>
        </w:rPr>
        <w:t>” shall mean any combined, consolidated, affiliated, unitary or similar Tax Return that includes Mercury or any of its Affiliates (other than the members of the SpinCo Group), on the one hand, and any of SpinCo or the SpinCo Subsidiaries, on the other hand, it being understood that a Tax Return claiming group relief or similar sharing of Tax losses or other attributes (or surrendering) shall not, by virtue of such claiming, be considered a Mercury Combined Tax Return.</w:t>
      </w:r>
    </w:p>
    <w:p>
      <w:pPr>
        <w:spacing w:after="0" w:line="141"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Distribution Tax Representations</w:t>
      </w:r>
      <w:r>
        <w:rPr>
          <w:rFonts w:ascii="Times New Roman" w:cs="Times New Roman" w:eastAsia="Times New Roman" w:hAnsi="Times New Roman"/>
          <w:sz w:val="14"/>
          <w:szCs w:val="14"/>
          <w:color w:val="auto"/>
        </w:rPr>
        <w:t>” shall mean the representations of an officer of Mercury, dated as of the Closing Date, in form and substance reasonably satisfactory to Tax Counsel, delivered to Tax Counsel in connection with the Distribution Tax Opinion.</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Equity Award</w:t>
      </w:r>
      <w:r>
        <w:rPr>
          <w:rFonts w:ascii="Times New Roman" w:cs="Times New Roman" w:eastAsia="Times New Roman" w:hAnsi="Times New Roman"/>
          <w:sz w:val="14"/>
          <w:szCs w:val="14"/>
          <w:color w:val="auto"/>
        </w:rPr>
        <w:t>” has the meaning set forth in the Employee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Existing Debt Agreements</w:t>
      </w:r>
      <w:r>
        <w:rPr>
          <w:rFonts w:ascii="Times New Roman" w:cs="Times New Roman" w:eastAsia="Times New Roman" w:hAnsi="Times New Roman"/>
          <w:sz w:val="14"/>
          <w:szCs w:val="14"/>
          <w:color w:val="auto"/>
        </w:rPr>
        <w:t>” means the Mercury Credit Agreement and the Mercury Note Purchase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Group</w:t>
      </w:r>
      <w:r>
        <w:rPr>
          <w:rFonts w:ascii="Times New Roman" w:cs="Times New Roman" w:eastAsia="Times New Roman" w:hAnsi="Times New Roman"/>
          <w:sz w:val="14"/>
          <w:szCs w:val="14"/>
          <w:color w:val="auto"/>
        </w:rPr>
        <w:t>” has the meaning set forth in the definition of “Company Group”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Liabilities</w:t>
      </w:r>
      <w:r>
        <w:rPr>
          <w:rFonts w:ascii="Times New Roman" w:cs="Times New Roman" w:eastAsia="Times New Roman" w:hAnsi="Times New Roman"/>
          <w:sz w:val="14"/>
          <w:szCs w:val="14"/>
          <w:color w:val="auto"/>
        </w:rPr>
        <w:t>” has the meaning set forth in the definition of “Company Liabilities” in the Separation Agreement.</w:t>
      </w:r>
    </w:p>
    <w:p>
      <w:pPr>
        <w:spacing w:after="0" w:line="175"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Material Adverse Effect</w:t>
      </w:r>
      <w:r>
        <w:rPr>
          <w:rFonts w:ascii="Times New Roman" w:cs="Times New Roman" w:eastAsia="Times New Roman" w:hAnsi="Times New Roman"/>
          <w:sz w:val="14"/>
          <w:szCs w:val="14"/>
          <w:color w:val="auto"/>
        </w:rPr>
        <w:t>” shall mean any change, event, development, occurrence or effect that has a material adverse effect on the ability of Mercury to consummate the Distribution or the Separation by the Outside Date.</w:t>
      </w:r>
    </w:p>
    <w:p>
      <w:pPr>
        <w:spacing w:after="0" w:line="125"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Note Purchase Agreement</w:t>
      </w:r>
      <w:r>
        <w:rPr>
          <w:rFonts w:ascii="Times New Roman" w:cs="Times New Roman" w:eastAsia="Times New Roman" w:hAnsi="Times New Roman"/>
          <w:sz w:val="14"/>
          <w:szCs w:val="14"/>
          <w:color w:val="auto"/>
        </w:rPr>
        <w:t>” shall mean that certain Second Amended and Restated Note Purchase and Private Shelf Agreement, dated as of August 6, 2019, by and among Mercury, PGIM, Inc. and the other noteholders from time to time party thereto, as amended, restated, supplemented or otherwise modified from time to time (including the First Amendment thereto, dated as of January 31, 2020, the Second Amendment thereto, dated as of May 19, 2020, the Third Amendment thereto, dated as of May 18, 2021, the Fourth Amendment thereto, dated as of November 21, 2022, and the Fifth Amendment thereto, dated as of July 10, 2025).</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A-10</w:t>
      </w:r>
    </w:p>
    <w:p>
      <w:pPr>
        <w:sectPr>
          <w:pgSz w:w="11900" w:h="16838" w:orient="portrait"/>
          <w:cols w:equalWidth="0" w:num="1">
            <w:col w:w="10159"/>
          </w:cols>
          <w:pgMar w:left="300" w:top="386"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PS Award</w:t>
      </w:r>
      <w:r>
        <w:rPr>
          <w:rFonts w:ascii="Times New Roman" w:cs="Times New Roman" w:eastAsia="Times New Roman" w:hAnsi="Times New Roman"/>
          <w:sz w:val="14"/>
          <w:szCs w:val="14"/>
          <w:color w:val="auto"/>
        </w:rPr>
        <w:t>” has the meaning set forth in the Employee Matters Agreement.</w:t>
      </w:r>
    </w:p>
    <w:p>
      <w:pPr>
        <w:spacing w:after="0" w:line="175"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SEC Documents</w:t>
      </w:r>
      <w:r>
        <w:rPr>
          <w:rFonts w:ascii="Times New Roman" w:cs="Times New Roman" w:eastAsia="Times New Roman" w:hAnsi="Times New Roman"/>
          <w:sz w:val="14"/>
          <w:szCs w:val="14"/>
          <w:color w:val="auto"/>
        </w:rPr>
        <w:t>” shall mean all forms, reports, schedules, statements and other documents required to be filed or furnished by Mercury or SpinCo with the SEC since January 1, 2024.</w:t>
      </w:r>
    </w:p>
    <w:p>
      <w:pPr>
        <w:spacing w:after="0" w:line="125" w:lineRule="exact"/>
        <w:rPr>
          <w:sz w:val="20"/>
          <w:szCs w:val="20"/>
          <w:color w:val="auto"/>
        </w:rPr>
      </w:pPr>
    </w:p>
    <w:p>
      <w:pPr>
        <w:ind w:left="1360" w:right="5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 Tax Group</w:t>
      </w:r>
      <w:r>
        <w:rPr>
          <w:rFonts w:ascii="Times New Roman" w:cs="Times New Roman" w:eastAsia="Times New Roman" w:hAnsi="Times New Roman"/>
          <w:sz w:val="14"/>
          <w:szCs w:val="14"/>
          <w:color w:val="auto"/>
        </w:rPr>
        <w:t>” shall mean any consolidated, combined, affiliated or unitary group that (i) includes Mercury or any of its Affiliates and (ii) does not include SpinCo or any of the SpinCo Subsidiaries.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Tax Opinions</w:t>
      </w:r>
      <w:r>
        <w:rPr>
          <w:rFonts w:ascii="Times New Roman" w:cs="Times New Roman" w:eastAsia="Times New Roman" w:hAnsi="Times New Roman"/>
          <w:sz w:val="14"/>
          <w:szCs w:val="14"/>
          <w:color w:val="auto"/>
        </w:rPr>
        <w:t>” shall mean Mercury Merger Tax Opinion and the Gold Merger Tax Opinion.</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Multiemployer Plan</w:t>
      </w:r>
      <w:r>
        <w:rPr>
          <w:rFonts w:ascii="Times New Roman" w:cs="Times New Roman" w:eastAsia="Times New Roman" w:hAnsi="Times New Roman"/>
          <w:sz w:val="14"/>
          <w:szCs w:val="14"/>
          <w:color w:val="auto"/>
        </w:rPr>
        <w:t>” shall mean any “multiemployer plan” within the meaning of Section 3(37) or Section 4001(a)(3) of ERISA.</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shall mean the Nasdaq Global Select Market.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NYSE</w:t>
      </w:r>
      <w:r>
        <w:rPr>
          <w:rFonts w:ascii="Times New Roman" w:cs="Times New Roman" w:eastAsia="Times New Roman" w:hAnsi="Times New Roman"/>
          <w:sz w:val="14"/>
          <w:szCs w:val="14"/>
          <w:color w:val="auto"/>
        </w:rPr>
        <w:t>” shall mean the New York Stock Exchange.</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OFAC</w:t>
      </w:r>
      <w:r>
        <w:rPr>
          <w:rFonts w:ascii="Times New Roman" w:cs="Times New Roman" w:eastAsia="Times New Roman" w:hAnsi="Times New Roman"/>
          <w:sz w:val="14"/>
          <w:szCs w:val="14"/>
          <w:color w:val="auto"/>
        </w:rPr>
        <w:t>” shall mean the U.S. Department of the Treasury Office of Foreign Assets Control.</w:t>
      </w:r>
    </w:p>
    <w:p>
      <w:pPr>
        <w:spacing w:after="0" w:line="17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Open Source Software</w:t>
      </w:r>
      <w:r>
        <w:rPr>
          <w:rFonts w:ascii="Times New Roman" w:cs="Times New Roman" w:eastAsia="Times New Roman" w:hAnsi="Times New Roman"/>
          <w:sz w:val="14"/>
          <w:szCs w:val="14"/>
          <w:color w:val="auto"/>
        </w:rPr>
        <w:t>” shall mean any software that is subject to the terms of any license agreement that meets the definition of “Open Source” promulgated by the Open Source Initiative, available online at http://www.opensource.org/osd.html or a similar license.</w:t>
      </w:r>
    </w:p>
    <w:p>
      <w:pPr>
        <w:spacing w:after="0" w:line="125"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Organizational Documents</w:t>
      </w:r>
      <w:r>
        <w:rPr>
          <w:rFonts w:ascii="Times New Roman" w:cs="Times New Roman" w:eastAsia="Times New Roman" w:hAnsi="Times New Roman"/>
          <w:sz w:val="14"/>
          <w:szCs w:val="14"/>
          <w:color w:val="auto"/>
        </w:rPr>
        <w:t xml:space="preserve">” shall mean: (a) with respect to any corporation, its articles or certificate of incorporation and bylaws; (b) with respect to any limited liability company, its articles or certificate of organization or formation and its operating agreement or limited liability company agreement or documents of similar substance; (c) with respect to any limited partnership, its certificate of limited partnership and partnership agreement or governing or organizational documents of similar substance; and (d) with respect to any other entity, governing or organizational documents of similar substance to any of the foregoing, in the case of each of the foregoing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including any amendments as may be in effect from time to time.</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Overlap Shareholders</w:t>
      </w:r>
      <w:r>
        <w:rPr>
          <w:rFonts w:ascii="Times New Roman" w:cs="Times New Roman" w:eastAsia="Times New Roman" w:hAnsi="Times New Roman"/>
          <w:sz w:val="14"/>
          <w:szCs w:val="14"/>
          <w:color w:val="auto"/>
        </w:rPr>
        <w:t xml:space="preserve">” shall have the meaning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Overlap Shares</w:t>
      </w:r>
      <w:r>
        <w:rPr>
          <w:rFonts w:ascii="Times New Roman" w:cs="Times New Roman" w:eastAsia="Times New Roman" w:hAnsi="Times New Roman"/>
          <w:sz w:val="14"/>
          <w:szCs w:val="14"/>
          <w:color w:val="auto"/>
        </w:rPr>
        <w:t xml:space="preserve">” shall mean, with respect to any Overlap Shareholder, (a) the lesser of (i) the SpinCo Overlap Ownership Percentage for such Overlap Shareholder and (ii) the Gold Overlap Ownership Percentage for such Overlap Shareholder,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(b) the number of shares of Gold Common Stock that will be issued and outstanding immediately following the Effective Time.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Permits</w:t>
      </w:r>
      <w:r>
        <w:rPr>
          <w:rFonts w:ascii="Times New Roman" w:cs="Times New Roman" w:eastAsia="Times New Roman" w:hAnsi="Times New Roman"/>
          <w:sz w:val="14"/>
          <w:szCs w:val="14"/>
          <w:color w:val="auto"/>
        </w:rPr>
        <w:t>” shall mean permits, approvals, authorizations, consents, licenses or certificates issued by any Governmental Authority.</w:t>
      </w:r>
    </w:p>
    <w:p>
      <w:pPr>
        <w:spacing w:after="0" w:line="175"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Liens</w:t>
      </w:r>
      <w:r>
        <w:rPr>
          <w:rFonts w:ascii="Times New Roman" w:cs="Times New Roman" w:eastAsia="Times New Roman" w:hAnsi="Times New Roman"/>
          <w:sz w:val="14"/>
          <w:szCs w:val="14"/>
          <w:color w:val="auto"/>
        </w:rPr>
        <w:t>” shall mean: (a) statutory Liens arising by operation of Law with respect to a Liability incurred in the ordinary course of business and which is not delinquent or is being contested in good faith by appropriate proceedings; (b) requirements and restrictions of zoning, licensing, permitting, building and other similar land-use Laws which are not violated by the present use or occupancy of the real property subject thereto; (c) Liens for Taxes or mechanics’, materialmen’s and similar Liens arising or incurred in the ordinary course of business and with respect to any amounts, in each case (i) not yet due and payable or (ii) which are being contested in good faith by appropriate proceedings and for which adequate reserves have been established in accordance with GAAP; (d) non-exclusive license rights to Intellectual Property granted in the ordinary course of business; (e) easements (including conservation easements and public trust easements, rights-of-way, road use Contracts, covenants, conditions, restrictions, reservations, licenses, Contracts and other similar non-monetary matters) of public record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same, individually and in the aggregate, do not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-129540</wp:posOffset>
            </wp:positionV>
            <wp:extent cx="2222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7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A-11</w:t>
      </w:r>
    </w:p>
    <w:p>
      <w:pPr>
        <w:sectPr>
          <w:pgSz w:w="11900" w:h="16838" w:orient="portrait"/>
          <w:cols w:equalWidth="0" w:num="1">
            <w:col w:w="10159"/>
          </w:cols>
          <w:pgMar w:left="300" w:top="386"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 xml:space="preserve">impair or interfere with the operation or use of such real property in the operation of the business currently conducted thereon); (f) purchase money Liens and Liens securing rental payments under capital lease agreements; (g) pledges or deposits made in the ordinary course of business in connection with workers’ compensation, unemployment insurance and other types of social security (other than pursuant to Section 303(k) or 4068 of ERISA or Section 430(k) of the Code) or to secure the performance of tenders, statutory obligations, surety and appeal bonds, bids, performance and return of money bonds and similar obligations; (h) Liens arising under conditional sales Contracts and equipment leases with third parties entered into in the ordinary course of business; (i) pledges or deposits to secure public or statutory obligations unrelated to any default or violation of any Law; (j) Liens arising under or created by this Agreement or any other Transaction Document (other than as a result of a breach or default under such Contracts); (k) Liens securing the obligations in respect of SpinCo Financing, Permanent SpinCo Financing or Gold Financing, in each case, to the extent created pursuant to the applicable definitive documentation for such financing; (l) restrictions on transfer resulting from securities Laws; (m) Liens securing the obligations in respect of the Gold Credit Agreement; (n) Liens securing the obligations in respect of the Mercury Credit Agreement or the Mercury Note Purchase Agreement and which will, in each case, be released prior to or in connection with the Closing, and (o) Liens described on </w:t>
      </w:r>
      <w:r>
        <w:rPr>
          <w:rFonts w:ascii="Times New Roman" w:cs="Times New Roman" w:eastAsia="Times New Roman" w:hAnsi="Times New Roman"/>
          <w:sz w:val="14"/>
          <w:szCs w:val="14"/>
          <w:u w:val="single" w:color="auto"/>
          <w:color w:val="auto"/>
        </w:rPr>
        <w:t>Section 1.1(b)</w:t>
      </w:r>
      <w:r>
        <w:rPr>
          <w:rFonts w:ascii="Times New Roman" w:cs="Times New Roman" w:eastAsia="Times New Roman" w:hAnsi="Times New Roman"/>
          <w:sz w:val="14"/>
          <w:szCs w:val="14"/>
          <w:color w:val="auto"/>
        </w:rPr>
        <w:t xml:space="preserve"> of the Gold Disclosure Letter.</w:t>
      </w:r>
    </w:p>
    <w:p>
      <w:pPr>
        <w:spacing w:after="0" w:line="150" w:lineRule="exact"/>
        <w:rPr>
          <w:sz w:val="20"/>
          <w:szCs w:val="20"/>
          <w:color w:val="auto"/>
        </w:rPr>
      </w:pPr>
    </w:p>
    <w:p>
      <w:pPr>
        <w:jc w:val="both"/>
        <w:ind w:left="1360" w:right="2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shall mean an individual, a general or limited partnership, a corporation, a trust, a joint venture, an unincorporated organization, a limited liability entity, any other entity and any Governmental Authority.</w:t>
      </w:r>
    </w:p>
    <w:p>
      <w:pPr>
        <w:spacing w:after="0" w:line="125"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Personal Information</w:t>
      </w:r>
      <w:r>
        <w:rPr>
          <w:rFonts w:ascii="Times New Roman" w:cs="Times New Roman" w:eastAsia="Times New Roman" w:hAnsi="Times New Roman"/>
          <w:sz w:val="14"/>
          <w:szCs w:val="14"/>
          <w:color w:val="auto"/>
        </w:rPr>
        <w:t>” shall mean all information in any form or media that identifies, could be used to identify or is otherwise related to an individual person (including any current, prospective or former customer, end user or employee), in addition to any definition for “personal information” or any similar term provided by applicable Law, Privacy Requirements or by Mercury or Gold, as applicable, in any of their respective privacy policies, notices or contracts (e.g., “personal data,” “personally identifiable information” or “PII”).</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Privacy Laws</w:t>
      </w:r>
      <w:r>
        <w:rPr>
          <w:rFonts w:ascii="Times New Roman" w:cs="Times New Roman" w:eastAsia="Times New Roman" w:hAnsi="Times New Roman"/>
          <w:sz w:val="14"/>
          <w:szCs w:val="14"/>
          <w:color w:val="auto"/>
        </w:rPr>
        <w:t>” shall mean any and all applicable Laws, legal requirements and self-regulatory guidelines (including of any applicable foreign jurisdiction) relating to the receipt, collection, compilation, use, storage, processing, sharing, safeguarding, security (technical, physical or administrative), disposal, destruction, disclosure or transfer (including cross-border) of any Personal Information, including, but not limited to, the Federal Trade Commission Act, California Consumer Privacy Act (CCPA), Payment Card Industry Data Security Standard (PCI-DSS), EU General Data Protection Regulation (GDPR), any and all applicable Laws relating to breach notification, the use of biometric identifiers and the use of Personal Information for marketing purposes.</w:t>
      </w:r>
    </w:p>
    <w:p>
      <w:pPr>
        <w:spacing w:after="0" w:line="143"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Privacy Requirements</w:t>
      </w:r>
      <w:r>
        <w:rPr>
          <w:rFonts w:ascii="Times New Roman" w:cs="Times New Roman" w:eastAsia="Times New Roman" w:hAnsi="Times New Roman"/>
          <w:sz w:val="14"/>
          <w:szCs w:val="14"/>
          <w:color w:val="auto"/>
        </w:rPr>
        <w:t>” shall mean all applicable Privacy Laws and all of Mercury’s and Gold’s, as applicable, policies, notices and contractual obligations relating to the receipt, collection, compilation, use, storage, processing, sharing, safeguarding, security (technical, physical and administrative), disposal, destruction, disclosure or transfer (including cross-border) of Personal Information.</w:t>
      </w:r>
    </w:p>
    <w:p>
      <w:pPr>
        <w:spacing w:after="0" w:line="136"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Proxy Statement</w:t>
      </w:r>
      <w:r>
        <w:rPr>
          <w:rFonts w:ascii="Times New Roman" w:cs="Times New Roman" w:eastAsia="Times New Roman" w:hAnsi="Times New Roman"/>
          <w:sz w:val="14"/>
          <w:szCs w:val="14"/>
          <w:color w:val="auto"/>
        </w:rPr>
        <w:t>” shall mean the proxy statement to be mailed to the shareholders of Gold relating to the Gold Shareholders Meeting, including any amendments or supplements thereto.</w:t>
      </w:r>
    </w:p>
    <w:p>
      <w:pPr>
        <w:spacing w:after="0" w:line="12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SpinCo Common Stock</w:t>
      </w:r>
      <w:r>
        <w:rPr>
          <w:rFonts w:ascii="Times New Roman" w:cs="Times New Roman" w:eastAsia="Times New Roman" w:hAnsi="Times New Roman"/>
          <w:sz w:val="14"/>
          <w:szCs w:val="14"/>
          <w:color w:val="auto"/>
        </w:rPr>
        <w:t>” shall mean SpinCo Common Stock received by holders of Mercury Common Stock pursuant to the Distribution, except for any SpinCo Common Stock that is acquired, directly or indirectly, pursuant to a plan (or series of related transactions) that includes the Distribution, within the meaning of Section 355(e) of the Code and the Treasury Regulations promulgated thereunder. This definition (and the application thereof) is intended to monitor compliance with Section 355(e) of the Code and shall be interpreted accordingly.</w:t>
      </w:r>
    </w:p>
    <w:p>
      <w:pPr>
        <w:spacing w:after="0" w:line="141"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shall mean the close of business on the date to be determined by the Mercury Board (or a committee thereof) as the record date for the determination of holders of record of Mercury Common Stock entitled to receive shares of SpinCo Common Stock in the Distribution.</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A-12</w:t>
      </w:r>
    </w:p>
    <w:p>
      <w:pPr>
        <w:sectPr>
          <w:pgSz w:w="11900" w:h="16838" w:orient="portrait"/>
          <w:cols w:equalWidth="0" w:num="1">
            <w:col w:w="10159"/>
          </w:cols>
          <w:pgMar w:left="300" w:top="386" w:right="1440"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Registered IP</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360" w:right="7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Regulatory Authorizations</w:t>
      </w:r>
      <w:r>
        <w:rPr>
          <w:rFonts w:ascii="Times New Roman" w:cs="Times New Roman" w:eastAsia="Times New Roman" w:hAnsi="Times New Roman"/>
          <w:sz w:val="14"/>
          <w:szCs w:val="14"/>
          <w:color w:val="auto"/>
        </w:rPr>
        <w:t>” shall mean all approvals, clearances, Permits, authorizations, registrations and listings of any Person, in any applicable jurisdiction.</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Reorganization</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Reorganization Step Plan</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360" w:right="6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Representative</w:t>
      </w:r>
      <w:r>
        <w:rPr>
          <w:rFonts w:ascii="Times New Roman" w:cs="Times New Roman" w:eastAsia="Times New Roman" w:hAnsi="Times New Roman"/>
          <w:sz w:val="14"/>
          <w:szCs w:val="14"/>
          <w:color w:val="auto"/>
        </w:rPr>
        <w:t>” shall mean, with respect to any Person, any of such Person’s directors, officers, employees, agents, consultants, advisors, accountants, financing sources, attorneys or other representatives.</w:t>
      </w:r>
    </w:p>
    <w:p>
      <w:pPr>
        <w:spacing w:after="0" w:line="125"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Sanctioned Country</w:t>
      </w:r>
      <w:r>
        <w:rPr>
          <w:rFonts w:ascii="Times New Roman" w:cs="Times New Roman" w:eastAsia="Times New Roman" w:hAnsi="Times New Roman"/>
          <w:sz w:val="14"/>
          <w:szCs w:val="14"/>
          <w:color w:val="auto"/>
        </w:rPr>
        <w:t>” shall mean any country or region or government thereof that is, or has been in the five (5) years prior to the date hereof, the subject or target of a comprehensive embargo under Trade Controls (including Cuba, Iran, North Korea, Syria, Venezuela, and the Crimea, the so-called “Donetsk People’s Republic,” and the so-called “Luhansk People’s Republic” regions of Ukraine).</w:t>
      </w:r>
    </w:p>
    <w:p>
      <w:pPr>
        <w:spacing w:after="0" w:line="136"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Sanctioned Person</w:t>
      </w:r>
      <w:r>
        <w:rPr>
          <w:rFonts w:ascii="Times New Roman" w:cs="Times New Roman" w:eastAsia="Times New Roman" w:hAnsi="Times New Roman"/>
          <w:sz w:val="14"/>
          <w:szCs w:val="14"/>
          <w:color w:val="auto"/>
        </w:rPr>
        <w:t>” shall mean any Person that is the subject or target of sanctions or restrictions under Trade Controls including: (a) any Person listed on any U.S. or non-U.S. sanctions- or export-related restricted party list, including the OFAC List of Specially Designated Nationals and Blocked Persons, or any other OFAC, U.S. Department of Commerce Bureau of Industry and Security, or U.S. Department of State sanctions- or export-related restricted party list; (b) any Person located, organized, or resident in a Sanctioned Country; or (c) any Person that is, in the aggregate, 50 percent or greater owned, directly or indirectly, or otherwise controlled by a Person or Persons described in clauses (a)-(b).</w:t>
      </w:r>
    </w:p>
    <w:p>
      <w:pPr>
        <w:spacing w:after="0" w:line="144"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shall mean all U.S. and non-U.S. Laws relating to economic or trade sanctions, including the Laws administered or enforced by the United States (including by OFAC or the U.S. Department of State) and the United Nations Security Council.</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shall mean the U.S. Securities and Exchange Commission.</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shall mean the U.S. Securities Act of 1933, as amended, and the rules and regulations promulgated thereunder.</w:t>
      </w:r>
    </w:p>
    <w:p>
      <w:pPr>
        <w:spacing w:after="0" w:line="175"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Separation</w:t>
      </w:r>
      <w:r>
        <w:rPr>
          <w:rFonts w:ascii="Times New Roman" w:cs="Times New Roman" w:eastAsia="Times New Roman" w:hAnsi="Times New Roman"/>
          <w:sz w:val="14"/>
          <w:szCs w:val="14"/>
          <w:color w:val="auto"/>
        </w:rPr>
        <w:t>” shall mean the transactions contemplated by Section 2.1(a) of the Separation Agreement, subject to Section 2.4 and Section 2.5 of the Separation Agreement.</w:t>
      </w:r>
    </w:p>
    <w:p>
      <w:pPr>
        <w:spacing w:after="0" w:line="125" w:lineRule="exact"/>
        <w:rPr>
          <w:sz w:val="20"/>
          <w:szCs w:val="20"/>
          <w:color w:val="auto"/>
        </w:rPr>
      </w:pPr>
    </w:p>
    <w:p>
      <w:pPr>
        <w:ind w:left="1360" w:right="7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Separation Agreement</w:t>
      </w:r>
      <w:r>
        <w:rPr>
          <w:rFonts w:ascii="Times New Roman" w:cs="Times New Roman" w:eastAsia="Times New Roman" w:hAnsi="Times New Roman"/>
          <w:sz w:val="14"/>
          <w:szCs w:val="14"/>
          <w:color w:val="auto"/>
        </w:rPr>
        <w:t xml:space="preserve">” shall mean that Separation Agreement dated as of the date hereof among Mercury, SpinCo and Gold, attached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as may be amended, restated, modified or supplemented from time to time in accordance with its terms.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Shared Services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Software</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Affiliate Contract</w:t>
      </w:r>
      <w:r>
        <w:rPr>
          <w:rFonts w:ascii="Times New Roman" w:cs="Times New Roman" w:eastAsia="Times New Roman" w:hAnsi="Times New Roman"/>
          <w:sz w:val="14"/>
          <w:szCs w:val="14"/>
          <w:color w:val="auto"/>
        </w:rPr>
        <w:t>” shall mean any Contract, whether or not in writing, (a) between any member of the SpinCo Group, on the one hand, and any present or former officer or director of any member of the SpinCo Group or “immediate family member” thereof (as defined in Rule 16a-1 under the Exchange Act), on the other hand, or (b) between any member of the SpinCo Group, on the one hand, and Mercury and/or any of its Subsidiaries (other than a member of the SpinCo Group), on the other hand.</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A-13</w:t>
      </w:r>
    </w:p>
    <w:p>
      <w:pPr>
        <w:sectPr>
          <w:pgSz w:w="11900" w:h="16838" w:orient="portrait"/>
          <w:cols w:equalWidth="0" w:num="1">
            <w:col w:w="10159"/>
          </w:cols>
          <w:pgMar w:left="300" w:top="386"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Assets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Benefit Plan</w:t>
      </w:r>
      <w:r>
        <w:rPr>
          <w:rFonts w:ascii="Times New Roman" w:cs="Times New Roman" w:eastAsia="Times New Roman" w:hAnsi="Times New Roman"/>
          <w:sz w:val="14"/>
          <w:szCs w:val="14"/>
          <w:color w:val="auto"/>
        </w:rPr>
        <w:t>” shall mean each Mercury Benefit Plan that is (a) maintained, sponsored, contributed to or entered into solely by SpinCo or a Subsidiary thereof, or to which SpinCo or a Subsidiary thereof (and none of Mercury or any of its other Subsidiaries) is required to contribute, or to which SpinCo or any of its Subsidiaries (and none of Mercury or any of its other Subsidiaries) is a party, or (b) an individual offer letter, employment agreement, change in control employment agreement, or consulting agreement between Mercury or one of its Affiliates (other than the SpinCo Group) and a SpinCo Group Employee.</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Books and Records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Business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360" w:right="7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Business Systems</w:t>
      </w:r>
      <w:r>
        <w:rPr>
          <w:rFonts w:ascii="Times New Roman" w:cs="Times New Roman" w:eastAsia="Times New Roman" w:hAnsi="Times New Roman"/>
          <w:sz w:val="14"/>
          <w:szCs w:val="14"/>
          <w:color w:val="auto"/>
        </w:rPr>
        <w:t>” shall mean the Information Technology and Software used or relied on by or for the operation of the SpinCo Business, including in each case any outsourced systems and processes.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Cash Distribution</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Datasite</w:t>
      </w:r>
      <w:r>
        <w:rPr>
          <w:rFonts w:ascii="Times New Roman" w:cs="Times New Roman" w:eastAsia="Times New Roman" w:hAnsi="Times New Roman"/>
          <w:sz w:val="14"/>
          <w:szCs w:val="14"/>
          <w:color w:val="auto"/>
        </w:rPr>
        <w:t>” shall mean the datasite established by Mercury for purposes of due diligence of the members of the SpinCo Group and the SpinCo Business (including any “clean room” or similar subset of a datasite or folders in which access is restricted to certain Representatives of Gold) located at www.intralinks.com.</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Disclosure Letter</w:t>
      </w:r>
      <w:r>
        <w:rPr>
          <w:rFonts w:ascii="Times New Roman" w:cs="Times New Roman" w:eastAsia="Times New Roman" w:hAnsi="Times New Roman"/>
          <w:sz w:val="14"/>
          <w:szCs w:val="14"/>
          <w:color w:val="auto"/>
        </w:rPr>
        <w:t>” shall mean the Disclosure Letter delivered by Mercury and SpinCo to Gold on the date hereof and identified as such.</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Group</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Group Employee</w:t>
      </w:r>
      <w:r>
        <w:rPr>
          <w:rFonts w:ascii="Times New Roman" w:cs="Times New Roman" w:eastAsia="Times New Roman" w:hAnsi="Times New Roman"/>
          <w:sz w:val="14"/>
          <w:szCs w:val="14"/>
          <w:color w:val="auto"/>
        </w:rPr>
        <w:t>” has the meaning set forth in the Employee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Intellectual Property</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Liabilities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jc w:val="both"/>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Make Whole Awards</w:t>
      </w:r>
      <w:r>
        <w:rPr>
          <w:rFonts w:ascii="Times New Roman" w:cs="Times New Roman" w:eastAsia="Times New Roman" w:hAnsi="Times New Roman"/>
          <w:sz w:val="14"/>
          <w:szCs w:val="14"/>
          <w:color w:val="auto"/>
        </w:rPr>
        <w:t>” shall mean the number of shares of Gold Common Stock underlying the Gold Equity Awards that would be awarded in respect of Company Awards pursuant to Sections 4.01(a), 4.01(b) and 4.01(c) of the Employee Matters Agreement, based on Company Awards outstanding as of, and otherwise calculated as of, the Determination Time.</w:t>
      </w:r>
    </w:p>
    <w:p>
      <w:pPr>
        <w:spacing w:after="0" w:line="136"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Material Adverse Effect</w:t>
      </w:r>
      <w:r>
        <w:rPr>
          <w:rFonts w:ascii="Times New Roman" w:cs="Times New Roman" w:eastAsia="Times New Roman" w:hAnsi="Times New Roman"/>
          <w:sz w:val="14"/>
          <w:szCs w:val="14"/>
          <w:color w:val="auto"/>
        </w:rPr>
        <w:t xml:space="preserve">” shall mean any change, event, development, occurrence or effect that has, individually or in the aggregate, a material adverse effect on the business, financial condition or results of operations of the SpinCo Business, taken as a whole;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none of the following shall be deemed in themselves, either alone or in combination, to constitute, and none of the following shall be taken into account in determining whether there has been or would reasonably be expected to be a SpinCo Material Adverse Effect: (a) any change resulting from general market, economic, financial, capital markets or regulatory conditions, (b) any general change in the credit, debt, financial or capital markets or changes in interest or exchange rates, (c) any change in applicable Law or GAAP (or, in each case, authoritative interpretations thereof), (d) any change resulting from any hurricane, flood, tornado, earthquake or other natural disaster or weather-related event, or other force majeure event, any epidemic, pandemic or disease, or any worsening thereof, (e) 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(f) any change generally affecting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6015355</wp:posOffset>
            </wp:positionH>
            <wp:positionV relativeFrom="paragraph">
              <wp:posOffset>-878205</wp:posOffset>
            </wp:positionV>
            <wp:extent cx="2222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A-14</w:t>
      </w:r>
    </w:p>
    <w:p>
      <w:pPr>
        <w:sectPr>
          <w:pgSz w:w="11900" w:h="16838" w:orient="portrait"/>
          <w:cols w:equalWidth="0" w:num="1">
            <w:col w:w="10159"/>
          </w:cols>
          <w:pgMar w:left="300" w:top="386"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3" w:lineRule="auto"/>
        <w:rPr>
          <w:sz w:val="20"/>
          <w:szCs w:val="20"/>
          <w:color w:val="auto"/>
        </w:rPr>
      </w:pPr>
      <w:r>
        <w:rPr>
          <w:rFonts w:ascii="Times New Roman" w:cs="Times New Roman" w:eastAsia="Times New Roman" w:hAnsi="Times New Roman"/>
          <w:sz w:val="14"/>
          <w:szCs w:val="14"/>
          <w:color w:val="auto"/>
        </w:rPr>
        <w:t>industries in which the SpinCo Business operates, (g) any change resulting from the execution of this Agreement or the Separation Agreement or the announcement or the pendency of the Merger or the Separation, including, to the extent resulting therefrom, any actions of or loss of customers, suppliers, distributors, employees or other material business relationships (including any cancellation or delay in customer orders or any termination of or adverse change to any Contract effected or proposed by any customer, supplier, distributor or other counterparty)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(g)</w:t>
      </w:r>
      <w:r>
        <w:rPr>
          <w:rFonts w:ascii="Times New Roman" w:cs="Times New Roman" w:eastAsia="Times New Roman" w:hAnsi="Times New Roman"/>
          <w:sz w:val="14"/>
          <w:szCs w:val="14"/>
          <w:color w:val="auto"/>
        </w:rPr>
        <w:t xml:space="preserve"> shall not apply to any representation or warranty to the extent the purpose of such representation or warranty is to address, as applicable, the consequences resulting from the execution of this Agreement or the Separation Agreement or the announcement or the pendency of the Merger or the Separation), (h) any change resulting from any action required to be taken by the terms of this Agreement (other than pursuant to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(i) any change in or imposition of any tariff, or any action relating to any trade dispute, or change in funding policies of or spending by any Governmental Authority or</w:t>
      </w:r>
    </w:p>
    <w:p>
      <w:pPr>
        <w:spacing w:after="0" w:line="3" w:lineRule="exact"/>
        <w:rPr>
          <w:sz w:val="20"/>
          <w:szCs w:val="20"/>
          <w:color w:val="auto"/>
        </w:rPr>
      </w:pPr>
    </w:p>
    <w:p>
      <w:pPr>
        <w:ind w:left="1360" w:right="279" w:hanging="5"/>
        <w:spacing w:after="0" w:line="250" w:lineRule="auto"/>
        <w:tabs>
          <w:tab w:leader="none" w:pos="1527"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failure to meet internal or analysts’ expectations, projections or results of operations (but not, in each case, the underlying cause of any such failure, unless such underlying cause would otherwise be excepted by another clause of this definition);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jc w:val="both"/>
        <w:ind w:left="1360" w:right="35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if any such change, event, development, condition, occurrence or effect disproportionately impacts the SpinCo Business, taken as a whole, as compared to other participants in the industries in which the SpinCo Business operates, the incremental disproportionate impact thereof may be taken into account in determining whether a SpinCo Material Adverse Effect has occurred or would reasonably be expected to occur.</w:t>
      </w:r>
    </w:p>
    <w:p>
      <w:pPr>
        <w:spacing w:after="0" w:line="143" w:lineRule="exact"/>
        <w:rPr>
          <w:sz w:val="20"/>
          <w:szCs w:val="20"/>
          <w:color w:val="auto"/>
        </w:rPr>
      </w:pPr>
    </w:p>
    <w:p>
      <w:pPr>
        <w:jc w:val="both"/>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Merger Tax Representations</w:t>
      </w:r>
      <w:r>
        <w:rPr>
          <w:rFonts w:ascii="Times New Roman" w:cs="Times New Roman" w:eastAsia="Times New Roman" w:hAnsi="Times New Roman"/>
          <w:sz w:val="14"/>
          <w:szCs w:val="14"/>
          <w:color w:val="auto"/>
        </w:rPr>
        <w:t xml:space="preserve">” shall mean the representations of an officer of SpinCo, dated as of the Closing Date, in substantially the form set forth in </w:t>
      </w:r>
      <w:r>
        <w:rPr>
          <w:rFonts w:ascii="Times New Roman" w:cs="Times New Roman" w:eastAsia="Times New Roman" w:hAnsi="Times New Roman"/>
          <w:sz w:val="14"/>
          <w:szCs w:val="14"/>
          <w:u w:val="single" w:color="auto"/>
          <w:color w:val="auto"/>
        </w:rPr>
        <w:t>Section 7.2(c)</w:t>
      </w:r>
      <w:r>
        <w:rPr>
          <w:rFonts w:ascii="Times New Roman" w:cs="Times New Roman" w:eastAsia="Times New Roman" w:hAnsi="Times New Roman"/>
          <w:sz w:val="14"/>
          <w:szCs w:val="14"/>
          <w:color w:val="auto"/>
        </w:rPr>
        <w:t xml:space="preserve"> of the SpinCo Disclosure Letter (with any modifications reasonably requested by Tax Counsel or Gold Tax Counsel), delivered to Tax Counsel and Gold Tax Counsel in connection with the Merger Tax Opinions.</w:t>
      </w:r>
    </w:p>
    <w:p>
      <w:pPr>
        <w:spacing w:after="0" w:line="136"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Overlap Ownership Percentage</w:t>
      </w:r>
      <w:r>
        <w:rPr>
          <w:rFonts w:ascii="Times New Roman" w:cs="Times New Roman" w:eastAsia="Times New Roman" w:hAnsi="Times New Roman"/>
          <w:sz w:val="14"/>
          <w:szCs w:val="14"/>
          <w:color w:val="auto"/>
        </w:rPr>
        <w:t xml:space="preserve">” shall mean, with respect to any Overlap Shareholder, the fraction obtained by dividing (a) the number of shares of SpinCo Common Stock that will be owned directly or indirectly by such Overlap Shareholder immediately prior to the Effective Time (calculated pursuant to this Agreement and in accordance with the methodology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but excluding any shares of SpinCo Common Stock that do not constitute Qualified SpinCo Common Stock) </w:t>
      </w:r>
      <w:r>
        <w:rPr>
          <w:rFonts w:ascii="Times New Roman" w:cs="Times New Roman" w:eastAsia="Times New Roman" w:hAnsi="Times New Roman"/>
          <w:sz w:val="14"/>
          <w:szCs w:val="14"/>
          <w:i w:val="1"/>
          <w:iCs w:val="1"/>
          <w:color w:val="auto"/>
        </w:rPr>
        <w:t>by</w:t>
      </w:r>
      <w:r>
        <w:rPr>
          <w:rFonts w:ascii="Times New Roman" w:cs="Times New Roman" w:eastAsia="Times New Roman" w:hAnsi="Times New Roman"/>
          <w:sz w:val="14"/>
          <w:szCs w:val="14"/>
          <w:color w:val="auto"/>
        </w:rPr>
        <w:t xml:space="preserve"> (b) the number of shares of SpinCo Common Stock that will be issued and outstanding immediately prior to the Effective Time.</w:t>
      </w:r>
    </w:p>
    <w:p>
      <w:pPr>
        <w:spacing w:after="0" w:line="144"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Registration Statement</w:t>
      </w:r>
      <w:r>
        <w:rPr>
          <w:rFonts w:ascii="Times New Roman" w:cs="Times New Roman" w:eastAsia="Times New Roman" w:hAnsi="Times New Roman"/>
          <w:sz w:val="14"/>
          <w:szCs w:val="14"/>
          <w:color w:val="auto"/>
        </w:rPr>
        <w:t>” shall mean the registration statement to be filed or confidentially submitted by SpinCo with the SEC to effect the registration of the shares of SpinCo Common Stock in connection with the Distribution, as such registration statement may be amended or supplemented from time to time prior to the Distribution Time.</w:t>
      </w:r>
    </w:p>
    <w:p>
      <w:pPr>
        <w:spacing w:after="0" w:line="136"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Subsidiaries</w:t>
      </w:r>
      <w:r>
        <w:rPr>
          <w:rFonts w:ascii="Times New Roman" w:cs="Times New Roman" w:eastAsia="Times New Roman" w:hAnsi="Times New Roman"/>
          <w:sz w:val="14"/>
          <w:szCs w:val="14"/>
          <w:color w:val="auto"/>
        </w:rPr>
        <w:t>” shall mean all direct and indirect Subsidiaries of SpinCo, after giving effect to the Reorganization. Following the Effective Time, the SpinCo Subsidiaries shall include the applicable Gold Subsidiaries.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shall mean, with respect to any Person, any corporation, limited liability company, joint venture or partnership of which such Person</w:t>
      </w:r>
    </w:p>
    <w:p>
      <w:pPr>
        <w:spacing w:after="0" w:line="22" w:lineRule="exact"/>
        <w:rPr>
          <w:sz w:val="20"/>
          <w:szCs w:val="20"/>
          <w:color w:val="auto"/>
        </w:rPr>
      </w:pPr>
    </w:p>
    <w:p>
      <w:pPr>
        <w:ind w:left="1540" w:hanging="185"/>
        <w:spacing w:after="0"/>
        <w:tabs>
          <w:tab w:leader="none" w:pos="154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beneficially owns, either directly or indirectly, more than fifty percent (50%) of (i) the total combined voting power of all classes of voting securities,</w:t>
      </w:r>
    </w:p>
    <w:p>
      <w:pPr>
        <w:spacing w:after="0" w:line="7" w:lineRule="exact"/>
        <w:rPr>
          <w:rFonts w:ascii="Times New Roman" w:cs="Times New Roman" w:eastAsia="Times New Roman" w:hAnsi="Times New Roman"/>
          <w:sz w:val="14"/>
          <w:szCs w:val="14"/>
          <w:color w:val="auto"/>
        </w:rPr>
      </w:pPr>
    </w:p>
    <w:p>
      <w:pPr>
        <w:ind w:left="1360" w:right="299" w:hanging="5"/>
        <w:spacing w:after="0" w:line="256" w:lineRule="auto"/>
        <w:tabs>
          <w:tab w:leader="none" w:pos="1566"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total combined economic interests or (iii) the capital or profit interests, in the case of a partnership, or (b) otherwise has the power to vote, either directly or indirectly, sufficient securities to elect a majority of the board of directors or similar governing body;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from and after the Closing, none of the members of the SpinCo Group shall be considered a Subsidiary of Mercury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-132715</wp:posOffset>
            </wp:positionV>
            <wp:extent cx="2222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Authority</w:t>
      </w:r>
      <w:r>
        <w:rPr>
          <w:rFonts w:ascii="Times New Roman" w:cs="Times New Roman" w:eastAsia="Times New Roman" w:hAnsi="Times New Roman"/>
          <w:sz w:val="14"/>
          <w:szCs w:val="14"/>
          <w:color w:val="auto"/>
        </w:rPr>
        <w:t>” has the meaning set forth in the Tax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Counsel</w:t>
      </w:r>
      <w:r>
        <w:rPr>
          <w:rFonts w:ascii="Times New Roman" w:cs="Times New Roman" w:eastAsia="Times New Roman" w:hAnsi="Times New Roman"/>
          <w:sz w:val="14"/>
          <w:szCs w:val="14"/>
          <w:color w:val="auto"/>
        </w:rPr>
        <w:t>” shall mean Mercury’s outside tax counsel, Gibson, Dunn &amp; Crutcher LLP.</w:t>
      </w:r>
    </w:p>
    <w:p>
      <w:pPr>
        <w:spacing w:after="0" w:line="1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A-15</w:t>
      </w:r>
    </w:p>
    <w:p>
      <w:pPr>
        <w:sectPr>
          <w:pgSz w:w="11900" w:h="16838" w:orient="portrait"/>
          <w:cols w:equalWidth="0" w:num="1">
            <w:col w:w="10159"/>
          </w:cols>
          <w:pgMar w:left="300" w:top="386" w:right="1440"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Matters Agreement</w:t>
      </w:r>
      <w:r>
        <w:rPr>
          <w:rFonts w:ascii="Times New Roman" w:cs="Times New Roman" w:eastAsia="Times New Roman" w:hAnsi="Times New Roman"/>
          <w:sz w:val="14"/>
          <w:szCs w:val="14"/>
          <w:color w:val="auto"/>
        </w:rPr>
        <w:t xml:space="preserve">” shall mean a Tax Matters Agreement in substantially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as such agreement may be amended, restated, modified or supplemented from time to time in accordance with its terms.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Returns</w:t>
      </w:r>
      <w:r>
        <w:rPr>
          <w:rFonts w:ascii="Times New Roman" w:cs="Times New Roman" w:eastAsia="Times New Roman" w:hAnsi="Times New Roman"/>
          <w:sz w:val="14"/>
          <w:szCs w:val="14"/>
          <w:color w:val="auto"/>
        </w:rPr>
        <w:t>” has the meaning set forth in the Tax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has the meaning set forth in the Tax Matters Agreement.</w:t>
      </w:r>
    </w:p>
    <w:p>
      <w:pPr>
        <w:spacing w:after="0" w:line="175"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Technical Services Agreements</w:t>
      </w:r>
      <w:r>
        <w:rPr>
          <w:rFonts w:ascii="Times New Roman" w:cs="Times New Roman" w:eastAsia="Times New Roman" w:hAnsi="Times New Roman"/>
          <w:sz w:val="14"/>
          <w:szCs w:val="14"/>
          <w:color w:val="auto"/>
        </w:rPr>
        <w:t>” shall mean Technical Services Agreements in substantially the form agreed among the Parties pursuant to Section 7.4 of the Separation Agreement, as such agreements may be amended, restated, modified or supplemented from time to time in accordance with their terms.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Threshold Percentage</w:t>
      </w:r>
      <w:r>
        <w:rPr>
          <w:rFonts w:ascii="Times New Roman" w:cs="Times New Roman" w:eastAsia="Times New Roman" w:hAnsi="Times New Roman"/>
          <w:sz w:val="14"/>
          <w:szCs w:val="14"/>
          <w:color w:val="auto"/>
        </w:rPr>
        <w:t>” shall mean 50.5%.</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 Secret</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Trademark Matters Agreement</w:t>
      </w:r>
      <w:r>
        <w:rPr>
          <w:rFonts w:ascii="Times New Roman" w:cs="Times New Roman" w:eastAsia="Times New Roman" w:hAnsi="Times New Roman"/>
          <w:sz w:val="14"/>
          <w:szCs w:val="14"/>
          <w:color w:val="auto"/>
        </w:rPr>
        <w:t>” shall mean the Trademark Matters Agreement in substantially the form agreed among the Parties pursuant to Section 7.4 of the Separation Agreement, as such agreement may be amended, restated, modified or supplemented from time to time in accordance with its terms.</w:t>
      </w:r>
    </w:p>
    <w:p>
      <w:pPr>
        <w:spacing w:after="0" w:line="136"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shall mean this Agreement, the Separation Agreement, the Employee Matters Agreement, the Tax Matters Agreement, the Technical Services Agreements, the Lease Agreement, the Transition Services Agreement, the Trademark Matters Agreement, and the Intellectual Property Matters Agreement, and including all annexes, Exhibits, Schedules, attachments and appendices thereto, and any certificate or other instrument delivered by any Party to any other Party pursuant to this Agreement or any of the foregoing.</w:t>
      </w:r>
    </w:p>
    <w:p>
      <w:pPr>
        <w:spacing w:after="0" w:line="141"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Process</w:t>
      </w:r>
      <w:r>
        <w:rPr>
          <w:rFonts w:ascii="Times New Roman" w:cs="Times New Roman" w:eastAsia="Times New Roman" w:hAnsi="Times New Roman"/>
          <w:sz w:val="14"/>
          <w:szCs w:val="14"/>
          <w:color w:val="auto"/>
        </w:rPr>
        <w:t>” shall mean all matters relating to the separation, disposition or sale of the SpinCo Business and the review of strategic alternatives with respect to the SpinCo Business (including the potential spin-off of the SpinCo Business), including matters relating to (a) the solicitation of proposals from and negotiations with third parties in connection with the disposition or sale of the SpinCo Business or SpinCo Assets or any portions thereof, or (b) the drafting, negotiation or interpretation of any of the provisions of this Agreement or the Transaction Documents, or the determination of the allocation of any assets or Liabilities pursuant to the foregoing agreements or the transactions contemplated thereby.</w:t>
      </w:r>
    </w:p>
    <w:p>
      <w:pPr>
        <w:spacing w:after="0" w:line="144"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Transactions</w:t>
      </w:r>
      <w:r>
        <w:rPr>
          <w:rFonts w:ascii="Times New Roman" w:cs="Times New Roman" w:eastAsia="Times New Roman" w:hAnsi="Times New Roman"/>
          <w:sz w:val="14"/>
          <w:szCs w:val="14"/>
          <w:color w:val="auto"/>
        </w:rPr>
        <w:t>” shall mean the Merger, the Separation, the Distribution, the Gold Special Dividend, if any, and the other transactions contemplated by the Transaction Documents.</w:t>
      </w:r>
    </w:p>
    <w:p>
      <w:pPr>
        <w:spacing w:after="0" w:line="125"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Transition Services Agreement</w:t>
      </w:r>
      <w:r>
        <w:rPr>
          <w:rFonts w:ascii="Times New Roman" w:cs="Times New Roman" w:eastAsia="Times New Roman" w:hAnsi="Times New Roman"/>
          <w:sz w:val="14"/>
          <w:szCs w:val="14"/>
          <w:color w:val="auto"/>
        </w:rPr>
        <w:t xml:space="preserve">” shall mean a Transition Services Agreement in substantially the form attached hereto as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as such agreement may be amended, restated, modified or supplemented from time to time in accordance with its terms.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Regulations</w:t>
      </w:r>
      <w:r>
        <w:rPr>
          <w:rFonts w:ascii="Times New Roman" w:cs="Times New Roman" w:eastAsia="Times New Roman" w:hAnsi="Times New Roman"/>
          <w:sz w:val="14"/>
          <w:szCs w:val="14"/>
          <w:color w:val="auto"/>
        </w:rPr>
        <w:t>” shall mean the regulations promulgated by the U.S. Treasury Department under the Code.</w:t>
      </w:r>
    </w:p>
    <w:p>
      <w:pPr>
        <w:spacing w:after="0" w:line="175"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Willful Breach</w:t>
      </w:r>
      <w:r>
        <w:rPr>
          <w:rFonts w:ascii="Times New Roman" w:cs="Times New Roman" w:eastAsia="Times New Roman" w:hAnsi="Times New Roman"/>
          <w:sz w:val="14"/>
          <w:szCs w:val="14"/>
          <w:color w:val="auto"/>
        </w:rPr>
        <w:t>” shall mean, with respect to any obligation, covenant or agreement of a Party in this Agreement, any action or omission taken or omitted to be taken by such Party in material breach of such obligation, covenant or agreement that such Party intentionally takes (or intentionally fails to take or perform) with actual knowledge that such action or omission would, or would reasonably be expected to, cause or result in a breach of this Agreement.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A-16</w:t>
      </w:r>
    </w:p>
    <w:p>
      <w:pPr>
        <w:sectPr>
          <w:pgSz w:w="11900" w:h="16838" w:orient="portrait"/>
          <w:cols w:equalWidth="0" w:num="1">
            <w:col w:w="10159"/>
          </w:cols>
          <w:pgMar w:left="300" w:top="386" w:right="1440"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Cross References</w:t>
      </w:r>
      <w:r>
        <w:rPr>
          <w:rFonts w:ascii="Times New Roman" w:cs="Times New Roman" w:eastAsia="Times New Roman" w:hAnsi="Times New Roman"/>
          <w:sz w:val="14"/>
          <w:szCs w:val="14"/>
          <w:color w:val="auto"/>
        </w:rPr>
        <w:t>. Each of the following terms is defined in the Section set forth opposite such term:</w:t>
      </w:r>
    </w:p>
    <w:p>
      <w:pPr>
        <w:sectPr>
          <w:pgSz w:w="11900" w:h="16838" w:orient="portrait"/>
          <w:cols w:equalWidth="0" w:num="1">
            <w:col w:w="10159"/>
          </w:cols>
          <w:pgMar w:left="300" w:top="386" w:right="1440" w:bottom="1440" w:gutter="0" w:footer="0" w:header="0"/>
        </w:sectPr>
      </w:pPr>
    </w:p>
    <w:p>
      <w:pPr>
        <w:spacing w:after="0" w:line="19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0"/>
          <w:szCs w:val="10"/>
          <w:b w:val="1"/>
          <w:bCs w:val="1"/>
          <w:color w:val="auto"/>
        </w:rPr>
        <w:t>Term</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0"/>
          <w:szCs w:val="10"/>
          <w:b w:val="1"/>
          <w:bCs w:val="1"/>
          <w:color w:val="auto"/>
        </w:rPr>
        <w:t>Section</w:t>
      </w:r>
    </w:p>
    <w:p>
      <w:pPr>
        <w:spacing w:after="0" w:line="27" w:lineRule="exact"/>
        <w:rPr>
          <w:sz w:val="20"/>
          <w:szCs w:val="20"/>
          <w:color w:val="auto"/>
        </w:rPr>
      </w:pPr>
    </w:p>
    <w:p>
      <w:pPr>
        <w:sectPr>
          <w:pgSz w:w="11900" w:h="16838" w:orient="portrait"/>
          <w:cols w:equalWidth="0" w:num="2">
            <w:col w:w="5280" w:space="720"/>
            <w:col w:w="4159"/>
          </w:cols>
          <w:pgMar w:left="300" w:top="386"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color w:val="auto"/>
        </w:rPr>
        <w:t>Additional Gold SEC Documents</w:t>
      </w:r>
    </w:p>
    <w:p>
      <w:pPr>
        <w:ind w:left="1540"/>
        <w:spacing w:after="0"/>
        <w:rPr>
          <w:sz w:val="20"/>
          <w:szCs w:val="20"/>
          <w:color w:val="auto"/>
        </w:rPr>
      </w:pPr>
      <w:r>
        <w:rPr>
          <w:rFonts w:ascii="Times New Roman" w:cs="Times New Roman" w:eastAsia="Times New Roman" w:hAnsi="Times New Roman"/>
          <w:sz w:val="14"/>
          <w:szCs w:val="14"/>
          <w:color w:val="auto"/>
        </w:rPr>
        <w:t>Agent Agreement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Aggregate Adjustment Amount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Alternative Notice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Alternative SpinCo Financing</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Applicable Percentage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Burdensome Condition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Certificate of Merger</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Chosen Courts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Closing</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Closing Date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COBRA</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Commitment Letter</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Competing Proposal</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Competitive Business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Distribution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Distribution Documents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Distribution Tax Opinion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Effective Time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Excess Adjustment Amount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Exchange Agent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Exchange Fund</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Exchange Ratio Increase Amount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Final Adjustment Amount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Final Adjustment Cap</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Gold Adverse Recommendation Change</w:t>
      </w:r>
    </w:p>
    <w:p>
      <w:pPr>
        <w:spacing w:after="0" w:line="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Alternative Financing</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Audit Committee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Board</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Board Recommendation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Charter Amendment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Environmental Permit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Financing</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Financing Agreements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Foreign Benefit Plan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Leased Real Property</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Material Contracts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Merger Tax Opinion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Owned Real Property</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Preferred Stock</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Products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Real Property Leases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Shareholders Meeting</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Software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Special Dividend</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Gold Termination Fee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Indemnified 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Section 6.7(a)</w:t>
      </w:r>
    </w:p>
    <w:p>
      <w:pPr>
        <w:spacing w:after="0"/>
        <w:rPr>
          <w:sz w:val="20"/>
          <w:szCs w:val="20"/>
          <w:color w:val="auto"/>
        </w:rPr>
      </w:pPr>
      <w:r>
        <w:rPr>
          <w:rFonts w:ascii="Times New Roman" w:cs="Times New Roman" w:eastAsia="Times New Roman" w:hAnsi="Times New Roman"/>
          <w:sz w:val="14"/>
          <w:szCs w:val="14"/>
          <w:color w:val="auto"/>
        </w:rPr>
        <w:t>Section 3.2(b)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3.1(c)(ii)(A)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7.9(c)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7.5(b)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3.1(c)(i)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7.4(c)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10.2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5.15(i)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7.5(a)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7.9(g)(i)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7.12(c)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Recitals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3.1(c)(ii)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3.2(b)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3.2(b)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3.1(c)(i)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Section 3.1(c)(iii)(B)</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Section 3.1(c)(iii)(C)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Preamble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7.9(a)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7.6(b)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6.7(b)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Recitals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Recitals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Recitals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6.19(a)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7.6(a)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7.6(d)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6.17(j)</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6.10(b)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6.13(a)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6.10(a)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6.3(a)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6.9(b)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6.10(b)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7.3(d)(i)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6.18(h)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3.1(c)(ii)(A)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9.3(b)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7.8(a)</w:t>
      </w:r>
    </w:p>
    <w:p>
      <w:pPr>
        <w:spacing w:after="0" w:line="108" w:lineRule="exact"/>
        <w:rPr>
          <w:sz w:val="20"/>
          <w:szCs w:val="20"/>
          <w:color w:val="auto"/>
        </w:rPr>
      </w:pPr>
    </w:p>
    <w:p>
      <w:pPr>
        <w:sectPr>
          <w:pgSz w:w="11900" w:h="16838" w:orient="portrait"/>
          <w:cols w:equalWidth="0" w:num="2">
            <w:col w:w="5280" w:space="720"/>
            <w:col w:w="4159"/>
          </w:cols>
          <w:pgMar w:left="300" w:top="386" w:right="1440" w:bottom="1440" w:gutter="0" w:footer="0" w:header="0"/>
          <w:type w:val="continuous"/>
        </w:sectPr>
      </w:pPr>
    </w:p>
    <w:p>
      <w:pPr>
        <w:ind w:left="5500"/>
        <w:spacing w:after="0"/>
        <w:rPr>
          <w:sz w:val="20"/>
          <w:szCs w:val="20"/>
          <w:color w:val="auto"/>
        </w:rPr>
      </w:pPr>
      <w:r>
        <w:rPr>
          <w:rFonts w:ascii="Times New Roman" w:cs="Times New Roman" w:eastAsia="Times New Roman" w:hAnsi="Times New Roman"/>
          <w:sz w:val="13"/>
          <w:szCs w:val="13"/>
          <w:color w:val="auto"/>
        </w:rPr>
        <w:t>A-17</w:t>
      </w:r>
    </w:p>
    <w:p>
      <w:pPr>
        <w:sectPr>
          <w:pgSz w:w="11900" w:h="16838" w:orient="portrait"/>
          <w:cols w:equalWidth="0" w:num="1">
            <w:col w:w="10159"/>
          </w:cols>
          <w:pgMar w:left="300" w:top="386" w:right="1440" w:bottom="1440" w:gutter="0" w:footer="0" w:header="0"/>
          <w:type w:val="continuous"/>
        </w:sectPr>
      </w:pPr>
    </w:p>
    <w:bookmarkStart w:id="300" w:name="page301"/>
    <w:bookmarkEnd w:id="30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0"/>
          <w:szCs w:val="10"/>
          <w:b w:val="1"/>
          <w:bCs w:val="1"/>
          <w:color w:val="auto"/>
        </w:rPr>
        <w:t>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0"/>
          <w:szCs w:val="10"/>
          <w:b w:val="1"/>
          <w:bCs w:val="1"/>
          <w:color w:val="auto"/>
        </w:rPr>
        <w:t>Section</w:t>
      </w:r>
    </w:p>
    <w:p>
      <w:pPr>
        <w:spacing w:after="0" w:line="27" w:lineRule="exact"/>
        <w:rPr>
          <w:sz w:val="20"/>
          <w:szCs w:val="20"/>
          <w:color w:val="auto"/>
        </w:rPr>
      </w:pPr>
    </w:p>
    <w:p>
      <w:pPr>
        <w:sectPr>
          <w:pgSz w:w="11900" w:h="16838" w:orient="portrait"/>
          <w:cols w:equalWidth="0" w:num="2">
            <w:col w:w="5280" w:space="720"/>
            <w:col w:w="4159"/>
          </w:cols>
          <w:pgMar w:left="300" w:top="386"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color w:val="auto"/>
        </w:rPr>
        <w:t>Initial Adjustment Amount</w:t>
      </w:r>
    </w:p>
    <w:p>
      <w:pPr>
        <w:ind w:left="1540"/>
        <w:spacing w:after="0"/>
        <w:rPr>
          <w:sz w:val="20"/>
          <w:szCs w:val="20"/>
          <w:color w:val="auto"/>
        </w:rPr>
      </w:pPr>
      <w:r>
        <w:rPr>
          <w:rFonts w:ascii="Times New Roman" w:cs="Times New Roman" w:eastAsia="Times New Roman" w:hAnsi="Times New Roman"/>
          <w:sz w:val="14"/>
          <w:szCs w:val="14"/>
          <w:color w:val="auto"/>
        </w:rPr>
        <w:t>Initial Adjustment Cap</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Intended Tax Treatment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Interim Period</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Intermediate Adjustment Amount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Intermediate Adjustment Cap</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IRS Pre-Submission Conference Request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IRS Submission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Legal Restraint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Mercury</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Mercury Audit Committee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Mercury Board</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Mercury Designated Director</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Mercury Foreign Benefit Plan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Mercury Merger Tax Opinion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Merger</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Merger Consideration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Merger Sub</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Merger Sub Common Stock</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Merger Sub Shareholder Approval</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Negotiation Period</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New SpinCo Group Member</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Order</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Outside Date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Parties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Party</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Permanent SpinCo Financing</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Permanent SpinCo Financing Agreements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Redactable Information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Registered Gold Intellectual Property</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Registered SpinCo Intellectual Property</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Remedies Exception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Required SpinCo Information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Requisite Regulatory Approval</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Restricted Period</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Securities Filings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Audited Financial Statements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Board</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Common Stock</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Environmental Permit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Financing</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Financing Agreements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Material Contracts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Owned Real Property</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Products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Proposal</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Software</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Stockholder Approval</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3"/>
          <w:szCs w:val="13"/>
          <w:color w:val="auto"/>
        </w:rPr>
        <w:t>SpinCo Subsequent Unaudited Financial Statements</w:t>
      </w:r>
    </w:p>
    <w:p>
      <w:pPr>
        <w:spacing w:after="0" w:line="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Transferred Leased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3.1(c)(iii)(D)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3.1(c)(iii)(E)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7.1(a)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3.1(c)(iii)(F)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Section 3.1(c)(iii)(G)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7.2(h)(i)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7.2(h)(i)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8.1(d)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Preamble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4.6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Recitals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5.15(j)</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Recitals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3.1(a)(i)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Preamble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3.1(a)(v)</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7.9(c)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5.8(a)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9.1(b)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Preamble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Preamble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7.5(g)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7.5(g)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7.2(h)(iv)</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6.18(a)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5.16(a)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4.2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7.5(d)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8.1(a)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7.12(c)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7.3(a)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Preamble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7.24(a)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Recitals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Recitals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5.17(a)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7.5(a)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7.5(d)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5.11(a)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5.9(a)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5.8(b)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5.16(e)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5.21(b)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7.24(b)</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5.9(b)</w:t>
      </w:r>
    </w:p>
    <w:p>
      <w:pPr>
        <w:spacing w:after="0" w:line="108" w:lineRule="exact"/>
        <w:rPr>
          <w:sz w:val="20"/>
          <w:szCs w:val="20"/>
          <w:color w:val="auto"/>
        </w:rPr>
      </w:pPr>
    </w:p>
    <w:p>
      <w:pPr>
        <w:sectPr>
          <w:pgSz w:w="11900" w:h="16838" w:orient="portrait"/>
          <w:cols w:equalWidth="0" w:num="2">
            <w:col w:w="5280" w:space="720"/>
            <w:col w:w="4159"/>
          </w:cols>
          <w:pgMar w:left="300" w:top="386" w:right="1440" w:bottom="1440" w:gutter="0" w:footer="0" w:header="0"/>
          <w:type w:val="continuous"/>
        </w:sectPr>
      </w:pPr>
    </w:p>
    <w:p>
      <w:pPr>
        <w:ind w:left="5500"/>
        <w:spacing w:after="0"/>
        <w:rPr>
          <w:sz w:val="20"/>
          <w:szCs w:val="20"/>
          <w:color w:val="auto"/>
        </w:rPr>
      </w:pPr>
      <w:r>
        <w:rPr>
          <w:rFonts w:ascii="Times New Roman" w:cs="Times New Roman" w:eastAsia="Times New Roman" w:hAnsi="Times New Roman"/>
          <w:sz w:val="13"/>
          <w:szCs w:val="13"/>
          <w:color w:val="auto"/>
        </w:rPr>
        <w:t>A-18</w:t>
      </w:r>
    </w:p>
    <w:p>
      <w:pPr>
        <w:sectPr>
          <w:pgSz w:w="11900" w:h="16838" w:orient="portrait"/>
          <w:cols w:equalWidth="0" w:num="1">
            <w:col w:w="10159"/>
          </w:cols>
          <w:pgMar w:left="300" w:top="386" w:right="1440" w:bottom="1440" w:gutter="0" w:footer="0" w:header="0"/>
          <w:type w:val="continuous"/>
        </w:sectPr>
      </w:pPr>
    </w:p>
    <w:bookmarkStart w:id="301" w:name="page302"/>
    <w:bookmarkEnd w:id="30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0"/>
          <w:szCs w:val="10"/>
          <w:b w:val="1"/>
          <w:bCs w:val="1"/>
          <w:color w:val="auto"/>
        </w:rPr>
        <w:t>Term</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0"/>
          <w:szCs w:val="10"/>
          <w:b w:val="1"/>
          <w:bCs w:val="1"/>
          <w:color w:val="auto"/>
        </w:rPr>
        <w:t>Section</w:t>
      </w:r>
    </w:p>
    <w:p>
      <w:pPr>
        <w:spacing w:after="0" w:line="27" w:lineRule="exact"/>
        <w:rPr>
          <w:sz w:val="20"/>
          <w:szCs w:val="20"/>
          <w:color w:val="auto"/>
        </w:rPr>
      </w:pPr>
    </w:p>
    <w:p>
      <w:pPr>
        <w:sectPr>
          <w:pgSz w:w="11900" w:h="16838" w:orient="portrait"/>
          <w:cols w:equalWidth="0" w:num="2">
            <w:col w:w="5280" w:space="720"/>
            <w:col w:w="4159"/>
          </w:cols>
          <w:pgMar w:left="300" w:top="386" w:right="1440"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color w:val="auto"/>
        </w:rPr>
        <w:t>SpinCo Transferred Property Leases</w:t>
      </w:r>
    </w:p>
    <w:p>
      <w:pPr>
        <w:ind w:left="1540"/>
        <w:spacing w:after="0"/>
        <w:rPr>
          <w:sz w:val="20"/>
          <w:szCs w:val="20"/>
          <w:color w:val="auto"/>
        </w:rPr>
      </w:pPr>
      <w:r>
        <w:rPr>
          <w:rFonts w:ascii="Times New Roman" w:cs="Times New Roman" w:eastAsia="Times New Roman" w:hAnsi="Times New Roman"/>
          <w:sz w:val="13"/>
          <w:szCs w:val="13"/>
          <w:color w:val="auto"/>
        </w:rPr>
        <w:t>SpinCo Unaudited Nine-Month Financial Statements</w:t>
      </w:r>
    </w:p>
    <w:p>
      <w:pPr>
        <w:spacing w:after="0" w:line="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SpinCo Unaudited Financial Statements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Superior Proposal</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Surviving Corporation</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Trade Controls</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WARN Laws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Section 5.9(b)</w:t>
      </w:r>
    </w:p>
    <w:p>
      <w:pPr>
        <w:spacing w:after="0"/>
        <w:rPr>
          <w:sz w:val="20"/>
          <w:szCs w:val="20"/>
          <w:color w:val="auto"/>
        </w:rPr>
      </w:pPr>
      <w:r>
        <w:rPr>
          <w:rFonts w:ascii="Times New Roman" w:cs="Times New Roman" w:eastAsia="Times New Roman" w:hAnsi="Times New Roman"/>
          <w:sz w:val="14"/>
          <w:szCs w:val="14"/>
          <w:color w:val="auto"/>
        </w:rPr>
        <w:t>Section 7.24(a)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5.5(a)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Section 7.9(g)(ii)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5.13(c)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5.12(c)</w:t>
      </w:r>
    </w:p>
    <w:p>
      <w:pPr>
        <w:spacing w:after="0" w:line="161" w:lineRule="exact"/>
        <w:rPr>
          <w:sz w:val="20"/>
          <w:szCs w:val="20"/>
          <w:color w:val="auto"/>
        </w:rPr>
      </w:pPr>
    </w:p>
    <w:p>
      <w:pPr>
        <w:sectPr>
          <w:pgSz w:w="11900" w:h="16838" w:orient="portrait"/>
          <w:cols w:equalWidth="0" w:num="2">
            <w:col w:w="5280" w:space="720"/>
            <w:col w:w="4159"/>
          </w:cols>
          <w:pgMar w:left="300" w:top="386" w:right="1440"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1880" w:hanging="182"/>
        <w:spacing w:after="0"/>
        <w:tabs>
          <w:tab w:leader="none" w:pos="18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the context of this Agreement otherwise requires:</w:t>
      </w:r>
    </w:p>
    <w:p>
      <w:pPr>
        <w:spacing w:after="0" w:line="91" w:lineRule="exact"/>
        <w:rPr>
          <w:rFonts w:ascii="Times New Roman" w:cs="Times New Roman" w:eastAsia="Times New Roman" w:hAnsi="Times New Roman"/>
          <w:sz w:val="14"/>
          <w:szCs w:val="14"/>
          <w:color w:val="auto"/>
        </w:rPr>
      </w:pPr>
    </w:p>
    <w:p>
      <w:pPr>
        <w:ind w:left="1700" w:right="239" w:firstLine="327"/>
        <w:spacing w:after="0" w:line="254" w:lineRule="auto"/>
        <w:tabs>
          <w:tab w:leader="none" w:pos="2197"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“Schedule,” and “Disclosure Letter” refer to the specified Article, Section, Annex, Exhibit, Schedule or Disclosure Letter of this Agreement and references to “paragraphs” or “clauses” shall be to separate paragraphs or clauses of the Section or subsection in which the reference occurs; (F) the words “include,” “includes” and “including” shall be deemed to be followed by the phrase “without limitation”; and</w:t>
      </w:r>
    </w:p>
    <w:p>
      <w:pPr>
        <w:spacing w:after="0" w:line="1"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 the word “or” shall be disjunctive but is not exclusive;</w:t>
      </w:r>
    </w:p>
    <w:p>
      <w:pPr>
        <w:spacing w:after="0" w:line="76" w:lineRule="exact"/>
        <w:rPr>
          <w:rFonts w:ascii="Times New Roman" w:cs="Times New Roman" w:eastAsia="Times New Roman" w:hAnsi="Times New Roman"/>
          <w:sz w:val="14"/>
          <w:szCs w:val="14"/>
          <w:color w:val="auto"/>
        </w:rPr>
      </w:pPr>
    </w:p>
    <w:p>
      <w:pPr>
        <w:ind w:left="1700" w:right="359" w:firstLine="327"/>
        <w:spacing w:after="0" w:line="258" w:lineRule="auto"/>
        <w:tabs>
          <w:tab w:leader="none" w:pos="2235"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purposes of any representations and warranties contained in this Agreement that are made as of a specific date or dates, references to any Law shall be deemed to refer to such Law, as amended, and the related regulations thereunder and published interpretations thereof, in each case, as of such date or dates;</w:t>
      </w:r>
    </w:p>
    <w:p>
      <w:pPr>
        <w:spacing w:after="0" w:line="59" w:lineRule="exact"/>
        <w:rPr>
          <w:rFonts w:ascii="Times New Roman" w:cs="Times New Roman" w:eastAsia="Times New Roman" w:hAnsi="Times New Roman"/>
          <w:sz w:val="14"/>
          <w:szCs w:val="14"/>
          <w:color w:val="auto"/>
        </w:rPr>
      </w:pPr>
    </w:p>
    <w:p>
      <w:pPr>
        <w:ind w:left="2280" w:hanging="253"/>
        <w:spacing w:after="0"/>
        <w:tabs>
          <w:tab w:leader="none" w:pos="2280"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any federal, state, local, or foreign statute or Law shall include all rules and regulations promulgated thereunder;</w:t>
      </w:r>
    </w:p>
    <w:p>
      <w:pPr>
        <w:spacing w:after="0" w:line="91" w:lineRule="exact"/>
        <w:rPr>
          <w:rFonts w:ascii="Times New Roman" w:cs="Times New Roman" w:eastAsia="Times New Roman" w:hAnsi="Times New Roman"/>
          <w:sz w:val="14"/>
          <w:szCs w:val="14"/>
          <w:color w:val="auto"/>
        </w:rPr>
      </w:pPr>
    </w:p>
    <w:p>
      <w:pPr>
        <w:ind w:left="1700" w:right="519" w:firstLine="327"/>
        <w:spacing w:after="0" w:line="283" w:lineRule="auto"/>
        <w:tabs>
          <w:tab w:leader="none" w:pos="2267"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any Person include references to such Person’s successors and permitted assigns, and in the case of any Governmental Authority, to any Person succeeding to its functions and capacities; and</w:t>
      </w:r>
    </w:p>
    <w:p>
      <w:pPr>
        <w:spacing w:after="0" w:line="40" w:lineRule="exact"/>
        <w:rPr>
          <w:rFonts w:ascii="Times New Roman" w:cs="Times New Roman" w:eastAsia="Times New Roman" w:hAnsi="Times New Roman"/>
          <w:sz w:val="14"/>
          <w:szCs w:val="14"/>
          <w:color w:val="auto"/>
        </w:rPr>
      </w:pPr>
    </w:p>
    <w:p>
      <w:pPr>
        <w:ind w:left="2220" w:hanging="193"/>
        <w:spacing w:after="0"/>
        <w:tabs>
          <w:tab w:leader="none" w:pos="2220"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“the date hereof,” “the date of this Agreement,” and words of similar import shall all be references to January 29, 2026.</w:t>
      </w:r>
    </w:p>
    <w:p>
      <w:pPr>
        <w:spacing w:after="0" w:line="175" w:lineRule="exact"/>
        <w:rPr>
          <w:rFonts w:ascii="Times New Roman" w:cs="Times New Roman" w:eastAsia="Times New Roman" w:hAnsi="Times New Roman"/>
          <w:sz w:val="14"/>
          <w:szCs w:val="14"/>
          <w:color w:val="auto"/>
        </w:rPr>
      </w:pPr>
    </w:p>
    <w:p>
      <w:pPr>
        <w:ind w:left="1360" w:right="479" w:firstLine="338"/>
        <w:spacing w:after="0" w:line="261" w:lineRule="auto"/>
        <w:tabs>
          <w:tab w:leader="none" w:pos="1901"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140" w:lineRule="exact"/>
        <w:rPr>
          <w:rFonts w:ascii="Times New Roman" w:cs="Times New Roman" w:eastAsia="Times New Roman" w:hAnsi="Times New Roman"/>
          <w:sz w:val="14"/>
          <w:szCs w:val="14"/>
          <w:color w:val="auto"/>
        </w:rPr>
      </w:pPr>
    </w:p>
    <w:p>
      <w:pPr>
        <w:ind w:left="1360" w:right="339" w:firstLine="338"/>
        <w:spacing w:after="0" w:line="267" w:lineRule="auto"/>
        <w:tabs>
          <w:tab w:leader="none" w:pos="1893"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herein (including the SpinCo Disclosure Letter and the Gold Disclosure Letter) shall be deemed an admission by any Party or any of its Affiliates, in any Action, that such Party or any such Affiliate, or any third party, is or is not in breach or violation of, or in default in, the performance or observance of any term or provisions of any Contract or any Law.</w:t>
      </w:r>
    </w:p>
    <w:p>
      <w:pPr>
        <w:spacing w:after="0" w:line="135" w:lineRule="exact"/>
        <w:rPr>
          <w:rFonts w:ascii="Times New Roman" w:cs="Times New Roman" w:eastAsia="Times New Roman" w:hAnsi="Times New Roman"/>
          <w:sz w:val="14"/>
          <w:szCs w:val="14"/>
          <w:color w:val="auto"/>
        </w:rPr>
      </w:pPr>
    </w:p>
    <w:p>
      <w:pPr>
        <w:ind w:left="1360" w:right="319" w:firstLine="338"/>
        <w:spacing w:after="0" w:line="267" w:lineRule="auto"/>
        <w:tabs>
          <w:tab w:leader="none" w:pos="1899"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35" w:lineRule="exact"/>
        <w:rPr>
          <w:rFonts w:ascii="Times New Roman" w:cs="Times New Roman" w:eastAsia="Times New Roman" w:hAnsi="Times New Roman"/>
          <w:sz w:val="14"/>
          <w:szCs w:val="14"/>
          <w:color w:val="auto"/>
        </w:rPr>
      </w:pPr>
    </w:p>
    <w:p>
      <w:pPr>
        <w:ind w:left="1360" w:right="739" w:firstLine="338"/>
        <w:spacing w:after="0" w:line="283" w:lineRule="auto"/>
        <w:tabs>
          <w:tab w:leader="none" w:pos="1893"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calculating the period of time before which, within which or following which any act is to be done or step taken pursuant to this Agreement, the date that is the reference date in calculating such period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-2547620</wp:posOffset>
            </wp:positionV>
            <wp:extent cx="2222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A-19</w:t>
      </w:r>
    </w:p>
    <w:p>
      <w:pPr>
        <w:sectPr>
          <w:pgSz w:w="11900" w:h="16838" w:orient="portrait"/>
          <w:cols w:equalWidth="0" w:num="1">
            <w:col w:w="10159"/>
          </w:cols>
          <w:pgMar w:left="300" w:top="386" w:right="1440" w:bottom="1440" w:gutter="0" w:footer="0" w:header="0"/>
          <w:type w:val="continuous"/>
        </w:sectPr>
      </w:pPr>
    </w:p>
    <w:bookmarkStart w:id="302" w:name="page303"/>
    <w:bookmarkEnd w:id="3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excluded and if the last day of such period is not a Business Day, the period shall end on the next succeeding Business Day.</w:t>
      </w:r>
    </w:p>
    <w:p>
      <w:pPr>
        <w:spacing w:after="0" w:line="175" w:lineRule="exact"/>
        <w:rPr>
          <w:sz w:val="20"/>
          <w:szCs w:val="20"/>
          <w:color w:val="auto"/>
        </w:rPr>
      </w:pPr>
    </w:p>
    <w:p>
      <w:pPr>
        <w:ind w:left="1880" w:hanging="182"/>
        <w:spacing w:after="0"/>
        <w:tabs>
          <w:tab w:leader="none" w:pos="188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phrase “to the extent” shall mean the degree to which a subject or other thing extends, and such phrase shall not mean simply “if.”</w:t>
      </w:r>
    </w:p>
    <w:p>
      <w:pPr>
        <w:spacing w:after="0" w:line="175" w:lineRule="exact"/>
        <w:rPr>
          <w:rFonts w:ascii="Times New Roman" w:cs="Times New Roman" w:eastAsia="Times New Roman" w:hAnsi="Times New Roman"/>
          <w:sz w:val="14"/>
          <w:szCs w:val="14"/>
          <w:color w:val="auto"/>
        </w:rPr>
      </w:pPr>
    </w:p>
    <w:p>
      <w:pPr>
        <w:ind w:left="1360" w:right="579" w:firstLine="338"/>
        <w:spacing w:after="0" w:line="283" w:lineRule="auto"/>
        <w:tabs>
          <w:tab w:leader="none" w:pos="1901"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“writing,” “written” and comparable terms refer to printing, typing and other means of reproducing words (including electronic media) in a visible form.</w:t>
      </w:r>
    </w:p>
    <w:p>
      <w:pPr>
        <w:spacing w:after="0" w:line="124" w:lineRule="exact"/>
        <w:rPr>
          <w:rFonts w:ascii="Times New Roman" w:cs="Times New Roman" w:eastAsia="Times New Roman" w:hAnsi="Times New Roman"/>
          <w:sz w:val="14"/>
          <w:szCs w:val="14"/>
          <w:color w:val="auto"/>
        </w:rPr>
      </w:pPr>
    </w:p>
    <w:p>
      <w:pPr>
        <w:ind w:left="1360" w:right="539" w:firstLine="338"/>
        <w:spacing w:after="0" w:line="283" w:lineRule="auto"/>
        <w:tabs>
          <w:tab w:leader="none" w:pos="1901"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accounting terms used herein and not expressly defined herein shall have the meanings given to them under GAAP, unless the context otherwise requires.</w:t>
      </w:r>
    </w:p>
    <w:p>
      <w:pPr>
        <w:spacing w:after="0" w:line="124" w:lineRule="exact"/>
        <w:rPr>
          <w:rFonts w:ascii="Times New Roman" w:cs="Times New Roman" w:eastAsia="Times New Roman" w:hAnsi="Times New Roman"/>
          <w:sz w:val="14"/>
          <w:szCs w:val="14"/>
          <w:color w:val="auto"/>
        </w:rPr>
      </w:pPr>
    </w:p>
    <w:p>
      <w:pPr>
        <w:ind w:left="1360" w:right="259" w:firstLine="338"/>
        <w:spacing w:after="0" w:line="267" w:lineRule="auto"/>
        <w:tabs>
          <w:tab w:leader="none" w:pos="187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“ordinary course of business” refers to the ordinary course of business of the applicable Person and its Subsidiaries taken as a whole and consistent with past practice, including reasonable actions or omissions taken or to be taken by such Person in good faith from time to time in response to changing economics and other conditions, circumstances or events.</w:t>
      </w:r>
    </w:p>
    <w:p>
      <w:pPr>
        <w:spacing w:after="0" w:line="135" w:lineRule="exact"/>
        <w:rPr>
          <w:rFonts w:ascii="Times New Roman" w:cs="Times New Roman" w:eastAsia="Times New Roman" w:hAnsi="Times New Roman"/>
          <w:sz w:val="14"/>
          <w:szCs w:val="14"/>
          <w:color w:val="auto"/>
        </w:rPr>
      </w:pPr>
    </w:p>
    <w:p>
      <w:pPr>
        <w:ind w:left="1860" w:hanging="162"/>
        <w:spacing w:after="0"/>
        <w:tabs>
          <w:tab w:leader="none" w:pos="186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monetary figures shall be in United States dollars unless otherwise specified.</w:t>
      </w:r>
    </w:p>
    <w:p>
      <w:pPr>
        <w:spacing w:after="0" w:line="175" w:lineRule="exact"/>
        <w:rPr>
          <w:rFonts w:ascii="Times New Roman" w:cs="Times New Roman" w:eastAsia="Times New Roman" w:hAnsi="Times New Roman"/>
          <w:sz w:val="14"/>
          <w:szCs w:val="14"/>
          <w:color w:val="auto"/>
        </w:rPr>
      </w:pPr>
    </w:p>
    <w:p>
      <w:pPr>
        <w:ind w:left="1360" w:right="499" w:firstLine="338"/>
        <w:spacing w:after="0" w:line="283" w:lineRule="auto"/>
        <w:tabs>
          <w:tab w:leader="none" w:pos="1901"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reference in this Agreement to dollar amount thresholds shall be deemed to be evidence of a SpinCo Material Adverse Effect, Mercury Material Adverse Effect or a Gold Material Adverse Effect, as applicable, or materiality.</w:t>
      </w:r>
    </w:p>
    <w:p>
      <w:pPr>
        <w:spacing w:after="0" w:line="124" w:lineRule="exact"/>
        <w:rPr>
          <w:rFonts w:ascii="Times New Roman" w:cs="Times New Roman" w:eastAsia="Times New Roman" w:hAnsi="Times New Roman"/>
          <w:sz w:val="14"/>
          <w:szCs w:val="14"/>
          <w:color w:val="auto"/>
        </w:rPr>
      </w:pPr>
    </w:p>
    <w:p>
      <w:pPr>
        <w:ind w:left="1360" w:right="299" w:firstLine="338"/>
        <w:spacing w:after="0" w:line="296" w:lineRule="auto"/>
        <w:tabs>
          <w:tab w:leader="none" w:pos="1870" w:val="left"/>
        </w:tabs>
        <w:numPr>
          <w:ilvl w:val="0"/>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appropriate based on the context or specified herein, each of the representations and warranties of Mercury related to SpinCo or the SpinCo Business set forth herein shall be deemed to be made as if the transactions contemplated by the Separation Agreement (including the Reorganization) have been consummated in accordance with the terms thereof as of the date such representations and warranties are made hereunder.</w:t>
      </w:r>
    </w:p>
    <w:p>
      <w:pPr>
        <w:spacing w:after="0" w:line="119" w:lineRule="exact"/>
        <w:rPr>
          <w:rFonts w:ascii="Times New Roman" w:cs="Times New Roman" w:eastAsia="Times New Roman" w:hAnsi="Times New Roman"/>
          <w:sz w:val="13"/>
          <w:szCs w:val="13"/>
          <w:color w:val="auto"/>
        </w:rPr>
      </w:pPr>
    </w:p>
    <w:p>
      <w:pPr>
        <w:ind w:left="1360" w:right="219" w:firstLine="338"/>
        <w:spacing w:after="0" w:line="258" w:lineRule="auto"/>
        <w:tabs>
          <w:tab w:leader="none" w:pos="194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phrases “filed,” “furnished,” “provided,” “delivered” or “made available” when used with respect to information or documents means that such information or documents have been (i) physically or electronically delivered to the relevant Party (and includes that such information or documents have been furnished to its Representatives acting on its behalf or posted to the Gold Datasite or the SpinCo Datasite) or (ii) are otherwise Gold SEC Documents or Mercury SEC Documents and made publicly available on the SEC’s EDGAR website by Gold or Mercury, as applicable, in each case, prior to the execution of this Agreement.</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61"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The Merger</w:t>
      </w:r>
      <w:r>
        <w:rPr>
          <w:rFonts w:ascii="Times New Roman" w:cs="Times New Roman" w:eastAsia="Times New Roman" w:hAnsi="Times New Roman"/>
          <w:sz w:val="14"/>
          <w:szCs w:val="14"/>
          <w:color w:val="auto"/>
        </w:rPr>
        <w:t>. At the Effective Time and upon the terms and subject to the conditions of this Agreement, Merger Sub shall be merged with and into SpinCo in accordance with the applicable provisions of the DGCL, the separate existence of Merger Sub shall cease and SpinCo shall continue as the surviving corporation of the Merger (sometimes referred to herein as the “</w:t>
      </w:r>
      <w:r>
        <w:rPr>
          <w:rFonts w:ascii="Times New Roman" w:cs="Times New Roman" w:eastAsia="Times New Roman" w:hAnsi="Times New Roman"/>
          <w:sz w:val="14"/>
          <w:szCs w:val="14"/>
          <w:u w:val="single" w:color="auto"/>
          <w:color w:val="auto"/>
        </w:rPr>
        <w:t>Surviving Corporation</w:t>
      </w:r>
      <w:r>
        <w:rPr>
          <w:rFonts w:ascii="Times New Roman" w:cs="Times New Roman" w:eastAsia="Times New Roman" w:hAnsi="Times New Roman"/>
          <w:sz w:val="14"/>
          <w:szCs w:val="14"/>
          <w:color w:val="auto"/>
        </w:rPr>
        <w:t>”) and shall succeed to and assume all the rights, powers and privileges and be subject to all of the obligations of Merger Sub in accordance with the DGCL. As a result of the Merger, SpinCo shall become a direct, wholly owned Subsidiary of Gold. References herein to “SpinCo” with respect to the period from and after the Effective Time shall be deemed to be references to the Surviving Corporation. At the Effective Time, the effects of the Merger shall be as provided in this Agreement, the Certificate of Merger and the applicable provisions of the DGCL.</w:t>
      </w:r>
    </w:p>
    <w:p>
      <w:pPr>
        <w:spacing w:after="0" w:line="14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xml:space="preserve">. Unless the transactions herein contemplated shall have been abandoned and this Agreement terminated in accordance with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the closing of the Merger and the other transactions contemplated hereby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xml:space="preserve">”) shall take place at 9:00 a.m., New York City time, on the date that is three (3) Business Days after the date on which after the conditions set forth in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(other than those conditions set forth in </w:t>
      </w:r>
      <w:r>
        <w:rPr>
          <w:rFonts w:ascii="Times New Roman" w:cs="Times New Roman" w:eastAsia="Times New Roman" w:hAnsi="Times New Roman"/>
          <w:sz w:val="14"/>
          <w:szCs w:val="14"/>
          <w:u w:val="single" w:color="auto"/>
          <w:color w:val="auto"/>
        </w:rPr>
        <w:t>Section 8.1(b)</w:t>
      </w:r>
      <w:r>
        <w:rPr>
          <w:rFonts w:ascii="Times New Roman" w:cs="Times New Roman" w:eastAsia="Times New Roman" w:hAnsi="Times New Roman"/>
          <w:sz w:val="14"/>
          <w:szCs w:val="14"/>
          <w:color w:val="auto"/>
        </w:rPr>
        <w:t xml:space="preserve">, and the conditions set forth in </w:t>
      </w:r>
      <w:r>
        <w:rPr>
          <w:rFonts w:ascii="Times New Roman" w:cs="Times New Roman" w:eastAsia="Times New Roman" w:hAnsi="Times New Roman"/>
          <w:sz w:val="14"/>
          <w:szCs w:val="14"/>
          <w:u w:val="single" w:color="auto"/>
          <w:color w:val="auto"/>
        </w:rPr>
        <w:t>Section 8.2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 xml:space="preserve"> that are, in each</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A-20</w:t>
      </w:r>
    </w:p>
    <w:p>
      <w:pPr>
        <w:sectPr>
          <w:pgSz w:w="11900" w:h="16838" w:orient="portrait"/>
          <w:cols w:equalWidth="0" w:num="1">
            <w:col w:w="10159"/>
          </w:cols>
          <w:pgMar w:left="300" w:top="386" w:right="1440"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case, to be satisfied at or immediately prior to the Closing, but subject to the satisfaction or, to the extent permitted by applicable Law, waiver of such conditions at the Closing) have been satisfied or, to the extent permitted by applicable Law, waived, by electronic exchange of documents and signatures, unless another date and time is agreed to in writing by Mercury and Gold. The date on which the Closing actually occurs is hereinafter referred to as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On the Closing Date after completion of the Distribution, SpinCo and Merger Sub shall file a certificate of merger relating to the Merger (the “</w:t>
      </w:r>
      <w:r>
        <w:rPr>
          <w:rFonts w:ascii="Times New Roman" w:cs="Times New Roman" w:eastAsia="Times New Roman" w:hAnsi="Times New Roman"/>
          <w:sz w:val="14"/>
          <w:szCs w:val="14"/>
          <w:u w:val="single" w:color="auto"/>
          <w:color w:val="auto"/>
        </w:rPr>
        <w:t>Certificate of Merger</w:t>
      </w:r>
      <w:r>
        <w:rPr>
          <w:rFonts w:ascii="Times New Roman" w:cs="Times New Roman" w:eastAsia="Times New Roman" w:hAnsi="Times New Roman"/>
          <w:sz w:val="14"/>
          <w:szCs w:val="14"/>
          <w:color w:val="auto"/>
        </w:rPr>
        <w:t>”) with the Secretary of State of the State of Delaware in accordance with the relevant provisions of the DGCL and shall make all other filings or recordings required under the DGCL. The Merger shall become effective at the time the Certificate of Merger shall have been duly filed with the Secretary of State of the State of Delaware, or such later time as Gold and SpinCo shall agree and specify in the Certificate of Merger (such time as the Merger becomes effective being the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Certificate of Incorporation and Bylaws of the Surviving Corporation; Directors and Officers of the Surviving Corporation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459" w:firstLine="338"/>
        <w:spacing w:after="0" w:line="267" w:lineRule="auto"/>
        <w:tabs>
          <w:tab w:leader="none" w:pos="1893"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w:t>
      </w:r>
      <w:r>
        <w:rPr>
          <w:rFonts w:ascii="Times New Roman" w:cs="Times New Roman" w:eastAsia="Times New Roman" w:hAnsi="Times New Roman"/>
          <w:sz w:val="14"/>
          <w:szCs w:val="14"/>
          <w:u w:val="single" w:color="auto"/>
          <w:color w:val="auto"/>
        </w:rPr>
        <w:t>Section 7.8(a)</w:t>
      </w:r>
      <w:r>
        <w:rPr>
          <w:rFonts w:ascii="Times New Roman" w:cs="Times New Roman" w:eastAsia="Times New Roman" w:hAnsi="Times New Roman"/>
          <w:sz w:val="14"/>
          <w:szCs w:val="14"/>
          <w:color w:val="auto"/>
        </w:rPr>
        <w:t xml:space="preserve">, the certificate of incorporation of Merger Sub in effect immediately prior to the Effective Time shall be the certificate of incorporation of the Surviving Corporation until amended in accordance with applicable Law, except the name of the Surviving Corporation shall be as provided in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and the reference to the incorporator shall be deleted.</w:t>
      </w:r>
    </w:p>
    <w:p>
      <w:pPr>
        <w:spacing w:after="0" w:line="135" w:lineRule="exact"/>
        <w:rPr>
          <w:rFonts w:ascii="Times New Roman" w:cs="Times New Roman" w:eastAsia="Times New Roman" w:hAnsi="Times New Roman"/>
          <w:sz w:val="14"/>
          <w:szCs w:val="14"/>
          <w:color w:val="auto"/>
        </w:rPr>
      </w:pPr>
    </w:p>
    <w:p>
      <w:pPr>
        <w:ind w:left="1360" w:right="759" w:firstLine="338"/>
        <w:spacing w:after="0" w:line="267" w:lineRule="auto"/>
        <w:tabs>
          <w:tab w:leader="none" w:pos="1901"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w:t>
      </w:r>
      <w:r>
        <w:rPr>
          <w:rFonts w:ascii="Times New Roman" w:cs="Times New Roman" w:eastAsia="Times New Roman" w:hAnsi="Times New Roman"/>
          <w:sz w:val="14"/>
          <w:szCs w:val="14"/>
          <w:u w:val="single" w:color="auto"/>
          <w:color w:val="auto"/>
        </w:rPr>
        <w:t>Section 7.8(a)</w:t>
      </w:r>
      <w:r>
        <w:rPr>
          <w:rFonts w:ascii="Times New Roman" w:cs="Times New Roman" w:eastAsia="Times New Roman" w:hAnsi="Times New Roman"/>
          <w:sz w:val="14"/>
          <w:szCs w:val="14"/>
          <w:color w:val="auto"/>
        </w:rPr>
        <w:t>, the bylaws of Merger Sub in effect immediately prior to the Effective Time shall be the bylaws of the Surviving Corporation until amended in accordance with applicable Law, except the name of the Surviving Corporation shall be “Gentherm Performance Technology Inc.”.</w:t>
      </w:r>
    </w:p>
    <w:p>
      <w:pPr>
        <w:spacing w:after="0" w:line="135" w:lineRule="exact"/>
        <w:rPr>
          <w:rFonts w:ascii="Times New Roman" w:cs="Times New Roman" w:eastAsia="Times New Roman" w:hAnsi="Times New Roman"/>
          <w:sz w:val="14"/>
          <w:szCs w:val="14"/>
          <w:color w:val="auto"/>
        </w:rPr>
      </w:pPr>
    </w:p>
    <w:p>
      <w:pPr>
        <w:ind w:left="1360" w:right="319" w:firstLine="338"/>
        <w:spacing w:after="0" w:line="267" w:lineRule="auto"/>
        <w:tabs>
          <w:tab w:leader="none" w:pos="1893"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Effective Time, until successors are duly elected or appointed and qualified in accordance with applicable Law, (i) the directors of Merger Sub as of immediately prior to the Effective Time shall be the directors of the Surviving Corporation and (ii) the officers of SpinCo as of immediately prior to the Effective Time shall be the officers of the Surviving Corporation.</w:t>
      </w:r>
    </w:p>
    <w:p>
      <w:pPr>
        <w:spacing w:after="0" w:line="136"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Governance Matters</w:t>
      </w:r>
      <w:r>
        <w:rPr>
          <w:rFonts w:ascii="Times New Roman" w:cs="Times New Roman" w:eastAsia="Times New Roman" w:hAnsi="Times New Roman"/>
          <w:sz w:val="14"/>
          <w:szCs w:val="14"/>
          <w:color w:val="auto"/>
        </w:rPr>
        <w:t>. Gold shall cause the Gold Board to take all action necessary such that, effective as of the Effective Time, the Gold Board shall consist of eleven (11) individuals, including (a) two (2) individuals selected by Mercury (each, a “</w:t>
      </w:r>
      <w:r>
        <w:rPr>
          <w:rFonts w:ascii="Times New Roman" w:cs="Times New Roman" w:eastAsia="Times New Roman" w:hAnsi="Times New Roman"/>
          <w:sz w:val="14"/>
          <w:szCs w:val="14"/>
          <w:u w:val="single" w:color="auto"/>
          <w:color w:val="auto"/>
        </w:rPr>
        <w:t>Mercury Designated Director</w:t>
      </w:r>
      <w:r>
        <w:rPr>
          <w:rFonts w:ascii="Times New Roman" w:cs="Times New Roman" w:eastAsia="Times New Roman" w:hAnsi="Times New Roman"/>
          <w:sz w:val="14"/>
          <w:szCs w:val="14"/>
          <w:color w:val="auto"/>
        </w:rPr>
        <w:t>”) after good-faith consultation with Gold and who each meet the requirements under the rules and regulations of Nasdaq to be considered an independent director of the Gold Board and (b) nine (9) individuals from the Gold Board immediately prior to Closing. Subject to the fiduciary duties of the Gold Board, applicable Laws and the rules and regulations of Nasdaq, Gold shall cause each such Mercury Designated Director to be included in the slate of nominees recommended by the Gold Board to Gold’s shareholders for election as directors at the next annual meeting of Gold shareholders to occur following the Effective Time and shall use no less rigorous efforts to cause the election of each such Mercury Designated Director, as applicable, including soliciting proxies in favor of the election of such Persons, at such annual meeting than the manner in which Gold supports all other nominees.</w:t>
      </w:r>
    </w:p>
    <w:p>
      <w:pPr>
        <w:spacing w:after="0" w:line="3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CONVERSION OF SHARES</w:t>
      </w:r>
    </w:p>
    <w:p>
      <w:pPr>
        <w:spacing w:after="0" w:line="161"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Effect on Capital Stock; Gold Special Dividend</w:t>
      </w:r>
      <w:r>
        <w:rPr>
          <w:rFonts w:ascii="Times New Roman" w:cs="Times New Roman" w:eastAsia="Times New Roman" w:hAnsi="Times New Roman"/>
          <w:sz w:val="14"/>
          <w:szCs w:val="14"/>
          <w:color w:val="auto"/>
        </w:rPr>
        <w:t>. At the Effective Time, by virtue of the Merger and without any action on the part of any party to this Agreement or any holder of the capital stock of Mercury, SpinCo, Merger Sub or Gold:</w:t>
      </w:r>
    </w:p>
    <w:p>
      <w:pPr>
        <w:spacing w:after="0" w:line="123" w:lineRule="exact"/>
        <w:rPr>
          <w:sz w:val="20"/>
          <w:szCs w:val="20"/>
          <w:color w:val="auto"/>
        </w:rPr>
      </w:pPr>
    </w:p>
    <w:p>
      <w:pPr>
        <w:ind w:left="1880" w:hanging="182"/>
        <w:spacing w:after="0"/>
        <w:tabs>
          <w:tab w:leader="none" w:pos="188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SpinCo Capital Stock and Merger Sub Common Stock</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700" w:right="259" w:firstLine="327"/>
        <w:spacing w:after="0" w:line="283" w:lineRule="auto"/>
        <w:tabs>
          <w:tab w:leader="none" w:pos="2197"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share of SpinCo Common Stock issued and outstanding as of immediately prior to the Effective Time (other than shares canceled in accordance with </w:t>
      </w:r>
      <w:r>
        <w:rPr>
          <w:rFonts w:ascii="Times New Roman" w:cs="Times New Roman" w:eastAsia="Times New Roman" w:hAnsi="Times New Roman"/>
          <w:sz w:val="14"/>
          <w:szCs w:val="14"/>
          <w:u w:val="single" w:color="auto"/>
          <w:color w:val="auto"/>
        </w:rPr>
        <w:t>Section 3.1(a)(ii)</w:t>
      </w:r>
      <w:r>
        <w:rPr>
          <w:rFonts w:ascii="Times New Roman" w:cs="Times New Roman" w:eastAsia="Times New Roman" w:hAnsi="Times New Roman"/>
          <w:sz w:val="14"/>
          <w:szCs w:val="14"/>
          <w:color w:val="auto"/>
        </w:rPr>
        <w:t>) shall be automatically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A-21</w:t>
      </w:r>
    </w:p>
    <w:p>
      <w:pPr>
        <w:sectPr>
          <w:pgSz w:w="11900" w:h="16838" w:orient="portrait"/>
          <w:cols w:equalWidth="0" w:num="1">
            <w:col w:w="10159"/>
          </w:cols>
          <w:pgMar w:left="300" w:top="386" w:right="1440"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700" w:right="239"/>
        <w:spacing w:after="0" w:line="267" w:lineRule="auto"/>
        <w:rPr>
          <w:sz w:val="20"/>
          <w:szCs w:val="20"/>
          <w:color w:val="auto"/>
        </w:rPr>
      </w:pPr>
      <w:r>
        <w:rPr>
          <w:rFonts w:ascii="Times New Roman" w:cs="Times New Roman" w:eastAsia="Times New Roman" w:hAnsi="Times New Roman"/>
          <w:sz w:val="14"/>
          <w:szCs w:val="14"/>
          <w:color w:val="auto"/>
        </w:rPr>
        <w:t xml:space="preserve">converted into the right to receive a number of fully paid and nonassessable shares of Gold Common Stock equal to the Exchange Ratio, subject to adjustment in accordance with </w:t>
      </w:r>
      <w:r>
        <w:rPr>
          <w:rFonts w:ascii="Times New Roman" w:cs="Times New Roman" w:eastAsia="Times New Roman" w:hAnsi="Times New Roman"/>
          <w:sz w:val="14"/>
          <w:szCs w:val="14"/>
          <w:u w:val="single" w:color="auto"/>
          <w:color w:val="auto"/>
        </w:rPr>
        <w:t>Section 3.1(a)(iv)</w:t>
      </w:r>
      <w:r>
        <w:rPr>
          <w:rFonts w:ascii="Times New Roman" w:cs="Times New Roman" w:eastAsia="Times New Roman" w:hAnsi="Times New Roman"/>
          <w:sz w:val="14"/>
          <w:szCs w:val="14"/>
          <w:color w:val="auto"/>
        </w:rPr>
        <w:t xml:space="preserve"> and, if applicable, in accordance with </w:t>
      </w:r>
      <w:r>
        <w:rPr>
          <w:rFonts w:ascii="Times New Roman" w:cs="Times New Roman" w:eastAsia="Times New Roman" w:hAnsi="Times New Roman"/>
          <w:sz w:val="14"/>
          <w:szCs w:val="14"/>
          <w:u w:val="single" w:color="auto"/>
          <w:color w:val="auto"/>
        </w:rPr>
        <w:t>Section 3.1(c)</w:t>
      </w:r>
      <w:r>
        <w:rPr>
          <w:rFonts w:ascii="Times New Roman" w:cs="Times New Roman" w:eastAsia="Times New Roman" w:hAnsi="Times New Roman"/>
          <w:sz w:val="14"/>
          <w:szCs w:val="14"/>
          <w:color w:val="auto"/>
        </w:rPr>
        <w:t xml:space="preserve">, together with cash paid in lieu of fractional shares of Gold Common Stock in accordance with </w:t>
      </w:r>
      <w:r>
        <w:rPr>
          <w:rFonts w:ascii="Times New Roman" w:cs="Times New Roman" w:eastAsia="Times New Roman" w:hAnsi="Times New Roman"/>
          <w:sz w:val="14"/>
          <w:szCs w:val="14"/>
          <w:u w:val="single" w:color="auto"/>
          <w:color w:val="auto"/>
        </w:rPr>
        <w:t>Section 3.2(e)</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Merger Consideration</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1700" w:right="299" w:firstLine="327"/>
        <w:spacing w:after="0" w:line="267" w:lineRule="auto"/>
        <w:tabs>
          <w:tab w:leader="none" w:pos="2235"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SpinCo Common Stock held by SpinCo as treasury stock or by Gold or Merger Sub, in each case, as of immediately prior to the Effective Time shall automatically be canceled and shall cease to exist and no stock or other consideration shall be issued or delivered in exchange therefor or in respect thereof.</w:t>
      </w:r>
    </w:p>
    <w:p>
      <w:pPr>
        <w:spacing w:after="0" w:line="51" w:lineRule="exact"/>
        <w:rPr>
          <w:rFonts w:ascii="Times New Roman" w:cs="Times New Roman" w:eastAsia="Times New Roman" w:hAnsi="Times New Roman"/>
          <w:sz w:val="14"/>
          <w:szCs w:val="14"/>
          <w:color w:val="auto"/>
        </w:rPr>
      </w:pPr>
    </w:p>
    <w:p>
      <w:pPr>
        <w:ind w:left="1700" w:right="219" w:firstLine="327"/>
        <w:spacing w:after="0" w:line="261" w:lineRule="auto"/>
        <w:tabs>
          <w:tab w:leader="none" w:pos="2274"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share of SpinCo Common Stock issued and outstanding as of immediately prior to the Effective Time, when converted in accordance with this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shall no longer be outstanding and shall automatically be canceled and shall cease to exist, and each holder of such shares shall cease to have any rights with respect thereto, except the right to receive the Merger Consideration as provided in </w:t>
      </w:r>
      <w:r>
        <w:rPr>
          <w:rFonts w:ascii="Times New Roman" w:cs="Times New Roman" w:eastAsia="Times New Roman" w:hAnsi="Times New Roman"/>
          <w:sz w:val="14"/>
          <w:szCs w:val="14"/>
          <w:u w:val="single" w:color="auto"/>
          <w:color w:val="auto"/>
        </w:rPr>
        <w:t>Section 3.1(a)(i)</w:t>
      </w:r>
      <w:r>
        <w:rPr>
          <w:rFonts w:ascii="Times New Roman" w:cs="Times New Roman" w:eastAsia="Times New Roman" w:hAnsi="Times New Roman"/>
          <w:sz w:val="14"/>
          <w:szCs w:val="14"/>
          <w:color w:val="auto"/>
        </w:rPr>
        <w:t xml:space="preserve"> and any dividends or distributions and other amounts payable in accordance with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w:t>
      </w:r>
    </w:p>
    <w:p>
      <w:pPr>
        <w:spacing w:after="0" w:line="56" w:lineRule="exact"/>
        <w:rPr>
          <w:rFonts w:ascii="Times New Roman" w:cs="Times New Roman" w:eastAsia="Times New Roman" w:hAnsi="Times New Roman"/>
          <w:sz w:val="14"/>
          <w:szCs w:val="14"/>
          <w:color w:val="auto"/>
        </w:rPr>
      </w:pPr>
    </w:p>
    <w:p>
      <w:pPr>
        <w:ind w:left="1700" w:right="279" w:firstLine="327"/>
        <w:spacing w:after="0" w:line="255" w:lineRule="auto"/>
        <w:tabs>
          <w:tab w:leader="none" w:pos="2267"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Exchange Ratio and any other similarly dependent items shall be adjusted to the extent appropriate to reflect the effect of any stock split, split-up, reverse stock split, stock dividend or distribution of Gold Common Stock, or securities convertible into any such securities, reorganization, recapitalization, reclassification or other like change with respect to Gold Common Stock having a record date occurring on or after the date of this Agreement and prior to the Effective Time or the Distribution Time (as applicable), other than the Reorganization and the Distribution;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SpinCo Common Stock, Mercury shall be entitled to cause the number of outstanding shares of SpinCo Common Stock as of immediately prior to the Distribution Time to be the number determined in accordance with </w:t>
      </w:r>
      <w:r>
        <w:rPr>
          <w:rFonts w:ascii="Times New Roman" w:cs="Times New Roman" w:eastAsia="Times New Roman" w:hAnsi="Times New Roman"/>
          <w:sz w:val="14"/>
          <w:szCs w:val="14"/>
          <w:u w:val="single" w:color="auto"/>
          <w:color w:val="auto"/>
        </w:rPr>
        <w:t>Section 7.16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nothing in this </w:t>
      </w:r>
      <w:r>
        <w:rPr>
          <w:rFonts w:ascii="Times New Roman" w:cs="Times New Roman" w:eastAsia="Times New Roman" w:hAnsi="Times New Roman"/>
          <w:sz w:val="14"/>
          <w:szCs w:val="14"/>
          <w:u w:val="single" w:color="auto"/>
          <w:color w:val="auto"/>
        </w:rPr>
        <w:t>Section 3.1(a)(iv)</w:t>
      </w:r>
      <w:r>
        <w:rPr>
          <w:rFonts w:ascii="Times New Roman" w:cs="Times New Roman" w:eastAsia="Times New Roman" w:hAnsi="Times New Roman"/>
          <w:sz w:val="14"/>
          <w:szCs w:val="14"/>
          <w:color w:val="auto"/>
        </w:rPr>
        <w:t xml:space="preserve"> shall be construed to permit Gold, SpinCo or Mercury to take or to permit any of their respective Subsidiaries to take any action with respect to its securities that is prohibited by the terms of this Agreement.</w:t>
      </w:r>
    </w:p>
    <w:p>
      <w:pPr>
        <w:spacing w:after="0" w:line="61" w:lineRule="exact"/>
        <w:rPr>
          <w:rFonts w:ascii="Times New Roman" w:cs="Times New Roman" w:eastAsia="Times New Roman" w:hAnsi="Times New Roman"/>
          <w:sz w:val="14"/>
          <w:szCs w:val="14"/>
          <w:color w:val="auto"/>
        </w:rPr>
      </w:pPr>
    </w:p>
    <w:p>
      <w:pPr>
        <w:ind w:left="1700" w:right="259" w:firstLine="327"/>
        <w:spacing w:after="0" w:line="267" w:lineRule="auto"/>
        <w:tabs>
          <w:tab w:leader="none" w:pos="2228"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all of the shares of common stock, par value $0.01 per share, of Merger Sub (“</w:t>
      </w:r>
      <w:r>
        <w:rPr>
          <w:rFonts w:ascii="Times New Roman" w:cs="Times New Roman" w:eastAsia="Times New Roman" w:hAnsi="Times New Roman"/>
          <w:sz w:val="14"/>
          <w:szCs w:val="14"/>
          <w:u w:val="single" w:color="auto"/>
          <w:color w:val="auto"/>
        </w:rPr>
        <w:t>Merger Sub Common Stock</w:t>
      </w:r>
      <w:r>
        <w:rPr>
          <w:rFonts w:ascii="Times New Roman" w:cs="Times New Roman" w:eastAsia="Times New Roman" w:hAnsi="Times New Roman"/>
          <w:sz w:val="14"/>
          <w:szCs w:val="14"/>
          <w:color w:val="auto"/>
        </w:rPr>
        <w:t>”) issued and outstanding immediately prior to the Effective Time shall be automatically converted into one (1) fully paid and nonassessable share of common stock, par value $0.01 per share, of the Surviving Corporation.</w:t>
      </w:r>
    </w:p>
    <w:p>
      <w:pPr>
        <w:spacing w:after="0" w:line="133" w:lineRule="exact"/>
        <w:rPr>
          <w:rFonts w:ascii="Times New Roman" w:cs="Times New Roman" w:eastAsia="Times New Roman" w:hAnsi="Times New Roman"/>
          <w:sz w:val="14"/>
          <w:szCs w:val="14"/>
          <w:color w:val="auto"/>
        </w:rPr>
      </w:pPr>
    </w:p>
    <w:p>
      <w:pPr>
        <w:ind w:left="1360" w:right="419" w:firstLine="338"/>
        <w:spacing w:after="0" w:line="286" w:lineRule="auto"/>
        <w:tabs>
          <w:tab w:leader="none" w:pos="1901"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Gold Common Stock</w:t>
      </w:r>
      <w:r>
        <w:rPr>
          <w:rFonts w:ascii="Times New Roman" w:cs="Times New Roman" w:eastAsia="Times New Roman" w:hAnsi="Times New Roman"/>
          <w:sz w:val="14"/>
          <w:szCs w:val="14"/>
          <w:color w:val="auto"/>
        </w:rPr>
        <w:t>. Each share of Gold Common Stock that is issued and outstanding immediately prior to and at the Effective Time shall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remain outstanding immediately following the Effective Time.</w:t>
      </w:r>
    </w:p>
    <w:p>
      <w:pPr>
        <w:spacing w:after="0" w:line="120" w:lineRule="exact"/>
        <w:rPr>
          <w:rFonts w:ascii="Times New Roman" w:cs="Times New Roman" w:eastAsia="Times New Roman" w:hAnsi="Times New Roman"/>
          <w:sz w:val="14"/>
          <w:szCs w:val="14"/>
          <w:color w:val="auto"/>
        </w:rPr>
      </w:pPr>
    </w:p>
    <w:p>
      <w:pPr>
        <w:ind w:left="1880" w:hanging="182"/>
        <w:spacing w:after="0"/>
        <w:tabs>
          <w:tab w:leader="none" w:pos="188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Potential Exchange Ratio Adjustment</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700" w:right="239" w:firstLine="327"/>
        <w:spacing w:after="0" w:line="254" w:lineRule="auto"/>
        <w:tabs>
          <w:tab w:leader="none" w:pos="2197"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Exchange Ratio would result in the percentage of issued and outstanding shares of Gold Common Stock to be received in the Merger by holders of SpinCo Common Stock with respect to Qualified SpinCo Common Stock (other than the Overlap Shareholders), together with the percentage of issued and outstanding shares of Gold Common Stock represented by the aggregate Overlap Shares for all Overlap Shareholders (if any) (such aggregate percentage, the “</w:t>
      </w:r>
      <w:r>
        <w:rPr>
          <w:rFonts w:ascii="Times New Roman" w:cs="Times New Roman" w:eastAsia="Times New Roman" w:hAnsi="Times New Roman"/>
          <w:sz w:val="14"/>
          <w:szCs w:val="14"/>
          <w:u w:val="single" w:color="auto"/>
          <w:color w:val="auto"/>
        </w:rPr>
        <w:t>Applicable Percentage</w:t>
      </w:r>
      <w:r>
        <w:rPr>
          <w:rFonts w:ascii="Times New Roman" w:cs="Times New Roman" w:eastAsia="Times New Roman" w:hAnsi="Times New Roman"/>
          <w:sz w:val="14"/>
          <w:szCs w:val="14"/>
          <w:color w:val="auto"/>
        </w:rPr>
        <w:t xml:space="preserve">”), being less than the Threshold Percentage of all shares of Gold Common Stock issued and outstanding immediately following the consummation of the Merger (determined without regard to any adjustment pursuant to this </w:t>
      </w:r>
      <w:r>
        <w:rPr>
          <w:rFonts w:ascii="Times New Roman" w:cs="Times New Roman" w:eastAsia="Times New Roman" w:hAnsi="Times New Roman"/>
          <w:sz w:val="14"/>
          <w:szCs w:val="14"/>
          <w:u w:val="single" w:color="auto"/>
          <w:color w:val="auto"/>
        </w:rPr>
        <w:t>Section 3.1(c)</w:t>
      </w:r>
      <w:r>
        <w:rPr>
          <w:rFonts w:ascii="Times New Roman" w:cs="Times New Roman" w:eastAsia="Times New Roman" w:hAnsi="Times New Roman"/>
          <w:sz w:val="14"/>
          <w:szCs w:val="14"/>
          <w:color w:val="auto"/>
        </w:rPr>
        <w:t xml:space="preserve">) (for this purpose, (A) including instruments other than Gold Common Stock that are treated as stock of Gold for U.S. federal income Tax purposes, and treating such instruments as a number of shares of Gold Common Stock corresponding to the relative value or voting power of such instruments (whichever is greater)) and (B) including stock or other instruments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that may be issued after the consummation of the Merger, pursuant to the exercise or settlement of an option or other Contract acquired or entered into before the Merger that may be regarded as having been acquired or entered into as part of a “plan” or “series of related transactions” of which the Distribution is a part within the meaning of Section 355(e) of the Code (taking into account the safe harbors under Treasury Regulations</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A-22</w:t>
      </w:r>
    </w:p>
    <w:p>
      <w:pPr>
        <w:sectPr>
          <w:pgSz w:w="11900" w:h="16838" w:orient="portrait"/>
          <w:cols w:equalWidth="0" w:num="1">
            <w:col w:w="10159"/>
          </w:cols>
          <w:pgMar w:left="300" w:top="385"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339"/>
        <w:spacing w:after="0" w:line="255" w:lineRule="auto"/>
        <w:rPr>
          <w:sz w:val="20"/>
          <w:szCs w:val="20"/>
          <w:color w:val="auto"/>
        </w:rPr>
      </w:pPr>
      <w:r>
        <w:rPr>
          <w:rFonts w:ascii="Times New Roman" w:cs="Times New Roman" w:eastAsia="Times New Roman" w:hAnsi="Times New Roman"/>
          <w:sz w:val="14"/>
          <w:szCs w:val="14"/>
          <w:color w:val="auto"/>
        </w:rPr>
        <w:t>Section 1.355-7(d)), then the Exchange Ratio shall be increased (the amount of such increase, the “</w:t>
      </w:r>
      <w:r>
        <w:rPr>
          <w:rFonts w:ascii="Times New Roman" w:cs="Times New Roman" w:eastAsia="Times New Roman" w:hAnsi="Times New Roman"/>
          <w:sz w:val="14"/>
          <w:szCs w:val="14"/>
          <w:u w:val="single" w:color="auto"/>
          <w:color w:val="auto"/>
        </w:rPr>
        <w:t>Exchange Ratio Increase Amount</w:t>
      </w:r>
      <w:r>
        <w:rPr>
          <w:rFonts w:ascii="Times New Roman" w:cs="Times New Roman" w:eastAsia="Times New Roman" w:hAnsi="Times New Roman"/>
          <w:sz w:val="14"/>
          <w:szCs w:val="14"/>
          <w:color w:val="auto"/>
        </w:rPr>
        <w:t xml:space="preserve">”) to the extent necessary so that such increased Exchange Ratio would result in the percentage of shares of issued and outstanding shares of Gold Common Stock to be received by the holders of SpinCo Common Stock with respect to Qualified SpinCo Common Stock (other than Overlap Shareholders (if any)), together with the percentage of issued and outstanding shares of Gold Common Stock represented by the aggregate Overlap Shares for all Overlap Shareholders (if any), being equal, in the aggregate, to the Threshold Percentage. It is understood and agreed that, notwithstanding the references to holders of SpinCo Common Stock other than the Overlap Shareholders in this </w:t>
      </w:r>
      <w:r>
        <w:rPr>
          <w:rFonts w:ascii="Times New Roman" w:cs="Times New Roman" w:eastAsia="Times New Roman" w:hAnsi="Times New Roman"/>
          <w:sz w:val="14"/>
          <w:szCs w:val="14"/>
          <w:u w:val="single" w:color="auto"/>
          <w:color w:val="auto"/>
        </w:rPr>
        <w:t>Section 3.1(c)(i)</w:t>
      </w:r>
      <w:r>
        <w:rPr>
          <w:rFonts w:ascii="Times New Roman" w:cs="Times New Roman" w:eastAsia="Times New Roman" w:hAnsi="Times New Roman"/>
          <w:sz w:val="14"/>
          <w:szCs w:val="14"/>
          <w:color w:val="auto"/>
        </w:rPr>
        <w:t xml:space="preserve">, this distinction is being made solely for the purposes of the calculation of the Exchange Ratio and is not intended to, and does not, describe which holders of SpinCo Common Stock receive shares of Gold Common Stock in the Merger, which is described in </w:t>
      </w:r>
      <w:r>
        <w:rPr>
          <w:rFonts w:ascii="Times New Roman" w:cs="Times New Roman" w:eastAsia="Times New Roman" w:hAnsi="Times New Roman"/>
          <w:sz w:val="14"/>
          <w:szCs w:val="14"/>
          <w:u w:val="single" w:color="auto"/>
          <w:color w:val="auto"/>
        </w:rPr>
        <w:t>Section 3.1(a)</w:t>
      </w:r>
      <w:r>
        <w:rPr>
          <w:rFonts w:ascii="Times New Roman" w:cs="Times New Roman" w:eastAsia="Times New Roman" w:hAnsi="Times New Roman"/>
          <w:sz w:val="14"/>
          <w:szCs w:val="14"/>
          <w:color w:val="auto"/>
        </w:rPr>
        <w:t>.</w:t>
      </w:r>
    </w:p>
    <w:p>
      <w:pPr>
        <w:spacing w:after="0" w:line="6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 xml:space="preserve">(ii) If the Exchange Ratio is increased pursuant to </w:t>
      </w:r>
      <w:r>
        <w:rPr>
          <w:rFonts w:ascii="Times New Roman" w:cs="Times New Roman" w:eastAsia="Times New Roman" w:hAnsi="Times New Roman"/>
          <w:sz w:val="14"/>
          <w:szCs w:val="14"/>
          <w:u w:val="single" w:color="auto"/>
          <w:color w:val="auto"/>
        </w:rPr>
        <w:t>Section 3.1(c)(i)</w:t>
      </w:r>
      <w:r>
        <w:rPr>
          <w:rFonts w:ascii="Times New Roman" w:cs="Times New Roman" w:eastAsia="Times New Roman" w:hAnsi="Times New Roman"/>
          <w:sz w:val="14"/>
          <w:szCs w:val="14"/>
          <w:color w:val="auto"/>
        </w:rPr>
        <w:t>, then:</w:t>
      </w:r>
    </w:p>
    <w:p>
      <w:pPr>
        <w:spacing w:after="0" w:line="91" w:lineRule="exact"/>
        <w:rPr>
          <w:sz w:val="20"/>
          <w:szCs w:val="20"/>
          <w:color w:val="auto"/>
        </w:rPr>
      </w:pPr>
    </w:p>
    <w:p>
      <w:pPr>
        <w:ind w:left="1700" w:right="419" w:firstLine="327"/>
        <w:spacing w:after="0" w:line="267" w:lineRule="auto"/>
        <w:tabs>
          <w:tab w:leader="none" w:pos="2259"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the Merger, SpinCo, subject to applicable Law and to </w:t>
      </w:r>
      <w:r>
        <w:rPr>
          <w:rFonts w:ascii="Times New Roman" w:cs="Times New Roman" w:eastAsia="Times New Roman" w:hAnsi="Times New Roman"/>
          <w:sz w:val="14"/>
          <w:szCs w:val="14"/>
          <w:u w:val="single" w:color="auto"/>
          <w:color w:val="auto"/>
        </w:rPr>
        <w:t>Section 3.1(c)(ii)(B)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3.1(c)(ii)(C)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3.1(c)(ii)(D)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3.1(c)(ii)(E)</w:t>
      </w:r>
      <w:r>
        <w:rPr>
          <w:rFonts w:ascii="Times New Roman" w:cs="Times New Roman" w:eastAsia="Times New Roman" w:hAnsi="Times New Roman"/>
          <w:sz w:val="14"/>
          <w:szCs w:val="14"/>
          <w:color w:val="auto"/>
        </w:rPr>
        <w:t>, shall reduce the amount of the SpinCo Cash Distribution by an aggregate amount equal to the Initial Adjustment Amount; and</w:t>
      </w:r>
    </w:p>
    <w:p>
      <w:pPr>
        <w:spacing w:after="0" w:line="49" w:lineRule="exact"/>
        <w:rPr>
          <w:rFonts w:ascii="Times New Roman" w:cs="Times New Roman" w:eastAsia="Times New Roman" w:hAnsi="Times New Roman"/>
          <w:sz w:val="14"/>
          <w:szCs w:val="14"/>
          <w:color w:val="auto"/>
        </w:rPr>
      </w:pPr>
    </w:p>
    <w:p>
      <w:pPr>
        <w:ind w:left="1700" w:right="319" w:firstLine="327"/>
        <w:spacing w:after="0" w:line="259" w:lineRule="auto"/>
        <w:tabs>
          <w:tab w:leader="none" w:pos="2251"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that if the Aggregate Adjustment Amount exceeds the Initial Adjustment Cap, then, following the action required by the foregoing clause (A), with respect to the incremental portion of the Aggregate Adjustment Amount that exceeds the Initial Adjustment Cap, prior to the Merger (regardless of whether the actual payment date for any Gold Special Dividend is before, on or after the Effective Time), Gold, subject to applicable Law, shall declare a special dividend pro rata to the holders of Gold Common Stock as of a record date prior to the Closing Date (the “</w:t>
      </w:r>
      <w:r>
        <w:rPr>
          <w:rFonts w:ascii="Times New Roman" w:cs="Times New Roman" w:eastAsia="Times New Roman" w:hAnsi="Times New Roman"/>
          <w:sz w:val="14"/>
          <w:szCs w:val="14"/>
          <w:u w:val="single" w:color="auto"/>
          <w:color w:val="auto"/>
        </w:rPr>
        <w:t>Gold Special Dividend</w:t>
      </w:r>
      <w:r>
        <w:rPr>
          <w:rFonts w:ascii="Times New Roman" w:cs="Times New Roman" w:eastAsia="Times New Roman" w:hAnsi="Times New Roman"/>
          <w:sz w:val="14"/>
          <w:szCs w:val="14"/>
          <w:color w:val="auto"/>
        </w:rPr>
        <w:t>”) in an aggregate amount equal to the Intermediate Adjustment Amount; and</w:t>
      </w:r>
    </w:p>
    <w:p>
      <w:pPr>
        <w:spacing w:after="0" w:line="56" w:lineRule="exact"/>
        <w:rPr>
          <w:rFonts w:ascii="Times New Roman" w:cs="Times New Roman" w:eastAsia="Times New Roman" w:hAnsi="Times New Roman"/>
          <w:sz w:val="14"/>
          <w:szCs w:val="14"/>
          <w:color w:val="auto"/>
        </w:rPr>
      </w:pPr>
    </w:p>
    <w:p>
      <w:pPr>
        <w:ind w:left="1700" w:right="379" w:firstLine="327"/>
        <w:spacing w:after="0" w:line="288" w:lineRule="auto"/>
        <w:tabs>
          <w:tab w:leader="none" w:pos="2251" w:val="left"/>
        </w:tabs>
        <w:numPr>
          <w:ilvl w:val="0"/>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that if the Aggregate Adjustment Amount exceeds the Intermediate Adjustment Cap, then, following the action required by the foregoing clauses (A) and (B), with respect to the incremental portion of the Aggregate Adjustment Amount that exceeds the Intermediate Adjustment Cap, (i) the amount of the SpinCo Cash Distribution shall be further decreased by an amount equal to 40% of the Final Adjustment Amount, and (ii) the Gold Special Dividend shall be increased by an amount equal to 60% of the Final Adjustment Amount; and</w:t>
      </w:r>
    </w:p>
    <w:p>
      <w:pPr>
        <w:spacing w:after="0" w:line="39" w:lineRule="exact"/>
        <w:rPr>
          <w:rFonts w:ascii="Times New Roman" w:cs="Times New Roman" w:eastAsia="Times New Roman" w:hAnsi="Times New Roman"/>
          <w:sz w:val="13"/>
          <w:szCs w:val="13"/>
          <w:color w:val="auto"/>
        </w:rPr>
      </w:pPr>
    </w:p>
    <w:p>
      <w:pPr>
        <w:ind w:left="1700" w:right="499" w:firstLine="327"/>
        <w:spacing w:after="0" w:line="262" w:lineRule="auto"/>
        <w:tabs>
          <w:tab w:leader="none" w:pos="2259"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that if the Aggregate Adjustment Amount exceeds the Final Adjustment Cap (the amount by which the Aggregate Adjustment Amount exceeds the Final Adjustment Cap, the “</w:t>
      </w:r>
      <w:r>
        <w:rPr>
          <w:rFonts w:ascii="Times New Roman" w:cs="Times New Roman" w:eastAsia="Times New Roman" w:hAnsi="Times New Roman"/>
          <w:sz w:val="14"/>
          <w:szCs w:val="14"/>
          <w:u w:val="single" w:color="auto"/>
          <w:color w:val="auto"/>
        </w:rPr>
        <w:t>Excess Adjustment Amount</w:t>
      </w:r>
      <w:r>
        <w:rPr>
          <w:rFonts w:ascii="Times New Roman" w:cs="Times New Roman" w:eastAsia="Times New Roman" w:hAnsi="Times New Roman"/>
          <w:sz w:val="14"/>
          <w:szCs w:val="14"/>
          <w:color w:val="auto"/>
        </w:rPr>
        <w:t>”), then (1) Mercury shall, in its sole discretion, be entitled to further decrease the amount of the SpinCo Cash Distribution up to the Excess Adjustment Amount and (2) Gold shall, in its sole discretion, be entitled to further increase the Gold Special Dividend up to the Excess Adjustment Amount.</w:t>
      </w:r>
    </w:p>
    <w:p>
      <w:pPr>
        <w:spacing w:after="0" w:line="55" w:lineRule="exact"/>
        <w:rPr>
          <w:rFonts w:ascii="Times New Roman" w:cs="Times New Roman" w:eastAsia="Times New Roman" w:hAnsi="Times New Roman"/>
          <w:sz w:val="14"/>
          <w:szCs w:val="14"/>
          <w:color w:val="auto"/>
        </w:rPr>
      </w:pPr>
    </w:p>
    <w:p>
      <w:pPr>
        <w:ind w:left="1700" w:right="379" w:firstLine="327"/>
        <w:spacing w:after="0" w:line="261" w:lineRule="auto"/>
        <w:tabs>
          <w:tab w:leader="none" w:pos="2243"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in this Agreement to the contrary, if the Aggregate Adjustment Amount exceeds the Final Adjustment Cap and the sum of (i) the absolute value of the decrease in </w:t>
      </w:r>
      <w:r>
        <w:rPr>
          <w:rFonts w:ascii="Times New Roman" w:cs="Times New Roman" w:eastAsia="Times New Roman" w:hAnsi="Times New Roman"/>
          <w:sz w:val="14"/>
          <w:szCs w:val="14"/>
          <w:u w:val="single" w:color="auto"/>
          <w:color w:val="auto"/>
        </w:rPr>
        <w:t>Section 3.1(c)(ii)(D)(1)</w:t>
      </w:r>
      <w:r>
        <w:rPr>
          <w:rFonts w:ascii="Times New Roman" w:cs="Times New Roman" w:eastAsia="Times New Roman" w:hAnsi="Times New Roman"/>
          <w:sz w:val="14"/>
          <w:szCs w:val="14"/>
          <w:color w:val="auto"/>
        </w:rPr>
        <w:t xml:space="preserve"> and (ii) the increase in </w:t>
      </w:r>
      <w:r>
        <w:rPr>
          <w:rFonts w:ascii="Times New Roman" w:cs="Times New Roman" w:eastAsia="Times New Roman" w:hAnsi="Times New Roman"/>
          <w:sz w:val="14"/>
          <w:szCs w:val="14"/>
          <w:u w:val="single" w:color="auto"/>
          <w:color w:val="auto"/>
        </w:rPr>
        <w:t>Section 3.1(c)(ii)(D)(2)</w:t>
      </w:r>
      <w:r>
        <w:rPr>
          <w:rFonts w:ascii="Times New Roman" w:cs="Times New Roman" w:eastAsia="Times New Roman" w:hAnsi="Times New Roman"/>
          <w:sz w:val="14"/>
          <w:szCs w:val="14"/>
          <w:color w:val="auto"/>
        </w:rPr>
        <w:t xml:space="preserve"> is less than the Excess Adjustment Amount, then the Exchange Ratio shall not be increased as contemplated by </w:t>
      </w:r>
      <w:r>
        <w:rPr>
          <w:rFonts w:ascii="Times New Roman" w:cs="Times New Roman" w:eastAsia="Times New Roman" w:hAnsi="Times New Roman"/>
          <w:sz w:val="14"/>
          <w:szCs w:val="14"/>
          <w:u w:val="single" w:color="auto"/>
          <w:color w:val="auto"/>
        </w:rPr>
        <w:t>Section 3.1(c)(i)</w:t>
      </w:r>
      <w:r>
        <w:rPr>
          <w:rFonts w:ascii="Times New Roman" w:cs="Times New Roman" w:eastAsia="Times New Roman" w:hAnsi="Times New Roman"/>
          <w:sz w:val="14"/>
          <w:szCs w:val="14"/>
          <w:color w:val="auto"/>
        </w:rPr>
        <w:t>, and neither Mercury nor Gold shall be obligated to consummate the transactions contemplated to occur at the Closing.</w:t>
      </w:r>
    </w:p>
    <w:p>
      <w:pPr>
        <w:spacing w:after="0" w:line="5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(iii) For purposes of this Agreement:</w:t>
      </w:r>
    </w:p>
    <w:p>
      <w:pPr>
        <w:spacing w:after="0" w:line="89" w:lineRule="exact"/>
        <w:rPr>
          <w:sz w:val="20"/>
          <w:szCs w:val="20"/>
          <w:color w:val="auto"/>
        </w:rPr>
      </w:pPr>
    </w:p>
    <w:p>
      <w:pPr>
        <w:ind w:left="1700" w:right="439" w:firstLine="327"/>
        <w:spacing w:after="0" w:line="326" w:lineRule="auto"/>
        <w:tabs>
          <w:tab w:leader="none" w:pos="2259" w:val="left"/>
        </w:tabs>
        <w:numPr>
          <w:ilvl w:val="1"/>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Aggregate Adjustment Amount</w:t>
      </w:r>
      <w:r>
        <w:rPr>
          <w:rFonts w:ascii="Times New Roman" w:cs="Times New Roman" w:eastAsia="Times New Roman" w:hAnsi="Times New Roman"/>
          <w:sz w:val="13"/>
          <w:szCs w:val="13"/>
          <w:color w:val="auto"/>
        </w:rPr>
        <w:t xml:space="preserve">” shall mean the product of: (A) the Exchange Ratio Increase Amount,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(B) $37.4775, </w:t>
      </w:r>
      <w:r>
        <w:rPr>
          <w:rFonts w:ascii="Times New Roman" w:cs="Times New Roman" w:eastAsia="Times New Roman" w:hAnsi="Times New Roman"/>
          <w:sz w:val="13"/>
          <w:szCs w:val="13"/>
          <w:i w:val="1"/>
          <w:iCs w:val="1"/>
          <w:color w:val="auto"/>
        </w:rPr>
        <w:t xml:space="preserve">multiplied by </w:t>
      </w:r>
      <w:r>
        <w:rPr>
          <w:rFonts w:ascii="Times New Roman" w:cs="Times New Roman" w:eastAsia="Times New Roman" w:hAnsi="Times New Roman"/>
          <w:sz w:val="13"/>
          <w:szCs w:val="13"/>
          <w:color w:val="auto"/>
        </w:rPr>
        <w:t>(C) the number of outstanding shares of SpinCo Common Stock that will be outstanding immediately prior to the Effective Time.</w:t>
      </w:r>
    </w:p>
    <w:p>
      <w:pPr>
        <w:spacing w:after="0" w:line="14" w:lineRule="exact"/>
        <w:rPr>
          <w:rFonts w:ascii="Times New Roman" w:cs="Times New Roman" w:eastAsia="Times New Roman" w:hAnsi="Times New Roman"/>
          <w:sz w:val="13"/>
          <w:szCs w:val="13"/>
          <w:color w:val="auto"/>
        </w:rPr>
      </w:pPr>
    </w:p>
    <w:p>
      <w:pPr>
        <w:ind w:left="2240" w:hanging="213"/>
        <w:spacing w:after="0"/>
        <w:tabs>
          <w:tab w:leader="none" w:pos="2240"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Final Adjustment Amount</w:t>
      </w:r>
      <w:r>
        <w:rPr>
          <w:rFonts w:ascii="Times New Roman" w:cs="Times New Roman" w:eastAsia="Times New Roman" w:hAnsi="Times New Roman"/>
          <w:sz w:val="14"/>
          <w:szCs w:val="14"/>
          <w:color w:val="auto"/>
        </w:rPr>
        <w:t xml:space="preserve">” shall mean the lesser of (x) the Aggregate Adjustment Amount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Intermediate Adjustment Cap and</w:t>
      </w:r>
    </w:p>
    <w:p>
      <w:pPr>
        <w:spacing w:after="0" w:line="23"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Final Adjustment Cap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Intermediate Adjustment Cap (or, if clauses (x) and (y) are equal, such amount).</w:t>
      </w:r>
    </w:p>
    <w:p>
      <w:pPr>
        <w:spacing w:after="0" w:line="76" w:lineRule="exact"/>
        <w:rPr>
          <w:rFonts w:ascii="Times New Roman" w:cs="Times New Roman" w:eastAsia="Times New Roman" w:hAnsi="Times New Roman"/>
          <w:sz w:val="14"/>
          <w:szCs w:val="14"/>
          <w:color w:val="auto"/>
        </w:rPr>
      </w:pPr>
    </w:p>
    <w:p>
      <w:pPr>
        <w:ind w:left="2240" w:hanging="213"/>
        <w:spacing w:after="0"/>
        <w:tabs>
          <w:tab w:leader="none" w:pos="2240" w:val="left"/>
        </w:tabs>
        <w:numPr>
          <w:ilvl w:val="1"/>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Final Adjustment Cap</w:t>
      </w:r>
      <w:r>
        <w:rPr>
          <w:rFonts w:ascii="Times New Roman" w:cs="Times New Roman" w:eastAsia="Times New Roman" w:hAnsi="Times New Roman"/>
          <w:sz w:val="14"/>
          <w:szCs w:val="14"/>
          <w:color w:val="auto"/>
        </w:rPr>
        <w:t>” shall mean $200,000,000.00.</w:t>
      </w:r>
    </w:p>
    <w:p>
      <w:pPr>
        <w:spacing w:after="0" w:line="1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A-23</w:t>
      </w:r>
    </w:p>
    <w:p>
      <w:pPr>
        <w:sectPr>
          <w:pgSz w:w="11900" w:h="16838" w:orient="portrait"/>
          <w:cols w:equalWidth="0" w:num="1">
            <w:col w:w="10159"/>
          </w:cols>
          <w:pgMar w:left="300" w:top="386"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399" w:firstLine="327"/>
        <w:spacing w:after="0" w:line="283" w:lineRule="auto"/>
        <w:tabs>
          <w:tab w:leader="none" w:pos="2259"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Adjustment Amount</w:t>
      </w:r>
      <w:r>
        <w:rPr>
          <w:rFonts w:ascii="Times New Roman" w:cs="Times New Roman" w:eastAsia="Times New Roman" w:hAnsi="Times New Roman"/>
          <w:sz w:val="14"/>
          <w:szCs w:val="14"/>
          <w:color w:val="auto"/>
        </w:rPr>
        <w:t>” shall mean the lesser of (x) the Aggregate Adjustment Amount and (y) the Initial Adjustment Cap (or, if clauses (x) and (y) are equal, such amount).</w:t>
      </w:r>
    </w:p>
    <w:p>
      <w:pPr>
        <w:spacing w:after="0" w:line="40" w:lineRule="exact"/>
        <w:rPr>
          <w:rFonts w:ascii="Times New Roman" w:cs="Times New Roman" w:eastAsia="Times New Roman" w:hAnsi="Times New Roman"/>
          <w:sz w:val="14"/>
          <w:szCs w:val="14"/>
          <w:color w:val="auto"/>
        </w:rPr>
      </w:pPr>
    </w:p>
    <w:p>
      <w:pPr>
        <w:ind w:left="2240" w:hanging="213"/>
        <w:spacing w:after="0"/>
        <w:tabs>
          <w:tab w:leader="none" w:pos="224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Adjustment Cap</w:t>
      </w:r>
      <w:r>
        <w:rPr>
          <w:rFonts w:ascii="Times New Roman" w:cs="Times New Roman" w:eastAsia="Times New Roman" w:hAnsi="Times New Roman"/>
          <w:sz w:val="14"/>
          <w:szCs w:val="14"/>
          <w:color w:val="auto"/>
        </w:rPr>
        <w:t>” shall mean $35,000,000.00.</w:t>
      </w:r>
    </w:p>
    <w:p>
      <w:pPr>
        <w:spacing w:after="0" w:line="89" w:lineRule="exact"/>
        <w:rPr>
          <w:rFonts w:ascii="Times New Roman" w:cs="Times New Roman" w:eastAsia="Times New Roman" w:hAnsi="Times New Roman"/>
          <w:sz w:val="14"/>
          <w:szCs w:val="14"/>
          <w:color w:val="auto"/>
        </w:rPr>
      </w:pPr>
    </w:p>
    <w:p>
      <w:pPr>
        <w:ind w:left="1700" w:right="459" w:firstLine="327"/>
        <w:spacing w:after="0" w:line="286" w:lineRule="auto"/>
        <w:tabs>
          <w:tab w:leader="none" w:pos="2236"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Intermediate Adjustment Amount</w:t>
      </w:r>
      <w:r>
        <w:rPr>
          <w:rFonts w:ascii="Times New Roman" w:cs="Times New Roman" w:eastAsia="Times New Roman" w:hAnsi="Times New Roman"/>
          <w:sz w:val="14"/>
          <w:szCs w:val="14"/>
          <w:color w:val="auto"/>
        </w:rPr>
        <w:t xml:space="preserve">” shall mean the lesser of (x) the Aggregate Adjustment Amount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Initial Adjustment Cap and (y) the Intermediate Adjustment Cap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the Initial Adjustment Cap (or, if clauses (x) and (y) are equal, such amount).</w:t>
      </w:r>
    </w:p>
    <w:p>
      <w:pPr>
        <w:spacing w:after="0" w:line="38" w:lineRule="exact"/>
        <w:rPr>
          <w:rFonts w:ascii="Times New Roman" w:cs="Times New Roman" w:eastAsia="Times New Roman" w:hAnsi="Times New Roman"/>
          <w:sz w:val="14"/>
          <w:szCs w:val="14"/>
          <w:color w:val="auto"/>
        </w:rPr>
      </w:pPr>
    </w:p>
    <w:p>
      <w:pPr>
        <w:ind w:left="2260" w:hanging="233"/>
        <w:spacing w:after="0"/>
        <w:tabs>
          <w:tab w:leader="none" w:pos="226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Intermediate Adjustment Cap</w:t>
      </w:r>
      <w:r>
        <w:rPr>
          <w:rFonts w:ascii="Times New Roman" w:cs="Times New Roman" w:eastAsia="Times New Roman" w:hAnsi="Times New Roman"/>
          <w:sz w:val="14"/>
          <w:szCs w:val="14"/>
          <w:color w:val="auto"/>
        </w:rPr>
        <w:t>” shall mean $70,000,000.00.</w:t>
      </w:r>
    </w:p>
    <w:p>
      <w:pPr>
        <w:spacing w:after="0" w:line="91" w:lineRule="exact"/>
        <w:rPr>
          <w:sz w:val="20"/>
          <w:szCs w:val="20"/>
          <w:color w:val="auto"/>
        </w:rPr>
      </w:pPr>
    </w:p>
    <w:p>
      <w:pPr>
        <w:ind w:left="1700" w:right="279" w:firstLine="327"/>
        <w:spacing w:after="0" w:line="252" w:lineRule="auto"/>
        <w:tabs>
          <w:tab w:leader="none" w:pos="2267"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determination as to whether the percentage of issued and outstanding shares of Gold Common Stock to be received in the Merger by holders of SpinCo Common Stock with respect to Qualified SpinCo Common Stock (other than the Overlap Shareholders), together with the percentage of issued and outstanding shares of Gold Common Stock represented by the aggregate Overlap Shares for all Overlap Shareholders (if any), meets the Threshold Percentage shall be made jointly by Gold and Mercury acting reasonably and in good faith and in consultation with their respective outside legal counsel and tax advisors. In furtherance thereof, (A) during the Interim Period, Gold and Mercury shall promptly notify the other upon it becoming aware of any action or occurrence that would reasonably be expected to result in the need for an adjustment to the Exchange Ratio pursuant to this </w:t>
      </w:r>
      <w:r>
        <w:rPr>
          <w:rFonts w:ascii="Times New Roman" w:cs="Times New Roman" w:eastAsia="Times New Roman" w:hAnsi="Times New Roman"/>
          <w:sz w:val="14"/>
          <w:szCs w:val="14"/>
          <w:u w:val="single" w:color="auto"/>
          <w:color w:val="auto"/>
        </w:rPr>
        <w:t>Section 3.1(c)</w:t>
      </w:r>
      <w:r>
        <w:rPr>
          <w:rFonts w:ascii="Times New Roman" w:cs="Times New Roman" w:eastAsia="Times New Roman" w:hAnsi="Times New Roman"/>
          <w:sz w:val="14"/>
          <w:szCs w:val="14"/>
          <w:color w:val="auto"/>
        </w:rPr>
        <w:t>, (B) no later than ten (10) Business Days prior to the expected Closing, and on each Business Day following the tenth (10th) Business Day prior to the expected Closing, each of Gold and Mercury shall provide the other Party with any information that is reasonably necessary or reasonably requested by such other Party with respect to the calculation of the Overlap Shares, the Applicable Percentage, the Exchange Ratio, the Aggregate Adjustment Amount and the Excess Adjustment Amount (if any) as of such date and shall provide one another with such information as of the Determination Time as promptly as reasonable practicable and (C) promptly thereafter, if such Party determines, acting reasonably and in good faith and in consultation with the other Party and its outside legal counsel and tax advisors, that the Threshold Percentage is not met, such Party shall notify the other Party thereof (together with its calculation of the Applicable Percentage and proposed Exchange Ratio Increase Amount, Aggregate Adjustment Amount and Excess Adjustment Amount (if any), including reasonable supporting detail for any such calculations). Gold and Mercury shall consider and discuss in good faith any comments to the Exchange Ratio Increase Amount, the Aggregate Adjustment Amount or the Excess Adjustment Amount (if any) proposed by the other Party and seek to determine the final amounts thereof as promptly as practicable following the Determination Time.</w:t>
      </w:r>
    </w:p>
    <w:p>
      <w:pPr>
        <w:spacing w:after="0" w:line="15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Surrender and Payment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1360" w:right="379" w:firstLine="338"/>
        <w:spacing w:after="0" w:line="267" w:lineRule="auto"/>
        <w:tabs>
          <w:tab w:leader="none" w:pos="1893"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Section 3.3 of the Separation Agreement, the Exchange Agent (as defined below, and acting as “Distribution Agent” thereunder) shall hold, for the account of the relevant SpinCo stockholders, book-entry shares representing all of the outstanding shares of SpinCo Common Stock distributed or exchanged, as applicable, in the Distribution.</w:t>
      </w:r>
    </w:p>
    <w:p>
      <w:pPr>
        <w:spacing w:after="0" w:line="135" w:lineRule="exact"/>
        <w:rPr>
          <w:rFonts w:ascii="Times New Roman" w:cs="Times New Roman" w:eastAsia="Times New Roman" w:hAnsi="Times New Roman"/>
          <w:sz w:val="14"/>
          <w:szCs w:val="14"/>
          <w:color w:val="auto"/>
        </w:rPr>
      </w:pPr>
    </w:p>
    <w:p>
      <w:pPr>
        <w:ind w:left="1360" w:right="279" w:firstLine="338"/>
        <w:spacing w:after="0" w:line="275" w:lineRule="auto"/>
        <w:tabs>
          <w:tab w:leader="none" w:pos="1901"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Effective Time, Gold shall designate a nationally recognized commercial bank or trust company reasonably acceptable to Mercury to act as agent (the “</w:t>
      </w:r>
      <w:r>
        <w:rPr>
          <w:rFonts w:ascii="Times New Roman" w:cs="Times New Roman" w:eastAsia="Times New Roman" w:hAnsi="Times New Roman"/>
          <w:sz w:val="13"/>
          <w:szCs w:val="13"/>
          <w:u w:val="single" w:color="auto"/>
          <w:color w:val="auto"/>
        </w:rPr>
        <w:t>Exchange Agent</w:t>
      </w:r>
      <w:r>
        <w:rPr>
          <w:rFonts w:ascii="Times New Roman" w:cs="Times New Roman" w:eastAsia="Times New Roman" w:hAnsi="Times New Roman"/>
          <w:sz w:val="13"/>
          <w:szCs w:val="13"/>
          <w:color w:val="auto"/>
        </w:rPr>
        <w:t xml:space="preserve">”) for the benefit of the holders of shares of SpinCo Common Stock whose shares of SpinCo Common Stock are exchanged in accordance with this </w:t>
      </w:r>
      <w:r>
        <w:rPr>
          <w:rFonts w:ascii="Times New Roman" w:cs="Times New Roman" w:eastAsia="Times New Roman" w:hAnsi="Times New Roman"/>
          <w:sz w:val="13"/>
          <w:szCs w:val="13"/>
          <w:u w:val="single" w:color="auto"/>
          <w:color w:val="auto"/>
        </w:rPr>
        <w:t>Section 3.2(b)</w:t>
      </w:r>
      <w:r>
        <w:rPr>
          <w:rFonts w:ascii="Times New Roman" w:cs="Times New Roman" w:eastAsia="Times New Roman" w:hAnsi="Times New Roman"/>
          <w:sz w:val="13"/>
          <w:szCs w:val="13"/>
          <w:color w:val="auto"/>
        </w:rPr>
        <w:t>. At or substantially concurrently with the Effective Time, SpinCo shall deposit, or shall cause to be deposited, with the Exchange Agent, for the benefit of the holders of shares of SpinCo Common Stock, for exchange in accordance with this</w:t>
      </w:r>
    </w:p>
    <w:p>
      <w:pPr>
        <w:spacing w:after="0" w:line="2" w:lineRule="exact"/>
        <w:rPr>
          <w:rFonts w:ascii="Times New Roman" w:cs="Times New Roman" w:eastAsia="Times New Roman" w:hAnsi="Times New Roman"/>
          <w:sz w:val="13"/>
          <w:szCs w:val="13"/>
          <w:color w:val="auto"/>
        </w:rPr>
      </w:pPr>
    </w:p>
    <w:p>
      <w:pPr>
        <w:ind w:left="1360" w:right="259"/>
        <w:spacing w:after="0" w:line="25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Section 3.2(b)</w:t>
      </w:r>
      <w:r>
        <w:rPr>
          <w:rFonts w:ascii="Times New Roman" w:cs="Times New Roman" w:eastAsia="Times New Roman" w:hAnsi="Times New Roman"/>
          <w:sz w:val="14"/>
          <w:szCs w:val="14"/>
          <w:color w:val="auto"/>
        </w:rPr>
        <w:t xml:space="preserve"> as promptly as practicable after the Effective Time, book-entry shares representing the Merger Consideration issuable to holders of shares of SpinCo Common Stock as of immediately prior to the Effective Time pursuant to </w:t>
      </w:r>
      <w:r>
        <w:rPr>
          <w:rFonts w:ascii="Times New Roman" w:cs="Times New Roman" w:eastAsia="Times New Roman" w:hAnsi="Times New Roman"/>
          <w:sz w:val="14"/>
          <w:szCs w:val="14"/>
          <w:u w:val="single" w:color="auto"/>
          <w:color w:val="auto"/>
        </w:rPr>
        <w:t>Section 3.1(a)(i)</w:t>
      </w:r>
      <w:r>
        <w:rPr>
          <w:rFonts w:ascii="Times New Roman" w:cs="Times New Roman" w:eastAsia="Times New Roman" w:hAnsi="Times New Roman"/>
          <w:sz w:val="14"/>
          <w:szCs w:val="14"/>
          <w:color w:val="auto"/>
        </w:rPr>
        <w:t xml:space="preserve"> (such book-entry shares of Gold Common Stock, together with any cash received by the Exchange Agent in respect of dividends or distributions with respect thereto pursuant to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 xml:space="preserve"> and other amounts payable in accordance with </w:t>
      </w:r>
      <w:r>
        <w:rPr>
          <w:rFonts w:ascii="Times New Roman" w:cs="Times New Roman" w:eastAsia="Times New Roman" w:hAnsi="Times New Roman"/>
          <w:sz w:val="14"/>
          <w:szCs w:val="14"/>
          <w:u w:val="single" w:color="auto"/>
          <w:color w:val="auto"/>
        </w:rPr>
        <w:t>Section 3.2(e)</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u w:val="single" w:color="auto"/>
          <w:color w:val="auto"/>
        </w:rPr>
        <w:t>Exchange Fund</w:t>
      </w:r>
      <w:r>
        <w:rPr>
          <w:rFonts w:ascii="Times New Roman" w:cs="Times New Roman" w:eastAsia="Times New Roman" w:hAnsi="Times New Roman"/>
          <w:sz w:val="14"/>
          <w:szCs w:val="14"/>
          <w:color w:val="auto"/>
        </w:rPr>
        <w:t>”). The Exchange Agent shall, following the Effective Time, pursuant to irrevocable instructions from Gold, deliver the Merger Consideration out of the Exchange Fund. The cash portion, if any, of the</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A-24</w:t>
      </w:r>
    </w:p>
    <w:p>
      <w:pPr>
        <w:sectPr>
          <w:pgSz w:w="11900" w:h="16838" w:orient="portrait"/>
          <w:cols w:equalWidth="0" w:num="1">
            <w:col w:w="10159"/>
          </w:cols>
          <w:pgMar w:left="300" w:top="386" w:right="1440"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 xml:space="preserve">Exchange Fund shall be invested by the Exchange Agent as directed by Gold;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 such investment of or losses thereon shall relieve Gold from making or causing to be made the payments required by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or elsewhere in this Agreement, or affect the amount payable in respect of the shares of SpinCo Common Stock outstanding as of immediately prior to the Effective Time, (ii) to the extent the Exchange Fund is insufficient at any time to make such payments, Gold shall promptly provide additional funds to the Exchange Agent in the amount of any such deficiency and (iii) no such investment shall have maturities that would reasonably be expected to prevent or delay the payments to be made pursuant to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Any interest or other income from such investments shall be paid to and become the property of Gold. The Exchange Fund shall not be used for any purpose other than as specified in this </w:t>
      </w:r>
      <w:r>
        <w:rPr>
          <w:rFonts w:ascii="Times New Roman" w:cs="Times New Roman" w:eastAsia="Times New Roman" w:hAnsi="Times New Roman"/>
          <w:sz w:val="14"/>
          <w:szCs w:val="14"/>
          <w:u w:val="single" w:color="auto"/>
          <w:color w:val="auto"/>
        </w:rPr>
        <w:t>Section 3.2(b)</w:t>
      </w:r>
      <w:r>
        <w:rPr>
          <w:rFonts w:ascii="Times New Roman" w:cs="Times New Roman" w:eastAsia="Times New Roman" w:hAnsi="Times New Roman"/>
          <w:sz w:val="14"/>
          <w:szCs w:val="14"/>
          <w:color w:val="auto"/>
        </w:rPr>
        <w:t>. No later than ten (10) Business Days prior to the Effective Time, Gold shall enter into an agreement with the Exchange Agent, in form and substance reasonably satisfactory to Mercury, to effect the applicable terms of this Agreement (the “</w:t>
      </w:r>
      <w:r>
        <w:rPr>
          <w:rFonts w:ascii="Times New Roman" w:cs="Times New Roman" w:eastAsia="Times New Roman" w:hAnsi="Times New Roman"/>
          <w:sz w:val="14"/>
          <w:szCs w:val="14"/>
          <w:u w:val="single" w:color="auto"/>
          <w:color w:val="auto"/>
        </w:rPr>
        <w:t>Agent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3988435</wp:posOffset>
            </wp:positionH>
            <wp:positionV relativeFrom="paragraph">
              <wp:posOffset>-876935</wp:posOffset>
            </wp:positionV>
            <wp:extent cx="2222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29" w:lineRule="exact"/>
        <w:rPr>
          <w:sz w:val="20"/>
          <w:szCs w:val="20"/>
          <w:color w:val="auto"/>
        </w:rPr>
      </w:pPr>
    </w:p>
    <w:p>
      <w:pPr>
        <w:ind w:left="1360" w:right="259" w:firstLine="338"/>
        <w:spacing w:after="0" w:line="276" w:lineRule="auto"/>
        <w:tabs>
          <w:tab w:leader="none" w:pos="1893"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promptly as practicable after the Effective Time, Gold shall cause the Exchange Agent to deliver to each holder of shares of SpinCo Common Stock following the Distribution and immediately prior to the Effective Time, from the Exchange Fund, the shares of Gold Common Stock into which such shares of SpinCo Common Stock have been converted pursuant to the Merger, which shares shall, for the sake of clarity, be delivered to the same Persons who received shares of SpinCo Common Stock in the Distribution (in respect of such shares of SpinCo Common Stock). Each holder of shares of SpinCo Common Stock following the Distribution and immediately prior to the Effective Time shall be entitled to receive in respect of such shares of SpinCo Common Stock held by such Person a book-entry authorization representing the number of whole shares of Gold Common Stock that such holder has the right to receive pursuant to this </w:t>
      </w:r>
      <w:r>
        <w:rPr>
          <w:rFonts w:ascii="Times New Roman" w:cs="Times New Roman" w:eastAsia="Times New Roman" w:hAnsi="Times New Roman"/>
          <w:sz w:val="13"/>
          <w:szCs w:val="13"/>
          <w:u w:val="single" w:color="auto"/>
          <w:color w:val="auto"/>
        </w:rPr>
        <w:t>Section 3.2(c)</w:t>
      </w:r>
      <w:r>
        <w:rPr>
          <w:rFonts w:ascii="Times New Roman" w:cs="Times New Roman" w:eastAsia="Times New Roman" w:hAnsi="Times New Roman"/>
          <w:sz w:val="13"/>
          <w:szCs w:val="13"/>
          <w:color w:val="auto"/>
        </w:rPr>
        <w:t xml:space="preserve"> (and cash in lieu of fractional shares of Gold Common Stock, as contemplated by </w:t>
      </w:r>
      <w:r>
        <w:rPr>
          <w:rFonts w:ascii="Times New Roman" w:cs="Times New Roman" w:eastAsia="Times New Roman" w:hAnsi="Times New Roman"/>
          <w:sz w:val="13"/>
          <w:szCs w:val="13"/>
          <w:u w:val="single" w:color="auto"/>
          <w:color w:val="auto"/>
        </w:rPr>
        <w:t>Section 3.2(e)</w:t>
      </w:r>
      <w:r>
        <w:rPr>
          <w:rFonts w:ascii="Times New Roman" w:cs="Times New Roman" w:eastAsia="Times New Roman" w:hAnsi="Times New Roman"/>
          <w:sz w:val="13"/>
          <w:szCs w:val="13"/>
          <w:color w:val="auto"/>
        </w:rPr>
        <w:t xml:space="preserve">, and any dividends or distributions and other amounts pursuant to </w:t>
      </w:r>
      <w:r>
        <w:rPr>
          <w:rFonts w:ascii="Times New Roman" w:cs="Times New Roman" w:eastAsia="Times New Roman" w:hAnsi="Times New Roman"/>
          <w:sz w:val="13"/>
          <w:szCs w:val="13"/>
          <w:u w:val="single" w:color="auto"/>
          <w:color w:val="auto"/>
        </w:rPr>
        <w:t>Section 3.2(d)</w:t>
      </w:r>
      <w:r>
        <w:rPr>
          <w:rFonts w:ascii="Times New Roman" w:cs="Times New Roman" w:eastAsia="Times New Roman" w:hAnsi="Times New Roman"/>
          <w:sz w:val="13"/>
          <w:szCs w:val="13"/>
          <w:color w:val="auto"/>
        </w:rPr>
        <w:t>). The Exchange Agent shall not be entitled to vote or exercise any rights of ownership with respect to Gold Common Stock held by it from time to time hereunder or under the Agent Agreement.</w:t>
      </w:r>
    </w:p>
    <w:p>
      <w:pPr>
        <w:spacing w:after="0" w:line="132" w:lineRule="exact"/>
        <w:rPr>
          <w:rFonts w:ascii="Times New Roman" w:cs="Times New Roman" w:eastAsia="Times New Roman" w:hAnsi="Times New Roman"/>
          <w:sz w:val="13"/>
          <w:szCs w:val="13"/>
          <w:color w:val="auto"/>
        </w:rPr>
      </w:pPr>
    </w:p>
    <w:p>
      <w:pPr>
        <w:ind w:left="1360" w:right="279" w:firstLine="338"/>
        <w:spacing w:after="0" w:line="254" w:lineRule="auto"/>
        <w:tabs>
          <w:tab w:leader="none" w:pos="1901"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Distributions After the Effective Time</w:t>
      </w:r>
      <w:r>
        <w:rPr>
          <w:rFonts w:ascii="Times New Roman" w:cs="Times New Roman" w:eastAsia="Times New Roman" w:hAnsi="Times New Roman"/>
          <w:sz w:val="14"/>
          <w:szCs w:val="14"/>
          <w:color w:val="auto"/>
        </w:rPr>
        <w:t>. Subject to the following sentence, no dividends or other distributions declared with respect to Gold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Common Stock with a record date after the Effective Time shall be paid with respect to any shares of Gold Common Stock that are not able to be delivered by the Exchange Agent promptly after the Effective Time, whether due to a legal impediment to such delivery or otherwise. Subject to the effect of abandoned property, escheat, Tax or other applicable Laws, following the delivery of any such previously undelivered shares of Gold Common Stock, there shall be paid to the record holder of such shares of Gold Common Stock, without interest, (i) at the time of delivery, the amount of cash payable in lieu of fractional shares of Gold Common Stock to which such holder is entitled pursuant to </w:t>
      </w:r>
      <w:r>
        <w:rPr>
          <w:rFonts w:ascii="Times New Roman" w:cs="Times New Roman" w:eastAsia="Times New Roman" w:hAnsi="Times New Roman"/>
          <w:sz w:val="14"/>
          <w:szCs w:val="14"/>
          <w:u w:val="single" w:color="auto"/>
          <w:color w:val="auto"/>
        </w:rPr>
        <w:t>Section 3.2(e)</w:t>
      </w:r>
      <w:r>
        <w:rPr>
          <w:rFonts w:ascii="Times New Roman" w:cs="Times New Roman" w:eastAsia="Times New Roman" w:hAnsi="Times New Roman"/>
          <w:sz w:val="14"/>
          <w:szCs w:val="14"/>
          <w:color w:val="auto"/>
        </w:rPr>
        <w:t>, (ii) at the time of delivery, the amount of dividends or other distributions with a record date after the Effective Time theretofore paid with respect to such whole shares of Gold Common Stock and (iii) at the appropriate payment date, the amount of dividends or other distributions with a record date after the Effective Time but prior to the distribution of such whole shares of Gold Common Stock and a payment date subsequent to the distribution of such whole shares of Gold Common Stock.</w:t>
      </w:r>
    </w:p>
    <w:p>
      <w:pPr>
        <w:spacing w:after="0" w:line="146" w:lineRule="exact"/>
        <w:rPr>
          <w:rFonts w:ascii="Times New Roman" w:cs="Times New Roman" w:eastAsia="Times New Roman" w:hAnsi="Times New Roman"/>
          <w:sz w:val="14"/>
          <w:szCs w:val="14"/>
          <w:color w:val="auto"/>
        </w:rPr>
      </w:pPr>
    </w:p>
    <w:p>
      <w:pPr>
        <w:ind w:left="1360" w:right="239" w:firstLine="338"/>
        <w:spacing w:after="0" w:line="254" w:lineRule="auto"/>
        <w:tabs>
          <w:tab w:leader="none" w:pos="1893"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Fractional Shares</w:t>
      </w:r>
      <w:r>
        <w:rPr>
          <w:rFonts w:ascii="Times New Roman" w:cs="Times New Roman" w:eastAsia="Times New Roman" w:hAnsi="Times New Roman"/>
          <w:sz w:val="14"/>
          <w:szCs w:val="14"/>
          <w:color w:val="auto"/>
        </w:rPr>
        <w:t>. No certificates or scrip representing fractional shares of Gold Common Stock or book-entry credit of the same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issued on conversion of shares of SpinCo Common Stock, and such fractional share interests will not entitle the owner thereof to vote, or to any other rights of a shareholder of Gold. All fractional shares of Gold that a holder of shares of SpinCo Common Stock would otherwise be entitled to receive as a result of the Merger shall be aggregated by the Exchange Agent. The Exchange Agent shall cause the whole shares obtained thereby to be sold on behalf of such holders that would otherwise have been entitled to receive a fractional share of Gold Common Stock pursuant to the Merger in the open market (or otherwise as reasonably directed by Gold), in each case at then-prevailing market prices and in no case later than ten (10) Business Days after the Effective Time. The Exchange Agent shall make available the net proceeds thereof, subject to the deduction of the amount of any withholding Taxes as contemplated in </w:t>
      </w:r>
      <w:r>
        <w:rPr>
          <w:rFonts w:ascii="Times New Roman" w:cs="Times New Roman" w:eastAsia="Times New Roman" w:hAnsi="Times New Roman"/>
          <w:sz w:val="14"/>
          <w:szCs w:val="14"/>
          <w:u w:val="single" w:color="auto"/>
          <w:color w:val="auto"/>
        </w:rPr>
        <w:t>Section 3.2(j)</w:t>
      </w:r>
      <w:r>
        <w:rPr>
          <w:rFonts w:ascii="Times New Roman" w:cs="Times New Roman" w:eastAsia="Times New Roman" w:hAnsi="Times New Roman"/>
          <w:sz w:val="14"/>
          <w:szCs w:val="14"/>
          <w:color w:val="auto"/>
        </w:rPr>
        <w:t xml:space="preserve"> and brokerage charges, commissions and conveyance and similar Taxes, to the holders of shares of SpinCo Common Stock that would otherwise have been entitled to receive a fractional share of Gold Common Stock pursuant to the Merger on a pro rata basis based on such fractional interest, without interest, as soon as practicable thereafter.</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A-25</w:t>
      </w:r>
    </w:p>
    <w:p>
      <w:pPr>
        <w:sectPr>
          <w:pgSz w:w="11900" w:h="16838" w:orient="portrait"/>
          <w:cols w:equalWidth="0" w:num="1">
            <w:col w:w="10159"/>
          </w:cols>
          <w:pgMar w:left="300" w:top="386" w:right="1440"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both"/>
        <w:ind w:left="1360" w:right="459" w:firstLine="338"/>
        <w:spacing w:after="0" w:line="268" w:lineRule="auto"/>
        <w:tabs>
          <w:tab w:leader="none" w:pos="1878"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Further Ownership Rights in SpinCo Common Stock</w:t>
      </w:r>
      <w:r>
        <w:rPr>
          <w:rFonts w:ascii="Times New Roman" w:cs="Times New Roman" w:eastAsia="Times New Roman" w:hAnsi="Times New Roman"/>
          <w:sz w:val="14"/>
          <w:szCs w:val="14"/>
          <w:color w:val="auto"/>
        </w:rPr>
        <w:t>. All shares of Gold Common Stock issued in respect of shares of SpinCo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Stock in accordance with the terms of this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(including any cash paid pursuant to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3.2(e)</w:t>
      </w:r>
      <w:r>
        <w:rPr>
          <w:rFonts w:ascii="Times New Roman" w:cs="Times New Roman" w:eastAsia="Times New Roman" w:hAnsi="Times New Roman"/>
          <w:sz w:val="14"/>
          <w:szCs w:val="14"/>
          <w:color w:val="auto"/>
        </w:rPr>
        <w:t>) shall be deemed to have been issued in full satisfaction of all rights pertaining to such shares of SpinCo Common Stock.</w:t>
      </w:r>
    </w:p>
    <w:p>
      <w:pPr>
        <w:spacing w:after="0" w:line="133" w:lineRule="exact"/>
        <w:rPr>
          <w:rFonts w:ascii="Times New Roman" w:cs="Times New Roman" w:eastAsia="Times New Roman" w:hAnsi="Times New Roman"/>
          <w:sz w:val="14"/>
          <w:szCs w:val="14"/>
          <w:color w:val="auto"/>
        </w:rPr>
      </w:pPr>
    </w:p>
    <w:p>
      <w:pPr>
        <w:ind w:left="1360" w:right="279" w:firstLine="338"/>
        <w:spacing w:after="0" w:line="257" w:lineRule="auto"/>
        <w:tabs>
          <w:tab w:leader="none" w:pos="1901"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Termination of Exchange Fund</w:t>
      </w:r>
      <w:r>
        <w:rPr>
          <w:rFonts w:ascii="Times New Roman" w:cs="Times New Roman" w:eastAsia="Times New Roman" w:hAnsi="Times New Roman"/>
          <w:sz w:val="14"/>
          <w:szCs w:val="14"/>
          <w:color w:val="auto"/>
        </w:rPr>
        <w:t>. Any portion of the Exchange Fund made available to the Exchange Agent that remains undistributed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former holders of shares of SpinCo Common Stock on the one (1) year anniversary of the Effective Time shall be delivered to Gold, and any former holders of shares of SpinCo Common Stock who have not received shares of Gold Common Stock in accordance with this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shall thereafter look only to Gold for the Merger Consideration to which they are entitled pursuant to </w:t>
      </w:r>
      <w:r>
        <w:rPr>
          <w:rFonts w:ascii="Times New Roman" w:cs="Times New Roman" w:eastAsia="Times New Roman" w:hAnsi="Times New Roman"/>
          <w:sz w:val="14"/>
          <w:szCs w:val="14"/>
          <w:u w:val="single" w:color="auto"/>
          <w:color w:val="auto"/>
        </w:rPr>
        <w:t>Section 3.1(a)(i)</w:t>
      </w:r>
      <w:r>
        <w:rPr>
          <w:rFonts w:ascii="Times New Roman" w:cs="Times New Roman" w:eastAsia="Times New Roman" w:hAnsi="Times New Roman"/>
          <w:sz w:val="14"/>
          <w:szCs w:val="14"/>
          <w:color w:val="auto"/>
        </w:rPr>
        <w:t xml:space="preserve">, any cash in lieu of fractional shares of Gold Common Stock to which they are entitled pursuant to </w:t>
      </w:r>
      <w:r>
        <w:rPr>
          <w:rFonts w:ascii="Times New Roman" w:cs="Times New Roman" w:eastAsia="Times New Roman" w:hAnsi="Times New Roman"/>
          <w:sz w:val="14"/>
          <w:szCs w:val="14"/>
          <w:u w:val="single" w:color="auto"/>
          <w:color w:val="auto"/>
        </w:rPr>
        <w:t>Section 3.2(e)</w:t>
      </w:r>
      <w:r>
        <w:rPr>
          <w:rFonts w:ascii="Times New Roman" w:cs="Times New Roman" w:eastAsia="Times New Roman" w:hAnsi="Times New Roman"/>
          <w:sz w:val="14"/>
          <w:szCs w:val="14"/>
          <w:color w:val="auto"/>
        </w:rPr>
        <w:t xml:space="preserve"> and any dividends or other distributions with respect to the Gold Common Stock to which they are entitled pursuant to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 xml:space="preserve"> (subject to any applicable abandoned property, escheat or similar Law).</w:t>
      </w:r>
    </w:p>
    <w:p>
      <w:pPr>
        <w:spacing w:after="0" w:line="143" w:lineRule="exact"/>
        <w:rPr>
          <w:rFonts w:ascii="Times New Roman" w:cs="Times New Roman" w:eastAsia="Times New Roman" w:hAnsi="Times New Roman"/>
          <w:sz w:val="14"/>
          <w:szCs w:val="14"/>
          <w:color w:val="auto"/>
        </w:rPr>
      </w:pPr>
    </w:p>
    <w:p>
      <w:pPr>
        <w:jc w:val="both"/>
        <w:ind w:left="1360" w:right="399" w:firstLine="338"/>
        <w:spacing w:after="0" w:line="262" w:lineRule="auto"/>
        <w:tabs>
          <w:tab w:leader="none" w:pos="1901"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Liability</w:t>
      </w:r>
      <w:r>
        <w:rPr>
          <w:rFonts w:ascii="Times New Roman" w:cs="Times New Roman" w:eastAsia="Times New Roman" w:hAnsi="Times New Roman"/>
          <w:sz w:val="14"/>
          <w:szCs w:val="14"/>
          <w:color w:val="auto"/>
        </w:rPr>
        <w:t>. None of Mercury, the Surviving Corporation, Gold, Merger Sub, the Exchange Agent or any other Person shall be liable to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 of SpinCo Common Stock or any holder of shares of Mercury Common Stock for shares of Gold Common Stock (or dividends or distributions with respect thereto or with respect to SpinCo Common Stock) or cash properly delivered to a public official pursuant to any applicable abandoned property, escheat or similar Law.</w:t>
      </w:r>
    </w:p>
    <w:p>
      <w:pPr>
        <w:spacing w:after="0" w:line="138" w:lineRule="exact"/>
        <w:rPr>
          <w:rFonts w:ascii="Times New Roman" w:cs="Times New Roman" w:eastAsia="Times New Roman" w:hAnsi="Times New Roman"/>
          <w:sz w:val="14"/>
          <w:szCs w:val="14"/>
          <w:color w:val="auto"/>
        </w:rPr>
      </w:pPr>
    </w:p>
    <w:p>
      <w:pPr>
        <w:ind w:left="1360" w:right="299" w:firstLine="338"/>
        <w:spacing w:after="0" w:line="286" w:lineRule="auto"/>
        <w:tabs>
          <w:tab w:leader="none" w:pos="1870"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Closing of Transfer Books</w:t>
      </w:r>
      <w:r>
        <w:rPr>
          <w:rFonts w:ascii="Times New Roman" w:cs="Times New Roman" w:eastAsia="Times New Roman" w:hAnsi="Times New Roman"/>
          <w:sz w:val="14"/>
          <w:szCs w:val="14"/>
          <w:color w:val="auto"/>
        </w:rPr>
        <w:t>. From and after the Effective Time, the stock transfer books of SpinCo shall be closed and no transfer shall be made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any shares of capital stock of SpinCo that were outstanding as of immediately prior to the Effective Time.</w:t>
      </w:r>
    </w:p>
    <w:p>
      <w:pPr>
        <w:spacing w:after="0" w:line="120" w:lineRule="exact"/>
        <w:rPr>
          <w:rFonts w:ascii="Times New Roman" w:cs="Times New Roman" w:eastAsia="Times New Roman" w:hAnsi="Times New Roman"/>
          <w:sz w:val="14"/>
          <w:szCs w:val="14"/>
          <w:color w:val="auto"/>
        </w:rPr>
      </w:pPr>
    </w:p>
    <w:p>
      <w:pPr>
        <w:ind w:left="1360" w:right="359" w:firstLine="338"/>
        <w:spacing w:after="0" w:line="259" w:lineRule="auto"/>
        <w:tabs>
          <w:tab w:leader="none" w:pos="1870"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Withholding</w:t>
      </w:r>
      <w:r>
        <w:rPr>
          <w:rFonts w:ascii="Times New Roman" w:cs="Times New Roman" w:eastAsia="Times New Roman" w:hAnsi="Times New Roman"/>
          <w:sz w:val="14"/>
          <w:szCs w:val="14"/>
          <w:color w:val="auto"/>
        </w:rPr>
        <w:t>. SpinCo, Mercury, Gold, Merger Sub and the Exchange Agent shall each be entitled to deduct and withhold from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otherwise payable pursuant to this Agreement to any holder of shares of SpinCo Common Stock such amounts as are required to be deducted and withheld with respect to the making of such payment under the Code, or under any provision of state, local or foreign Tax Law. To the extent that amounts are so deducted or withheld, such deducted or withheld amounts shall be paid over to the appropriate Governmental Authority and will be treated for all purposes of this Agreement as having been paid to the Person in respect of which such deduction or withholding was made.</w:t>
      </w:r>
    </w:p>
    <w:p>
      <w:pPr>
        <w:spacing w:after="0" w:line="143" w:lineRule="exact"/>
        <w:rPr>
          <w:sz w:val="20"/>
          <w:szCs w:val="20"/>
          <w:color w:val="auto"/>
        </w:rPr>
      </w:pPr>
    </w:p>
    <w:p>
      <w:pPr>
        <w:ind w:left="1360" w:right="7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Appraisal Rights</w:t>
      </w:r>
      <w:r>
        <w:rPr>
          <w:rFonts w:ascii="Times New Roman" w:cs="Times New Roman" w:eastAsia="Times New Roman" w:hAnsi="Times New Roman"/>
          <w:sz w:val="14"/>
          <w:szCs w:val="14"/>
          <w:color w:val="auto"/>
        </w:rPr>
        <w:t>. In accordance with Section 262 of the DGCL, no appraisal rights shall be available to the holders of SpinCo Common Stock in connection with the Merger.</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 MERCURY RELATING TO MERCURY</w:t>
      </w:r>
    </w:p>
    <w:p>
      <w:pPr>
        <w:spacing w:after="0" w:line="161" w:lineRule="exact"/>
        <w:rPr>
          <w:sz w:val="20"/>
          <w:szCs w:val="20"/>
          <w:color w:val="auto"/>
        </w:rPr>
      </w:pPr>
    </w:p>
    <w:p>
      <w:pPr>
        <w:ind w:left="1360" w:right="239" w:firstLine="343"/>
        <w:spacing w:after="0" w:line="280" w:lineRule="auto"/>
        <w:rPr>
          <w:sz w:val="20"/>
          <w:szCs w:val="20"/>
          <w:color w:val="auto"/>
        </w:rPr>
      </w:pPr>
      <w:r>
        <w:rPr>
          <w:rFonts w:ascii="Times New Roman" w:cs="Times New Roman" w:eastAsia="Times New Roman" w:hAnsi="Times New Roman"/>
          <w:sz w:val="13"/>
          <w:szCs w:val="13"/>
          <w:color w:val="auto"/>
        </w:rPr>
        <w:t xml:space="preserve">Except as otherwise disclosed or identified in (a) the Mercury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SpinCo Disclosure Letter (it being understood that each such disclosure shall also apply to each other representation and warranty contained in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to the extent that it is reasonably apparent on the face of such disclosure that it is relevant to or applies to such representation or warranty), Mercury hereby represents and warrants to Gold and Merger Sub as follows:</w:t>
      </w:r>
    </w:p>
    <w:p>
      <w:pPr>
        <w:spacing w:after="0" w:line="1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Organization of Mercury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500" w:right="2179" w:hanging="3802"/>
        <w:spacing w:after="0" w:line="455" w:lineRule="auto"/>
        <w:tabs>
          <w:tab w:leader="none" w:pos="1888"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has been duly incorporated and is validly existing and in good standing as a Wisconsin corporation. A-26</w:t>
      </w:r>
    </w:p>
    <w:p>
      <w:pPr>
        <w:sectPr>
          <w:pgSz w:w="11900" w:h="16838" w:orient="portrait"/>
          <w:cols w:equalWidth="0" w:num="1">
            <w:col w:w="10159"/>
          </w:cols>
          <w:pgMar w:left="300" w:top="385" w:right="1440"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38"/>
        <w:spacing w:after="0" w:line="255" w:lineRule="auto"/>
        <w:tabs>
          <w:tab w:leader="none" w:pos="1901"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and (to the extent relating to the SpinCo Business) each member of the Mercury Group has all requisite corporate power and authority to own, lease and operate its respective properties and assets in all manner in which such assets and properties are now owned, leased and operated and to conduct its business as it is now being conducted, except as would not reasonably be expected to have, individually or in the aggregate, a Mercury Material Adverse Effect. Mercury has made available to Gold and Merger Sub true and complete copies of the Organizational Documents of Mercury as in effect on the date hereof. Mercury and (to the extent relating to the SpinCo Business) each member of the Mercury Group is duly licensed or qualified and in good standing (or equivalent status as applicable) in each jurisdiction in which the assets owned or leased by it or the character of its activities require it to be so licensed or qualified or in good standing (or equivalent status as applicable), except as would not, individually or in the aggregate, have a Mercury Material Adverse Effect.</w:t>
      </w:r>
    </w:p>
    <w:p>
      <w:pPr>
        <w:spacing w:after="0" w:line="145"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Due Authorization</w:t>
      </w:r>
      <w:r>
        <w:rPr>
          <w:rFonts w:ascii="Times New Roman" w:cs="Times New Roman" w:eastAsia="Times New Roman" w:hAnsi="Times New Roman"/>
          <w:sz w:val="14"/>
          <w:szCs w:val="14"/>
          <w:color w:val="auto"/>
        </w:rPr>
        <w:t>. Mercury has all requisite corporate power and authority to execute and deliver this Agreement and the Transaction Documents to which it is or will be a party and to consummate the Transactions, except for such further action of the Mercury Board required, to establish the Record Date and the Distribution Date, and declare the Distribution (the effectiveness of which will be subject to the satisfaction or, to the extent permitted by applicable Law, waiver, of the conditions set forth in the Separation Agreement). The execution and delivery by Mercury of this Agreement and the Transaction Documents to which it is or will be a party as of the Effective Time and the consummation of the Transactions have been duly authorized by all necessary and proper corporate action on its part, and no other corporate action on the part of Mercury is necessary to authorize this Agreement or the Transaction Documents to which it is or will be a party as of the Effective Time or, subject to such further action of the Mercury Board required, if applicable, to establish the Record Date and the Distribution Date, and declare the Distribution (the effectiveness of which will be subject to the satisfaction or, to the extent permitted by applicable Law, waiver of the conditions set forth in the Separation Agreement), consummate the Transactions. Each of this Agreement and the Transaction Documents to which Mercury is or will be a party as of the Effective Time has been or will be duly and validly executed and delivered by it and (assuming that each of this Agreement and the other applicable Transaction Documents to which each of Gold or Merger Sub is or will be a party as of the Effective Time constitutes a legal, valid and binding obligation of Gold or Merger Sub (as applicable)), constitutes or will when executed and delivered constitute the legal, valid and binding obligation of Mercury, enforceable against it in accordance with its terms, subject to applicable bankruptcy, insolvency, fraudulent conveyance, reorganization, moratorium and similar Laws affecting creditors’ rights generally and subject, as to enforceability, to general principles of equity, whether considered in an Action at law or in equity (collectively, the “</w:t>
      </w:r>
      <w:r>
        <w:rPr>
          <w:rFonts w:ascii="Times New Roman" w:cs="Times New Roman" w:eastAsia="Times New Roman" w:hAnsi="Times New Roman"/>
          <w:sz w:val="14"/>
          <w:szCs w:val="14"/>
          <w:u w:val="single" w:color="auto"/>
          <w:color w:val="auto"/>
        </w:rPr>
        <w:t>Remedies Exception</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Consents and Approvals; No Violations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38"/>
        <w:spacing w:after="0" w:line="254" w:lineRule="auto"/>
        <w:tabs>
          <w:tab w:leader="none" w:pos="1893"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Assuming the accuracy of the representations and warranties of Gold and Merger Sub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no filing with or notice to, and no permit, authorization, registration, consent or approval of, any Governmental Authority is required on the part of Mercury for the execution, delivery and performance by Mercury of this Agreement or by any member of the Mercury Group of any Transaction Document to which it is a party or the consummation by Mercury or any member of the Mercury Group of the Transactions, except: (i) compliance with any applicable requirements of any Antitrust Law, Foreign Investment Law, the Securities Act, the Exchange Act, or applicable blue sky laws; (ii) compliance with any Permits relating to the SpinCo Business; (iii) the filing of the Certificate of Merger with the Secretary of State of the State of Delaware pursuant to the provisions of the DGCL; (iv) the rules and regulations of the NYSE; (v) the filing of any amendment to the Organizational Documents of SpinCo to effect the Separation and Distribution; or (vi) any Consents, the failure of which to make or obtain would not reasonably be expected to have, individually or in the aggregate, a Mercury Material Adverse Effect.</w:t>
      </w:r>
    </w:p>
    <w:p>
      <w:pPr>
        <w:spacing w:after="0" w:line="148" w:lineRule="exact"/>
        <w:rPr>
          <w:rFonts w:ascii="Times New Roman" w:cs="Times New Roman" w:eastAsia="Times New Roman" w:hAnsi="Times New Roman"/>
          <w:sz w:val="14"/>
          <w:szCs w:val="14"/>
          <w:color w:val="auto"/>
        </w:rPr>
      </w:pPr>
    </w:p>
    <w:p>
      <w:pPr>
        <w:ind w:left="1360" w:right="439" w:firstLine="338"/>
        <w:spacing w:after="0" w:line="296" w:lineRule="auto"/>
        <w:tabs>
          <w:tab w:leader="none" w:pos="1901"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receipt of the Consents set forth in </w:t>
      </w:r>
      <w:r>
        <w:rPr>
          <w:rFonts w:ascii="Times New Roman" w:cs="Times New Roman" w:eastAsia="Times New Roman" w:hAnsi="Times New Roman"/>
          <w:sz w:val="13"/>
          <w:szCs w:val="13"/>
          <w:u w:val="single" w:color="auto"/>
          <w:color w:val="auto"/>
        </w:rPr>
        <w:t>Section 4.3(a)</w:t>
      </w:r>
      <w:r>
        <w:rPr>
          <w:rFonts w:ascii="Times New Roman" w:cs="Times New Roman" w:eastAsia="Times New Roman" w:hAnsi="Times New Roman"/>
          <w:sz w:val="13"/>
          <w:szCs w:val="13"/>
          <w:color w:val="auto"/>
        </w:rPr>
        <w:t>, neither the execution, delivery and performance by Mercury of this Agreement and by any member of the Mercury Group of the Transaction Documents to which it is or will be a party as of the Effective Time, nor the consummation by Mercury or of any member of the Mercury Group of the Transactions, will (i) conflict with or result in any breach or violation of</w:t>
      </w:r>
    </w:p>
    <w:p>
      <w:pPr>
        <w:spacing w:after="0" w:line="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A-27</w:t>
      </w:r>
    </w:p>
    <w:p>
      <w:pPr>
        <w:sectPr>
          <w:pgSz w:w="11900" w:h="16838" w:orient="portrait"/>
          <w:cols w:equalWidth="0" w:num="1">
            <w:col w:w="10159"/>
          </w:cols>
          <w:pgMar w:left="300" w:top="385" w:right="1440"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 xml:space="preserve">any provision of the Organizational Documents of Mercury or of any member of the Mercury Group, (ii) result in a breach or violation of, or constitute a default under, require a Consent under or give rise to any right of termination, amendment, cancellation payment obligation or acceleration adverse to Mercury under a Contract to which Mercury or any member of the Mercury Group is a party that constitutes (A) an “instrument defining the rights of holders of the equity or debt securities” with respect to Mercury as such term is described in Item 601(b)(4) of Regulation S-K of the SEC, or (B) a “material contract” with respect to Mercury as such term is defined in Item 601(b)(10) of Regulation S-K of the SEC (other than those agreements and arrangements described in Item 601(b)(10)(iii) of Regulation S-K of the SEC), (iii) result in the creation or imposition of any Lien (other than Permitted Liens) upon any of the SpinCo Assets or (iv) violate any Law applicable to Mercury or of any member of the Mercury Group, except, in the case of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as would not reasonably be expected to have, individually or in the aggregate, a Mercury Material Adverse Effect.</w:t>
      </w:r>
    </w:p>
    <w:p>
      <w:pPr>
        <w:spacing w:after="0" w:line="145"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(a) There are no, and in the past two (2) years have been no, Actions pending or, to the Knowledge of Mercury, threatened before or by any Governmental Authority against Mercury or any of its Subsidiaries that, individually or in the aggregate, would reasonably be expected to result in a Mercury Material Adverse Effect, and (b) neither Mercury nor any of its Subsidiaries is subject to any Order that, in each case, would reasonably be expected to result in, individually or in the aggregate, a Mercury Material Adverse Effect.</w:t>
      </w:r>
    </w:p>
    <w:p>
      <w:pPr>
        <w:spacing w:after="0" w:line="141"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No broker, finder or investment banker is entitled to any brokerage, finder’s or other fee or commission for which Gold or any of its Subsidiaries, including Merger Sub, the Surviving Corporation or the members of the SpinCo Group would be liable after the Closing, in connection with this Agreement or the other Transaction Documents, or the Transactions, based upon arrangements made by or on behalf of Mercury or any of its Subsidiaries.</w:t>
      </w:r>
    </w:p>
    <w:p>
      <w:pPr>
        <w:spacing w:after="0" w:line="141"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Mercury Reports and Financial Statements</w:t>
      </w:r>
      <w:r>
        <w:rPr>
          <w:rFonts w:ascii="Times New Roman" w:cs="Times New Roman" w:eastAsia="Times New Roman" w:hAnsi="Times New Roman"/>
          <w:sz w:val="14"/>
          <w:szCs w:val="14"/>
          <w:color w:val="auto"/>
        </w:rPr>
        <w:t>. Mercury has established and maintains a system of internal controls and procedures that comply in all material respects with applicable Law (including disclosure controls and procedures required by Rule 13a-15 or 15d-15 under the Exchange Act). Such internal controls and procedures are designed to ensure that information required to be disclosed by Mercury with respect to the SpinCo Business in any Mercury SEC Document is recorded and reported on a timely basis to the individuals responsible for the preparation of such Mercury SEC Document. Such internal controls and procedures are designed to provide reasonable assurances that transactions are recorded as necessary to permit preparation of financial statements in conformity with GAAP and to maintain accountability for assets. Such internal controls are overseen by the audit committee of the Mercury Board (the “</w:t>
      </w:r>
      <w:r>
        <w:rPr>
          <w:rFonts w:ascii="Times New Roman" w:cs="Times New Roman" w:eastAsia="Times New Roman" w:hAnsi="Times New Roman"/>
          <w:sz w:val="14"/>
          <w:szCs w:val="14"/>
          <w:u w:val="single" w:color="auto"/>
          <w:color w:val="auto"/>
        </w:rPr>
        <w:t>Mercury Audit Committee</w:t>
      </w:r>
      <w:r>
        <w:rPr>
          <w:rFonts w:ascii="Times New Roman" w:cs="Times New Roman" w:eastAsia="Times New Roman" w:hAnsi="Times New Roman"/>
          <w:sz w:val="14"/>
          <w:szCs w:val="14"/>
          <w:color w:val="auto"/>
        </w:rPr>
        <w:t>”). Since January 1, 2024, Mercury’s chief executive officer and its chief financial officer have disclosed to Mercury’s independent auditor and the Mercury Audit Committee (i) any significant deficiency or material weakness in Mercury’s internal controls and (ii) any fraud, whether or not material, involving management or other employees who have a significant role in Mercury’s internal controls. Since January 1, 2024, neither Mercury nor any member of the Mercury Group has received any material, unresolved complaint, allegation, assertion or claim regarding the impropriety of any accounting or auditing practices, procedures, methodologies or methods of Mercury or any member of Mercury Group or their respective internal accounting controls, in each case, with respect to the SpinCo Business.</w:t>
      </w:r>
    </w:p>
    <w:p>
      <w:pPr>
        <w:spacing w:after="0" w:line="31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OF MERCURY RELATING TO SPINCO</w:t>
      </w:r>
    </w:p>
    <w:p>
      <w:pPr>
        <w:spacing w:after="0" w:line="161" w:lineRule="exact"/>
        <w:rPr>
          <w:sz w:val="20"/>
          <w:szCs w:val="20"/>
          <w:color w:val="auto"/>
        </w:rPr>
      </w:pPr>
    </w:p>
    <w:p>
      <w:pPr>
        <w:ind w:left="1360" w:right="459" w:firstLine="343"/>
        <w:spacing w:after="0" w:line="261" w:lineRule="auto"/>
        <w:rPr>
          <w:sz w:val="20"/>
          <w:szCs w:val="20"/>
          <w:color w:val="auto"/>
        </w:rPr>
      </w:pPr>
      <w:r>
        <w:rPr>
          <w:rFonts w:ascii="Times New Roman" w:cs="Times New Roman" w:eastAsia="Times New Roman" w:hAnsi="Times New Roman"/>
          <w:sz w:val="14"/>
          <w:szCs w:val="14"/>
          <w:color w:val="auto"/>
        </w:rPr>
        <w:t>Except as otherwise disclosed or identified in (a) the Mercury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corresponding section or subsection of the</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A-28</w:t>
      </w:r>
    </w:p>
    <w:p>
      <w:pPr>
        <w:sectPr>
          <w:pgSz w:w="11900" w:h="16838" w:orient="portrait"/>
          <w:cols w:equalWidth="0" w:num="1">
            <w:col w:w="10159"/>
          </w:cols>
          <w:pgMar w:left="300" w:top="385" w:right="1440"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SpinCo Disclosure Letter (it being understood that each such disclosure shall also apply to each other representation and warranty contained in this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to the extent that it is reasonably apparent on the face of such disclosure that it is relevant to or applies to such representation or warranty),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Mercury hereby represents and warrants to Gold and Merger Sub as follows:</w:t>
      </w:r>
    </w:p>
    <w:p>
      <w:pPr>
        <w:spacing w:after="0" w:line="161" w:lineRule="exact"/>
        <w:rPr>
          <w:sz w:val="20"/>
          <w:szCs w:val="20"/>
          <w:color w:val="auto"/>
        </w:rPr>
      </w:pPr>
    </w:p>
    <w:p>
      <w:pPr>
        <w:ind w:left="1360" w:right="21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u w:val="single" w:color="auto"/>
          <w:color w:val="auto"/>
        </w:rPr>
        <w:t>Organization of the SpinCo Group</w:t>
      </w:r>
      <w:r>
        <w:rPr>
          <w:rFonts w:ascii="Times New Roman" w:cs="Times New Roman" w:eastAsia="Times New Roman" w:hAnsi="Times New Roman"/>
          <w:sz w:val="14"/>
          <w:szCs w:val="14"/>
          <w:color w:val="auto"/>
        </w:rPr>
        <w:t xml:space="preserve">. SpinCo is a corporation duly organized, validly existing and in good standing under the Laws of the State of Delaware. Each member of the SpinCo Group other than SpinCo is a corporation or other legal entity duly organized, validly existing and in good standing (or equivalent status as applicable) under the Laws of the jurisdiction of its organization, except as would not reasonably be expected to have, individually or in the aggregate, a SpinCo Material Adverse Effect. Each member of the SpinCo Group has all requisite corporate or other organizational power and authority to own, lease and operate its assets in the manner as it is now being conducted and to carry on its business as now being conducted and is duly licensed or qualified to do business and is in good standing (or equivalent status as applicable) as a foreign corporation or other legal entity in each jurisdiction where the conduct of its business requires such qualification, in each case except as would not reasonably be expected to have, individually or in the aggregate, a SpinCo Material Adverse Effect. SpinCo has made available to Gold true and complete copies of the Organizational Documents of SpinCo as in effect on the date of this Agreement.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of the SpinCo Disclosure Letter sets forth a list of each member of the SpinCo Group and its respective jurisdiction of its organization;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to the extent that the Reorganization provides for the formation of new members of the SpinCo Group (each, a “</w:t>
      </w:r>
      <w:r>
        <w:rPr>
          <w:rFonts w:ascii="Times New Roman" w:cs="Times New Roman" w:eastAsia="Times New Roman" w:hAnsi="Times New Roman"/>
          <w:sz w:val="14"/>
          <w:szCs w:val="14"/>
          <w:u w:val="single" w:color="auto"/>
          <w:color w:val="auto"/>
        </w:rPr>
        <w:t>New SpinCo Group Member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of the SpinCo Disclosure Letter shall be deemed to be automatically amended to include such New SpinCo Group Member upon Mercury delivering copies of the Organizational Documents of such New SpinCo Group Member to Gold to the extent applicable and the representations set forth in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with respect to such New SpinCo Group Member shall be deemed to be given as of the date such New SpinCo Group Member is formed and not as of the date hereof.</w:t>
      </w:r>
    </w:p>
    <w:p>
      <w:pPr>
        <w:spacing w:after="0" w:line="147"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u w:val="single" w:color="auto"/>
          <w:color w:val="auto"/>
        </w:rPr>
        <w:t>Due Authorization</w:t>
      </w:r>
      <w:r>
        <w:rPr>
          <w:rFonts w:ascii="Times New Roman" w:cs="Times New Roman" w:eastAsia="Times New Roman" w:hAnsi="Times New Roman"/>
          <w:sz w:val="14"/>
          <w:szCs w:val="14"/>
          <w:color w:val="auto"/>
        </w:rPr>
        <w:t xml:space="preserve">. SpinCo has all requisite corporate power and authority to execute and deliver this Agreement and the Transaction Documents to which it is or will be a party at the Effective Time and (subject to the receipt of the Consents described in </w:t>
      </w:r>
      <w:r>
        <w:rPr>
          <w:rFonts w:ascii="Times New Roman" w:cs="Times New Roman" w:eastAsia="Times New Roman" w:hAnsi="Times New Roman"/>
          <w:sz w:val="14"/>
          <w:szCs w:val="14"/>
          <w:u w:val="single" w:color="auto"/>
          <w:color w:val="auto"/>
        </w:rPr>
        <w:t>Section 5.4(a)</w:t>
      </w:r>
      <w:r>
        <w:rPr>
          <w:rFonts w:ascii="Times New Roman" w:cs="Times New Roman" w:eastAsia="Times New Roman" w:hAnsi="Times New Roman"/>
          <w:sz w:val="14"/>
          <w:szCs w:val="14"/>
          <w:color w:val="auto"/>
        </w:rPr>
        <w:t>) to consummate the Transactions (subject, in the case of the Merger, to the SpinCo Stockholder Approval, which will occur promptly (and in any event within twenty-four (24) hours) after the execution of this Agreement), and except for such further action of the Mercury Board required, if applicable, to establish the Record Date and the Distribution Date, and the effectiveness of the declaration of the Distribution by Mercury (which is subject to the satisfaction or, to the extent permitted by applicable Law, waiver of the conditions set forth in the Separation Agreement). The execution and delivery by SpinCo of this Agreement and the Transaction Documents to which it is or will be a party at the Effective Time and the consummation by SpinCo of the transactions contemplated hereby and thereby have been duly and validly authorized and approved by all necessary and proper corporate action on its part and, except for the SpinCo Stockholder Approval, no other corporate action on the part of SpinCo, the SpinCo Group or the Mercury Group is necessary to authorize this Agreement or the Transaction Documents to which SpinCo is or will be a party at the Effective Time. Each of this Agreement and the Transaction Documents to which it is or will be a party at the Effective Time has been, or when executed and delivered will be, duly and validly executed and delivered by SpinCo and (assuming that this Agreement and such other applicable Transaction Documents to which Gold or Merger Sub is or will be a party at the Effective Time constitutes a legal, valid and binding obligation of Gold or Merger Sub (as applicable)) constitutes or will constitute a legal, valid and binding obligation of SpinCo, enforceable against SpinCo in accordance with its terms, subject to the Remedies Exception.</w:t>
      </w:r>
    </w:p>
    <w:p>
      <w:pPr>
        <w:spacing w:after="0" w:line="1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5.3 </w:t>
      </w:r>
      <w:r>
        <w:rPr>
          <w:rFonts w:ascii="Times New Roman" w:cs="Times New Roman" w:eastAsia="Times New Roman" w:hAnsi="Times New Roman"/>
          <w:sz w:val="14"/>
          <w:szCs w:val="14"/>
          <w:u w:val="single" w:color="auto"/>
          <w:color w:val="auto"/>
        </w:rPr>
        <w:t>Capitalization of the Members of the SpinCo Group</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38"/>
        <w:spacing w:after="0" w:line="267" w:lineRule="auto"/>
        <w:tabs>
          <w:tab w:leader="none" w:pos="1893"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(i) the authorized capital stock of SpinCo consists of 5,000 shares of SpinCo Common Stock, (ii) the issued and outstanding shares of capital stock of SpinCo consists of 1,000 shares of SpinCo Common Stock and (iii) no shares of SpinCo Common Stock are being held by SpinCo in its treasury. All of the issued and outstanding shares of SpinCo Common Stock are, as of the date hereof (and as of</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A-29</w:t>
      </w:r>
    </w:p>
    <w:p>
      <w:pPr>
        <w:sectPr>
          <w:pgSz w:w="11900" w:h="16838" w:orient="portrait"/>
          <w:cols w:equalWidth="0" w:num="1">
            <w:col w:w="10159"/>
          </w:cols>
          <w:pgMar w:left="300" w:top="386" w:right="144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 xml:space="preserve">immediately prior to the Distribution will be), owned, of record and beneficially, by Mercury and have been duly authorized and validly issued, are fully paid and nonassessable and have not been issued in violation of any preemptive or similar rights. Immediately prior to the Effective Time, there will be outstanding a number of shares of SpinCo Common Stock determined in accordance with </w:t>
      </w:r>
      <w:r>
        <w:rPr>
          <w:rFonts w:ascii="Times New Roman" w:cs="Times New Roman" w:eastAsia="Times New Roman" w:hAnsi="Times New Roman"/>
          <w:sz w:val="14"/>
          <w:szCs w:val="14"/>
          <w:u w:val="single" w:color="auto"/>
          <w:color w:val="auto"/>
        </w:rPr>
        <w:t>Section 7.16</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right="279" w:firstLine="338"/>
        <w:spacing w:after="0" w:line="261" w:lineRule="auto"/>
        <w:tabs>
          <w:tab w:leader="none" w:pos="1901" w:val="left"/>
        </w:tabs>
        <w:numPr>
          <w:ilvl w:val="1"/>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shares of SpinCo Common Stock, there are no shares of common stock, preferred stock or other equity interests of SpinCo issued or outstanding. No bonds, debentures, notes or other indebtedness of any member of the SpinCo Group having the right to vote (or convertible or exchangeable into or exercisable for securities having the right to vote) on any matters on which holders of shares of capital stock of SpinCo (including SpinCo Common Stock) may vote are, or as of the Effective Time will be, issued or outstanding.</w:t>
      </w:r>
    </w:p>
    <w:p>
      <w:pPr>
        <w:spacing w:after="0" w:line="140" w:lineRule="exact"/>
        <w:rPr>
          <w:rFonts w:ascii="Times New Roman" w:cs="Times New Roman" w:eastAsia="Times New Roman" w:hAnsi="Times New Roman"/>
          <w:sz w:val="14"/>
          <w:szCs w:val="14"/>
          <w:color w:val="auto"/>
        </w:rPr>
      </w:pPr>
    </w:p>
    <w:p>
      <w:pPr>
        <w:ind w:left="1880" w:hanging="182"/>
        <w:spacing w:after="0"/>
        <w:tabs>
          <w:tab w:leader="none" w:pos="1880" w:val="left"/>
        </w:tabs>
        <w:numPr>
          <w:ilvl w:val="1"/>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pursuant to the Separation Agreement and the Transaction Documents (including the Separation and the Distribution), there are no</w:t>
      </w:r>
    </w:p>
    <w:p>
      <w:pPr>
        <w:spacing w:after="0" w:line="21" w:lineRule="exact"/>
        <w:rPr>
          <w:rFonts w:ascii="Times New Roman" w:cs="Times New Roman" w:eastAsia="Times New Roman" w:hAnsi="Times New Roman"/>
          <w:sz w:val="14"/>
          <w:szCs w:val="14"/>
          <w:color w:val="auto"/>
        </w:rPr>
      </w:pPr>
    </w:p>
    <w:p>
      <w:pPr>
        <w:ind w:left="1360" w:right="279" w:hanging="5"/>
        <w:spacing w:after="0" w:line="254" w:lineRule="auto"/>
        <w:tabs>
          <w:tab w:leader="none" w:pos="1527"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options, warrants, rights or other securities convertible into or exchangeable or exercisable for shares of capital stock of SpinCo, or any other commitments or agreements providing for the issuance, sale, repurchase or redemption of shares of capital stock of SpinCo, (ii) agreements of any kind which may obligate SpinCo to issue, purchase, redeem or otherwise acquire any of its shares of capital stock or (iii) voting trusts, proxies or other agreements or understandings with respect to the voting shares of capital stock of SpinCo.</w:t>
      </w:r>
    </w:p>
    <w:p>
      <w:pPr>
        <w:spacing w:after="0" w:line="144" w:lineRule="exact"/>
        <w:rPr>
          <w:rFonts w:ascii="Times New Roman" w:cs="Times New Roman" w:eastAsia="Times New Roman" w:hAnsi="Times New Roman"/>
          <w:sz w:val="14"/>
          <w:szCs w:val="14"/>
          <w:color w:val="auto"/>
        </w:rPr>
      </w:pPr>
    </w:p>
    <w:p>
      <w:pPr>
        <w:ind w:left="1360" w:right="279" w:firstLine="338"/>
        <w:spacing w:after="0" w:line="254" w:lineRule="auto"/>
        <w:tabs>
          <w:tab w:leader="none" w:pos="1901" w:val="left"/>
        </w:tabs>
        <w:numPr>
          <w:ilvl w:val="1"/>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issued and outstanding Interests of each Subsidiary of SpinCo have been duly authorized and validly issued and, as applicable, are fully paid and nonassessable. SpinCo, directly or indirectly, owns, or will own at the Closing, legal and beneficial title to all the issued and outstanding Interests of each Subsidiary of SpinCo, free and clear of any Liens (other than Permitted Liens or those set forth in their respective Organizational Documents, arising pursuant to applicable securities Laws or created by this Agreement), except as would not reasonably be expected to be material to the SpinCo Business, taken as a whole. Except pursuant to the Transaction Documents, there are no outstanding options, warrants, rights or other securities exercisable or exchangeable for Interests of any Subsidiary of SpinCo, any other commitments or agreements providing for the issuance, sale, repurchase or redemption of Interests of any Subsidiary of SpinCo, and there are no agreements of any kind which may obligate any Subsidiary of SpinCo to issue, purchase, redeem or otherwise acquire any of its Interests. The representations set forth in this </w:t>
      </w:r>
      <w:r>
        <w:rPr>
          <w:rFonts w:ascii="Times New Roman" w:cs="Times New Roman" w:eastAsia="Times New Roman" w:hAnsi="Times New Roman"/>
          <w:sz w:val="14"/>
          <w:szCs w:val="14"/>
          <w:u w:val="single" w:color="auto"/>
          <w:color w:val="auto"/>
        </w:rPr>
        <w:t>Section 5.3(d)</w:t>
      </w:r>
      <w:r>
        <w:rPr>
          <w:rFonts w:ascii="Times New Roman" w:cs="Times New Roman" w:eastAsia="Times New Roman" w:hAnsi="Times New Roman"/>
          <w:sz w:val="14"/>
          <w:szCs w:val="14"/>
          <w:color w:val="auto"/>
        </w:rPr>
        <w:t xml:space="preserve"> with respect to each New SpinCo Group Member shall be deemed to be given as of the date such New SpinCo Group Member becomes a Subsidiary of SpinCo.</w:t>
      </w:r>
    </w:p>
    <w:p>
      <w:pPr>
        <w:spacing w:after="0" w:line="148" w:lineRule="exact"/>
        <w:rPr>
          <w:rFonts w:ascii="Times New Roman" w:cs="Times New Roman" w:eastAsia="Times New Roman" w:hAnsi="Times New Roman"/>
          <w:sz w:val="14"/>
          <w:szCs w:val="14"/>
          <w:color w:val="auto"/>
        </w:rPr>
      </w:pPr>
    </w:p>
    <w:p>
      <w:pPr>
        <w:ind w:left="1360" w:right="279" w:firstLine="338"/>
        <w:spacing w:after="0" w:line="255" w:lineRule="auto"/>
        <w:tabs>
          <w:tab w:leader="none" w:pos="1893" w:val="left"/>
        </w:tabs>
        <w:numPr>
          <w:ilvl w:val="1"/>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5.3(e)</w:t>
      </w:r>
      <w:r>
        <w:rPr>
          <w:rFonts w:ascii="Times New Roman" w:cs="Times New Roman" w:eastAsia="Times New Roman" w:hAnsi="Times New Roman"/>
          <w:sz w:val="14"/>
          <w:szCs w:val="14"/>
          <w:color w:val="auto"/>
        </w:rPr>
        <w:t xml:space="preserve"> of the SpinCo Disclosure Letter contains a true, correct and complete list, as of January 28, 2026, of all Mercury Equity Awards held by SpinCo Group Employees, indicating, as applicable, with respect to each Mercury Equity Award held by SpinCo Group Employees then outstanding, the employee ID of the holder of the Mercury Equity Award, the type of Mercury Equity Award, the number of shares of common stock of Mercury subject to such Mercury Equity Award, the grant date for such Mercury Equity Award, the exercise or purchase price and expiration date of such Mercury Equity Award (as applicable), and the vesting schedule for such Mercury Equity Award (with the number of shares subject to issuance pursuant to outstanding Mercury PS Awards based on target and maximum performance achievement). No later than five (5) days prior to the Closing, Mercury shall provide an updated version of </w:t>
      </w:r>
      <w:r>
        <w:rPr>
          <w:rFonts w:ascii="Times New Roman" w:cs="Times New Roman" w:eastAsia="Times New Roman" w:hAnsi="Times New Roman"/>
          <w:sz w:val="14"/>
          <w:szCs w:val="14"/>
          <w:u w:val="single" w:color="auto"/>
          <w:color w:val="auto"/>
        </w:rPr>
        <w:t>Section 5.3(e)</w:t>
      </w:r>
      <w:r>
        <w:rPr>
          <w:rFonts w:ascii="Times New Roman" w:cs="Times New Roman" w:eastAsia="Times New Roman" w:hAnsi="Times New Roman"/>
          <w:sz w:val="14"/>
          <w:szCs w:val="14"/>
          <w:color w:val="auto"/>
        </w:rPr>
        <w:t xml:space="preserve"> of the SpinCo Disclosure Letter as of no later than one day prior to the date such schedule is delivered.</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5.4 </w:t>
      </w:r>
      <w:r>
        <w:rPr>
          <w:rFonts w:ascii="Times New Roman" w:cs="Times New Roman" w:eastAsia="Times New Roman" w:hAnsi="Times New Roman"/>
          <w:sz w:val="14"/>
          <w:szCs w:val="14"/>
          <w:u w:val="single" w:color="auto"/>
          <w:color w:val="auto"/>
        </w:rPr>
        <w:t>Consents and Approvals; No Violations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7" w:lineRule="auto"/>
        <w:tabs>
          <w:tab w:leader="none" w:pos="1893"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Assuming the accuracy of the representations and warranties of Gold and Merger Sub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no filing with or notice to, and no permit, authorization, registration, consent or approval of, any Governmental Authority is required on the part of SpinCo for the execution, delivery and performance by SpinCo of this Agreement or by SpinCo or any member of the SpinCo Group of any Transaction Document to which it is a party or the consummation by SpinCo or any member of the SpinCo Group of the Transactions, except (i) compliance with any applicable requirements of any Antitrust Law, Foreign Investment Law, the Securities Act, the Exchange Act, or applicable blue sky laws; (ii) compliance with any Permits relating to the SpinCo</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A-30</w:t>
      </w:r>
    </w:p>
    <w:p>
      <w:pPr>
        <w:sectPr>
          <w:pgSz w:w="11900" w:h="16838" w:orient="portrait"/>
          <w:cols w:equalWidth="0" w:num="1">
            <w:col w:w="10159"/>
          </w:cols>
          <w:pgMar w:left="300" w:top="385" w:right="1440"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Business; (iii) the filing of the Certificate of Merger with the Secretary of State of the State of Delaware pursuant to the provisions of the DGCL; (iv) the rules and regulations of the NYSE; (v) the filing of any amendment to the Organizational Documents of SpinCo to effect the Separation and Distribution; or (vi) any Consents, the failure of which to make or obtain would not reasonably be expected to have, individually or in the aggregate, a SpinCo Material Adverse Effect.</w:t>
      </w:r>
    </w:p>
    <w:p>
      <w:pPr>
        <w:spacing w:after="0" w:line="141" w:lineRule="exact"/>
        <w:rPr>
          <w:sz w:val="20"/>
          <w:szCs w:val="20"/>
          <w:color w:val="auto"/>
        </w:rPr>
      </w:pPr>
    </w:p>
    <w:p>
      <w:pPr>
        <w:ind w:left="1360" w:right="259" w:firstLine="338"/>
        <w:spacing w:after="0" w:line="255" w:lineRule="auto"/>
        <w:tabs>
          <w:tab w:leader="none" w:pos="1901"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receipt of the Consents set forth in </w:t>
      </w:r>
      <w:r>
        <w:rPr>
          <w:rFonts w:ascii="Times New Roman" w:cs="Times New Roman" w:eastAsia="Times New Roman" w:hAnsi="Times New Roman"/>
          <w:sz w:val="14"/>
          <w:szCs w:val="14"/>
          <w:u w:val="single" w:color="auto"/>
          <w:color w:val="auto"/>
        </w:rPr>
        <w:t>Section 5.4(a)</w:t>
      </w:r>
      <w:r>
        <w:rPr>
          <w:rFonts w:ascii="Times New Roman" w:cs="Times New Roman" w:eastAsia="Times New Roman" w:hAnsi="Times New Roman"/>
          <w:sz w:val="14"/>
          <w:szCs w:val="14"/>
          <w:color w:val="auto"/>
        </w:rPr>
        <w:t xml:space="preserve">, neither the execution, delivery and performance of this Agreement by SpinCo or any Transaction Document by SpinCo or any member of the SpinCo Group to which it is or will be a party as of the Effective Time, nor the consummation by SpinCo or any member of the SpinCo Group of the Transactions, will (i) conflict with or result in any breach or violation of any provision of the respective Organizational Documents of SpinCo or of the members of the SpinCo Group, (ii) result in a breach or violation of, require a Consent under or constitute a default under, or give rise to any right of termination, amendment, cancellation, payment obligation or acceleration adverse to any member of the SpinCo Group under any SpinCo Material Contract or SpinCo Transferred Property Lease or (iii) violate any Law applicable to the SpinCo Business, except, in the case of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as would not reasonably be expected to have, individually or in the aggregate, a SpinCo Material Adverse Effect.</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5.5 </w:t>
      </w:r>
      <w:r>
        <w:rPr>
          <w:rFonts w:ascii="Times New Roman" w:cs="Times New Roman" w:eastAsia="Times New Roman" w:hAnsi="Times New Roman"/>
          <w:sz w:val="14"/>
          <w:szCs w:val="14"/>
          <w:u w:val="single" w:color="auto"/>
          <w:color w:val="auto"/>
        </w:rPr>
        <w:t>Financial Statements; Undisclosed Liabilities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38"/>
        <w:spacing w:after="0" w:line="253" w:lineRule="auto"/>
        <w:tabs>
          <w:tab w:leader="none" w:pos="1893"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5.5(a)</w:t>
      </w:r>
      <w:r>
        <w:rPr>
          <w:rFonts w:ascii="Times New Roman" w:cs="Times New Roman" w:eastAsia="Times New Roman" w:hAnsi="Times New Roman"/>
          <w:sz w:val="14"/>
          <w:szCs w:val="14"/>
          <w:color w:val="auto"/>
        </w:rPr>
        <w:t xml:space="preserve"> of the SpinCo Disclosure Letter sets forth the carve-out unaudited statement of operations of the SpinCo Business for the fiscal years ended March 31, 2025 and March 31, 2024 and the nine (9) months ended September 30, 2025, and the unaudited balance sheet of the SpinCo Business as of September 30, 2025 and March 31, 2024 (collectively, the “</w:t>
      </w:r>
      <w:r>
        <w:rPr>
          <w:rFonts w:ascii="Times New Roman" w:cs="Times New Roman" w:eastAsia="Times New Roman" w:hAnsi="Times New Roman"/>
          <w:sz w:val="14"/>
          <w:szCs w:val="14"/>
          <w:u w:val="single" w:color="auto"/>
          <w:color w:val="auto"/>
        </w:rPr>
        <w:t>SpinCo Unaudited Financial Statements</w:t>
      </w:r>
      <w:r>
        <w:rPr>
          <w:rFonts w:ascii="Times New Roman" w:cs="Times New Roman" w:eastAsia="Times New Roman" w:hAnsi="Times New Roman"/>
          <w:sz w:val="14"/>
          <w:szCs w:val="14"/>
          <w:color w:val="auto"/>
        </w:rPr>
        <w:t xml:space="preserve">”). The SpinCo Unaudited Financial Statements (x) were prepared in good faith and derived from the financial data inputs in the consolidated audited financial statements of Mercury for the fiscal years ended March 31, 2025 and March 31, 2024, which were prepared in accordance with GAAP as consistently applied by Mercury throughout the periods covered, and (y) present fairly, in all material respects, the financial position and the results of operations of the SpinCo Business, in the aggregate, as of the respective dates thereof or the periods then ended, in each case except as may be noted therein and subject to the absence of footnote disclosures and to normal and recurring year-end adjustments that are not, individually or in the aggregate, material to the SpinCo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SpinCo Unaudited Financial Statements and the foregoing representations and warranties are qualified by the facts that (A) the SpinCo Business has not operated on a separate standalone basis and has historically been reported within Mercury’s consolidated financial statements, (B) the SpinCo Unaudited Financial Statements assume certain allocated charges and credits which do not necessarily reflect amounts that would have resulted from arm’s-length transactions or that the SpinCo Business would have incurred on a standalone basis, and (C) the SpinCo Unaudited Financial Statements are not necessarily indicative of what the results of operations, financial position and cash flows of the SpinCo Business or the members of the SpinCo Group will be in the future.</w:t>
      </w:r>
    </w:p>
    <w:p>
      <w:pPr>
        <w:spacing w:after="0" w:line="147" w:lineRule="exact"/>
        <w:rPr>
          <w:rFonts w:ascii="Times New Roman" w:cs="Times New Roman" w:eastAsia="Times New Roman" w:hAnsi="Times New Roman"/>
          <w:sz w:val="14"/>
          <w:szCs w:val="14"/>
          <w:color w:val="auto"/>
        </w:rPr>
      </w:pPr>
    </w:p>
    <w:p>
      <w:pPr>
        <w:ind w:left="1360" w:right="239" w:firstLine="338"/>
        <w:spacing w:after="0" w:line="256" w:lineRule="auto"/>
        <w:tabs>
          <w:tab w:leader="none" w:pos="1901"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liabilities or obligations of the SpinCo Business of any nature, whether or not accrued, contingent or otherwise, that would be required by GAAP to be reflected or reserved for on a combined balance sheet of the SpinCo Business, other than those that: (i) are reflected or reserved for in the SpinCo Unaudited Financial Statements; (ii) have been incurred in the ordinary course of business since September 30, 2025; (iii) are incurred in connection with the Transactions or the announcement, negotiation, execution or performance of this Agreement, the Transaction Documents or the Distribution; (iv) have been (or will be prior to the Closing) discharged or paid off; (v) arise in connection with future performance under existing Contracts unrelated to any breach or default by SpinCo or its Subsidiaries; or (vi) would not reasonably be expected to have, individually or in the aggregate, a SpinCo Material Adverse Effect.</w:t>
      </w:r>
    </w:p>
    <w:p>
      <w:pPr>
        <w:spacing w:after="0" w:line="143" w:lineRule="exact"/>
        <w:rPr>
          <w:rFonts w:ascii="Times New Roman" w:cs="Times New Roman" w:eastAsia="Times New Roman" w:hAnsi="Times New Roman"/>
          <w:sz w:val="14"/>
          <w:szCs w:val="14"/>
          <w:color w:val="auto"/>
        </w:rPr>
      </w:pPr>
    </w:p>
    <w:p>
      <w:pPr>
        <w:ind w:left="1360" w:right="359" w:firstLine="338"/>
        <w:spacing w:after="0" w:line="267" w:lineRule="auto"/>
        <w:tabs>
          <w:tab w:leader="none" w:pos="1893"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When delivered pursuant to </w:t>
      </w:r>
      <w:r>
        <w:rPr>
          <w:rFonts w:ascii="Times New Roman" w:cs="Times New Roman" w:eastAsia="Times New Roman" w:hAnsi="Times New Roman"/>
          <w:sz w:val="14"/>
          <w:szCs w:val="14"/>
          <w:u w:val="single" w:color="auto"/>
          <w:color w:val="auto"/>
        </w:rPr>
        <w:t>Section 7.24</w:t>
      </w:r>
      <w:r>
        <w:rPr>
          <w:rFonts w:ascii="Times New Roman" w:cs="Times New Roman" w:eastAsia="Times New Roman" w:hAnsi="Times New Roman"/>
          <w:sz w:val="14"/>
          <w:szCs w:val="14"/>
          <w:color w:val="auto"/>
        </w:rPr>
        <w:t xml:space="preserve"> of this Agreement, the SpinCo Audited Financial Statements will (x) have been prepared in accordance with GAAP as consistently applied by Mercury throughout the periods covered, and (y) present fairly, in all material respects, the financial position and the results of operations of the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A-31</w:t>
      </w:r>
    </w:p>
    <w:p>
      <w:pPr>
        <w:sectPr>
          <w:pgSz w:w="11900" w:h="16838" w:orient="portrait"/>
          <w:cols w:equalWidth="0" w:num="1">
            <w:col w:w="10159"/>
          </w:cols>
          <w:pgMar w:left="300" w:top="386" w:right="1440"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 xml:space="preserve">SpinCo Business, in the aggregate, as of the respective dates thereof or the periods then ended;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SpinCo Audited Financial Statements and the foregoing representations and warranties are qualified by the facts that (A) the SpinCo Business has not operated on a separate standalone basis and has historically been reported within Mercury’s consolidated financial statements, (B) the SpinCo Audited Financial Statements will assume certain allocated charges and credits which do not necessarily reflect amounts that would have resulted from arm’s-length transactions or that the SpinCo Business would have incurred on a standalone basis, and (C) the SpinCo Audited Financial Statements will not necessarily be indicative of what the results of operations, financial position and cash flows of the SpinCo Business or the members of the SpinCo Group will be in the future. The SpinCo Audited Financial Statements will conform in all material respects to the published rules and regulations of the SEC applicable to financial statements for each of the periods that will be required to be included in the SpinCo Registration Statement and the Gold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-772160</wp:posOffset>
            </wp:positionV>
            <wp:extent cx="2222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25" w:lineRule="exact"/>
        <w:rPr>
          <w:sz w:val="20"/>
          <w:szCs w:val="20"/>
          <w:color w:val="auto"/>
        </w:rPr>
      </w:pPr>
    </w:p>
    <w:p>
      <w:pPr>
        <w:ind w:left="1360" w:right="339" w:firstLine="338"/>
        <w:spacing w:after="0" w:line="267" w:lineRule="auto"/>
        <w:tabs>
          <w:tab w:leader="none" w:pos="1901"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member of the SpinCo Group is a party to, or has any commitment to become a party to, any off-balance sheet joint venture, off-balance sheet partnership or any other “off-balance sheet arrangements” (as defined in Item 303(b) of Regulation S-K promulgated by the SEC) that is material to the SpinCo Group, taken as a whole.</w:t>
      </w:r>
    </w:p>
    <w:p>
      <w:pPr>
        <w:spacing w:after="0" w:line="136"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5.6 </w:t>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 (a) Except in connection with the process related to the potential separation, disposition or sale of the SpinCo Business and the review of strategic alternatives with respect to the SpinCo Business or as contemplated by this Agreement or the other Transaction Documents (including the reorganizations and transactions undertaken to facilitate the Reorganization and the Distribution), since September 30, 2025 and through the date of this Agreement, the SpinCo Business has been operated in the ordinary course of business in all material respects and (b) since September 30, 2025, there has not occurred any event, change, occurrence, circumstance, development or effect that is, or would reasonably be expected to result in, individually or in the aggregate, a SpinCo Material Adverse Effect.</w:t>
      </w:r>
    </w:p>
    <w:p>
      <w:pPr>
        <w:spacing w:after="0" w:line="14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5.7 </w:t>
      </w:r>
      <w:r>
        <w:rPr>
          <w:rFonts w:ascii="Times New Roman" w:cs="Times New Roman" w:eastAsia="Times New Roman" w:hAnsi="Times New Roman"/>
          <w:sz w:val="14"/>
          <w:szCs w:val="14"/>
          <w:u w:val="single" w:color="auto"/>
          <w:color w:val="auto"/>
        </w:rPr>
        <w:t>Sufficiency of the SpinCo Assets</w:t>
      </w:r>
      <w:r>
        <w:rPr>
          <w:rFonts w:ascii="Times New Roman" w:cs="Times New Roman" w:eastAsia="Times New Roman" w:hAnsi="Times New Roman"/>
          <w:sz w:val="14"/>
          <w:szCs w:val="14"/>
          <w:color w:val="auto"/>
        </w:rPr>
        <w:t xml:space="preserve">. At the Closing, (a) taking into account and giving effect to all of the Transaction Documents (including the rights, benefits and services made available in the Transaction Documents) and the Reorganization, (b) assuming all consents, authorizations, expiration of waiting periods assignments, amendments and Permits necessary in connection with the consummation of the transactions contemplated by this Agreement and the other Transaction Documents have been obtained and (c) other than with respect to Shared Services, the members of the SpinCo Group will own or have good, valid and marketable title to, and the valid right to use (including by means of ownership or rights pursuant to licenses or other Contracts), the assets, properties and rights necessary to conduct the SpinCo Business immediately following the Closing in substantially the same manner in all material respects as conducted by Mercury and its Subsidiaries as of the date hereof, taking into account the natural evolution of the SpinCo Business during the interim period between the date hereof and the Closing (to the extent permitted under this the terms of this Agreement). The foregoing is not, and is not intended to be, a representation or warranty of any kind regarding non-infringement (which representation and warranty is solely as set forth in </w:t>
      </w:r>
      <w:r>
        <w:rPr>
          <w:rFonts w:ascii="Times New Roman" w:cs="Times New Roman" w:eastAsia="Times New Roman" w:hAnsi="Times New Roman"/>
          <w:sz w:val="14"/>
          <w:szCs w:val="14"/>
          <w:u w:val="single" w:color="auto"/>
          <w:color w:val="auto"/>
        </w:rPr>
        <w:t>Section 5.16</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5.8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38"/>
        <w:spacing w:after="0" w:line="256" w:lineRule="auto"/>
        <w:tabs>
          <w:tab w:leader="none" w:pos="1893"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There is no, and in the past two (2) years has been no, Action pending or, to the Knowledge of SpinCo, threatened, against any member of the SpinCo Group, or arising out of or relating to the SpinCo Business and pending or, to the Knowledge of SpinCo, threatened, against Mercury or any of its Subsidiaries other than the members of the SpinCo Group, except as would not reasonably be expected to have, individually or in the aggregate, a SpinCo Material Adverse Effect, and (ii) no member of the SpinCo Group (nor any of Mercury or any of its other Subsidiaries solely with respect to the SpinCo Business) is subject to any outstanding order, judgment, writ, injunction, stipulation, ruling, assessment, award or decree issued by any Governmental Authority or any arbitration or mediation tribunal (any “</w:t>
      </w:r>
      <w:r>
        <w:rPr>
          <w:rFonts w:ascii="Times New Roman" w:cs="Times New Roman" w:eastAsia="Times New Roman" w:hAnsi="Times New Roman"/>
          <w:sz w:val="14"/>
          <w:szCs w:val="14"/>
          <w:u w:val="single" w:color="auto"/>
          <w:color w:val="auto"/>
        </w:rPr>
        <w:t>Order</w:t>
      </w:r>
      <w:r>
        <w:rPr>
          <w:rFonts w:ascii="Times New Roman" w:cs="Times New Roman" w:eastAsia="Times New Roman" w:hAnsi="Times New Roman"/>
          <w:sz w:val="14"/>
          <w:szCs w:val="14"/>
          <w:color w:val="auto"/>
        </w:rPr>
        <w:t>”), except as would not reasonably be expected to have, individually or in the aggregate, a SpinCo Material Adverse Effect.</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A-32</w:t>
      </w:r>
    </w:p>
    <w:p>
      <w:pPr>
        <w:sectPr>
          <w:pgSz w:w="11900" w:h="16838" w:orient="portrait"/>
          <w:cols w:equalWidth="0" w:num="1">
            <w:col w:w="10159"/>
          </w:cols>
          <w:pgMar w:left="300" w:top="386" w:right="1440"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38"/>
        <w:spacing w:after="0" w:line="272" w:lineRule="auto"/>
        <w:tabs>
          <w:tab w:leader="none" w:pos="1901" w:val="left"/>
        </w:tabs>
        <w:numPr>
          <w:ilvl w:val="1"/>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and in the past two (2) years has been no, (i) product warranty or product liability Actions pending or, to the Knowledge of SpinCo, threatened, against any member of the SpinCo Group, or arising out of or relating to the SpinCo Business and pending or, to the Knowledge of SpinCo, threatened, against Mercury or any of its Subsidiaries other than the members of the SpinCo Group with respect to any services or products designed, marketed, developed, manufactured, assembled, sold, distributed or delivered by the members of the SpinCo Group in connection with the SpinCo Business (“</w:t>
      </w:r>
      <w:r>
        <w:rPr>
          <w:rFonts w:ascii="Times New Roman" w:cs="Times New Roman" w:eastAsia="Times New Roman" w:hAnsi="Times New Roman"/>
          <w:sz w:val="13"/>
          <w:szCs w:val="13"/>
          <w:u w:val="single" w:color="auto"/>
          <w:color w:val="auto"/>
        </w:rPr>
        <w:t>SpinCo Products</w:t>
      </w:r>
      <w:r>
        <w:rPr>
          <w:rFonts w:ascii="Times New Roman" w:cs="Times New Roman" w:eastAsia="Times New Roman" w:hAnsi="Times New Roman"/>
          <w:sz w:val="13"/>
          <w:szCs w:val="13"/>
          <w:color w:val="auto"/>
        </w:rPr>
        <w:t>”), except as would not reasonably be expected to have, individually or in the aggregate, a SpinCo Material Adverse Effect, and (ii) no member of the SpinCo Group has (A) been served with process or threatened in writing, regarding any Action or recall or (B) initiated or been required to initiate a product recall, consumer recall, suspension or withdrawal or similar Action, in each case with respect to any SpinCo Products, except as would not reasonably be expected to have, individually or in the aggregate, a SpinCo Material Adverse Effect. To the Knowledge of SpinCo, (i) there are no facts which the members of the SpinCo Group expect to furnish a basis for the recall of any SpinCo Product or withdrawal of any approval, license, registration or consent of any Governmental Authority with respect to SpinCo, the SpinCo Business or any SpinCo Products,</w:t>
      </w:r>
    </w:p>
    <w:p>
      <w:pPr>
        <w:spacing w:after="0" w:line="2" w:lineRule="exact"/>
        <w:rPr>
          <w:rFonts w:ascii="Times New Roman" w:cs="Times New Roman" w:eastAsia="Times New Roman" w:hAnsi="Times New Roman"/>
          <w:sz w:val="13"/>
          <w:szCs w:val="13"/>
          <w:color w:val="auto"/>
        </w:rPr>
      </w:pPr>
    </w:p>
    <w:p>
      <w:pPr>
        <w:ind w:left="1360" w:right="219" w:hanging="5"/>
        <w:spacing w:after="0" w:line="254" w:lineRule="auto"/>
        <w:tabs>
          <w:tab w:leader="none" w:pos="1566"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basis for the recall of any SpinCo Product and (iii) there are no defects, technical concerns or problems in any of the SpinCo Products currently offered by any member of the SpinCo Group that would prevent the same from performing in accordance with their user specifications or functionality descriptions, in each case, except as would not reasonably be expected to have, individually or in the aggregate, a SpinCo Material Adverse Effect.</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5.9 </w:t>
      </w:r>
      <w:r>
        <w:rPr>
          <w:rFonts w:ascii="Times New Roman" w:cs="Times New Roman" w:eastAsia="Times New Roman" w:hAnsi="Times New Roman"/>
          <w:sz w:val="14"/>
          <w:szCs w:val="14"/>
          <w:u w:val="single" w:color="auto"/>
          <w:color w:val="auto"/>
        </w:rPr>
        <w:t>Real Property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3" w:lineRule="auto"/>
        <w:tabs>
          <w:tab w:leader="none" w:pos="1893"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5.9(a)</w:t>
      </w:r>
      <w:r>
        <w:rPr>
          <w:rFonts w:ascii="Times New Roman" w:cs="Times New Roman" w:eastAsia="Times New Roman" w:hAnsi="Times New Roman"/>
          <w:sz w:val="14"/>
          <w:szCs w:val="14"/>
          <w:color w:val="auto"/>
        </w:rPr>
        <w:t xml:space="preserve"> of the SpinCo Disclosure Letter sets forth a true and complete list of the material real property owned, or that will be owned following the Reorganization, by members of the SpinCo Group which constitute SpinCo Assets (together with the land, buildings, structures, improvements and fixtures thereon, the “</w:t>
      </w:r>
      <w:r>
        <w:rPr>
          <w:rFonts w:ascii="Times New Roman" w:cs="Times New Roman" w:eastAsia="Times New Roman" w:hAnsi="Times New Roman"/>
          <w:sz w:val="14"/>
          <w:szCs w:val="14"/>
          <w:u w:val="single" w:color="auto"/>
          <w:color w:val="auto"/>
        </w:rPr>
        <w:t>SpinCo Owned Real Property</w:t>
      </w:r>
      <w:r>
        <w:rPr>
          <w:rFonts w:ascii="Times New Roman" w:cs="Times New Roman" w:eastAsia="Times New Roman" w:hAnsi="Times New Roman"/>
          <w:sz w:val="14"/>
          <w:szCs w:val="14"/>
          <w:color w:val="auto"/>
        </w:rPr>
        <w:t xml:space="preserve">”). Except as would not reasonably be expected to be material to the SpinCo Business, taken as a whole, (i) the members of the SpinCo Group, as applicable, have good and marketable indefeasible fee simple or valid title to all SpinCo Owned Real Property, free and clear of all Liens, except Permitted Liens and (ii) none of Mercury, the members of the SpinCo Group, or their respective Subsidiaries have received written notice of any, and to the Knowledge of SpinCo, there is no, pending condemnation, expropriation, eminent domain or similar Action affecting all or any material portion of any SpinCo Owned Real Property. Except as set forth on </w:t>
      </w:r>
      <w:r>
        <w:rPr>
          <w:rFonts w:ascii="Times New Roman" w:cs="Times New Roman" w:eastAsia="Times New Roman" w:hAnsi="Times New Roman"/>
          <w:sz w:val="14"/>
          <w:szCs w:val="14"/>
          <w:u w:val="single" w:color="auto"/>
          <w:color w:val="auto"/>
        </w:rPr>
        <w:t>Section 5.9(a)</w:t>
      </w:r>
      <w:r>
        <w:rPr>
          <w:rFonts w:ascii="Times New Roman" w:cs="Times New Roman" w:eastAsia="Times New Roman" w:hAnsi="Times New Roman"/>
          <w:sz w:val="14"/>
          <w:szCs w:val="14"/>
          <w:color w:val="auto"/>
        </w:rPr>
        <w:t xml:space="preserve"> of the SpinCo Disclosure Letter and as would not reasonably be expected to be material to the SpinCo Business, taken as a whole, (i) no member of the SpinCo Group has granted to any Person the right to use or occupy any SpinCo Owned Real Property, and (ii) there are no outstanding options, rights of right offer to purchase any SpinCo Owned Real Property or any portion thereof or interest therein. Except as would not reasonably be expected to be material to the SpinCo Business, taken as a whole, no member of the SpinCo Group is in breach or default under any restrictive or other covenant encumbering any SpinCo Owned Real Property.</w:t>
      </w:r>
    </w:p>
    <w:p>
      <w:pPr>
        <w:spacing w:after="0" w:line="150" w:lineRule="exact"/>
        <w:rPr>
          <w:rFonts w:ascii="Times New Roman" w:cs="Times New Roman" w:eastAsia="Times New Roman" w:hAnsi="Times New Roman"/>
          <w:sz w:val="14"/>
          <w:szCs w:val="14"/>
          <w:color w:val="auto"/>
        </w:rPr>
      </w:pPr>
    </w:p>
    <w:p>
      <w:pPr>
        <w:ind w:left="1360" w:right="219" w:firstLine="338"/>
        <w:spacing w:after="0" w:line="254" w:lineRule="auto"/>
        <w:tabs>
          <w:tab w:leader="none" w:pos="1901"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5.9(b)</w:t>
      </w:r>
      <w:r>
        <w:rPr>
          <w:rFonts w:ascii="Times New Roman" w:cs="Times New Roman" w:eastAsia="Times New Roman" w:hAnsi="Times New Roman"/>
          <w:sz w:val="14"/>
          <w:szCs w:val="14"/>
          <w:color w:val="auto"/>
        </w:rPr>
        <w:t xml:space="preserve"> of the SpinCo Disclosure Letter sets forth a true and complete list of material leased or subleased real property in which the members of the SpinCo Group have, or will have an interest following the Reorganization, a leasehold or subleasehold interest and which constitute SpinCo Assets (the “</w:t>
      </w:r>
      <w:r>
        <w:rPr>
          <w:rFonts w:ascii="Times New Roman" w:cs="Times New Roman" w:eastAsia="Times New Roman" w:hAnsi="Times New Roman"/>
          <w:sz w:val="14"/>
          <w:szCs w:val="14"/>
          <w:u w:val="single" w:color="auto"/>
          <w:color w:val="auto"/>
        </w:rPr>
        <w:t>SpinCo Transferred Leased Property</w:t>
      </w:r>
      <w:r>
        <w:rPr>
          <w:rFonts w:ascii="Times New Roman" w:cs="Times New Roman" w:eastAsia="Times New Roman" w:hAnsi="Times New Roman"/>
          <w:sz w:val="14"/>
          <w:szCs w:val="14"/>
          <w:color w:val="auto"/>
        </w:rPr>
        <w:t>”), and the leases, subleases and other similar agreements with respect thereto (the “</w:t>
      </w:r>
      <w:r>
        <w:rPr>
          <w:rFonts w:ascii="Times New Roman" w:cs="Times New Roman" w:eastAsia="Times New Roman" w:hAnsi="Times New Roman"/>
          <w:sz w:val="14"/>
          <w:szCs w:val="14"/>
          <w:u w:val="single" w:color="auto"/>
          <w:color w:val="auto"/>
        </w:rPr>
        <w:t>SpinCo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Transferred Property Leases</w:t>
      </w:r>
      <w:r>
        <w:rPr>
          <w:rFonts w:ascii="Times New Roman" w:cs="Times New Roman" w:eastAsia="Times New Roman" w:hAnsi="Times New Roman"/>
          <w:sz w:val="14"/>
          <w:szCs w:val="14"/>
          <w:color w:val="auto"/>
        </w:rPr>
        <w:t>”). Mercury has made available to Gold copies of each SpinCo Transferred Property Lease that are correct and complete in all material respects (subject to any redaction of information deemed competitively sensitive by Mercury or pursuant to applicable Law). Except as would not reasonably be expected to have, individually or in the aggregate, a SpinCo Material Adverse Effect, (i) the members of the SpinCo Group, as applicable, have a valid leasehold or subleasehold interest in the SpinCo Transferred Leased Property, free and clear of all Liens, except Permitted Liens, and each such leasehold or subleasehold interest in a SpinCo Transferred Leased Property is legal, valid, binding, enforceable and in full force and effect subject to the Remedies Exception, (ii) no member of the SpinCo Group, or, to the Knowledge of SpinCo, as of the date hereof, any other party thereto, is in breach of or default under any SpinCo Transferred Property Lease and no event has occurred or circumstances exists which, with delivery of notice, the passage of time or both, would constitute</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A-33</w:t>
      </w:r>
    </w:p>
    <w:p>
      <w:pPr>
        <w:sectPr>
          <w:pgSz w:w="11900" w:h="16838" w:orient="portrait"/>
          <w:cols w:equalWidth="0" w:num="1">
            <w:col w:w="10159"/>
          </w:cols>
          <w:pgMar w:left="300" w:top="385" w:right="1440"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such a breach or default, or permit the termination or acceleration of rent under such SpinCo Transferred Property Lease, (iii) no member of the SpinCo Group has, as of the date hereof, received any written notice from any lessor of any SpinCo Transferred Leased Property of any breach of or default under any lease or sublease thereof by any member of the SpinCo Group, which breach or default has not been cured, and (iv) no member of the SpinCo Group has subleased, licensed, assigned, transferred, conveyed, mortgaged, deeded in trust or encumbered any interest in any SpinCo Transferred Property Lease or SpinCo Transferred Leased Property, except Permitted Liens.</w:t>
      </w:r>
    </w:p>
    <w:p>
      <w:pPr>
        <w:spacing w:after="0" w:line="144" w:lineRule="exact"/>
        <w:rPr>
          <w:sz w:val="20"/>
          <w:szCs w:val="20"/>
          <w:color w:val="auto"/>
        </w:rPr>
      </w:pPr>
    </w:p>
    <w:p>
      <w:pPr>
        <w:ind w:left="1360" w:right="379" w:firstLine="338"/>
        <w:spacing w:after="0" w:line="283" w:lineRule="auto"/>
        <w:tabs>
          <w:tab w:leader="none" w:pos="1893"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SpinCo Owned Real Property and the SpinCo Transferred Leased Property comprise all of the material real property used or intended to be used as of the date hereof in the SpinCo Business.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880" w:hanging="182"/>
        <w:spacing w:after="0"/>
        <w:tabs>
          <w:tab w:leader="none" w:pos="188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have a SpinCo Material Adverse Effect:</w:t>
      </w:r>
    </w:p>
    <w:p>
      <w:pPr>
        <w:spacing w:after="0" w:line="91" w:lineRule="exact"/>
        <w:rPr>
          <w:rFonts w:ascii="Times New Roman" w:cs="Times New Roman" w:eastAsia="Times New Roman" w:hAnsi="Times New Roman"/>
          <w:sz w:val="14"/>
          <w:szCs w:val="14"/>
          <w:color w:val="auto"/>
        </w:rPr>
      </w:pPr>
    </w:p>
    <w:p>
      <w:pPr>
        <w:ind w:left="1700" w:right="319" w:firstLine="327"/>
        <w:spacing w:after="0" w:line="267" w:lineRule="auto"/>
        <w:tabs>
          <w:tab w:leader="none" w:pos="2197"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All Tax Returns required to be filed by or with respect to a member of the SpinCo Group have been timely filed (taking into account applicable extensions), (B) all filed Tax Returns are true, correct and complete, and (C) all Taxes, whether or not shown as due on any Tax Returns, in respect of each member of the SpinCo Group and the SpinCo Business have been paid;</w:t>
      </w:r>
    </w:p>
    <w:p>
      <w:pPr>
        <w:spacing w:after="0" w:line="51" w:lineRule="exact"/>
        <w:rPr>
          <w:rFonts w:ascii="Times New Roman" w:cs="Times New Roman" w:eastAsia="Times New Roman" w:hAnsi="Times New Roman"/>
          <w:sz w:val="14"/>
          <w:szCs w:val="14"/>
          <w:color w:val="auto"/>
        </w:rPr>
      </w:pPr>
    </w:p>
    <w:p>
      <w:pPr>
        <w:ind w:left="1700" w:right="379" w:firstLine="327"/>
        <w:spacing w:after="0" w:line="261" w:lineRule="auto"/>
        <w:tabs>
          <w:tab w:leader="none" w:pos="2235"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 Governmental Authority has asserted any written claim, assessment or deficiency for Taxes against any member of the SpinCo Group (and, to the Knowledge of SpinCo, no such claim, assessment or deficiency has been threatened or proposed in writing), except for deficiencies which have been fully satisfied by payment, settled or withdrawn and (B) no claim, audit or other proceeding by any Governmental Authority is ongoing, pending or threatened in writing with respect to any Taxes of any member of the SpinCo Group;</w:t>
      </w:r>
    </w:p>
    <w:p>
      <w:pPr>
        <w:spacing w:after="0" w:line="56" w:lineRule="exact"/>
        <w:rPr>
          <w:rFonts w:ascii="Times New Roman" w:cs="Times New Roman" w:eastAsia="Times New Roman" w:hAnsi="Times New Roman"/>
          <w:sz w:val="14"/>
          <w:szCs w:val="14"/>
          <w:color w:val="auto"/>
        </w:rPr>
      </w:pPr>
    </w:p>
    <w:p>
      <w:pPr>
        <w:ind w:left="1700" w:right="399" w:firstLine="327"/>
        <w:spacing w:after="0" w:line="267" w:lineRule="auto"/>
        <w:tabs>
          <w:tab w:leader="none" w:pos="2274"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of Taxes (including sales and other similar Taxes) required to be deducted, collected or withheld by each member of the SpinCo Group have been deducted, collected or withheld and have been (or will be) duly and timely paid to the proper Governmental Authority and each member of the SpinCo Group has complied in all respects with all informational reporting requirements related thereto;</w:t>
      </w:r>
    </w:p>
    <w:p>
      <w:pPr>
        <w:spacing w:after="0" w:line="51" w:lineRule="exact"/>
        <w:rPr>
          <w:rFonts w:ascii="Times New Roman" w:cs="Times New Roman" w:eastAsia="Times New Roman" w:hAnsi="Times New Roman"/>
          <w:sz w:val="14"/>
          <w:szCs w:val="14"/>
          <w:color w:val="auto"/>
        </w:rPr>
      </w:pPr>
    </w:p>
    <w:p>
      <w:pPr>
        <w:ind w:left="1700" w:right="239" w:firstLine="327"/>
        <w:spacing w:after="0" w:line="283" w:lineRule="auto"/>
        <w:tabs>
          <w:tab w:leader="none" w:pos="2267"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waivers or extension of any statute of limitations on the assessment and collection of any Tax or governmental charge with respect to any member of the SpinCo Group have been requested or made that has not expired (or would not expire) prior to the Closing;</w:t>
      </w:r>
    </w:p>
    <w:p>
      <w:pPr>
        <w:spacing w:after="0" w:line="40" w:lineRule="exact"/>
        <w:rPr>
          <w:rFonts w:ascii="Times New Roman" w:cs="Times New Roman" w:eastAsia="Times New Roman" w:hAnsi="Times New Roman"/>
          <w:sz w:val="14"/>
          <w:szCs w:val="14"/>
          <w:color w:val="auto"/>
        </w:rPr>
      </w:pPr>
    </w:p>
    <w:p>
      <w:pPr>
        <w:ind w:left="1700" w:right="219" w:firstLine="327"/>
        <w:spacing w:after="0" w:line="261" w:lineRule="auto"/>
        <w:tabs>
          <w:tab w:leader="none" w:pos="2228"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member of the SpinCo Group has been subject to Tax in any jurisdiction outside the jurisdiction that it is incorporated or organized thereunder as a result of having a permanent establishment. No claim has ever been made by a Governmental Authority in a jurisdiction where any member of the SpinCo Group does not file Tax Returns of a particular type that such entity is or may be subject to taxation of such type by that jurisdiction;</w:t>
      </w:r>
    </w:p>
    <w:p>
      <w:pPr>
        <w:spacing w:after="0" w:line="56" w:lineRule="exact"/>
        <w:rPr>
          <w:rFonts w:ascii="Times New Roman" w:cs="Times New Roman" w:eastAsia="Times New Roman" w:hAnsi="Times New Roman"/>
          <w:sz w:val="14"/>
          <w:szCs w:val="14"/>
          <w:color w:val="auto"/>
        </w:rPr>
      </w:pPr>
    </w:p>
    <w:p>
      <w:pPr>
        <w:ind w:left="1700" w:right="239" w:firstLine="327"/>
        <w:spacing w:after="0" w:line="255" w:lineRule="auto"/>
        <w:tabs>
          <w:tab w:leader="none" w:pos="2267"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member of the SpinCo Group (A) is party to any Tax allocation, sharing, indemnity, or reimbursement agreement or other similar agreement (other than any customary commercial, leasing or employment contracts the primary purpose of which is not related to Taxes or any Tax allocation, sharing, indemnity, or reimbursement agreement the only parties to which are members of the SpinCo Group), (B) is subject to any “closing agreement” within the meaning of Section 7121 of the Code (or any corresponding similar provision of state, local or non-U.S. Tax Law) or other written agreement (including a Tax ruling) with a Governmental Authority that will remain in effect after the Closing, or (C) has any Liability for Taxes of any Person (other than Mercury or any of its Subsidiaries) under Treasury Regulations Section 1.1502-6 (or any similar provision of state, local or non-U.S. Law), as a transferee or successor, by operation of law or by contract (other than customary commercial, leasing or employment contracts, the primary purposes of which do not relate to Taxes);</w:t>
      </w:r>
    </w:p>
    <w:p>
      <w:pPr>
        <w:spacing w:after="0" w:line="61" w:lineRule="exact"/>
        <w:rPr>
          <w:rFonts w:ascii="Times New Roman" w:cs="Times New Roman" w:eastAsia="Times New Roman" w:hAnsi="Times New Roman"/>
          <w:sz w:val="14"/>
          <w:szCs w:val="14"/>
          <w:color w:val="auto"/>
        </w:rPr>
      </w:pPr>
    </w:p>
    <w:p>
      <w:pPr>
        <w:ind w:left="1700" w:right="439" w:firstLine="327"/>
        <w:spacing w:after="0" w:line="283" w:lineRule="auto"/>
        <w:tabs>
          <w:tab w:leader="none" w:pos="2305" w:val="left"/>
        </w:tabs>
        <w:numPr>
          <w:ilvl w:val="1"/>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in connection with the Separation, within the past two (2) years, no member of the SpinCo Group has constituted either a “distributing corporation” or a “controlled corporation” (within the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A-34</w:t>
      </w:r>
    </w:p>
    <w:p>
      <w:pPr>
        <w:sectPr>
          <w:pgSz w:w="11900" w:h="16838" w:orient="portrait"/>
          <w:cols w:equalWidth="0" w:num="1">
            <w:col w:w="10159"/>
          </w:cols>
          <w:pgMar w:left="300" w:top="386" w:right="1440"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meaning of Section 355(a)(1)(A) of the Code) in a distribution of stock intended to qualify for tax-free treatment under Section 355 of the Code;</w:t>
      </w:r>
    </w:p>
    <w:p>
      <w:pPr>
        <w:spacing w:after="0" w:line="91" w:lineRule="exact"/>
        <w:rPr>
          <w:sz w:val="20"/>
          <w:szCs w:val="20"/>
          <w:color w:val="auto"/>
        </w:rPr>
      </w:pPr>
    </w:p>
    <w:p>
      <w:pPr>
        <w:ind w:left="1700" w:right="1179" w:firstLine="327"/>
        <w:spacing w:after="0" w:line="283" w:lineRule="auto"/>
        <w:tabs>
          <w:tab w:leader="none" w:pos="2344"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member of the SpinCo Group has participated in a “listed transaction” within the meaning of Treasury Regulations Section 1.6011-4(b)(2); and</w:t>
      </w:r>
    </w:p>
    <w:p>
      <w:pPr>
        <w:spacing w:after="0" w:line="40" w:lineRule="exact"/>
        <w:rPr>
          <w:rFonts w:ascii="Times New Roman" w:cs="Times New Roman" w:eastAsia="Times New Roman" w:hAnsi="Times New Roman"/>
          <w:sz w:val="14"/>
          <w:szCs w:val="14"/>
          <w:color w:val="auto"/>
        </w:rPr>
      </w:pPr>
    </w:p>
    <w:p>
      <w:pPr>
        <w:ind w:left="2260" w:hanging="233"/>
        <w:spacing w:after="0"/>
        <w:tabs>
          <w:tab w:leader="none" w:pos="226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for Taxes (other than Permitted Liens) upon the assets of any member of the SpinCo Group or the SpinCo Business.</w:t>
      </w:r>
    </w:p>
    <w:p>
      <w:pPr>
        <w:spacing w:after="0" w:line="175" w:lineRule="exact"/>
        <w:rPr>
          <w:sz w:val="20"/>
          <w:szCs w:val="20"/>
          <w:color w:val="auto"/>
        </w:rPr>
      </w:pPr>
    </w:p>
    <w:p>
      <w:pPr>
        <w:ind w:left="1360" w:right="279" w:firstLine="338"/>
        <w:spacing w:after="0" w:line="277" w:lineRule="auto"/>
        <w:tabs>
          <w:tab w:leader="none" w:pos="1901" w:val="left"/>
        </w:tabs>
        <w:numPr>
          <w:ilvl w:val="1"/>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Mercury nor any of its Subsidiaries has taken or agreed to take any action or knows of any fact, agreement, plan or other circumstance that would reasonably be expected to prevent or impede (i) the Intended Tax Treatment, (ii) Mercury from delivering the Mercury Distribution Tax Representations, (iii) SpinCo from delivering the SpinCo Merger Tax Representations, (iv) Gold from delivering the Gold Tax Representations,</w:t>
      </w:r>
    </w:p>
    <w:p>
      <w:pPr>
        <w:spacing w:after="0" w:line="1" w:lineRule="exact"/>
        <w:rPr>
          <w:rFonts w:ascii="Times New Roman" w:cs="Times New Roman" w:eastAsia="Times New Roman" w:hAnsi="Times New Roman"/>
          <w:sz w:val="13"/>
          <w:szCs w:val="13"/>
          <w:color w:val="auto"/>
        </w:rPr>
      </w:pPr>
    </w:p>
    <w:p>
      <w:pPr>
        <w:ind w:left="1360" w:right="619" w:hanging="5"/>
        <w:spacing w:after="0" w:line="261" w:lineRule="auto"/>
        <w:tabs>
          <w:tab w:leader="none" w:pos="1558"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Mercury from receiving the IRS Ruling, (vi) Mercury or Gold from receiving the Tax opinions described in </w:t>
      </w:r>
      <w:r>
        <w:rPr>
          <w:rFonts w:ascii="Times New Roman" w:cs="Times New Roman" w:eastAsia="Times New Roman" w:hAnsi="Times New Roman"/>
          <w:sz w:val="14"/>
          <w:szCs w:val="14"/>
          <w:u w:val="single" w:color="auto"/>
          <w:color w:val="auto"/>
        </w:rPr>
        <w:t>Section 7.2(d)</w:t>
      </w:r>
      <w:r>
        <w:rPr>
          <w:rFonts w:ascii="Times New Roman" w:cs="Times New Roman" w:eastAsia="Times New Roman" w:hAnsi="Times New Roman"/>
          <w:sz w:val="14"/>
          <w:szCs w:val="14"/>
          <w:color w:val="auto"/>
        </w:rPr>
        <w:t>, (vii) Mercury from receiving Mercury Merger Tax Opinion or (viii) Gold from receiving the Gold Merger Tax Opinion.</w:t>
      </w:r>
    </w:p>
    <w:p>
      <w:pPr>
        <w:spacing w:after="0" w:line="14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5.11 </w:t>
      </w:r>
      <w:r>
        <w:rPr>
          <w:rFonts w:ascii="Times New Roman" w:cs="Times New Roman" w:eastAsia="Times New Roman" w:hAnsi="Times New Roman"/>
          <w:sz w:val="14"/>
          <w:szCs w:val="14"/>
          <w:u w:val="single" w:color="auto"/>
          <w:color w:val="auto"/>
        </w:rPr>
        <w:t>Material Contracts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8" w:lineRule="auto"/>
        <w:tabs>
          <w:tab w:leader="none" w:pos="1893"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 are no SpinCo Material Contracts as of the date hereof except as set forth in </w:t>
      </w:r>
      <w:r>
        <w:rPr>
          <w:rFonts w:ascii="Times New Roman" w:cs="Times New Roman" w:eastAsia="Times New Roman" w:hAnsi="Times New Roman"/>
          <w:sz w:val="14"/>
          <w:szCs w:val="14"/>
          <w:u w:val="single" w:color="auto"/>
          <w:color w:val="auto"/>
        </w:rPr>
        <w:t>Section 5.11(a)</w:t>
      </w:r>
      <w:r>
        <w:rPr>
          <w:rFonts w:ascii="Times New Roman" w:cs="Times New Roman" w:eastAsia="Times New Roman" w:hAnsi="Times New Roman"/>
          <w:sz w:val="14"/>
          <w:szCs w:val="14"/>
          <w:color w:val="auto"/>
        </w:rPr>
        <w:t xml:space="preserve"> of the SpinCo Disclosure Letter. The term “</w:t>
      </w:r>
      <w:r>
        <w:rPr>
          <w:rFonts w:ascii="Times New Roman" w:cs="Times New Roman" w:eastAsia="Times New Roman" w:hAnsi="Times New Roman"/>
          <w:sz w:val="14"/>
          <w:szCs w:val="14"/>
          <w:u w:val="single" w:color="auto"/>
          <w:color w:val="auto"/>
        </w:rPr>
        <w:t>SpinCo Material Contracts</w:t>
      </w:r>
      <w:r>
        <w:rPr>
          <w:rFonts w:ascii="Times New Roman" w:cs="Times New Roman" w:eastAsia="Times New Roman" w:hAnsi="Times New Roman"/>
          <w:sz w:val="14"/>
          <w:szCs w:val="14"/>
          <w:color w:val="auto"/>
        </w:rPr>
        <w:t>” means Contracts (other than (x) sales or purchase orders, statements of work, standard terms and conditions, invoices and similar instruments or (y) Benefit Plans) in the following categories that are primarily related to the SpinCo Business and to which Mercury or any of its Subsidiaries is a party (in each case, other than any Contract or portion thereof that is a Mercury Asset, any intercompany agreements or any Contract for Shared Services):</w:t>
      </w:r>
    </w:p>
    <w:p>
      <w:pPr>
        <w:spacing w:after="0" w:line="59" w:lineRule="exact"/>
        <w:rPr>
          <w:rFonts w:ascii="Times New Roman" w:cs="Times New Roman" w:eastAsia="Times New Roman" w:hAnsi="Times New Roman"/>
          <w:sz w:val="14"/>
          <w:szCs w:val="14"/>
          <w:color w:val="auto"/>
        </w:rPr>
      </w:pPr>
    </w:p>
    <w:p>
      <w:pPr>
        <w:ind w:left="1700" w:right="459" w:firstLine="327"/>
        <w:spacing w:after="0" w:line="267" w:lineRule="auto"/>
        <w:tabs>
          <w:tab w:leader="none" w:pos="2197"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top ten (10) Contracts that are primarily related to the SpinCo Business, measured by the total amounts invoiced to the SpinCo Business during the twelve (12) month period ending December 31, 2025, other than any such Contracts that can be terminated on less than one hundred twenty (120) days’ notice without material monetary penalty;</w:t>
      </w:r>
    </w:p>
    <w:p>
      <w:pPr>
        <w:spacing w:after="0" w:line="51" w:lineRule="exact"/>
        <w:rPr>
          <w:rFonts w:ascii="Times New Roman" w:cs="Times New Roman" w:eastAsia="Times New Roman" w:hAnsi="Times New Roman"/>
          <w:sz w:val="14"/>
          <w:szCs w:val="14"/>
          <w:color w:val="auto"/>
        </w:rPr>
      </w:pPr>
    </w:p>
    <w:p>
      <w:pPr>
        <w:ind w:left="1700" w:right="299" w:firstLine="327"/>
        <w:spacing w:after="0" w:line="283" w:lineRule="auto"/>
        <w:tabs>
          <w:tab w:leader="none" w:pos="2235"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Contracts with each of the top ten (10) customers of the SpinCo Business, measured by amounts paid to the SpinCo Business during the twelve (12) month period ending December 31, 2025;</w:t>
      </w:r>
    </w:p>
    <w:p>
      <w:pPr>
        <w:spacing w:after="0" w:line="40" w:lineRule="exact"/>
        <w:rPr>
          <w:rFonts w:ascii="Times New Roman" w:cs="Times New Roman" w:eastAsia="Times New Roman" w:hAnsi="Times New Roman"/>
          <w:sz w:val="14"/>
          <w:szCs w:val="14"/>
          <w:color w:val="auto"/>
        </w:rPr>
      </w:pPr>
    </w:p>
    <w:p>
      <w:pPr>
        <w:ind w:left="1700" w:right="539" w:firstLine="327"/>
        <w:spacing w:after="0" w:line="267" w:lineRule="auto"/>
        <w:tabs>
          <w:tab w:leader="none" w:pos="2274"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requiring future capital commitments, investments or expenditures (or series of capital expenditures) by the SpinCo Business in excess of $1,000,000, other than partnerships, joint ventures, collaborations or similar material agreements involving partnership, co-investment or collaboration between the SpinCo Business and a third party;</w:t>
      </w:r>
    </w:p>
    <w:p>
      <w:pPr>
        <w:spacing w:after="0" w:line="51" w:lineRule="exact"/>
        <w:rPr>
          <w:rFonts w:ascii="Times New Roman" w:cs="Times New Roman" w:eastAsia="Times New Roman" w:hAnsi="Times New Roman"/>
          <w:sz w:val="14"/>
          <w:szCs w:val="14"/>
          <w:color w:val="auto"/>
        </w:rPr>
      </w:pPr>
    </w:p>
    <w:p>
      <w:pPr>
        <w:ind w:left="1700" w:right="239" w:firstLine="327"/>
        <w:spacing w:after="0" w:line="257" w:lineRule="auto"/>
        <w:tabs>
          <w:tab w:leader="none" w:pos="2267"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partnership, joint venture, profit sharing, joint development, collaboration or similar material agreement involving partnership, co-investment or collaboration involving the SpinCo Business and a third party which (A) is reasonably expected to have revenues attributable to the SpinCo Business in excess of $5,000,000 during the twelve (12) month period following the date hereof, or (B) pursuant to which Mercury or any of its Subsidiaries has an express obligation to make any investment in, or advancement or capital contribution to, any other Person in excess of $5,000,000, in the aggregate, in the twelve (12) month period following the date hereof, in each case, other than any such Contract solely between Mercury and its wholly owned Subsidiaries or among wholly owned Subsidiaries of Mercury;</w:t>
      </w:r>
    </w:p>
    <w:p>
      <w:pPr>
        <w:spacing w:after="0" w:line="58" w:lineRule="exact"/>
        <w:rPr>
          <w:rFonts w:ascii="Times New Roman" w:cs="Times New Roman" w:eastAsia="Times New Roman" w:hAnsi="Times New Roman"/>
          <w:sz w:val="14"/>
          <w:szCs w:val="14"/>
          <w:color w:val="auto"/>
        </w:rPr>
      </w:pPr>
    </w:p>
    <w:p>
      <w:pPr>
        <w:ind w:left="1700" w:right="319" w:firstLine="327"/>
        <w:spacing w:after="0" w:line="261" w:lineRule="auto"/>
        <w:tabs>
          <w:tab w:leader="none" w:pos="2228"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the acquisition or disposition of any business, product line, equity interests or a material amount of assets, in each case, for aggregate consideration under such Contract in excess of $5,000,000 (whether by merger, sale of stock, sale of assets or otherwise) under which, after the Closing, the SpinCo Business will have any remaining material obligation with respect to an indemnification, “earn out,” contingent purchase price or similar contingent obligations;</w:t>
      </w:r>
    </w:p>
    <w:p>
      <w:pPr>
        <w:spacing w:after="0" w:line="56" w:lineRule="exact"/>
        <w:rPr>
          <w:rFonts w:ascii="Times New Roman" w:cs="Times New Roman" w:eastAsia="Times New Roman" w:hAnsi="Times New Roman"/>
          <w:sz w:val="14"/>
          <w:szCs w:val="14"/>
          <w:color w:val="auto"/>
        </w:rPr>
      </w:pPr>
    </w:p>
    <w:p>
      <w:pPr>
        <w:ind w:left="1700" w:right="379" w:firstLine="327"/>
        <w:spacing w:after="0" w:line="283" w:lineRule="auto"/>
        <w:tabs>
          <w:tab w:leader="none" w:pos="2267" w:val="left"/>
        </w:tabs>
        <w:numPr>
          <w:ilvl w:val="1"/>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Contract the express terms of which restrict or limit in any material respect the ability of any member of the SpinCo Group or its Affiliates after the Closing to compete in any business or with any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A-35</w:t>
      </w:r>
    </w:p>
    <w:p>
      <w:pPr>
        <w:sectPr>
          <w:pgSz w:w="11900" w:h="16838" w:orient="portrait"/>
          <w:cols w:equalWidth="0" w:num="1">
            <w:col w:w="10159"/>
          </w:cols>
          <w:pgMar w:left="300" w:top="385" w:right="1440"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79"/>
        <w:spacing w:after="0" w:line="267" w:lineRule="auto"/>
        <w:rPr>
          <w:sz w:val="20"/>
          <w:szCs w:val="20"/>
          <w:color w:val="auto"/>
        </w:rPr>
      </w:pPr>
      <w:r>
        <w:rPr>
          <w:rFonts w:ascii="Times New Roman" w:cs="Times New Roman" w:eastAsia="Times New Roman" w:hAnsi="Times New Roman"/>
          <w:sz w:val="14"/>
          <w:szCs w:val="14"/>
          <w:color w:val="auto"/>
        </w:rPr>
        <w:t>Person or in any geographic area, (B) any Contract the express terms of which grant the other party “most favored nation” status or equivalent preferential pricing terms as would have a material impact on the SpinCo Business, or (C) any Contract the express terms of which grant the other party exclusivity or similar rights as would have a material impact on the SpinCo Business;</w:t>
      </w:r>
    </w:p>
    <w:p>
      <w:pPr>
        <w:spacing w:after="0" w:line="51" w:lineRule="exact"/>
        <w:rPr>
          <w:sz w:val="20"/>
          <w:szCs w:val="20"/>
          <w:color w:val="auto"/>
        </w:rPr>
      </w:pPr>
    </w:p>
    <w:p>
      <w:pPr>
        <w:ind w:left="1700" w:right="279" w:firstLine="327"/>
        <w:spacing w:after="0" w:line="254" w:lineRule="auto"/>
        <w:tabs>
          <w:tab w:leader="none" w:pos="2305"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(A) pursuant to which (1) any Person has licensed any material Intellectual Property to any member of the SpinCo Group or (with respect to the SpinCo Business) the Mercury Group, or granted to any member of the SpinCo Group or (with respect to the SpinCo Business) the Mercury Group, any covenant not to sue or right of use with respect to any Intellectual Property, excluding non-exclusive licenses with respect to commercially available software on standard terms with aggregate annual or one-time license, maintenance, support and other fees of less than $250,000, or (2) any member of the SpinCo Group or (with respect to the SpinCo Business) the Mercury Group has granted any Person a license to any material SpinCo Intellectual Property or a covenant not to sue or other right of use with respect to any material SpinCo Intellectual Property, other than non-exclusive licenses granted in the ordinary course of business in connection with the sale of any products or services to SpinCo customers, or (B) relating to the development of any material Intellectual Property purported to be owned by SpinCo or any SpinCo Subsidiary (other than Contracts entered into with employees or independent contractors on Mercury’s standard form invention assignment agreements made available to Gold);</w:t>
      </w:r>
    </w:p>
    <w:p>
      <w:pPr>
        <w:spacing w:after="0" w:line="62" w:lineRule="exact"/>
        <w:rPr>
          <w:rFonts w:ascii="Times New Roman" w:cs="Times New Roman" w:eastAsia="Times New Roman" w:hAnsi="Times New Roman"/>
          <w:sz w:val="14"/>
          <w:szCs w:val="14"/>
          <w:color w:val="auto"/>
        </w:rPr>
      </w:pPr>
    </w:p>
    <w:p>
      <w:pPr>
        <w:ind w:left="1700" w:right="319" w:firstLine="327"/>
        <w:spacing w:after="0" w:line="261" w:lineRule="auto"/>
        <w:tabs>
          <w:tab w:leader="none" w:pos="2344"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Commitment Letter or otherwise in connection with the SpinCo Financing or Permanent SpinCo Financing, any Contract relating to or evidencing indebtedness for borrowed money of the SpinCo Business in excess of $1,000,000, except for any Contract relating to indebtedness for borrowed money or guarantees or credit support arrangements with respect to any such indebtedness or arrangements between Mercury and a Subsidiary of Mercury or between Subsidiaries of Mercury;</w:t>
      </w:r>
    </w:p>
    <w:p>
      <w:pPr>
        <w:spacing w:after="0" w:line="56" w:lineRule="exact"/>
        <w:rPr>
          <w:rFonts w:ascii="Times New Roman" w:cs="Times New Roman" w:eastAsia="Times New Roman" w:hAnsi="Times New Roman"/>
          <w:sz w:val="14"/>
          <w:szCs w:val="14"/>
          <w:color w:val="auto"/>
        </w:rPr>
      </w:pPr>
    </w:p>
    <w:p>
      <w:pPr>
        <w:ind w:left="1700" w:right="659" w:firstLine="327"/>
        <w:spacing w:after="0" w:line="283" w:lineRule="auto"/>
        <w:tabs>
          <w:tab w:leader="none" w:pos="2267"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interest rate, currency, commodity or other swap, collar, cap or other hedging or similar agreements or arrangements exclusively related to the SpinCo Business;</w:t>
      </w:r>
    </w:p>
    <w:p>
      <w:pPr>
        <w:spacing w:after="0" w:line="40" w:lineRule="exact"/>
        <w:rPr>
          <w:rFonts w:ascii="Times New Roman" w:cs="Times New Roman" w:eastAsia="Times New Roman" w:hAnsi="Times New Roman"/>
          <w:sz w:val="14"/>
          <w:szCs w:val="14"/>
          <w:color w:val="auto"/>
        </w:rPr>
      </w:pPr>
    </w:p>
    <w:p>
      <w:pPr>
        <w:ind w:left="1700" w:right="439" w:firstLine="327"/>
        <w:spacing w:after="0" w:line="283" w:lineRule="auto"/>
        <w:tabs>
          <w:tab w:leader="none" w:pos="2228"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under which any member of the SpinCo Group has continuing material guarantee or indemnification obligations to any Person, other than those entered into in the ordinary course of the SpinCo Business;</w:t>
      </w:r>
    </w:p>
    <w:p>
      <w:pPr>
        <w:spacing w:after="0" w:line="40" w:lineRule="exact"/>
        <w:rPr>
          <w:rFonts w:ascii="Times New Roman" w:cs="Times New Roman" w:eastAsia="Times New Roman" w:hAnsi="Times New Roman"/>
          <w:sz w:val="14"/>
          <w:szCs w:val="14"/>
          <w:color w:val="auto"/>
        </w:rPr>
      </w:pPr>
    </w:p>
    <w:p>
      <w:pPr>
        <w:ind w:left="1700" w:right="359" w:firstLine="327"/>
        <w:spacing w:after="0" w:line="267" w:lineRule="auto"/>
        <w:tabs>
          <w:tab w:leader="none" w:pos="2267"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vendor Contracts with a third party pursuant to which such third party provides information technology, human resources or financial services to Mercury, SpinCo or any member of the Mercury Group or SpinCo Group primarily used or primarily held for use in the SpinCo Business; and</w:t>
      </w:r>
    </w:p>
    <w:p>
      <w:pPr>
        <w:spacing w:after="0" w:line="51" w:lineRule="exact"/>
        <w:rPr>
          <w:rFonts w:ascii="Times New Roman" w:cs="Times New Roman" w:eastAsia="Times New Roman" w:hAnsi="Times New Roman"/>
          <w:sz w:val="14"/>
          <w:szCs w:val="14"/>
          <w:color w:val="auto"/>
        </w:rPr>
      </w:pPr>
    </w:p>
    <w:p>
      <w:pPr>
        <w:ind w:left="1700" w:right="339" w:firstLine="327"/>
        <w:spacing w:after="0" w:line="283" w:lineRule="auto"/>
        <w:tabs>
          <w:tab w:leader="none" w:pos="2305"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settlement Contract relating to any actual or threatened Actions in the two (2) years preceding the date of this Agreement pursuant to which any member of the SpinCo Group (after giving effect to the Reorganization) has ongoing obligations after the Closing.</w:t>
      </w:r>
    </w:p>
    <w:p>
      <w:pPr>
        <w:spacing w:after="0" w:line="124" w:lineRule="exact"/>
        <w:rPr>
          <w:rFonts w:ascii="Times New Roman" w:cs="Times New Roman" w:eastAsia="Times New Roman" w:hAnsi="Times New Roman"/>
          <w:sz w:val="14"/>
          <w:szCs w:val="14"/>
          <w:color w:val="auto"/>
        </w:rPr>
      </w:pPr>
    </w:p>
    <w:p>
      <w:pPr>
        <w:ind w:left="1360" w:right="259" w:firstLine="338"/>
        <w:spacing w:after="0" w:line="254" w:lineRule="auto"/>
        <w:tabs>
          <w:tab w:leader="none" w:pos="1901"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has made available to Gold copies of each SpinCo Material Contract that are correct and complete in all material respects (subject to any redaction of information deemed competitively sensitive by Mercury or pursuant to applicable Law). Except as would not reasonably be expected to have, individually or in the aggregate, a SpinCo Material Adverse Effect, (i) each SpinCo Material Contract is a legal, valid and binding obligation of Mercury or a Subsidiary thereof, as applicable, and, to the Knowledge of SpinCo, each counterparty thereto, and is in full force and effect and enforceable in accordance with its terms subject to the Remedies Exception, (ii) neither Mercury and its applicable Subsidiaries nor, to the Knowledge of SpinCo, any other party thereto, is in breach of, or in default under, any such SpinCo Material Contract, and (iii) no event has occurred that with notice or lapse of time or both would constitute such a breach or default thereunder by Mercury or any of its applicable Subsidiaries, or, to the Knowledge of SpinCo, any other party thereto. As of the date hereof, no party to any SpinCo Material Contract has exercised any termination rights with respect thereto (or provided written notice of intent to exercise such termination rights or written notice that such party intends to adversely amend or modify in any material respect (other than notice of amendments or modifications provided in the ordinary course of business), or elect not to renew or perform in any material respect, such SpinCo Material Contract).</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A-36</w:t>
      </w:r>
    </w:p>
    <w:p>
      <w:pPr>
        <w:sectPr>
          <w:pgSz w:w="11900" w:h="16838" w:orient="portrait"/>
          <w:cols w:equalWidth="0" w:num="1">
            <w:col w:w="10159"/>
          </w:cols>
          <w:pgMar w:left="300" w:top="386" w:right="1440"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5.12 </w:t>
      </w:r>
      <w:r>
        <w:rPr>
          <w:rFonts w:ascii="Times New Roman" w:cs="Times New Roman" w:eastAsia="Times New Roman" w:hAnsi="Times New Roman"/>
          <w:sz w:val="14"/>
          <w:szCs w:val="14"/>
          <w:u w:val="single" w:color="auto"/>
          <w:color w:val="auto"/>
        </w:rPr>
        <w:t>Labor Relations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38"/>
        <w:spacing w:after="0" w:line="255" w:lineRule="auto"/>
        <w:tabs>
          <w:tab w:leader="none" w:pos="1893" w:val="left"/>
        </w:tabs>
        <w:numPr>
          <w:ilvl w:val="1"/>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5.12(a)</w:t>
      </w:r>
      <w:r>
        <w:rPr>
          <w:rFonts w:ascii="Times New Roman" w:cs="Times New Roman" w:eastAsia="Times New Roman" w:hAnsi="Times New Roman"/>
          <w:sz w:val="14"/>
          <w:szCs w:val="14"/>
          <w:color w:val="auto"/>
        </w:rPr>
        <w:t xml:space="preserve"> of the SpinCo Disclosure Letter sets forth a list, as of the date of hereof, of (i) each labor union, works council or other employee representative body that represents SpinCo Group Employees and (ii) each Collective Bargaining Agreement covering SpinCo Group Employees and/or to which any member of the SpinCo Group is a party or by which any member of the SpinCo Group is bound. Except as would not reasonably be expected to be material to the SpinCo Business, taken as a whole or as set forth on </w:t>
      </w:r>
      <w:r>
        <w:rPr>
          <w:rFonts w:ascii="Times New Roman" w:cs="Times New Roman" w:eastAsia="Times New Roman" w:hAnsi="Times New Roman"/>
          <w:sz w:val="14"/>
          <w:szCs w:val="14"/>
          <w:u w:val="single" w:color="auto"/>
          <w:color w:val="auto"/>
        </w:rPr>
        <w:t>Section 5.12(a)</w:t>
      </w:r>
      <w:r>
        <w:rPr>
          <w:rFonts w:ascii="Times New Roman" w:cs="Times New Roman" w:eastAsia="Times New Roman" w:hAnsi="Times New Roman"/>
          <w:sz w:val="14"/>
          <w:szCs w:val="14"/>
          <w:color w:val="auto"/>
        </w:rPr>
        <w:t xml:space="preserve"> of the SpinCo Disclosure Letter: (i) no petition for recognition or certification of a bargaining unit or employee representative of a labor organization for the representation of any SpinCo Group Employees is pending or, to the Knowledge of SpinCo, threatened; and (ii) no strike, slowdown, work stoppage, lockout, job action, picketing, handbilling material labor dispute, union organizing activity, in each case affecting the SpinCo Business or any of the members of the SpinCo Group or relating to any SpinCo Group Employees, is pending or has occurred within the past two (2) years.</w:t>
      </w:r>
    </w:p>
    <w:p>
      <w:pPr>
        <w:spacing w:after="0" w:line="145" w:lineRule="exact"/>
        <w:rPr>
          <w:rFonts w:ascii="Times New Roman" w:cs="Times New Roman" w:eastAsia="Times New Roman" w:hAnsi="Times New Roman"/>
          <w:sz w:val="14"/>
          <w:szCs w:val="14"/>
          <w:color w:val="auto"/>
        </w:rPr>
      </w:pPr>
    </w:p>
    <w:p>
      <w:pPr>
        <w:ind w:left="1360" w:right="339" w:firstLine="338"/>
        <w:spacing w:after="0" w:line="258" w:lineRule="auto"/>
        <w:tabs>
          <w:tab w:leader="none" w:pos="1901" w:val="left"/>
        </w:tabs>
        <w:numPr>
          <w:ilvl w:val="1"/>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pending, or to the Knowledge of SpinCo, threatened, unfair labor or other employment-related practice charges, complaints, grievances or other Actions by or before any Governmental Authority arising under any applicable Law governing labor or employment by, in connection with or otherwise related to any SpinCo Group Employees or current independent contractors of the SpinCo Business, other than any such charges, complaints, grievances or Actions that would not reasonably be expected to have, individually or in the aggregate, a SpinCo Material Adverse Effect.</w:t>
      </w:r>
    </w:p>
    <w:p>
      <w:pPr>
        <w:spacing w:after="0" w:line="143" w:lineRule="exact"/>
        <w:rPr>
          <w:rFonts w:ascii="Times New Roman" w:cs="Times New Roman" w:eastAsia="Times New Roman" w:hAnsi="Times New Roman"/>
          <w:sz w:val="14"/>
          <w:szCs w:val="14"/>
          <w:color w:val="auto"/>
        </w:rPr>
      </w:pPr>
    </w:p>
    <w:p>
      <w:pPr>
        <w:ind w:left="1880" w:hanging="182"/>
        <w:spacing w:after="0"/>
        <w:tabs>
          <w:tab w:leader="none" w:pos="1880" w:val="left"/>
        </w:tabs>
        <w:numPr>
          <w:ilvl w:val="1"/>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for the past two</w:t>
      </w:r>
    </w:p>
    <w:p>
      <w:pPr>
        <w:spacing w:after="0" w:line="21" w:lineRule="exact"/>
        <w:rPr>
          <w:rFonts w:ascii="Times New Roman" w:cs="Times New Roman" w:eastAsia="Times New Roman" w:hAnsi="Times New Roman"/>
          <w:sz w:val="14"/>
          <w:szCs w:val="14"/>
          <w:color w:val="auto"/>
        </w:rPr>
      </w:pPr>
    </w:p>
    <w:p>
      <w:pPr>
        <w:ind w:left="1360" w:right="239" w:hanging="5"/>
        <w:spacing w:after="0" w:line="252" w:lineRule="auto"/>
        <w:tabs>
          <w:tab w:leader="none" w:pos="1558"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Mercury and each of its Affiliates, as well as the SpinCo Group, has been in compliance with all Laws relating to labor and employment and employment practices, including all Laws respecting terms and conditions of employment, employment practices, discrimination, harassment, retaliation civil rights, plant closures and mass layoffs (including the Worker Adjustment and Retraining Notification Act and any similar plant closures and mass layoffs Laws (“</w:t>
      </w:r>
      <w:r>
        <w:rPr>
          <w:rFonts w:ascii="Times New Roman" w:cs="Times New Roman" w:eastAsia="Times New Roman" w:hAnsi="Times New Roman"/>
          <w:sz w:val="14"/>
          <w:szCs w:val="14"/>
          <w:u w:val="single" w:color="auto"/>
          <w:color w:val="auto"/>
        </w:rPr>
        <w:t>WARN Laws</w:t>
      </w:r>
      <w:r>
        <w:rPr>
          <w:rFonts w:ascii="Times New Roman" w:cs="Times New Roman" w:eastAsia="Times New Roman" w:hAnsi="Times New Roman"/>
          <w:sz w:val="14"/>
          <w:szCs w:val="14"/>
          <w:color w:val="auto"/>
        </w:rPr>
        <w:t>”)), wages (including minimum wage and overtime), hours of work, meal and rest breaks, withholdings and deductions, worker classification (including the classification of exempt and non-exempt employees and of independent contractors and consultants), employment equity, collective bargaining, occupational health and safety, workers’ compensation and immigration, in each case, with respect to the SpinCo Group Employees, former employees, and independent contractors or other workers providing services to the SpinCo Business.</w:t>
      </w:r>
    </w:p>
    <w:p>
      <w:pPr>
        <w:spacing w:after="0" w:line="147" w:lineRule="exact"/>
        <w:rPr>
          <w:rFonts w:ascii="Times New Roman" w:cs="Times New Roman" w:eastAsia="Times New Roman" w:hAnsi="Times New Roman"/>
          <w:sz w:val="14"/>
          <w:szCs w:val="14"/>
          <w:color w:val="auto"/>
        </w:rPr>
      </w:pPr>
    </w:p>
    <w:p>
      <w:pPr>
        <w:ind w:left="1360" w:right="279" w:firstLine="338"/>
        <w:spacing w:after="0" w:line="267" w:lineRule="auto"/>
        <w:tabs>
          <w:tab w:leader="none" w:pos="1901"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SpinCo Business and the SpinCo Group Employees, Mercury and its Affiliates have reasonably investigated all allegations of sexual or other harassment that have been reported to Mercury’s Helpline in the past two (2) years. Neither Mercury nor any of its Affiliates reasonably anticipates any material Liabilities relating to any such allegations.</w:t>
      </w:r>
    </w:p>
    <w:p>
      <w:pPr>
        <w:spacing w:after="0" w:line="135" w:lineRule="exact"/>
        <w:rPr>
          <w:rFonts w:ascii="Times New Roman" w:cs="Times New Roman" w:eastAsia="Times New Roman" w:hAnsi="Times New Roman"/>
          <w:sz w:val="14"/>
          <w:szCs w:val="14"/>
          <w:color w:val="auto"/>
        </w:rPr>
      </w:pPr>
    </w:p>
    <w:p>
      <w:pPr>
        <w:ind w:left="1360" w:right="359" w:firstLine="338"/>
        <w:spacing w:after="0" w:line="283" w:lineRule="auto"/>
        <w:tabs>
          <w:tab w:leader="none" w:pos="1893"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5.12(e)</w:t>
      </w:r>
      <w:r>
        <w:rPr>
          <w:rFonts w:ascii="Times New Roman" w:cs="Times New Roman" w:eastAsia="Times New Roman" w:hAnsi="Times New Roman"/>
          <w:sz w:val="14"/>
          <w:szCs w:val="14"/>
          <w:color w:val="auto"/>
        </w:rPr>
        <w:t xml:space="preserve"> of the SpinCo Disclosure Letter, all SpinCo Group Employees are, as of the date hereof, exclusively or primarily dedicated to the SpinCo Business.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5.13 </w:t>
      </w:r>
      <w:r>
        <w:rPr>
          <w:rFonts w:ascii="Times New Roman" w:cs="Times New Roman" w:eastAsia="Times New Roman" w:hAnsi="Times New Roman"/>
          <w:sz w:val="14"/>
          <w:szCs w:val="14"/>
          <w:u w:val="single" w:color="auto"/>
          <w:color w:val="auto"/>
        </w:rPr>
        <w:t>Compliance with Law; Permits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19" w:firstLine="338"/>
        <w:spacing w:after="0" w:line="256" w:lineRule="auto"/>
        <w:tabs>
          <w:tab w:leader="none" w:pos="1893"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Environmental Laws (which are addressed exclusively as set forth in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Mercury and Mercury’s Subsidiaries (in each case, solely with respect to the SpinCo Business) and the members of the SpinCo Group are, and, during the past two (2) years Mercury and Mercury’s Subsidiaries (in each case, solely with respect to the SpinCo Business) and the members of the SpinCo Group (i) have been in compliance with all applicable Laws and (ii) have not received written notice from any Governmental Authority alleging any material non-compliance with or possible material violation of any applicable Law or that Mercury or any of its Subsidiaries (with respect to the SpinCo Business) or the members of the SpinCo Group, is subject to any inspection, investigation, survey, audit or other review, except in each case as would not reasonably be expected to have, individually or in the aggregate, a SpinCo Material Adverse Effect. Neither Mercury nor any of its</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A-37</w:t>
      </w:r>
    </w:p>
    <w:p>
      <w:pPr>
        <w:sectPr>
          <w:pgSz w:w="11900" w:h="16838" w:orient="portrait"/>
          <w:cols w:equalWidth="0" w:num="1">
            <w:col w:w="10159"/>
          </w:cols>
          <w:pgMar w:left="300" w:top="385" w:right="1440"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Subsidiaries (in each case, solely with respect to the SpinCo Business) is subject to any corporate integrity agreements, deferred prosecution agreements, monitoring agreements or consent decrees with or imposed by any Governmental Authority and to the Knowledge of SpinCo (A) the imposition of any such agreement or decree is not currently pending, and (B) neither Mercury nor any of its Subsidiaries has received written notice that the imposition of any such agreement or decree is currently contemplated or proposed.</w:t>
      </w:r>
    </w:p>
    <w:p>
      <w:pPr>
        <w:spacing w:after="0" w:line="141" w:lineRule="exact"/>
        <w:rPr>
          <w:sz w:val="20"/>
          <w:szCs w:val="20"/>
          <w:color w:val="auto"/>
        </w:rPr>
      </w:pPr>
    </w:p>
    <w:p>
      <w:pPr>
        <w:ind w:left="1360" w:right="259" w:firstLine="338"/>
        <w:spacing w:after="0" w:line="256" w:lineRule="auto"/>
        <w:tabs>
          <w:tab w:leader="none" w:pos="1901"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with respect to Permits required under applicable Environmental Laws (which are addressed exclusively in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 at all times during the past two (2) years (i) Mercury and its Subsidiaries (solely with respect to the SpinCo Business) and the members of the SpinCo Group have obtained and maintained all of the Permits and Regulatory Authorizations necessary to conduct the SpinCo Business substantially in the manner it was conducted as of the applicable date in compliance with applicable Law and (ii) such Permits and Regulatory Authorizations as are necessary to conduct the SpinCo Business substantially in the manner it is currently conducted are valid and in full force and effect and Mercury or its applicable Subsidiary or the applicable member of the SpinCo Group is in compliance with the terms thereof, in each case of (i) and (ii) except for such matters that would not reasonably be expected to have, individually or in the aggregate, a SpinCo Material Adverse Effect.</w:t>
      </w:r>
    </w:p>
    <w:p>
      <w:pPr>
        <w:spacing w:after="0" w:line="143" w:lineRule="exact"/>
        <w:rPr>
          <w:rFonts w:ascii="Times New Roman" w:cs="Times New Roman" w:eastAsia="Times New Roman" w:hAnsi="Times New Roman"/>
          <w:sz w:val="14"/>
          <w:szCs w:val="14"/>
          <w:color w:val="auto"/>
        </w:rPr>
      </w:pPr>
    </w:p>
    <w:p>
      <w:pPr>
        <w:ind w:left="1360" w:right="339" w:firstLine="338"/>
        <w:spacing w:after="0" w:line="256" w:lineRule="auto"/>
        <w:tabs>
          <w:tab w:leader="none" w:pos="1893"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Mercury or any of Mercury’s Subsidiaries (in each case, solely with respect to the SpinCo Business) or any member of the SpinCo Group, any SpinCo Group Employee or, to the Knowledge of SpinCo, any agent or other third party representative acting on behalf of the SpinCo Business, (i) is currently, or since April 24, 2019 has been (A) a Sanctioned Person; (B) engaging in any dealings or transactions with or for the benefit of any Sanctioned Person or in any Sanctioned Country in violation of Sanctions; or (C) otherwise in violation of Sanctions, Ex-Im Laws, or</w:t>
      </w:r>
    </w:p>
    <w:p>
      <w:pPr>
        <w:ind w:left="1360" w:right="29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anti-boycott Laws (collectively, “</w:t>
      </w:r>
      <w:r>
        <w:rPr>
          <w:rFonts w:ascii="Times New Roman" w:cs="Times New Roman" w:eastAsia="Times New Roman" w:hAnsi="Times New Roman"/>
          <w:sz w:val="14"/>
          <w:szCs w:val="14"/>
          <w:u w:val="single" w:color="auto"/>
          <w:color w:val="auto"/>
        </w:rPr>
        <w:t>Trade Controls</w:t>
      </w:r>
      <w:r>
        <w:rPr>
          <w:rFonts w:ascii="Times New Roman" w:cs="Times New Roman" w:eastAsia="Times New Roman" w:hAnsi="Times New Roman"/>
          <w:sz w:val="14"/>
          <w:szCs w:val="14"/>
          <w:color w:val="auto"/>
        </w:rPr>
        <w:t>”); or (ii) has in the past five (5) years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w:t>
      </w:r>
    </w:p>
    <w:p>
      <w:pPr>
        <w:spacing w:after="0" w:line="144" w:lineRule="exact"/>
        <w:rPr>
          <w:rFonts w:ascii="Times New Roman" w:cs="Times New Roman" w:eastAsia="Times New Roman" w:hAnsi="Times New Roman"/>
          <w:sz w:val="14"/>
          <w:szCs w:val="14"/>
          <w:color w:val="auto"/>
        </w:rPr>
      </w:pPr>
    </w:p>
    <w:p>
      <w:pPr>
        <w:ind w:left="1360" w:right="239" w:firstLine="338"/>
        <w:spacing w:after="0" w:line="256" w:lineRule="auto"/>
        <w:tabs>
          <w:tab w:leader="none" w:pos="1901"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Mercury or any of Mercury’s Subsidiaries (in each case, solely with respect to the SpinCo Business) or any member of the SpinCo Group, any SpinCo Group Employee, or, to the Knowledge of SpinCo, any agent or third party representative acting on behalf of the SpinCo Business, has (i) received from any Governmental Authority or any Person any written notice, request, citation, inquiry, or internal or external allegation; (ii) made any voluntary or involuntary disclosure to a Governmental Authority; or (iii) conducted any internal investigation or audit, in each case of clauses</w:t>
      </w:r>
    </w:p>
    <w:p>
      <w:pPr>
        <w:ind w:left="1360" w:right="25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(i)-(iii) concerning any actual or potential violation or wrongdoing related to Trade Controls or Anti-Corruption Laws. There are no pending or, to the Knowledge of SpinCo, threatened claims against Mercury or any of its Subsidiaries (in each case, solely with respect to the SpinCo Business) with respect to Trade Controls or Anti-Corruption Laws. Mercury and Mercury’s Subsidiaries (in each case, solely with respect to the SpinCo Business) have implemented policies and procedures reasonably designed to ensure compliance with Anti-Corruption Laws.</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5.14 </w:t>
      </w:r>
      <w:r>
        <w:rPr>
          <w:rFonts w:ascii="Times New Roman" w:cs="Times New Roman" w:eastAsia="Times New Roman" w:hAnsi="Times New Roman"/>
          <w:sz w:val="14"/>
          <w:szCs w:val="14"/>
          <w:u w:val="single" w:color="auto"/>
          <w:color w:val="auto"/>
        </w:rPr>
        <w:t>Regulatory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6" w:lineRule="auto"/>
        <w:tabs>
          <w:tab w:leader="none" w:pos="1893"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past two (2) years Mercury and Mercury’s Subsidiaries (in each case, solely with respect to the SpinCo Business) and the members of the SpinCo Group have filed with the applicable regulatory authorities all required material filings, declarations, listings, registrations, reports or submissions, except, in each case, as would not have, and would not reasonably be expected to have, individually or in the aggregate, a SpinCo Material Adverse Effect. All such filings, declarations, listings, registrations, reports or submissions were in material compliance with all applicable Laws when filed, and, as of the date of this Agreement, no deficiencies have been asserted in writing by any applicable regulatory authorities to Mercury or any of its Subsidiaries with respect to any such filings, declarations, listing, registrations, reports or submissions, except as would not have, and would not reasonably be expected to have, individually or in the aggregate, a SpinCo Material Adverse Effect.</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A-38</w:t>
      </w:r>
    </w:p>
    <w:p>
      <w:pPr>
        <w:sectPr>
          <w:pgSz w:w="11900" w:h="16838" w:orient="portrait"/>
          <w:cols w:equalWidth="0" w:num="1">
            <w:col w:w="10159"/>
          </w:cols>
          <w:pgMar w:left="300" w:top="386" w:right="1440"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19" w:firstLine="338"/>
        <w:spacing w:after="0" w:line="267" w:lineRule="auto"/>
        <w:tabs>
          <w:tab w:leader="none" w:pos="1901"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SpinCo Material Adverse Effect, Mercury and Mercury’s Subsidiaries (in each case, solely with respect to the SpinCo Business) have for the past two (2) years had appropriate internal controls that are reasonably designed to ensure compliance with all applicable Laws.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5.15 </w:t>
      </w:r>
      <w:r>
        <w:rPr>
          <w:rFonts w:ascii="Times New Roman" w:cs="Times New Roman" w:eastAsia="Times New Roman" w:hAnsi="Times New Roman"/>
          <w:sz w:val="14"/>
          <w:szCs w:val="14"/>
          <w:u w:val="single" w:color="auto"/>
          <w:color w:val="auto"/>
        </w:rPr>
        <w:t>SpinCo Benefit Plans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38"/>
        <w:spacing w:after="0" w:line="258" w:lineRule="auto"/>
        <w:tabs>
          <w:tab w:leader="none" w:pos="1893" w:val="left"/>
        </w:tabs>
        <w:numPr>
          <w:ilvl w:val="1"/>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5.15(a)</w:t>
      </w:r>
      <w:r>
        <w:rPr>
          <w:rFonts w:ascii="Times New Roman" w:cs="Times New Roman" w:eastAsia="Times New Roman" w:hAnsi="Times New Roman"/>
          <w:sz w:val="14"/>
          <w:szCs w:val="14"/>
          <w:color w:val="auto"/>
        </w:rPr>
        <w:t xml:space="preserve"> of the SpinCo Disclosure Letter sets forth a list, as of the date hereof, of each material Mercury Benefit Plan and separately identifies and sets forth each material SpinCo Benefit Plan;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list may omit (i) (x) any Mercury Benefit Plan that is an individualized agreement that is consistent, in all material respects, with a representative form of agreement that has been provided to Gold prior to the date hereof and</w:t>
      </w:r>
    </w:p>
    <w:p>
      <w:pPr>
        <w:ind w:left="1360" w:right="339" w:hanging="5"/>
        <w:spacing w:after="0" w:line="252" w:lineRule="auto"/>
        <w:tabs>
          <w:tab w:leader="none" w:pos="1558"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with a SpinCo Group Employee who is or is expected to be an officer of SpinCo and (ii) any Mercury Benefit Plan (other than a SpinCo Benefit Plan) maintained outside of the United States. Within the sixty (60) day period following the date hereof Mercury shall provide a supplemental Section 5.15(a) of the SpinCo Disclosure Letter that sets forth each Mercury Benefit Plan that would been included on such initial schedule but for clause (ii) of the proviso in the first sentence of this Section 5.15(a). Each SpinCo Benefit Plan is exclusive to SpinCo and its Subsidiaries, and no SpinCo Benefit Plan covers or provides benefits to any individual who is not a current or former employee of SpinCo (or an eligible dependent or beneficiary thereof).</w:t>
      </w:r>
    </w:p>
    <w:p>
      <w:pPr>
        <w:spacing w:after="0" w:line="148" w:lineRule="exact"/>
        <w:rPr>
          <w:rFonts w:ascii="Times New Roman" w:cs="Times New Roman" w:eastAsia="Times New Roman" w:hAnsi="Times New Roman"/>
          <w:sz w:val="14"/>
          <w:szCs w:val="14"/>
          <w:color w:val="auto"/>
        </w:rPr>
      </w:pPr>
    </w:p>
    <w:p>
      <w:pPr>
        <w:ind w:left="1360" w:right="219" w:firstLine="338"/>
        <w:spacing w:after="0" w:line="274" w:lineRule="auto"/>
        <w:tabs>
          <w:tab w:leader="none" w:pos="1901" w:val="left"/>
        </w:tabs>
        <w:numPr>
          <w:ilvl w:val="1"/>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applicable with respect to each of the material SpinCo Benefit Plans required to be set forth on </w:t>
      </w:r>
      <w:r>
        <w:rPr>
          <w:rFonts w:ascii="Times New Roman" w:cs="Times New Roman" w:eastAsia="Times New Roman" w:hAnsi="Times New Roman"/>
          <w:sz w:val="13"/>
          <w:szCs w:val="13"/>
          <w:u w:val="single" w:color="auto"/>
          <w:color w:val="auto"/>
        </w:rPr>
        <w:t>Section 5.15(a)</w:t>
      </w:r>
      <w:r>
        <w:rPr>
          <w:rFonts w:ascii="Times New Roman" w:cs="Times New Roman" w:eastAsia="Times New Roman" w:hAnsi="Times New Roman"/>
          <w:sz w:val="13"/>
          <w:szCs w:val="13"/>
          <w:color w:val="auto"/>
        </w:rPr>
        <w:t xml:space="preserve"> of the SpinCo Disclosure Letter, Mercury has made available to Gold true and complete copies of: (i) the applicable plan document (including all amendments thereto) (or, for any unwritten plan, a summary of the material terms thereof) and all related trust agreements, insurance policies or other funding arrangements; (ii) the most recent summary plan description; (iii) the most recent Form 5500 (including all schedules and attachments thereto); (iv) the most recent determination, opinion or advisory letter issued by the IRS; and (v) any material, non routine correspondence with any Governmental Authority in the past two</w:t>
      </w:r>
    </w:p>
    <w:p>
      <w:pPr>
        <w:spacing w:after="0" w:line="2" w:lineRule="exact"/>
        <w:rPr>
          <w:rFonts w:ascii="Times New Roman" w:cs="Times New Roman" w:eastAsia="Times New Roman" w:hAnsi="Times New Roman"/>
          <w:sz w:val="13"/>
          <w:szCs w:val="13"/>
          <w:color w:val="auto"/>
        </w:rPr>
      </w:pPr>
    </w:p>
    <w:p>
      <w:pPr>
        <w:ind w:left="1360" w:right="33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(2) years. As applicable with respect to each of the material Mercury Benefit Plans required to be set forth on </w:t>
      </w:r>
      <w:r>
        <w:rPr>
          <w:rFonts w:ascii="Times New Roman" w:cs="Times New Roman" w:eastAsia="Times New Roman" w:hAnsi="Times New Roman"/>
          <w:sz w:val="14"/>
          <w:szCs w:val="14"/>
          <w:u w:val="single" w:color="auto"/>
          <w:color w:val="auto"/>
        </w:rPr>
        <w:t>Section 5.15(a</w:t>
      </w:r>
      <w:r>
        <w:rPr>
          <w:rFonts w:ascii="Times New Roman" w:cs="Times New Roman" w:eastAsia="Times New Roman" w:hAnsi="Times New Roman"/>
          <w:sz w:val="14"/>
          <w:szCs w:val="14"/>
          <w:color w:val="auto"/>
        </w:rPr>
        <w:t>) of the SpinCo Disclosure Letter (other than individual agreements or arrangements that do not differ in any material respect from a form of agreement made available to Gold), Mercury has made available to Gold true and complete copies of: (A) the applicable plan document (including all amendments thereto) (or, for any unwritten plan, a summary of the material terms thereof); and (B) the most recent determination, opinion or advisory letter issued by the IRS. Notwithstanding the foregoing provisions of this paragraph, the foregoing materials in respect of material Mercury Benefit Plans (other than SpinCo Benefit Plans) maintained outside of the United States may be made available to Gold during the sixty (60) day period following the date hereof.</w:t>
      </w:r>
    </w:p>
    <w:p>
      <w:pPr>
        <w:spacing w:after="0" w:line="148" w:lineRule="exact"/>
        <w:rPr>
          <w:rFonts w:ascii="Times New Roman" w:cs="Times New Roman" w:eastAsia="Times New Roman" w:hAnsi="Times New Roman"/>
          <w:sz w:val="13"/>
          <w:szCs w:val="13"/>
          <w:color w:val="auto"/>
        </w:rPr>
      </w:pPr>
    </w:p>
    <w:p>
      <w:pPr>
        <w:jc w:val="both"/>
        <w:ind w:left="1360" w:right="439" w:firstLine="338"/>
        <w:spacing w:after="0" w:line="267" w:lineRule="auto"/>
        <w:tabs>
          <w:tab w:leader="none" w:pos="1893"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Mercury Benefit Plan intended to be qualified under Section 401(a) of the Code has received a favorable determination letter from the IRS (or is entitled to rely upon a favorable opinion letter issued by the IRS), and, to the Knowledge of SpinCo, there are no existing circumstances or events that would reasonably be expected to adversely affect the qualified status of any such plan.</w:t>
      </w:r>
    </w:p>
    <w:p>
      <w:pPr>
        <w:spacing w:after="0" w:line="135" w:lineRule="exact"/>
        <w:rPr>
          <w:rFonts w:ascii="Times New Roman" w:cs="Times New Roman" w:eastAsia="Times New Roman" w:hAnsi="Times New Roman"/>
          <w:sz w:val="14"/>
          <w:szCs w:val="14"/>
          <w:color w:val="auto"/>
        </w:rPr>
      </w:pPr>
    </w:p>
    <w:p>
      <w:pPr>
        <w:ind w:left="1360" w:right="339" w:firstLine="338"/>
        <w:spacing w:after="0" w:line="255" w:lineRule="auto"/>
        <w:tabs>
          <w:tab w:leader="none" w:pos="1901"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(i) each of the Mercury Benefit Plans has been established, maintained, operated, funded and administered in all respects in accordance with its terms and in compliance with applicable Law, including ERISA and the Code; (ii) there are no pending Actions or claims (other than routine claims for benefits), or to the Knowledge of SpinCo, threatened, against or involving any Mercury Benefit Plan (or the assets thereof); (iii) all required contributions and other payments to each Mercury Benefit Plan that have become due have been timely made or, if not yet due, properly accrued; (iv) there has been no non-exempt “prohibited transaction” within the meaning of Section 4975 of the Code or Section 406 of ERISA or breach of fiduciary duty (as determined under ERISA) with respect to any Mercury Benefit Plan; and (v) neither SpinCo nor any of its Subsidiaries has incurred (whether or not assessed) any Liability that has not been satisfied under Section 4980B, 4980D, 4980H, 6721 or 6722 of the Code.</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A-39</w:t>
      </w:r>
    </w:p>
    <w:p>
      <w:pPr>
        <w:sectPr>
          <w:pgSz w:w="11900" w:h="16838" w:orient="portrait"/>
          <w:cols w:equalWidth="0" w:num="1">
            <w:col w:w="10159"/>
          </w:cols>
          <w:pgMar w:left="300" w:top="386" w:right="1440"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38"/>
        <w:spacing w:after="0" w:line="253" w:lineRule="auto"/>
        <w:tabs>
          <w:tab w:leader="none" w:pos="1893"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SpinCo Benefit Plan is, and neither SpinCo nor any of its ERISA Affiliates sponsors, maintains, contributes to, has any obligation to contribute to, or has any Liability under or with respect to: (i) any Multiemployer Plan or (ii) a plan that has two (2) or more contributing sponsors, at least two (2) of whom are not under common control, within the meaning of Section 4063 of ERISA, or any “multiple employer plan” within the meaning of Section 210 of ERISA or Section 413 of the Code. No SpinCo Benefit Plan is a “defined benefit plan” (as defined in Section 3(35) of ERISA) or a plan subject to Title IV or Section 302 of ERISA or Section 412, 430 or 4971 of the Code. Neither SpinCo nor any of its ERISA Affiliates has incurred (x) any Liability to or with respect to a Multiemployer Plan, including as a result of a complete or partial withdrawal from such Multiemployer Plan, as those terms are defined in Part 1 of Subtitle E of Title IV of ERISA, that has not been satisfied in full, or (y) any Controlled Group Liability that has not been satisfied in full, and, to the Knowledge of SpinCo, no condition exists that presents a material risk to SpinCo or its Subsidiaries of incurring any such Liabilities (including on account of any ERISA Affiliate). No SpinCo Benefit Plan is, and none of SpinCo or any of its Subsidiaries has any Liability with respect to, a “multiple employer welfare arrangement” (within the meaning of Section 3(40)(A) of ERISA). There is no Lien pursuant to ERISA Sections 303(k) or 4068 or Code Sections 412 or 430(k) in favor of, or enforceable by the Pension Benefit Guaranty Corporation or any other entity with respect to any of the assets of SpinCo or any of its Subsidiaries.</w:t>
      </w:r>
    </w:p>
    <w:p>
      <w:pPr>
        <w:spacing w:after="0" w:line="150" w:lineRule="exact"/>
        <w:rPr>
          <w:rFonts w:ascii="Times New Roman" w:cs="Times New Roman" w:eastAsia="Times New Roman" w:hAnsi="Times New Roman"/>
          <w:sz w:val="14"/>
          <w:szCs w:val="14"/>
          <w:color w:val="auto"/>
        </w:rPr>
      </w:pPr>
    </w:p>
    <w:p>
      <w:pPr>
        <w:ind w:left="1360" w:right="259" w:firstLine="338"/>
        <w:spacing w:after="0" w:line="256" w:lineRule="auto"/>
        <w:tabs>
          <w:tab w:leader="none" w:pos="1878"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of this Agreement nor the consummation of the Transactions would reasonably be expected to, either alone or in combination with another event: (i) entitle any SpinCo Group Employee to material severance pay, unemployment compensation or any other material benefits or payments; (ii) accelerate the time of payment, funding or vesting, or materially increase the amount of any payments or benefits due to any SpinCo Group Employee (including the forgiveness of indebtedness); (iii) limit or restrict the right to merge, terminate or amend any SpinCo Benefit Plan on or after the Closing;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143"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SpinCo Benefit Plan provides for the gross-up or reimbursement of Taxes under Section 409A or 4999 of the Code.</w:t>
      </w:r>
    </w:p>
    <w:p>
      <w:pPr>
        <w:spacing w:after="0" w:line="175" w:lineRule="exact"/>
        <w:rPr>
          <w:rFonts w:ascii="Times New Roman" w:cs="Times New Roman" w:eastAsia="Times New Roman" w:hAnsi="Times New Roman"/>
          <w:sz w:val="14"/>
          <w:szCs w:val="14"/>
          <w:color w:val="auto"/>
        </w:rPr>
      </w:pPr>
    </w:p>
    <w:p>
      <w:pPr>
        <w:ind w:left="1360" w:right="239" w:firstLine="338"/>
        <w:spacing w:after="0" w:line="258" w:lineRule="auto"/>
        <w:tabs>
          <w:tab w:leader="none" w:pos="1901"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each SpinCo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all IRS guidance promulgated thereunder, and no amount under any such plan, agreement or arrangement is, has been or would reasonably be expected to be subject to any additional Tax, interest or penalties under Section 409A of the Code.</w:t>
      </w:r>
    </w:p>
    <w:p>
      <w:pPr>
        <w:spacing w:after="0" w:line="143" w:lineRule="exact"/>
        <w:rPr>
          <w:rFonts w:ascii="Times New Roman" w:cs="Times New Roman" w:eastAsia="Times New Roman" w:hAnsi="Times New Roman"/>
          <w:sz w:val="14"/>
          <w:szCs w:val="14"/>
          <w:color w:val="auto"/>
        </w:rPr>
      </w:pPr>
    </w:p>
    <w:p>
      <w:pPr>
        <w:ind w:left="1360" w:right="319" w:firstLine="338"/>
        <w:spacing w:after="0" w:line="261" w:lineRule="auto"/>
        <w:tabs>
          <w:tab w:leader="none" w:pos="187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SpinCo Benefit Plan provides, and SpinCo does not have any obligation to provide, retiree, post-termination or other post-employment health or welfare benefits, other than health care continuation coverage (i) as required by Section 4980B of the Code or Part 6 of Subtitle B of Title I of ERISA (“</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or ERISA, (ii) in connection with severance benefits or (iii) through the end of the month in which a termination of employment occurs.</w:t>
      </w:r>
    </w:p>
    <w:p>
      <w:pPr>
        <w:spacing w:after="0" w:line="140" w:lineRule="exact"/>
        <w:rPr>
          <w:rFonts w:ascii="Times New Roman" w:cs="Times New Roman" w:eastAsia="Times New Roman" w:hAnsi="Times New Roman"/>
          <w:sz w:val="14"/>
          <w:szCs w:val="14"/>
          <w:color w:val="auto"/>
        </w:rPr>
      </w:pPr>
    </w:p>
    <w:p>
      <w:pPr>
        <w:ind w:left="1360" w:right="279" w:firstLine="338"/>
        <w:spacing w:after="0" w:line="257" w:lineRule="auto"/>
        <w:tabs>
          <w:tab w:leader="none" w:pos="1870"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(i) each Mercury Benefit Plan that is a Foreign Benefit Plan (a “</w:t>
      </w:r>
      <w:r>
        <w:rPr>
          <w:rFonts w:ascii="Times New Roman" w:cs="Times New Roman" w:eastAsia="Times New Roman" w:hAnsi="Times New Roman"/>
          <w:sz w:val="14"/>
          <w:szCs w:val="14"/>
          <w:u w:val="single" w:color="auto"/>
          <w:color w:val="auto"/>
        </w:rPr>
        <w:t>Mercury Foreign Benefit Plan</w:t>
      </w:r>
      <w:r>
        <w:rPr>
          <w:rFonts w:ascii="Times New Roman" w:cs="Times New Roman" w:eastAsia="Times New Roman" w:hAnsi="Times New Roman"/>
          <w:sz w:val="14"/>
          <w:szCs w:val="14"/>
          <w:color w:val="auto"/>
        </w:rPr>
        <w:t>”)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Authority has been duly and timely filed, registered or approved, as applicable; (ii) is funded, book-reserved or secured by an insurance policy to the extent required by the terms of the applicable Mercury Foreign Benefit Plan or applicable Law, based on reasonable actuarial assumptions in accordance with applicable accounting principles; and (iii) each Mercury</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A-40</w:t>
      </w:r>
    </w:p>
    <w:p>
      <w:pPr>
        <w:sectPr>
          <w:pgSz w:w="11900" w:h="16838" w:orient="portrait"/>
          <w:cols w:equalWidth="0" w:num="1">
            <w:col w:w="10159"/>
          </w:cols>
          <w:pgMar w:left="300" w:top="385" w:right="1440"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Foreign Benefit Plan required to be registered has been registered and has been maintained in good standing with applicable regulatory authorities.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5.16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38"/>
        <w:spacing w:after="0" w:line="256" w:lineRule="auto"/>
        <w:tabs>
          <w:tab w:leader="none" w:pos="1893"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5.16(a)</w:t>
      </w:r>
      <w:r>
        <w:rPr>
          <w:rFonts w:ascii="Times New Roman" w:cs="Times New Roman" w:eastAsia="Times New Roman" w:hAnsi="Times New Roman"/>
          <w:sz w:val="14"/>
          <w:szCs w:val="14"/>
          <w:color w:val="auto"/>
        </w:rPr>
        <w:t xml:space="preserve"> of the SpinCo Disclosure Letter sets forth a list of all SpinCo Intellectual Property that is Registered IP (the “</w:t>
      </w:r>
      <w:r>
        <w:rPr>
          <w:rFonts w:ascii="Times New Roman" w:cs="Times New Roman" w:eastAsia="Times New Roman" w:hAnsi="Times New Roman"/>
          <w:sz w:val="14"/>
          <w:szCs w:val="14"/>
          <w:u w:val="single" w:color="auto"/>
          <w:color w:val="auto"/>
        </w:rPr>
        <w:t>Registered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SpinCo Intellectual Property</w:t>
      </w:r>
      <w:r>
        <w:rPr>
          <w:rFonts w:ascii="Times New Roman" w:cs="Times New Roman" w:eastAsia="Times New Roman" w:hAnsi="Times New Roman"/>
          <w:sz w:val="14"/>
          <w:szCs w:val="14"/>
          <w:color w:val="auto"/>
        </w:rPr>
        <w:t xml:space="preserve">”), identifying for each, as applicable, the record (and if different, beneficial) owner, the registration, patent or application number and date, and the jurisdiction and domain name registrar. Except as would not reasonably be expected to have, individually or in the aggregate, a SpinCo Material Adverse Effect, the Intellectual Property required to be disclosed in </w:t>
      </w:r>
      <w:r>
        <w:rPr>
          <w:rFonts w:ascii="Times New Roman" w:cs="Times New Roman" w:eastAsia="Times New Roman" w:hAnsi="Times New Roman"/>
          <w:sz w:val="14"/>
          <w:szCs w:val="14"/>
          <w:u w:val="single" w:color="auto"/>
          <w:color w:val="auto"/>
        </w:rPr>
        <w:t>Section 5.16(a)</w:t>
      </w:r>
      <w:r>
        <w:rPr>
          <w:rFonts w:ascii="Times New Roman" w:cs="Times New Roman" w:eastAsia="Times New Roman" w:hAnsi="Times New Roman"/>
          <w:sz w:val="14"/>
          <w:szCs w:val="14"/>
          <w:color w:val="auto"/>
        </w:rPr>
        <w:t xml:space="preserve"> of the SpinCo Disclosure Letter pursuant to the foregoing sentence (i) is subsisting and, other than Registered SpinCo Intellectual Property constituting applications, valid and enforceable and (ii) do not require any filings, payments or similar actions to be taken by the SpinCo Group within sixty (60) days of the date hereof for the purposes of obtaining, maintaining, perfecting or renewing such Intellectual Property.</w:t>
      </w:r>
    </w:p>
    <w:p>
      <w:pPr>
        <w:spacing w:after="0" w:line="143" w:lineRule="exact"/>
        <w:rPr>
          <w:rFonts w:ascii="Times New Roman" w:cs="Times New Roman" w:eastAsia="Times New Roman" w:hAnsi="Times New Roman"/>
          <w:sz w:val="14"/>
          <w:szCs w:val="14"/>
          <w:color w:val="auto"/>
        </w:rPr>
      </w:pPr>
    </w:p>
    <w:p>
      <w:pPr>
        <w:ind w:left="1360" w:right="299" w:firstLine="338"/>
        <w:spacing w:after="0" w:line="257" w:lineRule="auto"/>
        <w:tabs>
          <w:tab w:leader="none" w:pos="1901"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(i) as of immediately prior to the Separation, Mercury and its Subsidiaries solely and exclusively own and, as of the Distribution, the members of the SpinCo Group solely and exclusively own, all rights, title and interest in and to the SpinCo Intellectual Property, in each case, free and clear of all Liens other than Permitted Liens; and (ii) the SpinCo Intellectual Property and the Intellectual Property licensed to the members of the SpinCo Group pursuant to the Intellectual Property Matters Agreement constitute all Intellectual Property owned by Mercury and its Subsidiaries used in or necessary for the operation of the SpinCo Business as currently conducted.</w:t>
      </w:r>
    </w:p>
    <w:p>
      <w:pPr>
        <w:spacing w:after="0" w:line="143" w:lineRule="exact"/>
        <w:rPr>
          <w:rFonts w:ascii="Times New Roman" w:cs="Times New Roman" w:eastAsia="Times New Roman" w:hAnsi="Times New Roman"/>
          <w:sz w:val="14"/>
          <w:szCs w:val="14"/>
          <w:color w:val="auto"/>
        </w:rPr>
      </w:pPr>
    </w:p>
    <w:p>
      <w:pPr>
        <w:ind w:left="1360" w:right="259" w:firstLine="338"/>
        <w:spacing w:after="0" w:line="275" w:lineRule="auto"/>
        <w:tabs>
          <w:tab w:leader="none" w:pos="1893" w:val="left"/>
        </w:tabs>
        <w:numPr>
          <w:ilvl w:val="1"/>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have, individually or in the aggregate, a SpinCo Material Adverse Effect: (i) there is no opposition or cancellation Action pending that challenges the ownership, scope, validity, use or enforceability of any SpinCo Intellectual Property (other than ordinary course proceedings instituted by the relevant intellectual property office related to the application for any item of Registered SpinCo Intellectual Property); (ii) the operation of the SpinCo Business does not infringe, misappropriate, dilute, or otherwise violate, and in the past six</w:t>
      </w:r>
    </w:p>
    <w:p>
      <w:pPr>
        <w:spacing w:after="0" w:line="2" w:lineRule="exact"/>
        <w:rPr>
          <w:rFonts w:ascii="Times New Roman" w:cs="Times New Roman" w:eastAsia="Times New Roman" w:hAnsi="Times New Roman"/>
          <w:sz w:val="13"/>
          <w:szCs w:val="13"/>
          <w:color w:val="auto"/>
        </w:rPr>
      </w:pPr>
    </w:p>
    <w:p>
      <w:pPr>
        <w:ind w:left="1360" w:right="299" w:hanging="5"/>
        <w:spacing w:after="0" w:line="285" w:lineRule="auto"/>
        <w:tabs>
          <w:tab w:leader="none" w:pos="1558"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years has not infringed, misappropriated, diluted, or otherwise violated, the Intellectual Property of any other Person; and (iii) none of Mercury or any of its Subsidiaries (including the SpinCo Group) have received any written notice since the date that is six (6) years prior to the date hereof alleging that the operation of the SpinCo Business infringes, misappropriates, dilutes, or otherwise violates the Intellectual Property of any other Person.</w:t>
      </w:r>
    </w:p>
    <w:p>
      <w:pPr>
        <w:spacing w:after="0" w:line="125" w:lineRule="exact"/>
        <w:rPr>
          <w:rFonts w:ascii="Times New Roman" w:cs="Times New Roman" w:eastAsia="Times New Roman" w:hAnsi="Times New Roman"/>
          <w:sz w:val="13"/>
          <w:szCs w:val="13"/>
          <w:color w:val="auto"/>
        </w:rPr>
      </w:pPr>
    </w:p>
    <w:p>
      <w:pPr>
        <w:ind w:left="1360" w:right="259" w:firstLine="338"/>
        <w:spacing w:after="0" w:line="258" w:lineRule="auto"/>
        <w:tabs>
          <w:tab w:leader="none" w:pos="1901"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(i) to the Knowledge of SpinCo, no Person is infringing, misappropriating, diluting or otherwise violating, and in the past six (6) years has not infringed, misappropriated, diluted, or otherwise violated, any SpinCo Intellectual Property, and (ii) neither Mercury nor any member of the SpinCo Group has, since the date that is six (6) years prior to the date hereof, made any written allegation or brought any Action against any Person claiming that such Person is infringing, misappropriating, diluting or otherwise violating any SpinCo Intellectual Property.</w:t>
      </w:r>
    </w:p>
    <w:p>
      <w:pPr>
        <w:spacing w:after="0" w:line="143" w:lineRule="exact"/>
        <w:rPr>
          <w:rFonts w:ascii="Times New Roman" w:cs="Times New Roman" w:eastAsia="Times New Roman" w:hAnsi="Times New Roman"/>
          <w:sz w:val="14"/>
          <w:szCs w:val="14"/>
          <w:color w:val="auto"/>
        </w:rPr>
      </w:pPr>
    </w:p>
    <w:p>
      <w:pPr>
        <w:jc w:val="both"/>
        <w:ind w:left="1360" w:right="439" w:firstLine="338"/>
        <w:spacing w:after="0" w:line="261" w:lineRule="auto"/>
        <w:tabs>
          <w:tab w:leader="none" w:pos="1893"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and its Subsidiaries and the members of the SpinCo Group have taken commercially reasonable measures to protect, preserve, and maintain the SpinCo Intellectual Property, including by protecting the confidentiality of all material Trade Secrets included in the SpinCo Intellectual Property or otherwise held by SpinCo, and there are, and in the past three (3) years there have been, no unauthorized uses or disclosures of any such Trade Secrets.</w:t>
      </w:r>
    </w:p>
    <w:p>
      <w:pPr>
        <w:spacing w:after="0" w:line="140" w:lineRule="exact"/>
        <w:rPr>
          <w:rFonts w:ascii="Times New Roman" w:cs="Times New Roman" w:eastAsia="Times New Roman" w:hAnsi="Times New Roman"/>
          <w:sz w:val="14"/>
          <w:szCs w:val="14"/>
          <w:color w:val="auto"/>
        </w:rPr>
      </w:pPr>
    </w:p>
    <w:p>
      <w:pPr>
        <w:ind w:left="1360" w:right="259" w:firstLine="338"/>
        <w:spacing w:after="0" w:line="267" w:lineRule="auto"/>
        <w:tabs>
          <w:tab w:leader="none" w:pos="1878"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all Persons (including current and former employees, consultants and independent contractors) who contributed to the development or creation of any Intellectual Property purported to be owned by SpinCo or</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A-41</w:t>
      </w:r>
    </w:p>
    <w:p>
      <w:pPr>
        <w:sectPr>
          <w:pgSz w:w="11900" w:h="16838" w:orient="portrait"/>
          <w:cols w:equalWidth="0" w:num="1">
            <w:col w:w="10159"/>
          </w:cols>
          <w:pgMar w:left="300" w:top="386" w:right="1440"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any SpinCo Subsidiary have assigned to Mercury or one of its Subsidiaries (or, if applicable, a member of the SpinCo Group) all of such Person’s right, title and interest in and to all such Intellectual Property developed or created in the course of such Person’s employment or retention thereby, except where ownership of such Intellectual Property vested in Mercury or its applicable Subsidiary (or, if applicable, a member of the SpinCo Group) by operation of law.</w:t>
      </w:r>
    </w:p>
    <w:p>
      <w:pPr>
        <w:spacing w:after="0" w:line="141" w:lineRule="exact"/>
        <w:rPr>
          <w:sz w:val="20"/>
          <w:szCs w:val="20"/>
          <w:color w:val="auto"/>
        </w:rPr>
      </w:pPr>
    </w:p>
    <w:p>
      <w:pPr>
        <w:ind w:left="1360" w:right="319" w:firstLine="338"/>
        <w:spacing w:after="0" w:line="257" w:lineRule="auto"/>
        <w:tabs>
          <w:tab w:leader="none" w:pos="1901"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(i) no funding, personnel, or facilities of any Governmental Authority, university, college, or other educational institution or research center was used, directly or indirectly, to create, author, conceive of, invent, modify, improve, or develop any Intellectual Property for or on behalf of the SpinCo Business in a manner that has resulted in any such third party having any current claim or right in or to any Intellectual Property purported to be owned by SpinCo or any SpinCo Subsidiary, and (ii) no such Person has asserted in writing any claim or right in or to any Intellectual Property purported to be owned by SpinCo or any SpinCo Subsidiary on the basis that its funding, personnel, or facilities were used in the development thereof.</w:t>
      </w:r>
    </w:p>
    <w:p>
      <w:pPr>
        <w:spacing w:after="0" w:line="143" w:lineRule="exact"/>
        <w:rPr>
          <w:rFonts w:ascii="Times New Roman" w:cs="Times New Roman" w:eastAsia="Times New Roman" w:hAnsi="Times New Roman"/>
          <w:sz w:val="14"/>
          <w:szCs w:val="14"/>
          <w:color w:val="auto"/>
        </w:rPr>
      </w:pPr>
    </w:p>
    <w:p>
      <w:pPr>
        <w:ind w:left="1360" w:right="279" w:firstLine="338"/>
        <w:spacing w:after="0" w:line="253" w:lineRule="auto"/>
        <w:tabs>
          <w:tab w:leader="none" w:pos="1901"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Mercury and its Subsidiaries and the members of the SpinCo Group have not incorporated, included, embedded, linked or distributed any Open Source Software with proprietary Software included in the SpinCo Intellectual Property (“</w:t>
      </w:r>
      <w:r>
        <w:rPr>
          <w:rFonts w:ascii="Times New Roman" w:cs="Times New Roman" w:eastAsia="Times New Roman" w:hAnsi="Times New Roman"/>
          <w:sz w:val="14"/>
          <w:szCs w:val="14"/>
          <w:u w:val="single" w:color="auto"/>
          <w:color w:val="auto"/>
        </w:rPr>
        <w:t>SpinCo Software</w:t>
      </w:r>
      <w:r>
        <w:rPr>
          <w:rFonts w:ascii="Times New Roman" w:cs="Times New Roman" w:eastAsia="Times New Roman" w:hAnsi="Times New Roman"/>
          <w:sz w:val="14"/>
          <w:szCs w:val="14"/>
          <w:color w:val="auto"/>
        </w:rPr>
        <w:t>”) in a manner that requires that any such SpinCo Software (or portion thereof): (i) be disclosed or distributed in source code form; (ii) be licensed for the purpose of making, or otherwise permit any Person to make, derivative works of or reverse engineer any such source code; or (iii) be redistributed, hosted or otherwise made available at no or nominal charge. Except as would not reasonably be expected to have, individually or in the aggregate, a SpinCo Material Adverse Effect, (x) no portion of source code of SpinCo Software has been disclosed, licensed, released, distributed or made available to or for any Person who was not or is not an employee, contractor, consultant or other Person working on behalf of Mercury and its Subsidiaries and the members of the SpinCo Group, in each case, who have signed written confidentiality agreements with respect thereto, or escrowed to or for any Person, and no Person has been granted any rights thereto or agreed to disclose, license, release, deliver, escrow, or otherwise grant any right thereto and (y)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or any other grant of any right be made with respect thereto.</w:t>
      </w:r>
    </w:p>
    <w:p>
      <w:pPr>
        <w:spacing w:after="0" w:line="148" w:lineRule="exact"/>
        <w:rPr>
          <w:rFonts w:ascii="Times New Roman" w:cs="Times New Roman" w:eastAsia="Times New Roman" w:hAnsi="Times New Roman"/>
          <w:sz w:val="14"/>
          <w:szCs w:val="14"/>
          <w:color w:val="auto"/>
        </w:rPr>
      </w:pPr>
    </w:p>
    <w:p>
      <w:pPr>
        <w:ind w:left="1360" w:right="259" w:firstLine="338"/>
        <w:spacing w:after="0" w:line="256" w:lineRule="auto"/>
        <w:tabs>
          <w:tab w:leader="none" w:pos="1870" w:val="left"/>
        </w:tabs>
        <w:numPr>
          <w:ilvl w:val="1"/>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in each case solely with respect to the SpinCo Business, (i) neither Mercury nor its Subsidiaries has, in the past two (2) years, sent, been required to send, or received any written notice in connection with any violation by Mercury or its Subsidiaries of any Privacy Requirement, nor has Mercury or its Subsidiaries been threatened in writing to be charged with any such violation by any Governmental Authority; (ii) neither Mercury nor its Subsidiaries has, in the past two</w:t>
      </w:r>
    </w:p>
    <w:p>
      <w:pPr>
        <w:ind w:left="1360" w:right="279" w:hanging="5"/>
        <w:spacing w:after="0" w:line="252" w:lineRule="auto"/>
        <w:tabs>
          <w:tab w:leader="none" w:pos="1558" w:val="left"/>
        </w:tabs>
        <w:numPr>
          <w:ilvl w:val="0"/>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received any written complaint by any Person with respect to the collection, use or processing of Personal Information; (iii) Mercury and its Subsidiaries maintain policies and procedures regarding data security, privacy, data transfer and the processing of data and Personal Information that are commercially reasonable and designed to protect Personal Information against any unauthorized use, access or disclosure and otherwise comply with Privacy Requirements; (iv) Mercury and its Subsidiaries, in connection with the SpinCo Business, in the past one (1) year, have been in compliance in all material respects with all Privacy Requirements; and (v) in the past two (2) years, to the Knowledge of SpinCo, there has been no unauthorized use, access or disclosure or other processing of any SpinCo Business Systems, data, or other information (including Trade Secrets and Personal Information) used in the SpinCo Business.</w:t>
      </w:r>
    </w:p>
    <w:p>
      <w:pPr>
        <w:spacing w:after="0" w:line="147" w:lineRule="exact"/>
        <w:rPr>
          <w:rFonts w:ascii="Times New Roman" w:cs="Times New Roman" w:eastAsia="Times New Roman" w:hAnsi="Times New Roman"/>
          <w:sz w:val="14"/>
          <w:szCs w:val="14"/>
          <w:color w:val="auto"/>
        </w:rPr>
      </w:pPr>
    </w:p>
    <w:p>
      <w:pPr>
        <w:ind w:left="1360" w:right="299" w:firstLine="338"/>
        <w:spacing w:after="0" w:line="267" w:lineRule="auto"/>
        <w:tabs>
          <w:tab w:leader="none" w:pos="1870" w:val="left"/>
        </w:tabs>
        <w:numPr>
          <w:ilvl w:val="1"/>
          <w:numId w:val="2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(i) as of (A) the date hereof, Mercury and its Subsidiaries, and (B) the Distribution Time, the SpinCo Group, owns or has a valid right to access and use the SpinCo Business Systems, taking into account all assets and services to be provided, acquired, leased, licensed or otherwise obtained under the Transaction</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A-42</w:t>
      </w:r>
    </w:p>
    <w:p>
      <w:pPr>
        <w:sectPr>
          <w:pgSz w:w="11900" w:h="16838" w:orient="portrait"/>
          <w:cols w:equalWidth="0" w:num="1">
            <w:col w:w="10159"/>
          </w:cols>
          <w:pgMar w:left="300" w:top="385" w:right="1440"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Documents or independently acquired by Gold or its Affiliates as contemplated thereby; and (ii) the SpinCo Business Systems (A) do not, to the Knowledge of SpinCo, contain any viruses, worms, trojan horses, bugs, faults or other devices, errors, contaminants or effects that are designed to disrupt or adversely affect the functionality of any such SpinCo Business Systems and (B) are adequate and sufficient for the operation of the SpinCo Business as currently conducted.</w:t>
      </w:r>
    </w:p>
    <w:p>
      <w:pPr>
        <w:spacing w:after="0" w:line="141" w:lineRule="exact"/>
        <w:rPr>
          <w:sz w:val="20"/>
          <w:szCs w:val="20"/>
          <w:color w:val="auto"/>
        </w:rPr>
      </w:pPr>
    </w:p>
    <w:p>
      <w:pPr>
        <w:ind w:left="1360" w:right="239" w:firstLine="338"/>
        <w:spacing w:after="0" w:line="258" w:lineRule="auto"/>
        <w:tabs>
          <w:tab w:leader="none" w:pos="1901"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Mercury and its Subsidiaries (including the SpinCo Group) have taken commercially reasonable precautions to protect the confidentiality, integrity and security of the SpinCo Business Systems, and all information processes thereby or stored therein from any unauthorized processing, access, use, interruption, modification or corruption and commercially reasonable data backup, disaster recovery and business continuity plans and procedures; and (ii) in the past two (2) years there have been no failures or other adverse events affecting any of the SpinCo Business Systems that have caused any material disruption in the use thereof or to the operation of the SpinCo Business.</w:t>
      </w:r>
    </w:p>
    <w:p>
      <w:pPr>
        <w:spacing w:after="0" w:line="143" w:lineRule="exact"/>
        <w:rPr>
          <w:rFonts w:ascii="Times New Roman" w:cs="Times New Roman" w:eastAsia="Times New Roman" w:hAnsi="Times New Roman"/>
          <w:sz w:val="14"/>
          <w:szCs w:val="14"/>
          <w:color w:val="auto"/>
        </w:rPr>
      </w:pPr>
    </w:p>
    <w:p>
      <w:pPr>
        <w:ind w:left="1360" w:right="319" w:firstLine="338"/>
        <w:spacing w:after="0" w:line="261" w:lineRule="auto"/>
        <w:tabs>
          <w:tab w:leader="none" w:pos="1870"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SpinCo Material Adverse Effect, neither the execution of this Agreement or the Transaction Documents nor the consummation of the Transaction Process will result in the loss, limitation, termination or impairment of (or any right of any Person to limit, terminate or impair) or the requirement to pay additional fees or royalties with respect to Mercury’s or any member of the SpinCo Group’s right to own or use any Intellectual Property used in or necessary for the SpinCo Business.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5.17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81" w:lineRule="auto"/>
        <w:tabs>
          <w:tab w:leader="none" w:pos="1893" w:val="left"/>
        </w:tabs>
        <w:numPr>
          <w:ilvl w:val="1"/>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members of the SpinCo Group and the Mercury Group and the facilities, assets and operations on any real property owned, leased, used or operated by the members of the SpinCo Group and the Mercury Group, in each case with respect to the SpinCo Business, are, and during the past three</w:t>
      </w:r>
    </w:p>
    <w:p>
      <w:pPr>
        <w:spacing w:after="0" w:line="1" w:lineRule="exact"/>
        <w:rPr>
          <w:rFonts w:ascii="Times New Roman" w:cs="Times New Roman" w:eastAsia="Times New Roman" w:hAnsi="Times New Roman"/>
          <w:sz w:val="13"/>
          <w:szCs w:val="13"/>
          <w:color w:val="auto"/>
        </w:rPr>
      </w:pPr>
    </w:p>
    <w:p>
      <w:pPr>
        <w:ind w:left="1360" w:right="239" w:hanging="5"/>
        <w:spacing w:after="0" w:line="253" w:lineRule="auto"/>
        <w:tabs>
          <w:tab w:leader="none" w:pos="1558"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have been, in compliance with (i) applicable Environmental Laws (including the possession, maintenance of, and application for, any such Permit described in clause (ii) below) and (ii) any material Permit required to operate the SpinCo Business or SpinCo Assets or occupy and use any real property or facility (including the SpinCo Transferred Leased Property and SpinCo Owned Real Property) under any applicable Environmental Law (any “</w:t>
      </w:r>
      <w:r>
        <w:rPr>
          <w:rFonts w:ascii="Times New Roman" w:cs="Times New Roman" w:eastAsia="Times New Roman" w:hAnsi="Times New Roman"/>
          <w:sz w:val="14"/>
          <w:szCs w:val="14"/>
          <w:u w:val="single" w:color="auto"/>
          <w:color w:val="auto"/>
        </w:rPr>
        <w:t>SpinCo Environmental Permit</w:t>
      </w:r>
      <w:r>
        <w:rPr>
          <w:rFonts w:ascii="Times New Roman" w:cs="Times New Roman" w:eastAsia="Times New Roman" w:hAnsi="Times New Roman"/>
          <w:sz w:val="14"/>
          <w:szCs w:val="14"/>
          <w:color w:val="auto"/>
        </w:rPr>
        <w:t>”), except in each case of (i) and (ii) as would not reasonably be expected to have, individually or in the aggregate, a SpinCo Material Adverse Effect.</w:t>
      </w:r>
    </w:p>
    <w:p>
      <w:pPr>
        <w:spacing w:after="0" w:line="146" w:lineRule="exact"/>
        <w:rPr>
          <w:rFonts w:ascii="Times New Roman" w:cs="Times New Roman" w:eastAsia="Times New Roman" w:hAnsi="Times New Roman"/>
          <w:sz w:val="14"/>
          <w:szCs w:val="14"/>
          <w:color w:val="auto"/>
        </w:rPr>
      </w:pPr>
    </w:p>
    <w:p>
      <w:pPr>
        <w:ind w:left="1360" w:right="299" w:firstLine="338"/>
        <w:spacing w:after="0" w:line="255" w:lineRule="auto"/>
        <w:tabs>
          <w:tab w:leader="none" w:pos="1901" w:val="left"/>
        </w:tabs>
        <w:numPr>
          <w:ilvl w:val="1"/>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There is no Action pending or, to the Knowledge of SpinCo, threatened that asserts any actual or potential Environmental Liability relating to the SpinCo Business, (ii) no outstanding Order has been issued or is otherwise in effect in relation to any Environmental Law or any SpinCo Environmental Permit, in each case relating to the SpinCo Business, the SpinCo Assets or any real property or facility currently owned, leased, used or operated by the SpinCo Business (including the SpinCo Transferred Leased Property or SpinCo Owned Real Property), and (iii) neither the SpinCo Group nor Mercury or any of its Subsidiaries have received, (A) in the past three (3) years, any written notice, report or other information alleging any Environmental Liability relating to the SpinCo Business, or (B), at any time, any such written notice, report or information alleging any Environmental Liability relating to the SpinCo Business the subject of which has not been resolved, except in each case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as would not reasonably be expected to have, individually or in the aggregate, a SpinCo Material Adverse Effect.</w:t>
      </w:r>
    </w:p>
    <w:p>
      <w:pPr>
        <w:spacing w:after="0" w:line="145" w:lineRule="exact"/>
        <w:rPr>
          <w:rFonts w:ascii="Times New Roman" w:cs="Times New Roman" w:eastAsia="Times New Roman" w:hAnsi="Times New Roman"/>
          <w:sz w:val="14"/>
          <w:szCs w:val="14"/>
          <w:color w:val="auto"/>
        </w:rPr>
      </w:pPr>
    </w:p>
    <w:p>
      <w:pPr>
        <w:ind w:left="1360" w:right="399" w:firstLine="338"/>
        <w:spacing w:after="0" w:line="261" w:lineRule="auto"/>
        <w:tabs>
          <w:tab w:leader="none" w:pos="1893" w:val="left"/>
        </w:tabs>
        <w:numPr>
          <w:ilvl w:val="1"/>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SpinCo, no member of the SpinCo Group, Mercury or any of Mercury’s Subsidiaries (or any other Person to the extent resulting in Environmental Liability for the SpinCo Group), in each case with respect to the SpinCo Business, has Released, produced, processed, generated, transported, treated, handled, used, stored, disposed of, arranged for the disposal of, or exposed any Person to, any Hazardous Materials, in each case except as would not reasonably be expected to have, individually or in the aggregate, a SpinCo Material Adverse Effect.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A-43</w:t>
      </w:r>
    </w:p>
    <w:p>
      <w:pPr>
        <w:sectPr>
          <w:pgSz w:w="11900" w:h="16838" w:orient="portrait"/>
          <w:cols w:equalWidth="0" w:num="1">
            <w:col w:w="10159"/>
          </w:cols>
          <w:pgMar w:left="300" w:top="386" w:right="1440"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firstLine="338"/>
        <w:spacing w:after="0" w:line="261" w:lineRule="auto"/>
        <w:tabs>
          <w:tab w:leader="none" w:pos="1901"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member of the SpinCo Group, Mercury or any of Mercury’s Subsidiaries (or any other Person to the extent resulting in Environmental Liability for the SpinCo Group) has expressly assumed or retained any Environmental Liability of any other Person, including in any acquisition or divestiture of any property or business except as would not reasonably be expected to have, individually or in the aggregate, a SpinCo Material Adverse Effect.</w:t>
      </w:r>
    </w:p>
    <w:p>
      <w:pPr>
        <w:spacing w:after="0" w:line="14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5.18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All insurance policies (excluding those funding any SpinCo Benefit Plans set forth on </w:t>
      </w:r>
      <w:r>
        <w:rPr>
          <w:rFonts w:ascii="Times New Roman" w:cs="Times New Roman" w:eastAsia="Times New Roman" w:hAnsi="Times New Roman"/>
          <w:sz w:val="14"/>
          <w:szCs w:val="14"/>
          <w:u w:val="single" w:color="auto"/>
          <w:color w:val="auto"/>
        </w:rPr>
        <w:t>Section 5.15(a)</w:t>
      </w:r>
      <w:r>
        <w:rPr>
          <w:rFonts w:ascii="Times New Roman" w:cs="Times New Roman" w:eastAsia="Times New Roman" w:hAnsi="Times New Roman"/>
          <w:sz w:val="14"/>
          <w:szCs w:val="14"/>
          <w:color w:val="auto"/>
        </w:rPr>
        <w:t xml:space="preserve"> of the SpinCo Disclosure Letter) to which any member of the SpinCo Group is currently a party, or which are held for the benefit of the members of the SpinCo Group or the SpinCo Business, are in full force and effect, and, to the Knowledge of SpinCo, have been issued by licensed insurers, all premiums due and payable with respect thereto have been paid, and no written notice of cancellation or termination has been received with respect to any such policies, except for such cancellations or terminations which would not reasonably be expected to have, individually or in the aggregate, a SpinCo Material Adverse Effect.</w:t>
      </w:r>
    </w:p>
    <w:p>
      <w:pPr>
        <w:spacing w:after="0" w:line="143" w:lineRule="exact"/>
        <w:rPr>
          <w:sz w:val="20"/>
          <w:szCs w:val="20"/>
          <w:color w:val="auto"/>
        </w:rPr>
      </w:pPr>
    </w:p>
    <w:p>
      <w:pPr>
        <w:jc w:val="both"/>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5.19 </w:t>
      </w:r>
      <w:r>
        <w:rPr>
          <w:rFonts w:ascii="Times New Roman" w:cs="Times New Roman" w:eastAsia="Times New Roman" w:hAnsi="Times New Roman"/>
          <w:sz w:val="14"/>
          <w:szCs w:val="14"/>
          <w:u w:val="single" w:color="auto"/>
          <w:color w:val="auto"/>
        </w:rPr>
        <w:t>Affiliate Matters</w:t>
      </w:r>
      <w:r>
        <w:rPr>
          <w:rFonts w:ascii="Times New Roman" w:cs="Times New Roman" w:eastAsia="Times New Roman" w:hAnsi="Times New Roman"/>
          <w:sz w:val="14"/>
          <w:szCs w:val="14"/>
          <w:color w:val="auto"/>
        </w:rPr>
        <w:t xml:space="preserve">. Except for Contracts solely between or among the members of the SpinCo Group or Contracts for employment, compensation or benefit agreements or arrangements with directors, officers and employees made in the ordinary course of business or as set forth on </w:t>
      </w:r>
      <w:r>
        <w:rPr>
          <w:rFonts w:ascii="Times New Roman" w:cs="Times New Roman" w:eastAsia="Times New Roman" w:hAnsi="Times New Roman"/>
          <w:sz w:val="14"/>
          <w:szCs w:val="14"/>
          <w:u w:val="single" w:color="auto"/>
          <w:color w:val="auto"/>
        </w:rPr>
        <w:t>Section 5.19</w:t>
      </w:r>
      <w:r>
        <w:rPr>
          <w:rFonts w:ascii="Times New Roman" w:cs="Times New Roman" w:eastAsia="Times New Roman" w:hAnsi="Times New Roman"/>
          <w:sz w:val="14"/>
          <w:szCs w:val="14"/>
          <w:color w:val="auto"/>
        </w:rPr>
        <w:t xml:space="preserve"> of the SpinCo Disclosure Letter, no member of the SpinCo Group is party to any SpinCo Affiliate Contract.</w:t>
      </w:r>
    </w:p>
    <w:p>
      <w:pPr>
        <w:spacing w:after="0" w:line="136"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5.20 </w:t>
      </w:r>
      <w:r>
        <w:rPr>
          <w:rFonts w:ascii="Times New Roman" w:cs="Times New Roman" w:eastAsia="Times New Roman" w:hAnsi="Times New Roman"/>
          <w:sz w:val="14"/>
          <w:szCs w:val="14"/>
          <w:u w:val="single" w:color="auto"/>
          <w:color w:val="auto"/>
        </w:rPr>
        <w:t>Proxy Statement; Registration Statements</w:t>
      </w:r>
      <w:r>
        <w:rPr>
          <w:rFonts w:ascii="Times New Roman" w:cs="Times New Roman" w:eastAsia="Times New Roman" w:hAnsi="Times New Roman"/>
          <w:sz w:val="14"/>
          <w:szCs w:val="14"/>
          <w:color w:val="auto"/>
        </w:rPr>
        <w:t>. None of the information regarding any of Mercury or any of its Subsidiaries (including the members of the SpinCo Group), the SpinCo Business, or the transactions contemplated by this Agreement or any Transaction Document to be provided by Mercury or SpinCo or any of their respective Subsidiaries specifically for inclusion in, or incorporation by reference into, the Proxy Statement, the Gold Registration Statement, the SpinCo Registration Statement or the documents relating to the Distribution that are filed with the SEC and/or distributed to Mercury shareholders or Gold shareholders (the “</w:t>
      </w:r>
      <w:r>
        <w:rPr>
          <w:rFonts w:ascii="Times New Roman" w:cs="Times New Roman" w:eastAsia="Times New Roman" w:hAnsi="Times New Roman"/>
          <w:sz w:val="14"/>
          <w:szCs w:val="14"/>
          <w:u w:val="single" w:color="auto"/>
          <w:color w:val="auto"/>
        </w:rPr>
        <w:t>Distribution Documents</w:t>
      </w:r>
      <w:r>
        <w:rPr>
          <w:rFonts w:ascii="Times New Roman" w:cs="Times New Roman" w:eastAsia="Times New Roman" w:hAnsi="Times New Roman"/>
          <w:sz w:val="14"/>
          <w:szCs w:val="14"/>
          <w:color w:val="auto"/>
        </w:rPr>
        <w:t>”) will, in the case of the Proxy Statement or the Distribution Documents or any amendment or supplement thereto, at the time of the first mailing of the Proxy Statement and the Distribution Documents and of any amendment or supplement thereto, or, in the case of the Gold Registration Statement and the SpinCo Registration Statement, at the time such registration statement becomes effective, on the date of the Gold Shareholders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 The SpinCo Registration Statement will comply as to form in all material respects with the provisions of the Securities Act and the Exchange Act, as the case may be, except that no representation is made by Mercury or SpinCo with respect to information provided by Gold specifically for inclusion in, or incorporation by reference into, the SpinCo Registration Statement.</w:t>
      </w:r>
    </w:p>
    <w:p>
      <w:pPr>
        <w:spacing w:after="0" w:line="1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5.21 </w:t>
      </w:r>
      <w:r>
        <w:rPr>
          <w:rFonts w:ascii="Times New Roman" w:cs="Times New Roman" w:eastAsia="Times New Roman" w:hAnsi="Times New Roman"/>
          <w:sz w:val="14"/>
          <w:szCs w:val="14"/>
          <w:u w:val="single" w:color="auto"/>
          <w:color w:val="auto"/>
        </w:rPr>
        <w:t>Board and Stockholder Approval</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338"/>
        <w:spacing w:after="0" w:line="257" w:lineRule="auto"/>
        <w:tabs>
          <w:tab w:leader="none" w:pos="1893"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Mercury Board and the SpinCo Board, at a meeting duly called and held or by written consent, has by unanimous vote of all directors present or unanimous consent, (i) approved this Agreement, the Separation Agreement and the other Transaction Documents and authorized and approved the execution, delivery and performance hereof and thereof and the consummation of the transactions contemplated hereby and thereby, including the Merger and the Separation and (ii) declared each of them advisable, fair to and in the best interests of Mercury, SpinCo and their respective stockholders. As of the date hereof, the sole stockholder of SpinCo is (and as of immediately prior to the Distribution the sole stockholder of SpinCo will be) Mercury.</w:t>
      </w:r>
    </w:p>
    <w:p>
      <w:pPr>
        <w:spacing w:after="0" w:line="143" w:lineRule="exact"/>
        <w:rPr>
          <w:rFonts w:ascii="Times New Roman" w:cs="Times New Roman" w:eastAsia="Times New Roman" w:hAnsi="Times New Roman"/>
          <w:sz w:val="14"/>
          <w:szCs w:val="14"/>
          <w:color w:val="auto"/>
        </w:rPr>
      </w:pPr>
    </w:p>
    <w:p>
      <w:pPr>
        <w:ind w:left="1360" w:right="479" w:firstLine="338"/>
        <w:spacing w:after="0" w:line="261" w:lineRule="auto"/>
        <w:tabs>
          <w:tab w:leader="none" w:pos="1901"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(and in any event within twenty-four hours ) after the execution of this Agreement, Mercury will approve and adopt, as SpinCo’s sole stockholder, this Agreement and the Transaction Documents and the transactions contemplated hereby and thereby, including the Merger (the “</w:t>
      </w:r>
      <w:r>
        <w:rPr>
          <w:rFonts w:ascii="Times New Roman" w:cs="Times New Roman" w:eastAsia="Times New Roman" w:hAnsi="Times New Roman"/>
          <w:sz w:val="14"/>
          <w:szCs w:val="14"/>
          <w:u w:val="single" w:color="auto"/>
          <w:color w:val="auto"/>
        </w:rPr>
        <w:t>SpinCo Stockholder Approval</w:t>
      </w:r>
      <w:r>
        <w:rPr>
          <w:rFonts w:ascii="Times New Roman" w:cs="Times New Roman" w:eastAsia="Times New Roman" w:hAnsi="Times New Roman"/>
          <w:sz w:val="14"/>
          <w:szCs w:val="14"/>
          <w:color w:val="auto"/>
        </w:rPr>
        <w:t>”). The approval of Mercury’s shareholders is not required to effect the transactions contemplated by the Separation Agreement, this Agreement or any of the other Transaction Documents. Upon obtaining the SpinCo Stockholder</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A-44</w:t>
      </w:r>
    </w:p>
    <w:p>
      <w:pPr>
        <w:sectPr>
          <w:pgSz w:w="11900" w:h="16838" w:orient="portrait"/>
          <w:cols w:equalWidth="0" w:num="1">
            <w:col w:w="10159"/>
          </w:cols>
          <w:pgMar w:left="300" w:top="386" w:right="1440"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Approval, the approval of SpinCo’s stockholders after the Distribution Date will not be required to effect the transactions contemplated by this Agreement, including the Merger, unless this Agreement is amended on or after the Distribution Date.</w:t>
      </w:r>
    </w:p>
    <w:p>
      <w:pPr>
        <w:spacing w:after="0" w:line="125"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5.22 </w:t>
      </w:r>
      <w:r>
        <w:rPr>
          <w:rFonts w:ascii="Times New Roman" w:cs="Times New Roman" w:eastAsia="Times New Roman" w:hAnsi="Times New Roman"/>
          <w:sz w:val="14"/>
          <w:szCs w:val="14"/>
          <w:u w:val="single" w:color="auto"/>
          <w:color w:val="auto"/>
        </w:rPr>
        <w:t>Gold Common Stock</w:t>
      </w:r>
      <w:r>
        <w:rPr>
          <w:rFonts w:ascii="Times New Roman" w:cs="Times New Roman" w:eastAsia="Times New Roman" w:hAnsi="Times New Roman"/>
          <w:sz w:val="14"/>
          <w:szCs w:val="14"/>
          <w:color w:val="auto"/>
        </w:rPr>
        <w:t>. Neither Mercury nor any of its Subsidiaries, including SpinCo, owns (directly or indirectly, beneficially or of record) or will own on the Closing Date, nor is Mercury or any of its Subsidiaries a party to any Contract for the purpose of acquiring, holding, voting or disposing of, in each case, any shares of capital stock of Gold (other than as contemplated by this Agreement).</w:t>
      </w:r>
    </w:p>
    <w:p>
      <w:pPr>
        <w:spacing w:after="0" w:line="136"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5.23 </w:t>
      </w:r>
      <w:r>
        <w:rPr>
          <w:rFonts w:ascii="Times New Roman" w:cs="Times New Roman" w:eastAsia="Times New Roman" w:hAnsi="Times New Roman"/>
          <w:sz w:val="14"/>
          <w:szCs w:val="14"/>
          <w:u w:val="single" w:color="auto"/>
          <w:color w:val="auto"/>
        </w:rPr>
        <w:t>SpinCo Financing</w:t>
      </w:r>
      <w:r>
        <w:rPr>
          <w:rFonts w:ascii="Times New Roman" w:cs="Times New Roman" w:eastAsia="Times New Roman" w:hAnsi="Times New Roman"/>
          <w:sz w:val="14"/>
          <w:szCs w:val="14"/>
          <w:color w:val="auto"/>
        </w:rPr>
        <w:t>. As of the date of this Agreement, the Commitment Letter is in full force and effect and is a legal, valid and binding obligation of SpinCo and, to the Knowledge of SpinCo, each of the other parties thereto (other than Gold), enforceable against SpinCo and, to the Knowledge of SpinCo, each of the other parties thereto (other than Gold) in accordance with its terms (except insofar as such enforceability is subject to the Remedies Exception). As of the date of this Agreement, except for the Commitment Letter, there are no side letters or other Contracts to which SpinCo or any of its Affiliates is a party containing conditions precedent to or otherwise relating to the funding of the full amount of the SpinCo Financing, other than as expressly set forth in the Commitment Letter. As of the date of this Agreement, no event has occurred, which, with or without notice, lapse of time or both, (i) would constitute a default or breach on the part of SpinCo or its Affiliates or, to the Knowledge of SpinCo, any other party to the Commitment Letter (other than Gold), under the Commitment Letter, or (ii) to the Knowledge of SpinCo, would result in any portion of the SpinCo Financing being unavailable or delayed.</w:t>
      </w:r>
    </w:p>
    <w:p>
      <w:pPr>
        <w:spacing w:after="0" w:line="149"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5.24 </w:t>
      </w:r>
      <w:r>
        <w:rPr>
          <w:rFonts w:ascii="Times New Roman" w:cs="Times New Roman" w:eastAsia="Times New Roman" w:hAnsi="Times New Roman"/>
          <w:sz w:val="14"/>
          <w:szCs w:val="14"/>
          <w:u w:val="single" w:color="auto"/>
          <w:color w:val="auto"/>
        </w:rPr>
        <w:t>No Other Representations and Warranties</w:t>
      </w:r>
      <w:r>
        <w:rPr>
          <w:rFonts w:ascii="Times New Roman" w:cs="Times New Roman" w:eastAsia="Times New Roman" w:hAnsi="Times New Roman"/>
          <w:sz w:val="14"/>
          <w:szCs w:val="14"/>
          <w:color w:val="auto"/>
        </w:rPr>
        <w:t xml:space="preserve">. Except as expressly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or in any Transaction Document (and except for any Gold Tax Representations), (a) Mercury and SpinCo each acknowledges and agrees that neither Gold, Merger Sub nor any of their Affiliates, nor any of their respective Representatives has made, or is making, any express or implied representation or warranty whatsoever with respect to Gold, Merger Sub or any of their Affiliates, or any of their respective businesses, operations, assets, liabilities, conditions (financial or otherwise) or prospects, and (b) Mercury and SpinCo each further acknowledges and agrees that neither Gold, Merger Sub nor any of their Affiliates shall be liable in respect of the accuracy or completeness of any information provided to Mercury, SpinCo or any of their respective Affiliates or Representatives. Without limiting the generality of the foregoing, except as expressly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or in any Transaction Document (and except for any Gold Tax Representations), each of Mercury and SpinCo acknowledges and agrees that no representations or warranties are made with respect to any projections, forecasts, estimates or budgets with respect to Gold or any of its Subsidiaries that may have been made available, in the Gold Datasite or otherwise, to Mercury, SpinCo or any of their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Mercury, SpinCo or any of their respective Representatives of any document or other information with respect to any one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(including the Gold Disclosure Letter), any information, documents or other materials (including any such materials contained in the Gold Datasite or otherwise reviewed by Mercury, SpinCo or any of their respective Affiliates or Representatives) or management presentations that have been or shall hereafter be provided to Mercury, SpinCo or any of their respective Affiliates or Representatives are not and will not be deemed to be representations or warranties of Gold or Merger Sub, and no representation or warranty is made as to the accuracy or completeness of any of the foregoing except as expressly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of this Agreement or in any Transaction Document (and except for any Gold Tax Representations). In entering into this Agreement, Mercury and SpinCo acknowledge and agree that they have relied solely upon their own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A-45</w:t>
      </w:r>
    </w:p>
    <w:p>
      <w:pPr>
        <w:sectPr>
          <w:pgSz w:w="11900" w:h="16838" w:orient="portrait"/>
          <w:cols w:equalWidth="0" w:num="1">
            <w:col w:w="10159"/>
          </w:cols>
          <w:pgMar w:left="300" w:top="385" w:right="1440"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 xml:space="preserve">investigation and analysis, and Mercury and SpinCo acknowledges and agrees, to the fullest extent permitted by Law, that Gold, Merger Sub and their Affiliates and their respective Representatives shall not have any Liability or responsibility whatsoever to Mercury or SpinCo or any of their respective Representatives on any basis (including in contract or tort, under federal or state securities laws or otherwise) based upon any information provided or made available, or statements made (or any omissions therefrom), to Mercury or SpinCo or their Affiliates or any of their respective Representatives, including in respect of the specific representations and warranties as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of this Agreement or any Transaction Document, except as and only to the extent expressly set forth herein or therein with respect to such representations and warranties and subject to the limitations and restrictions contained herein or therein.</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OF GOLD AND MERGER SUB</w:t>
      </w:r>
    </w:p>
    <w:p>
      <w:pPr>
        <w:spacing w:after="0" w:line="16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 xml:space="preserve">Except as otherwise disclosed or identified in (a) the Gold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corresponding section or subsection of the Gold Disclosure Letter (it being understood that each such disclosure shall also apply to each other representation and warranty contained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to the extent that it is reasonably apparent on the face of such disclosure that it is relevant to or applies to such representation or warranty), Gold and Merger Sub, jointly and severally, hereby represent and warrant to Mercury and SpinCo as follows:</w:t>
      </w:r>
    </w:p>
    <w:p>
      <w:pPr>
        <w:spacing w:after="0" w:line="144"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Organization</w:t>
      </w:r>
      <w:r>
        <w:rPr>
          <w:rFonts w:ascii="Times New Roman" w:cs="Times New Roman" w:eastAsia="Times New Roman" w:hAnsi="Times New Roman"/>
          <w:sz w:val="14"/>
          <w:szCs w:val="14"/>
          <w:color w:val="auto"/>
        </w:rPr>
        <w:t>. Each of Gold and Merger Sub is a corporation duly organized, validly existing and in good standing under the Laws of the jurisdiction of its organization. Each of the Gold Subsidiaries other than Merger Sub is a corporation or other legal entity duly organized, validly existing and in good standing (or equivalent status as applicable) under the Laws of the jurisdiction of its organization, except as would not reasonably be expected to have, individually or in the aggregate, a Gold Material Adverse Effect. Each of Merger Sub and Gold has all requisite corporate or other organizational power and authority to own, lease and operate its assets in the manner as it is now being conducted and to carry on its businesses as now being conducted and is duly licensed or qualified to do business and is in good standing (or equivalent status as applicable) as a foreign corporation or other legal entity in each jurisdiction where the conduct of its business requires such qualification, in each case except as would not reasonably be expected to have, individually or in the aggregate, a Gold Material Adverse Effect. Gold has made available to Mercury true and complete copies of the Organizational Documents of Gold and Merger Sub as in effect on the date hereof.</w:t>
      </w:r>
    </w:p>
    <w:p>
      <w:pPr>
        <w:spacing w:after="0" w:line="149"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6.2 </w:t>
      </w:r>
      <w:r>
        <w:rPr>
          <w:rFonts w:ascii="Times New Roman" w:cs="Times New Roman" w:eastAsia="Times New Roman" w:hAnsi="Times New Roman"/>
          <w:sz w:val="14"/>
          <w:szCs w:val="14"/>
          <w:u w:val="single" w:color="auto"/>
          <w:color w:val="auto"/>
        </w:rPr>
        <w:t>Due Authorization</w:t>
      </w:r>
      <w:r>
        <w:rPr>
          <w:rFonts w:ascii="Times New Roman" w:cs="Times New Roman" w:eastAsia="Times New Roman" w:hAnsi="Times New Roman"/>
          <w:sz w:val="14"/>
          <w:szCs w:val="14"/>
          <w:color w:val="auto"/>
        </w:rPr>
        <w:t xml:space="preserve">. Each of Gold and Merger Sub has all requisite corporate power and authority to execute and deliver this Agreement and the Transaction Documents to which it is or will be a party at the Effective Time and (subject to the receipt of the Consents described in </w:t>
      </w:r>
      <w:r>
        <w:rPr>
          <w:rFonts w:ascii="Times New Roman" w:cs="Times New Roman" w:eastAsia="Times New Roman" w:hAnsi="Times New Roman"/>
          <w:sz w:val="14"/>
          <w:szCs w:val="14"/>
          <w:u w:val="single" w:color="auto"/>
          <w:color w:val="auto"/>
        </w:rPr>
        <w:t>Section 6.6(a)</w:t>
      </w:r>
      <w:r>
        <w:rPr>
          <w:rFonts w:ascii="Times New Roman" w:cs="Times New Roman" w:eastAsia="Times New Roman" w:hAnsi="Times New Roman"/>
          <w:sz w:val="14"/>
          <w:szCs w:val="14"/>
          <w:color w:val="auto"/>
        </w:rPr>
        <w:t>, and, solely with respect to Gold, the Gold Shareholder Approval) to consummate the Transactions. The execution and delivery by Gold and Merger Sub of this Agreement and the Transaction Documents to which each is or will be a party at the Effective Time and the consummation by Gold and Merger Sub of the transactions contemplated hereby and thereby have been duly and validly authorized and approved by all necessary and proper corporate action on its part, and, except for the Gold Shareholder Approval (solely with respect to Gold), no other corporate action on the part of Gold is necessary to authorize this Agreement or the Transaction Documents to which it is or will be a party at the Effective Time. Each of this Agreement and the Transaction Documents to which it is or will be a party at the Effective Time has been, or when executed and delivered will be, duly and validly executed and delivered by each of Gold and Merger Sub (as applicable) and (assuming that this Agreement or such other applicable Transaction Documents to which Mercury or SpinCo is or will be a party at the Effective Time constitutes a legal, valid and binding obligation of Mercury or SpinCo (as applicable)) constitutes or will</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A-46</w:t>
      </w:r>
    </w:p>
    <w:p>
      <w:pPr>
        <w:sectPr>
          <w:pgSz w:w="11900" w:h="16838" w:orient="portrait"/>
          <w:cols w:equalWidth="0" w:num="1">
            <w:col w:w="10159"/>
          </w:cols>
          <w:pgMar w:left="300" w:top="385" w:right="1440"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constitute a legal, valid and binding obligation of each of Gold and Merger Sub (as applicable), enforceable against each of Gold and Merger Sub (as applicable) in accordance with its terms, subject to the Remedies Exception.</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u w:val="single" w:color="auto"/>
          <w:color w:val="auto"/>
        </w:rPr>
        <w:t>Capital Stock and Other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38"/>
        <w:spacing w:after="0" w:line="253" w:lineRule="auto"/>
        <w:tabs>
          <w:tab w:leader="none" w:pos="1893"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the authorized capital stock of Gold consists of 55,000,000 shares of Gold Common Stock and 4,991,000 shares of preferred stock, without par value, of Gold (“</w:t>
      </w:r>
      <w:r>
        <w:rPr>
          <w:rFonts w:ascii="Times New Roman" w:cs="Times New Roman" w:eastAsia="Times New Roman" w:hAnsi="Times New Roman"/>
          <w:sz w:val="14"/>
          <w:szCs w:val="14"/>
          <w:u w:val="single" w:color="auto"/>
          <w:color w:val="auto"/>
        </w:rPr>
        <w:t>Gold Preferred Stock</w:t>
      </w:r>
      <w:r>
        <w:rPr>
          <w:rFonts w:ascii="Times New Roman" w:cs="Times New Roman" w:eastAsia="Times New Roman" w:hAnsi="Times New Roman"/>
          <w:sz w:val="14"/>
          <w:szCs w:val="14"/>
          <w:color w:val="auto"/>
        </w:rPr>
        <w:t>”). As of the Closing, after giving effect to the Gold Charter Amendment, the authorized capital stock of Gold shall consist of 110,000,000 shares of Gold Common Stock and 4,991,000 shares of Gold Preferred Stock. At the close of business on January 23, 2026: (i) 30,485,631 shares of unrestricted Gold Common Stock were issued and outstanding; (ii) 40,600 shares of Gold Common Stock were subject to outstanding unvested Gold Restricted Stock Awards; (iii) 4,701,771 shares of Gold Common Stock were reserved for issuance pursuant to the Gold Equity Incentive Plan, of which (A) 493,798 shares of Gold Common Stock were issuable upon the vesting and settlement of Gold PSU Awards (assuming applicable performance goals are satisfied at the target level) and (B) 351,771 shares of Gold Common Stock were issuable upon the vesting and settlement of Gold RSU Awards; (iv) no shares of Gold Common Stock were held by Gold in its treasury or by its Subsidiaries; (v) no shares of Gold Preferred Stock were issued and outstanding; and (vi) 175,407 shares of Gold Common Stock were issuable upon the vesting and settlement of restricted stock units of Gold other than Gold RSU Awards. All of the issued and outstanding shares of Gold Common Stock have been, and all shares of Gold Common Stock issued pursuant to the Merger will be at Closing duly authorized and validly issued, fully paid and nonassessable and have not been, issued in violation of any preemptive or similar rights.</w:t>
      </w:r>
    </w:p>
    <w:p>
      <w:pPr>
        <w:spacing w:after="0" w:line="150" w:lineRule="exact"/>
        <w:rPr>
          <w:rFonts w:ascii="Times New Roman" w:cs="Times New Roman" w:eastAsia="Times New Roman" w:hAnsi="Times New Roman"/>
          <w:sz w:val="14"/>
          <w:szCs w:val="14"/>
          <w:color w:val="auto"/>
        </w:rPr>
      </w:pPr>
    </w:p>
    <w:p>
      <w:pPr>
        <w:ind w:left="1360" w:right="459" w:firstLine="338"/>
        <w:spacing w:after="0" w:line="267" w:lineRule="auto"/>
        <w:tabs>
          <w:tab w:leader="none" w:pos="1901"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bonds, debentures, notes or other indebtedness of Gold or any of the Gold Subsidiaries having the right to vote (or convertible or exchangeable into or exercisable for securities having the right to vote) on any matters on which holders of shares of capital stock of Gold (including Gold Common Stock) may vote are, or as of the Effective Time will be, issued or outstanding.</w:t>
      </w:r>
    </w:p>
    <w:p>
      <w:pPr>
        <w:spacing w:after="0" w:line="135" w:lineRule="exact"/>
        <w:rPr>
          <w:rFonts w:ascii="Times New Roman" w:cs="Times New Roman" w:eastAsia="Times New Roman" w:hAnsi="Times New Roman"/>
          <w:sz w:val="14"/>
          <w:szCs w:val="14"/>
          <w:color w:val="auto"/>
        </w:rPr>
      </w:pPr>
    </w:p>
    <w:p>
      <w:pPr>
        <w:ind w:left="1360" w:right="419" w:firstLine="338"/>
        <w:spacing w:after="0" w:line="283" w:lineRule="auto"/>
        <w:tabs>
          <w:tab w:leader="none" w:pos="1893"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hereof, (i) the authorized capital stock of Merger Sub consists of 100 shares of Merger Sub Common Stock and (ii) the issued and outstanding shares of capital stock of Merger Sub consists of 100 shares of Merger Sub Common Stock.</w:t>
      </w:r>
    </w:p>
    <w:p>
      <w:pPr>
        <w:spacing w:after="0" w:line="124" w:lineRule="exact"/>
        <w:rPr>
          <w:rFonts w:ascii="Times New Roman" w:cs="Times New Roman" w:eastAsia="Times New Roman" w:hAnsi="Times New Roman"/>
          <w:sz w:val="14"/>
          <w:szCs w:val="14"/>
          <w:color w:val="auto"/>
        </w:rPr>
      </w:pPr>
    </w:p>
    <w:p>
      <w:pPr>
        <w:ind w:left="1360" w:right="259" w:firstLine="338"/>
        <w:spacing w:after="0" w:line="258" w:lineRule="auto"/>
        <w:tabs>
          <w:tab w:leader="none" w:pos="1901"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expressly set forth in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or in connection with the Merger, as of the date hereof, there are no (i) outstanding options, warrants, rights or other securities convertible into or exchangeable or exercisable for shares of capital stock of Gold, or any other commitments or agreements providing for the issuance, sale, repurchase or redemption of shares of capital stock of Gold, (ii) agreements of any kind which may obligate Gold to issue, purchase, redeem or otherwise acquire any of its shares of capital stock or (iii) voting trusts, proxies or other agreements or understandings with respect to the voting shares of capital stock of Gold.</w:t>
      </w:r>
    </w:p>
    <w:p>
      <w:pPr>
        <w:spacing w:after="0" w:line="144" w:lineRule="exact"/>
        <w:rPr>
          <w:sz w:val="20"/>
          <w:szCs w:val="20"/>
          <w:color w:val="auto"/>
        </w:rPr>
      </w:pPr>
    </w:p>
    <w:p>
      <w:pPr>
        <w:ind w:left="1360" w:right="4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u w:val="single" w:color="auto"/>
          <w:color w:val="auto"/>
        </w:rPr>
        <w:t>Capitalization of Subsidiaries</w:t>
      </w:r>
      <w:r>
        <w:rPr>
          <w:rFonts w:ascii="Times New Roman" w:cs="Times New Roman" w:eastAsia="Times New Roman" w:hAnsi="Times New Roman"/>
          <w:sz w:val="14"/>
          <w:szCs w:val="14"/>
          <w:color w:val="auto"/>
        </w:rPr>
        <w:t>. The issued and outstanding Interests of each of the Gold Subsidiaries have been duly authorized and validly issued and, as applicable, are fully paid and nonassessable. Gold, directly or indirectly, owns legal and beneficial title to all the issued and outstanding Interests of the Gold Subsidiaries, free and clear of any Liens (other than Permitted Liens or those set forth in their respective Organizational Documents, arising pursuant to applicable securities Laws or created by this Agreement). There are no outstanding options, warrants, rights or other securities exercisable or exchangeable for Interests of any Gold Subsidiaries, any other commitments or agreements providing for the issuance, sale, repurchase or redemption of Interests of any Gold Subsidiaries, and there are no agreements of any kind which may obligate any Gold Subsidiary to issue, purchase, redeem or otherwise acquire any of its Interests.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38"/>
        <w:spacing w:after="0" w:line="283" w:lineRule="auto"/>
        <w:tabs>
          <w:tab w:leader="none" w:pos="1893"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6.5(a)</w:t>
      </w:r>
      <w:r>
        <w:rPr>
          <w:rFonts w:ascii="Times New Roman" w:cs="Times New Roman" w:eastAsia="Times New Roman" w:hAnsi="Times New Roman"/>
          <w:sz w:val="14"/>
          <w:szCs w:val="14"/>
          <w:color w:val="auto"/>
        </w:rPr>
        <w:t xml:space="preserve"> of the Gold Disclosure Letter sets forth a list of the Gold Subsidiaries and their respective jurisdictions of organization, as of the date hereof. Each Gold Subsidiary is a corporation or other legal entity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A-47</w:t>
      </w:r>
    </w:p>
    <w:p>
      <w:pPr>
        <w:sectPr>
          <w:pgSz w:w="11900" w:h="16838" w:orient="portrait"/>
          <w:cols w:equalWidth="0" w:num="1">
            <w:col w:w="10159"/>
          </w:cols>
          <w:pgMar w:left="300" w:top="385" w:right="1440"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58" w:lineRule="auto"/>
        <w:rPr>
          <w:sz w:val="20"/>
          <w:szCs w:val="20"/>
          <w:color w:val="auto"/>
        </w:rPr>
      </w:pPr>
      <w:r>
        <w:rPr>
          <w:rFonts w:ascii="Times New Roman" w:cs="Times New Roman" w:eastAsia="Times New Roman" w:hAnsi="Times New Roman"/>
          <w:sz w:val="14"/>
          <w:szCs w:val="14"/>
          <w:color w:val="auto"/>
        </w:rPr>
        <w:t>duly organized, validly existing and in good standing (or equivalent status as applicable) under the Laws of its jurisdiction of organization, except as would not reasonably be expected to have, individually or in the aggregate, a Gold Material Adverse Effect. Each Gold Subsidiary has all requisite organizational power and authority to own, lease and operate its assets where such assets are now owned, leased, and operated and to conduct its business as it is now being conducted, except as would not reasonably be expected to have, individually or in the aggregate, a Gold Material Adverse Effect.</w:t>
      </w:r>
    </w:p>
    <w:p>
      <w:pPr>
        <w:spacing w:after="0" w:line="144" w:lineRule="exact"/>
        <w:rPr>
          <w:sz w:val="20"/>
          <w:szCs w:val="20"/>
          <w:color w:val="auto"/>
        </w:rPr>
      </w:pPr>
    </w:p>
    <w:p>
      <w:pPr>
        <w:ind w:left="1360" w:right="299" w:firstLine="338"/>
        <w:spacing w:after="0" w:line="258" w:lineRule="auto"/>
        <w:tabs>
          <w:tab w:leader="none" w:pos="1901"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Gold Subsidiary is duly licensed or qualified and in good standing (or equivalent status as applicable) in each jurisdiction in which the assets owned or leased by it or the character of its activities require it to be so licensed or qualified or in good standing (or equivalent status as applicable), except as would not reasonably be expected to have, individually or in the aggregate, a Gold Material Adverse Effect. Except as set forth in </w:t>
      </w:r>
      <w:r>
        <w:rPr>
          <w:rFonts w:ascii="Times New Roman" w:cs="Times New Roman" w:eastAsia="Times New Roman" w:hAnsi="Times New Roman"/>
          <w:sz w:val="14"/>
          <w:szCs w:val="14"/>
          <w:u w:val="single" w:color="auto"/>
          <w:color w:val="auto"/>
        </w:rPr>
        <w:t>Section 6.5(b)</w:t>
      </w:r>
      <w:r>
        <w:rPr>
          <w:rFonts w:ascii="Times New Roman" w:cs="Times New Roman" w:eastAsia="Times New Roman" w:hAnsi="Times New Roman"/>
          <w:sz w:val="14"/>
          <w:szCs w:val="14"/>
          <w:color w:val="auto"/>
        </w:rPr>
        <w:t xml:space="preserve"> of the Gold Disclosure Letter, and other than the Subsidiaries set forth on </w:t>
      </w:r>
      <w:r>
        <w:rPr>
          <w:rFonts w:ascii="Times New Roman" w:cs="Times New Roman" w:eastAsia="Times New Roman" w:hAnsi="Times New Roman"/>
          <w:sz w:val="14"/>
          <w:szCs w:val="14"/>
          <w:u w:val="single" w:color="auto"/>
          <w:color w:val="auto"/>
        </w:rPr>
        <w:t>Section 6.5(a)</w:t>
      </w:r>
      <w:r>
        <w:rPr>
          <w:rFonts w:ascii="Times New Roman" w:cs="Times New Roman" w:eastAsia="Times New Roman" w:hAnsi="Times New Roman"/>
          <w:sz w:val="14"/>
          <w:szCs w:val="14"/>
          <w:color w:val="auto"/>
        </w:rPr>
        <w:t xml:space="preserve"> of the Gold Disclosure Letter, as of the date hereof, Gold does not own or hold, directly or indirectly, any Interest in any other Person.</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6.6 </w:t>
      </w:r>
      <w:r>
        <w:rPr>
          <w:rFonts w:ascii="Times New Roman" w:cs="Times New Roman" w:eastAsia="Times New Roman" w:hAnsi="Times New Roman"/>
          <w:sz w:val="14"/>
          <w:szCs w:val="14"/>
          <w:u w:val="single" w:color="auto"/>
          <w:color w:val="auto"/>
        </w:rPr>
        <w:t>Consents and Approvals; No Violations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38"/>
        <w:spacing w:after="0" w:line="255" w:lineRule="auto"/>
        <w:tabs>
          <w:tab w:leader="none" w:pos="1893"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Assuming the accuracy of the representations and warranties of Mercury and SpinCo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no filing with or notice to, and no Permit, authorization, registration, consent or approval of, any Governmental Authority is required on the part of Gold or any of the Gold Subsidiaries for the execution, delivery and performance by Gold or any of the Gold Subsidiaries of this Agreement or by Gold or any of the Gold Subsidiaries of any Transaction Document to which it is a party or the consummation by Gold or any of the Gold Subsidiaries of the Transactions, except: (i) compliance with any applicable requirements of any Antitrust Law, Foreign Investment Law, the Securities Act, the Exchange Act, or applicable blue sky laws; (ii) compliance with any Permits relating to the Gold Business; (iii) the filing of the Certificate of Merger with the Secretary of State of the State of Delaware pursuant to the provisions of the DGCL; (iv) the rules and regulations of Nasdaq; or (v) Consents, the failure of which to make or obtain would not reasonably be expected to have, individually or in the aggregate, a Gold Material Adverse Effect.</w:t>
      </w:r>
    </w:p>
    <w:p>
      <w:pPr>
        <w:spacing w:after="0" w:line="145" w:lineRule="exact"/>
        <w:rPr>
          <w:rFonts w:ascii="Times New Roman" w:cs="Times New Roman" w:eastAsia="Times New Roman" w:hAnsi="Times New Roman"/>
          <w:sz w:val="14"/>
          <w:szCs w:val="14"/>
          <w:color w:val="auto"/>
        </w:rPr>
      </w:pPr>
    </w:p>
    <w:p>
      <w:pPr>
        <w:ind w:left="1360" w:right="279" w:firstLine="338"/>
        <w:spacing w:after="0" w:line="255" w:lineRule="auto"/>
        <w:tabs>
          <w:tab w:leader="none" w:pos="1901"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receipt of the Consents set forth in </w:t>
      </w:r>
      <w:r>
        <w:rPr>
          <w:rFonts w:ascii="Times New Roman" w:cs="Times New Roman" w:eastAsia="Times New Roman" w:hAnsi="Times New Roman"/>
          <w:sz w:val="14"/>
          <w:szCs w:val="14"/>
          <w:u w:val="single" w:color="auto"/>
          <w:color w:val="auto"/>
        </w:rPr>
        <w:t>Section 6.6(a)</w:t>
      </w:r>
      <w:r>
        <w:rPr>
          <w:rFonts w:ascii="Times New Roman" w:cs="Times New Roman" w:eastAsia="Times New Roman" w:hAnsi="Times New Roman"/>
          <w:sz w:val="14"/>
          <w:szCs w:val="14"/>
          <w:color w:val="auto"/>
        </w:rPr>
        <w:t xml:space="preserve">, neither the execution, delivery and performance of this Agreement by each of Gold and Merger Sub or any Transaction Document by Gold or any of the Gold Subsidiaries to which it is or will be a party as of the Effective Time, nor the consummation by Gold or any of the Gold Subsidiaries of the Transactions, will (i) conflict with or result in any breach or violation of any provision of the respective Organizational Documents of Gold or the Gold Subsidiaries, (ii) result in a breach or violation of, require a Consent under or constitute a default under, or give rise to any right of termination, amendment, cancellation, payment obligation or acceleration adverse to Gold or any of the Gold Subsidiaries under any Gold Material Contract or Gold Real Property Lease or (iii) violate any Law applicable to Gold or any of the Gold Subsidiaries, except, in the case of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as would not reasonably be expected to have, individually or in the aggregate, a Gold Material Adverse Effect.</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6.7 </w:t>
      </w:r>
      <w:r>
        <w:rPr>
          <w:rFonts w:ascii="Times New Roman" w:cs="Times New Roman" w:eastAsia="Times New Roman" w:hAnsi="Times New Roman"/>
          <w:sz w:val="14"/>
          <w:szCs w:val="14"/>
          <w:u w:val="single" w:color="auto"/>
          <w:color w:val="auto"/>
        </w:rPr>
        <w:t>Gold Reports and Financial Statements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5" w:lineRule="auto"/>
        <w:tabs>
          <w:tab w:leader="none" w:pos="1893"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has timely filed or furnished with the SEC all Gold SEC Documents. As of their respective filing dates (or if amended or superseded by a filing prior to the date of this Agreement, then on the date of such filing), the Gold SEC Documents (including any amendments thereto) complied in all material respects, and each other form, report, schedule, statement, prospectus or other document filed by Gold or any of its Subsidiaries after the date hereof and prior to the Effective Time (the “</w:t>
      </w:r>
      <w:r>
        <w:rPr>
          <w:rFonts w:ascii="Times New Roman" w:cs="Times New Roman" w:eastAsia="Times New Roman" w:hAnsi="Times New Roman"/>
          <w:sz w:val="14"/>
          <w:szCs w:val="14"/>
          <w:u w:val="single" w:color="auto"/>
          <w:color w:val="auto"/>
        </w:rPr>
        <w:t>Additional Gold SEC Documents</w:t>
      </w:r>
      <w:r>
        <w:rPr>
          <w:rFonts w:ascii="Times New Roman" w:cs="Times New Roman" w:eastAsia="Times New Roman" w:hAnsi="Times New Roman"/>
          <w:sz w:val="14"/>
          <w:szCs w:val="14"/>
          <w:color w:val="auto"/>
        </w:rPr>
        <w:t>”) will comply in all material respects, with the requirements of the Securities Act, the Exchange Act and the applicable regulations promulgated thereunder, as the case may be, and none of such Gold SEC Documents when filed contained (or, with respect to the Additional Gold SEC Documents, will contain) any untrue statement of a material fact or omitted (or, with respect to the Additional Gold SEC Documents, will omit) to state a material fact required to be stated therein or necessary to make the statements therein, in the light of the circumstances under which they</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A-48</w:t>
      </w:r>
    </w:p>
    <w:p>
      <w:pPr>
        <w:sectPr>
          <w:pgSz w:w="11900" w:h="16838" w:orient="portrait"/>
          <w:cols w:equalWidth="0" w:num="1">
            <w:col w:w="10159"/>
          </w:cols>
          <w:pgMar w:left="300" w:top="386" w:right="1440"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were made, not false or misleading. The consolidated financial statements (including all related notes and schedules) of Gold included or incorporated by reference in the Gold SEC Documents when filed complied (or, with respect to the Additional Gold SEC Documents, will comply) as to form with the published rules and regulations of the SEC with respect thereto, in each case, in effect at the time of such filing. The audited consolidated financial statements and unaudited consolidated interim financial statements included in the Gold SEC Documents and the Additional Gold SEC Documents fairly present in all material respects (or, with respect to the Additional Gold SEC Documents, will fairly present in all material respects) the financial position of Gold and its consolidated Subsidiaries as of the respective dates thereof and the results of operations and changes in cash flows or changes in shareholders’ equity or other information included therein for the periods or as of the respective dates then ended, in each case except as otherwise noted therein and subject, in the case of unaudited interim statements, to normal year-end audit adjustments. Each of the financial statements (including the related notes) of Gold included in the Gold SEC Documents have been prepared in accordance with GAAP, consistently applied throughout the periods covered, except as otherwise noted therein and, in the case of unaudited statements, as permitted by Form 10-Q or any successor form under the Exchange Act, and except that unaudited financial statements may not contain footnotes and are subject to normal and recurring year-end adjustments that are not, individually or in the aggregate, material to the Gold Business.</w:t>
      </w:r>
    </w:p>
    <w:p>
      <w:pPr>
        <w:spacing w:after="0" w:line="150" w:lineRule="exact"/>
        <w:rPr>
          <w:sz w:val="20"/>
          <w:szCs w:val="20"/>
          <w:color w:val="auto"/>
        </w:rPr>
      </w:pPr>
    </w:p>
    <w:p>
      <w:pPr>
        <w:ind w:left="1360" w:right="239" w:firstLine="338"/>
        <w:spacing w:after="0" w:line="254" w:lineRule="auto"/>
        <w:tabs>
          <w:tab w:leader="none" w:pos="1901" w:val="left"/>
        </w:tabs>
        <w:numPr>
          <w:ilvl w:val="0"/>
          <w:numId w:val="3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has established and maintains a system of internal controls that comply in all material respects with applicable Law and that are designed to provide reasonable assurances that transactions are recorded as necessary to permit preparation of financial statements in conformity with GAAP and to maintain accountability for assets. Such internal controls are overseen by the audit committee of the Gold Board (the “</w:t>
      </w:r>
      <w:r>
        <w:rPr>
          <w:rFonts w:ascii="Times New Roman" w:cs="Times New Roman" w:eastAsia="Times New Roman" w:hAnsi="Times New Roman"/>
          <w:sz w:val="14"/>
          <w:szCs w:val="14"/>
          <w:u w:val="single" w:color="auto"/>
          <w:color w:val="auto"/>
        </w:rPr>
        <w:t>Gold Audit Committee</w:t>
      </w:r>
      <w:r>
        <w:rPr>
          <w:rFonts w:ascii="Times New Roman" w:cs="Times New Roman" w:eastAsia="Times New Roman" w:hAnsi="Times New Roman"/>
          <w:sz w:val="14"/>
          <w:szCs w:val="14"/>
          <w:color w:val="auto"/>
        </w:rPr>
        <w:t>”). Since January 1, 2024, Gold’s chief financial officer, general counsel and director of internal audit have disclosed to Gold’s independent auditor and the Gold Audit Committee (the material circumstances of which (if any) have been made available to Gold) (a) any significant deficiency or material weakness in Gold’s internal controls and (b) any fraud, whether or not material, involving management or other employees who have a significant role in Gold’s internal controls. Since January 1, 2024, neither Gold nor any Gold Subsidiary has received any material, unresolved complaint, allegation, assertion or claim regarding the impropriety of any accounting or auditing practices, procedures, methodologies or methods of Gold or any Gold Subsidiary or their respective internal accounting controls.</w:t>
      </w:r>
    </w:p>
    <w:p>
      <w:pPr>
        <w:spacing w:after="0" w:line="149"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6.8 </w:t>
      </w: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 There are no liabilities or obligations of the Gold Business of any nature, whether or not accrued, contingent or otherwise, that would be required by GAAP to be reflected or reserved for on a consolidated balance sheet of the Gold Business or in the notes thereto prepared in accordance with GAAP, other than those that: (i) are reflected or reserved for in the financial statements of Gold included in the Gold SEC Documents or disclosed in the notes thereto; (ii) have been incurred in the ordinary course of business since September 30, 2025; (iii) are incurred in connection with the Transactions or the announcement, negotiation, execution or performance of this Agreement, the Transaction Documents or the Distribution; (iv) have been (or will be prior to the Closing) discharged or paid off; (v) arise in connection with future performance under existing Contracts unrelated to any breach or default by Gold or its Subsidiaries; or (vi) would not reasonably be expected to have, individually or in the aggregate, a Gold Material Adverse Effect.</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6.9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19" w:firstLine="338"/>
        <w:spacing w:after="0" w:line="261" w:lineRule="auto"/>
        <w:tabs>
          <w:tab w:leader="none" w:pos="1893"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There is no, and in the past two (2) years has been no, Action pending or, to the Knowledge of Gold, threatened, against Gold or any of the Gold Subsidiaries, or arising out of or relating to the Gold Business, except as would not reasonably be expected to have, individually or in the aggregate, a Gold Material Adverse Effect, and (ii) neither Gold nor any Gold Subsidiary is subject to any outstanding Order, except as would not reasonably be expected to have, individually or in the aggregate, a Gold Material Adverse Effect.</w:t>
      </w:r>
    </w:p>
    <w:p>
      <w:pPr>
        <w:spacing w:after="0" w:line="140" w:lineRule="exact"/>
        <w:rPr>
          <w:rFonts w:ascii="Times New Roman" w:cs="Times New Roman" w:eastAsia="Times New Roman" w:hAnsi="Times New Roman"/>
          <w:sz w:val="14"/>
          <w:szCs w:val="14"/>
          <w:color w:val="auto"/>
        </w:rPr>
      </w:pPr>
    </w:p>
    <w:p>
      <w:pPr>
        <w:ind w:left="1360" w:right="259" w:firstLine="338"/>
        <w:spacing w:after="0" w:line="267" w:lineRule="auto"/>
        <w:tabs>
          <w:tab w:leader="none" w:pos="1901"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and in the past two (2) years has been no, (i) product warranty or product liability Actions pending or, to the Knowledge of Gold, threatened, against Gold or any of the Gold Subsidiaries, or arising out of or relating to Gold Business with respect to any services or products designed, marketed, developed,</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A-49</w:t>
      </w:r>
    </w:p>
    <w:p>
      <w:pPr>
        <w:sectPr>
          <w:pgSz w:w="11900" w:h="16838" w:orient="portrait"/>
          <w:cols w:equalWidth="0" w:num="1">
            <w:col w:w="10159"/>
          </w:cols>
          <w:pgMar w:left="300" w:top="386" w:right="1440"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manufactured, assembled, sold, distributed or delivered by Gold and the Gold Subsidiaries in connection with the Gold Business (“</w:t>
      </w:r>
      <w:r>
        <w:rPr>
          <w:rFonts w:ascii="Times New Roman" w:cs="Times New Roman" w:eastAsia="Times New Roman" w:hAnsi="Times New Roman"/>
          <w:sz w:val="14"/>
          <w:szCs w:val="14"/>
          <w:u w:val="single" w:color="auto"/>
          <w:color w:val="auto"/>
        </w:rPr>
        <w:t>Gold Products</w:t>
      </w:r>
      <w:r>
        <w:rPr>
          <w:rFonts w:ascii="Times New Roman" w:cs="Times New Roman" w:eastAsia="Times New Roman" w:hAnsi="Times New Roman"/>
          <w:sz w:val="14"/>
          <w:szCs w:val="14"/>
          <w:color w:val="auto"/>
        </w:rPr>
        <w:t>”), except as would not reasonably be expected to have, individually or in the aggregate, a Gold Material Adverse Effect, and (ii) neither Gold nor any Gold Subsidiary has (A) been served with process or threatened in writing, regarding any Action or recall or (B) initiated or been required to initiate a product recall, consumer recall, suspension or withdrawal or similar Action, in each case with respect to any Gold Products, except as would not reasonably be expected to have, individually or in the aggregate, a Gold Material Adverse Effect. To the Knowledge of Gold, (i) there are no facts which Gold or any of the Gold Subsidiaries expect to furnish a basis for the recall of any Gold Product or withdrawal of any approval, license, registration or consent of any Governmental Authority with respect to Gold, the Gold Subsidiaries, Gold Business or any Gold Products, (ii) there is no basis for the recall of any Gold Product and (iii) there are no defects, technical concerns or problems in any of the Gold Products currently offered by Gold or any Gold Subsidiary that would prevent the same from performing in accordance with their user specifications or functionality descriptions, in each case, except as would not reasonably be expected to have, individually or in the aggregate, a Gold Material Adverse Effect.</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Real Property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39" w:firstLine="338"/>
        <w:spacing w:after="0" w:line="254" w:lineRule="auto"/>
        <w:tabs>
          <w:tab w:leader="none" w:pos="1893"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6.10(a)</w:t>
      </w:r>
      <w:r>
        <w:rPr>
          <w:rFonts w:ascii="Times New Roman" w:cs="Times New Roman" w:eastAsia="Times New Roman" w:hAnsi="Times New Roman"/>
          <w:sz w:val="14"/>
          <w:szCs w:val="14"/>
          <w:color w:val="auto"/>
        </w:rPr>
        <w:t xml:space="preserve"> of the Gold Disclosure Letter sets forth a true and complete list of the material real property owned by Gold and the Gold Subsidiaries (together with the land, buildings, structures, improvements and fixtures thereon, the “</w:t>
      </w:r>
      <w:r>
        <w:rPr>
          <w:rFonts w:ascii="Times New Roman" w:cs="Times New Roman" w:eastAsia="Times New Roman" w:hAnsi="Times New Roman"/>
          <w:sz w:val="14"/>
          <w:szCs w:val="14"/>
          <w:u w:val="single" w:color="auto"/>
          <w:color w:val="auto"/>
        </w:rPr>
        <w:t>Gold Owned Real Property</w:t>
      </w:r>
      <w:r>
        <w:rPr>
          <w:rFonts w:ascii="Times New Roman" w:cs="Times New Roman" w:eastAsia="Times New Roman" w:hAnsi="Times New Roman"/>
          <w:sz w:val="14"/>
          <w:szCs w:val="14"/>
          <w:color w:val="auto"/>
        </w:rPr>
        <w:t xml:space="preserve">”). Except as would not reasonably be expected to be material to the Gold Business, taken as a whole, (i) Gold and the Gold Subsidiaries, as applicable, have good and marketable indefeasible fee simple valid title to all Gold Owned Real Property, free and clear of all Liens, except Permitted Liens and (ii) neither Gold nor the Gold Subsidiaries has received written notice of any, and to the Knowledge of Gold, there is no, pending condemnation, expropriation, eminent domain or similar Action affecting all or any material portion of any Gold Owned Real Property. Except as set forth on </w:t>
      </w:r>
      <w:r>
        <w:rPr>
          <w:rFonts w:ascii="Times New Roman" w:cs="Times New Roman" w:eastAsia="Times New Roman" w:hAnsi="Times New Roman"/>
          <w:sz w:val="14"/>
          <w:szCs w:val="14"/>
          <w:u w:val="single" w:color="auto"/>
          <w:color w:val="auto"/>
        </w:rPr>
        <w:t>Section 6.10(a)</w:t>
      </w:r>
      <w:r>
        <w:rPr>
          <w:rFonts w:ascii="Times New Roman" w:cs="Times New Roman" w:eastAsia="Times New Roman" w:hAnsi="Times New Roman"/>
          <w:sz w:val="14"/>
          <w:szCs w:val="14"/>
          <w:color w:val="auto"/>
        </w:rPr>
        <w:t xml:space="preserve"> of the Gold Disclosure Letter and as would not reasonably be expected to be material to the Gold Business, taken as a whole, (i) neither Gold nor the Gold Subsidiaries have granted to any Person the right to use or occupy any Gold Owned Real Property, and (ii) there are no outstanding options, rights of right offer to purchase any Gold Owned Real Property or any portion thereof or interest therein. Except as would not reasonably be expected to be material to the Gold Business, taken as a whole, neither Gold nor the Gold Subsidiaries are in breach or default under any restrictive or other covenant encumbering any Gold Owned Real Property.</w:t>
      </w:r>
    </w:p>
    <w:p>
      <w:pPr>
        <w:spacing w:after="0" w:line="144" w:lineRule="exact"/>
        <w:rPr>
          <w:rFonts w:ascii="Times New Roman" w:cs="Times New Roman" w:eastAsia="Times New Roman" w:hAnsi="Times New Roman"/>
          <w:sz w:val="14"/>
          <w:szCs w:val="14"/>
          <w:color w:val="auto"/>
        </w:rPr>
      </w:pPr>
    </w:p>
    <w:p>
      <w:pPr>
        <w:ind w:left="1360" w:right="239" w:firstLine="338"/>
        <w:spacing w:after="0" w:line="253" w:lineRule="auto"/>
        <w:tabs>
          <w:tab w:leader="none" w:pos="1901"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6.10(b)</w:t>
      </w:r>
      <w:r>
        <w:rPr>
          <w:rFonts w:ascii="Times New Roman" w:cs="Times New Roman" w:eastAsia="Times New Roman" w:hAnsi="Times New Roman"/>
          <w:sz w:val="14"/>
          <w:szCs w:val="14"/>
          <w:color w:val="auto"/>
        </w:rPr>
        <w:t xml:space="preserve"> of the Gold Disclosure Letter sets forth a true and complete list of material leased or subleased real property in which Gold and the Gold Subsidiaries have a leasehold or subleasehold interest, or other interest to occupy such lease real property (the “</w:t>
      </w:r>
      <w:r>
        <w:rPr>
          <w:rFonts w:ascii="Times New Roman" w:cs="Times New Roman" w:eastAsia="Times New Roman" w:hAnsi="Times New Roman"/>
          <w:sz w:val="14"/>
          <w:szCs w:val="14"/>
          <w:u w:val="single" w:color="auto"/>
          <w:color w:val="auto"/>
        </w:rPr>
        <w:t>Gold Leased Real Property</w:t>
      </w:r>
      <w:r>
        <w:rPr>
          <w:rFonts w:ascii="Times New Roman" w:cs="Times New Roman" w:eastAsia="Times New Roman" w:hAnsi="Times New Roman"/>
          <w:sz w:val="14"/>
          <w:szCs w:val="14"/>
          <w:color w:val="auto"/>
        </w:rPr>
        <w:t>”, and the leases, subleases, and other similar agreements with respect thereto, the “</w:t>
      </w:r>
      <w:r>
        <w:rPr>
          <w:rFonts w:ascii="Times New Roman" w:cs="Times New Roman" w:eastAsia="Times New Roman" w:hAnsi="Times New Roman"/>
          <w:sz w:val="14"/>
          <w:szCs w:val="14"/>
          <w:u w:val="single" w:color="auto"/>
          <w:color w:val="auto"/>
        </w:rPr>
        <w:t>Gold Real Property Leases</w:t>
      </w:r>
      <w:r>
        <w:rPr>
          <w:rFonts w:ascii="Times New Roman" w:cs="Times New Roman" w:eastAsia="Times New Roman" w:hAnsi="Times New Roman"/>
          <w:sz w:val="14"/>
          <w:szCs w:val="14"/>
          <w:color w:val="auto"/>
        </w:rPr>
        <w:t>”). Gold has made available to Mercury copies of each Gold Real Property Lease that are correct and complete in all material respects (subject to any redaction of information deemed competitively sensitive by Gold or pursuant to applicable Law). With respect to the Gold Leased Real Property and Gold Real Property Leases, (i) Gold and the Gold Subsidiaries, as applicable, have a valid leasehold or subleasehold interest in the Gold Leased Real Property, free and clear of all Liens, except Permitted Liens, and each such leasehold or subleasehold interest in a Gold Real Property Lease is legal, valid, binding, enforceable and in full force and effect subject to the Remedies Exception, (ii) none of Gold or the Gold Subsidiaries, or, to the Knowledge of Gold, any other party thereto, is in breach of or default under any Gold Real Property Lease and no event has occurred or circumstance exists which, with the delivery of notice, the passage of time or both, would constitute such a breach or default, or permit the termination, modification or acceleration of rent under such Gold Real Property Lease, (iii) neither Gold nor the Gold Subsidiaries has, as of the date hereof, received any written notice from any lessor of any Gold Leased Real Property of any breach of or default under any lease or sublease thereof by Gold or the Gold Subsidiaries, which breach or default has not been cured, and (iv) neither Gold nor the Gold Subsidiaries has subleased, licensed, assigned, transferred, conveyed, mortgaged, deeded in trust or encumbered any interest in any Gold Leased Real Property, except Permitted Liens.</w:t>
      </w:r>
    </w:p>
    <w:p>
      <w:pPr>
        <w:spacing w:after="0" w:line="2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A-50</w:t>
      </w:r>
    </w:p>
    <w:p>
      <w:pPr>
        <w:sectPr>
          <w:pgSz w:w="11900" w:h="16838" w:orient="portrait"/>
          <w:cols w:equalWidth="0" w:num="1">
            <w:col w:w="10159"/>
          </w:cols>
          <w:pgMar w:left="300" w:top="386" w:right="144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38"/>
        <w:spacing w:after="0" w:line="283" w:lineRule="auto"/>
        <w:tabs>
          <w:tab w:leader="none" w:pos="1893"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Gold Owned Real Property and the Gold Leased Real Property comprise all of the material real property used or intended to be used as of the date hereof in the Gold Business.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880" w:hanging="182"/>
        <w:spacing w:after="0"/>
        <w:tabs>
          <w:tab w:leader="none" w:pos="188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individually or in the aggregate, have a Gold Material Adverse Effect:</w:t>
      </w:r>
    </w:p>
    <w:p>
      <w:pPr>
        <w:spacing w:after="0" w:line="91" w:lineRule="exact"/>
        <w:rPr>
          <w:rFonts w:ascii="Times New Roman" w:cs="Times New Roman" w:eastAsia="Times New Roman" w:hAnsi="Times New Roman"/>
          <w:sz w:val="14"/>
          <w:szCs w:val="14"/>
          <w:color w:val="auto"/>
        </w:rPr>
      </w:pPr>
    </w:p>
    <w:p>
      <w:pPr>
        <w:ind w:left="1700" w:right="239" w:firstLine="327"/>
        <w:spacing w:after="0" w:line="267" w:lineRule="auto"/>
        <w:tabs>
          <w:tab w:leader="none" w:pos="2197"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All Tax Returns required to be filed by or with respect to Gold or any of the Gold Subsidiaries have been timely filed (taking into account applicable extensions), (B) all filed Tax Returns are true, correct and complete, and (C) all Taxes, whether or not shown as due on any Tax Return, have been paid;</w:t>
      </w:r>
    </w:p>
    <w:p>
      <w:pPr>
        <w:spacing w:after="0" w:line="51" w:lineRule="exact"/>
        <w:rPr>
          <w:rFonts w:ascii="Times New Roman" w:cs="Times New Roman" w:eastAsia="Times New Roman" w:hAnsi="Times New Roman"/>
          <w:sz w:val="14"/>
          <w:szCs w:val="14"/>
          <w:color w:val="auto"/>
        </w:rPr>
      </w:pPr>
    </w:p>
    <w:p>
      <w:pPr>
        <w:ind w:left="1700" w:right="279" w:firstLine="327"/>
        <w:spacing w:after="0" w:line="261" w:lineRule="auto"/>
        <w:tabs>
          <w:tab w:leader="none" w:pos="2235"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 Governmental Authority has asserted any written claim, assessment or deficiency for Taxes against Gold or any Gold Subsidiary (and, to the Knowledge of Gold, no such claim, assessment or deficiency has been threatened or proposed in writing), except for deficiencies which have been fully satisfied by payment, settled or withdrawn and (B) no claim, audit or other proceeding by any Governmental Authority is ongoing, pending or threatened in writing with respect to any Taxes of Gold or any of the Gold Subsidiaries;</w:t>
      </w:r>
    </w:p>
    <w:p>
      <w:pPr>
        <w:spacing w:after="0" w:line="56" w:lineRule="exact"/>
        <w:rPr>
          <w:rFonts w:ascii="Times New Roman" w:cs="Times New Roman" w:eastAsia="Times New Roman" w:hAnsi="Times New Roman"/>
          <w:sz w:val="14"/>
          <w:szCs w:val="14"/>
          <w:color w:val="auto"/>
        </w:rPr>
      </w:pPr>
    </w:p>
    <w:p>
      <w:pPr>
        <w:ind w:left="1700" w:right="379" w:firstLine="327"/>
        <w:spacing w:after="0" w:line="267" w:lineRule="auto"/>
        <w:tabs>
          <w:tab w:leader="none" w:pos="2274"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of Taxes (including sales and other similar Taxes) required to be deducted, collected or withheld by Gold and each Gold Subsidiary have been deducted, collected or withheld and have been (or will be) duly and timely paid to the proper Governmental Authority and Gold and each Gold Subsidiary has complied in all respects with all informational reporting requirements related thereto;</w:t>
      </w:r>
    </w:p>
    <w:p>
      <w:pPr>
        <w:spacing w:after="0" w:line="51" w:lineRule="exact"/>
        <w:rPr>
          <w:rFonts w:ascii="Times New Roman" w:cs="Times New Roman" w:eastAsia="Times New Roman" w:hAnsi="Times New Roman"/>
          <w:sz w:val="14"/>
          <w:szCs w:val="14"/>
          <w:color w:val="auto"/>
        </w:rPr>
      </w:pPr>
    </w:p>
    <w:p>
      <w:pPr>
        <w:ind w:left="1700" w:right="239" w:firstLine="327"/>
        <w:spacing w:after="0" w:line="283" w:lineRule="auto"/>
        <w:tabs>
          <w:tab w:leader="none" w:pos="2267"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waivers or extension of any statute of limitations on the assessment and collection of any Tax or governmental charge with respect to Gold or any Gold Subsidiary have been requested or made that has not expired (or would not expire) prior to the Closing;</w:t>
      </w:r>
    </w:p>
    <w:p>
      <w:pPr>
        <w:spacing w:after="0" w:line="40" w:lineRule="exact"/>
        <w:rPr>
          <w:rFonts w:ascii="Times New Roman" w:cs="Times New Roman" w:eastAsia="Times New Roman" w:hAnsi="Times New Roman"/>
          <w:sz w:val="14"/>
          <w:szCs w:val="14"/>
          <w:color w:val="auto"/>
        </w:rPr>
      </w:pPr>
    </w:p>
    <w:p>
      <w:pPr>
        <w:ind w:left="1700" w:right="259" w:firstLine="327"/>
        <w:spacing w:after="0" w:line="261" w:lineRule="auto"/>
        <w:tabs>
          <w:tab w:leader="none" w:pos="2228"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Gold nor any Gold Subsidiary has been subject to Tax in any jurisdiction outside the jurisdiction that it is incorporated or organized thereunder as a result of having a permanent establishment. No claim has ever been made by a Governmental Authority in a jurisdiction where Gold or any Gold Subsidiary does not file Tax Returns of a particular type that such entity is or may be subject to taxation of such type by that jurisdiction;</w:t>
      </w:r>
    </w:p>
    <w:p>
      <w:pPr>
        <w:spacing w:after="0" w:line="56" w:lineRule="exact"/>
        <w:rPr>
          <w:rFonts w:ascii="Times New Roman" w:cs="Times New Roman" w:eastAsia="Times New Roman" w:hAnsi="Times New Roman"/>
          <w:sz w:val="14"/>
          <w:szCs w:val="14"/>
          <w:color w:val="auto"/>
        </w:rPr>
      </w:pPr>
    </w:p>
    <w:p>
      <w:pPr>
        <w:ind w:left="1700" w:right="259" w:firstLine="327"/>
        <w:spacing w:after="0" w:line="255" w:lineRule="auto"/>
        <w:tabs>
          <w:tab w:leader="none" w:pos="2267"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Gold nor any Gold Subsidiary (A) is party to any Tax allocation, sharing, indemnity, or reimbursement agreement or other similar agreement (other than any customary commercial, leasing or employment contracts the primary purpose of which is not related to Taxes or any Tax allocation, sharing, indemnity or reimbursement agreement the only parties to which are Gold or any Gold Subsidiary), (B) is subject to any “closing agreement” within the meaning of Section 7121 of the Code (or any corresponding similar provision of state, local or non-U.S. Tax Law) or other written agreement (including a Tax ruling) with a Governmental Authority that will remain in effect after the Closing, or (C) has any Liability for Taxes of any Person (other than Gold or any Gold Subsidiary) under Treasury Regulations Section 1.1502-6 (or any similar provision of state, local or non-U.S. Law), as a transferee or successor, by operation of law or by contract (other than customary commercial, leasing or employment contracts the primary purposes of which do not relate to Taxes);</w:t>
      </w:r>
    </w:p>
    <w:p>
      <w:pPr>
        <w:spacing w:after="0" w:line="61" w:lineRule="exact"/>
        <w:rPr>
          <w:rFonts w:ascii="Times New Roman" w:cs="Times New Roman" w:eastAsia="Times New Roman" w:hAnsi="Times New Roman"/>
          <w:sz w:val="14"/>
          <w:szCs w:val="14"/>
          <w:color w:val="auto"/>
        </w:rPr>
      </w:pPr>
    </w:p>
    <w:p>
      <w:pPr>
        <w:ind w:left="1700" w:right="319" w:firstLine="327"/>
        <w:spacing w:after="0" w:line="267" w:lineRule="auto"/>
        <w:tabs>
          <w:tab w:leader="none" w:pos="2305"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past two (2) years, neither Gold nor any Gold Subsidiary has constituted either a “distributing corporation” or a “controlled corporation” (within the meaning of Section 355(a)(1)(A) of the Code) in a distribution of stock intended to qualify for tax-free treatment under Section 355 of the Code;</w:t>
      </w:r>
    </w:p>
    <w:p>
      <w:pPr>
        <w:spacing w:after="0" w:line="51" w:lineRule="exact"/>
        <w:rPr>
          <w:rFonts w:ascii="Times New Roman" w:cs="Times New Roman" w:eastAsia="Times New Roman" w:hAnsi="Times New Roman"/>
          <w:sz w:val="14"/>
          <w:szCs w:val="14"/>
          <w:color w:val="auto"/>
        </w:rPr>
      </w:pPr>
    </w:p>
    <w:p>
      <w:pPr>
        <w:ind w:left="2340" w:hanging="313"/>
        <w:spacing w:after="0"/>
        <w:tabs>
          <w:tab w:leader="none" w:pos="234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Gold nor any Gold Subsidiary has participated in a “listed transaction” within the meaning of Treasury Regulations</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Section 1.6011-4(b)(2); and</w:t>
      </w:r>
    </w:p>
    <w:p>
      <w:pPr>
        <w:spacing w:after="0" w:line="77" w:lineRule="exact"/>
        <w:rPr>
          <w:sz w:val="20"/>
          <w:szCs w:val="20"/>
          <w:color w:val="auto"/>
        </w:rPr>
      </w:pPr>
    </w:p>
    <w:p>
      <w:pPr>
        <w:ind w:left="2260" w:hanging="233"/>
        <w:spacing w:after="0"/>
        <w:tabs>
          <w:tab w:leader="none" w:pos="226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for Taxes (other than Permitted Liens) upon the assets of Gold or any of the Gold Subsidiaries.</w:t>
      </w:r>
    </w:p>
    <w:p>
      <w:pPr>
        <w:spacing w:after="0" w:line="175" w:lineRule="exact"/>
        <w:rPr>
          <w:rFonts w:ascii="Times New Roman" w:cs="Times New Roman" w:eastAsia="Times New Roman" w:hAnsi="Times New Roman"/>
          <w:sz w:val="14"/>
          <w:szCs w:val="14"/>
          <w:color w:val="auto"/>
        </w:rPr>
      </w:pPr>
    </w:p>
    <w:p>
      <w:pPr>
        <w:ind w:left="1360" w:right="899" w:firstLine="338"/>
        <w:spacing w:after="0" w:line="283" w:lineRule="auto"/>
        <w:tabs>
          <w:tab w:leader="none" w:pos="1901"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Gold nor any of the Gold Subsidiaries has taken or agreed to take any action or knows of any fact, agreement, plan or other circumstance that would reasonably be expected to prevent or impede (i) the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A-51</w:t>
      </w:r>
    </w:p>
    <w:p>
      <w:pPr>
        <w:sectPr>
          <w:pgSz w:w="11900" w:h="16838" w:orient="portrait"/>
          <w:cols w:equalWidth="0" w:num="1">
            <w:col w:w="10159"/>
          </w:cols>
          <w:pgMar w:left="300" w:top="385" w:right="1440"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 xml:space="preserve">Intended Tax Treatment, (ii) Mercury from delivering the Mercury Distribution Tax Representations, (iii) SpinCo from delivering the SpinCo Merger Tax Representations, (iv) Gold from delivering the Gold Tax Representations, (v) Mercury from receiving the IRS Ruling, (vi) Mercury or Gold from receiving the Tax opinions described in </w:t>
      </w:r>
      <w:r>
        <w:rPr>
          <w:rFonts w:ascii="Times New Roman" w:cs="Times New Roman" w:eastAsia="Times New Roman" w:hAnsi="Times New Roman"/>
          <w:sz w:val="14"/>
          <w:szCs w:val="14"/>
          <w:u w:val="single" w:color="auto"/>
          <w:color w:val="auto"/>
        </w:rPr>
        <w:t>Section 7.2(d)</w:t>
      </w:r>
      <w:r>
        <w:rPr>
          <w:rFonts w:ascii="Times New Roman" w:cs="Times New Roman" w:eastAsia="Times New Roman" w:hAnsi="Times New Roman"/>
          <w:sz w:val="14"/>
          <w:szCs w:val="14"/>
          <w:color w:val="auto"/>
        </w:rPr>
        <w:t>, (vii) Mercury from receiving Mercury Merger Tax Opinion or (viii) Gold from receiving the Gold Merger Tax Opinion.</w:t>
      </w:r>
    </w:p>
    <w:p>
      <w:pPr>
        <w:spacing w:after="0" w:line="141" w:lineRule="exact"/>
        <w:rPr>
          <w:sz w:val="20"/>
          <w:szCs w:val="20"/>
          <w:color w:val="auto"/>
        </w:rPr>
      </w:pPr>
    </w:p>
    <w:p>
      <w:pPr>
        <w:ind w:left="1360" w:right="439" w:firstLine="338"/>
        <w:spacing w:after="0" w:line="283" w:lineRule="auto"/>
        <w:tabs>
          <w:tab w:leader="none" w:pos="1893"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Merger Sub was formed solely for the purpose of engaging in the Merger, and does not have any assets and has not engaged in any business activities or conducted any operations other than in connection with the Merger.</w:t>
      </w:r>
    </w:p>
    <w:p>
      <w:pPr>
        <w:spacing w:after="0" w:line="125"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 (a) Except as contemplated by this Agreement or the other Transaction Documents, since September 30, 2025 and through the date of this Agreement, the Gold Business has operated in the ordinary course of business in all material respects and (b) since September 30, 2025, there has not occurred any event, change, occurrence, circumstance, development or effect that is, or would reasonably be expected to result in, individually or in the aggregate, a Gold Material Adverse Effect.</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u w:val="single" w:color="auto"/>
          <w:color w:val="auto"/>
        </w:rPr>
        <w:t>Material Contracts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67" w:lineRule="auto"/>
        <w:tabs>
          <w:tab w:leader="none" w:pos="1893"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 are no Gold Material Contracts as of the date hereof except as set forth on </w:t>
      </w:r>
      <w:r>
        <w:rPr>
          <w:rFonts w:ascii="Times New Roman" w:cs="Times New Roman" w:eastAsia="Times New Roman" w:hAnsi="Times New Roman"/>
          <w:sz w:val="14"/>
          <w:szCs w:val="14"/>
          <w:u w:val="single" w:color="auto"/>
          <w:color w:val="auto"/>
        </w:rPr>
        <w:t>Section 6.13(a)</w:t>
      </w:r>
      <w:r>
        <w:rPr>
          <w:rFonts w:ascii="Times New Roman" w:cs="Times New Roman" w:eastAsia="Times New Roman" w:hAnsi="Times New Roman"/>
          <w:sz w:val="14"/>
          <w:szCs w:val="14"/>
          <w:color w:val="auto"/>
        </w:rPr>
        <w:t xml:space="preserve"> of the Gold Disclosure Letter. The term “</w:t>
      </w:r>
      <w:r>
        <w:rPr>
          <w:rFonts w:ascii="Times New Roman" w:cs="Times New Roman" w:eastAsia="Times New Roman" w:hAnsi="Times New Roman"/>
          <w:sz w:val="14"/>
          <w:szCs w:val="14"/>
          <w:u w:val="single" w:color="auto"/>
          <w:color w:val="auto"/>
        </w:rPr>
        <w:t>Gold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Material Contracts</w:t>
      </w:r>
      <w:r>
        <w:rPr>
          <w:rFonts w:ascii="Times New Roman" w:cs="Times New Roman" w:eastAsia="Times New Roman" w:hAnsi="Times New Roman"/>
          <w:sz w:val="14"/>
          <w:szCs w:val="14"/>
          <w:color w:val="auto"/>
        </w:rPr>
        <w:t>” means Contracts (other than (x) sales or purchase orders, statements of work, standard terms and conditions, invoices and similar instruments or (y) Benefit Plans) in the following categories to which Gold or any of the Gold Subsidiaries is a party:</w:t>
      </w:r>
    </w:p>
    <w:p>
      <w:pPr>
        <w:spacing w:after="0" w:line="51" w:lineRule="exact"/>
        <w:rPr>
          <w:rFonts w:ascii="Times New Roman" w:cs="Times New Roman" w:eastAsia="Times New Roman" w:hAnsi="Times New Roman"/>
          <w:sz w:val="14"/>
          <w:szCs w:val="14"/>
          <w:color w:val="auto"/>
        </w:rPr>
      </w:pPr>
    </w:p>
    <w:p>
      <w:pPr>
        <w:ind w:left="1700" w:right="319" w:firstLine="327"/>
        <w:spacing w:after="0" w:line="267" w:lineRule="auto"/>
        <w:tabs>
          <w:tab w:leader="none" w:pos="2197"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top ten (10) Contracts, measured by the total amounts invoiced to Gold or any Gold Subsidiary during the twelve (12) month period ending December 31, 2025, other than any such Contracts that can be terminated on less than one hundred twenty (120) days’ notice without material monetary penalty;</w:t>
      </w:r>
    </w:p>
    <w:p>
      <w:pPr>
        <w:spacing w:after="0" w:line="51" w:lineRule="exact"/>
        <w:rPr>
          <w:rFonts w:ascii="Times New Roman" w:cs="Times New Roman" w:eastAsia="Times New Roman" w:hAnsi="Times New Roman"/>
          <w:sz w:val="14"/>
          <w:szCs w:val="14"/>
          <w:color w:val="auto"/>
        </w:rPr>
      </w:pPr>
    </w:p>
    <w:p>
      <w:pPr>
        <w:ind w:left="1700" w:right="419" w:firstLine="327"/>
        <w:spacing w:after="0" w:line="283" w:lineRule="auto"/>
        <w:tabs>
          <w:tab w:leader="none" w:pos="2235"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Contracts with each of the top ten (10) customers of the Gold Business measured by amounts paid to Gold or any Gold Subsidiary during the twelve (12) month period ending December 31, 2025;</w:t>
      </w:r>
    </w:p>
    <w:p>
      <w:pPr>
        <w:spacing w:after="0" w:line="40" w:lineRule="exact"/>
        <w:rPr>
          <w:rFonts w:ascii="Times New Roman" w:cs="Times New Roman" w:eastAsia="Times New Roman" w:hAnsi="Times New Roman"/>
          <w:sz w:val="14"/>
          <w:szCs w:val="14"/>
          <w:color w:val="auto"/>
        </w:rPr>
      </w:pPr>
    </w:p>
    <w:p>
      <w:pPr>
        <w:ind w:left="1700" w:right="339" w:firstLine="327"/>
        <w:spacing w:after="0" w:line="267" w:lineRule="auto"/>
        <w:tabs>
          <w:tab w:leader="none" w:pos="2274"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requiring future capital commitments, investments or expenditures (or series of capital expenditures) by Gold or its Subsidiaries in excess of $1,000,000, other than partnerships, joint ventures, collaborations or similar material agreements involving partnership, co-investment or collaboration between Gold or the Gold Subsidiaries, on the one hand, and a third party, on the other hand;</w:t>
      </w:r>
    </w:p>
    <w:p>
      <w:pPr>
        <w:spacing w:after="0" w:line="51" w:lineRule="exact"/>
        <w:rPr>
          <w:rFonts w:ascii="Times New Roman" w:cs="Times New Roman" w:eastAsia="Times New Roman" w:hAnsi="Times New Roman"/>
          <w:sz w:val="14"/>
          <w:szCs w:val="14"/>
          <w:color w:val="auto"/>
        </w:rPr>
      </w:pPr>
    </w:p>
    <w:p>
      <w:pPr>
        <w:ind w:left="1700" w:right="359" w:firstLine="327"/>
        <w:spacing w:after="0" w:line="281" w:lineRule="auto"/>
        <w:tabs>
          <w:tab w:leader="none" w:pos="2267" w:val="left"/>
        </w:tabs>
        <w:numPr>
          <w:ilvl w:val="1"/>
          <w:numId w:val="3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material partnership, joint venture, profit sharing, joint development, collaboration or similar material agreement involving partnership, co-investment or collaboration involving Gold or the Gold Subsidiaries, on the one hand, and a third party, on the other hand, which</w:t>
      </w:r>
    </w:p>
    <w:p>
      <w:pPr>
        <w:spacing w:after="0" w:line="1" w:lineRule="exact"/>
        <w:rPr>
          <w:rFonts w:ascii="Times New Roman" w:cs="Times New Roman" w:eastAsia="Times New Roman" w:hAnsi="Times New Roman"/>
          <w:sz w:val="13"/>
          <w:szCs w:val="13"/>
          <w:color w:val="auto"/>
        </w:rPr>
      </w:pPr>
    </w:p>
    <w:p>
      <w:pPr>
        <w:ind w:left="1700" w:right="359"/>
        <w:spacing w:after="0" w:line="25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is reasonably expected to have revenues attributable to Gold in excess of $5,000,000 during the twelve (12) month period following the date hereof, or (B) pursuant to which Gold or the Gold Subsidiaries has an express obligation to make any investment in, or advancement or capital contribution to, any other Person in excess of $5,000,000, in the aggregate, in the twelve (12) month period following the date hereof, in each case, other than any such Contract solely between Gold and its wholly owned Subsidiaries or among wholly owned Subsidiaries of Gold;</w:t>
      </w:r>
    </w:p>
    <w:p>
      <w:pPr>
        <w:spacing w:after="0" w:line="60" w:lineRule="exact"/>
        <w:rPr>
          <w:rFonts w:ascii="Times New Roman" w:cs="Times New Roman" w:eastAsia="Times New Roman" w:hAnsi="Times New Roman"/>
          <w:sz w:val="13"/>
          <w:szCs w:val="13"/>
          <w:color w:val="auto"/>
        </w:rPr>
      </w:pPr>
    </w:p>
    <w:p>
      <w:pPr>
        <w:ind w:left="1700" w:right="319" w:firstLine="327"/>
        <w:spacing w:after="0" w:line="261" w:lineRule="auto"/>
        <w:tabs>
          <w:tab w:leader="none" w:pos="2228"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the acquisition or disposition of any business, product line, equity interests or a material amount of assets, in each case, for aggregate consideration under such Contract in excess of $5,000,000 (whether by merger, sale of stock, sale of assets or otherwise) under which, after the Closing, Gold or its Affiliates will have any remaining material obligation with respect to an indemnification, “earn out,” contingent purchase price or similar contingent obligations;</w:t>
      </w:r>
    </w:p>
    <w:p>
      <w:pPr>
        <w:spacing w:after="0" w:line="56" w:lineRule="exact"/>
        <w:rPr>
          <w:rFonts w:ascii="Times New Roman" w:cs="Times New Roman" w:eastAsia="Times New Roman" w:hAnsi="Times New Roman"/>
          <w:sz w:val="14"/>
          <w:szCs w:val="14"/>
          <w:color w:val="auto"/>
        </w:rPr>
      </w:pPr>
    </w:p>
    <w:p>
      <w:pPr>
        <w:jc w:val="both"/>
        <w:ind w:left="1700" w:right="319" w:firstLine="327"/>
        <w:spacing w:after="0" w:line="267" w:lineRule="auto"/>
        <w:tabs>
          <w:tab w:leader="none" w:pos="2267" w:val="left"/>
        </w:tabs>
        <w:numPr>
          <w:ilvl w:val="1"/>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Contract the express terms of which restrict or limit in any material respect the ability of Gold or its Affiliates after the Closing to compete in any business or with any Person or in any geographic area, (B) any Contract the express terms of which grant the other party “most favored nation” status or</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A-52</w:t>
      </w:r>
    </w:p>
    <w:p>
      <w:pPr>
        <w:sectPr>
          <w:pgSz w:w="11900" w:h="16838" w:orient="portrait"/>
          <w:cols w:equalWidth="0" w:num="1">
            <w:col w:w="10159"/>
          </w:cols>
          <w:pgMar w:left="300" w:top="385" w:right="1440"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319"/>
        <w:spacing w:after="0" w:line="283" w:lineRule="auto"/>
        <w:rPr>
          <w:sz w:val="20"/>
          <w:szCs w:val="20"/>
          <w:color w:val="auto"/>
        </w:rPr>
      </w:pPr>
      <w:r>
        <w:rPr>
          <w:rFonts w:ascii="Times New Roman" w:cs="Times New Roman" w:eastAsia="Times New Roman" w:hAnsi="Times New Roman"/>
          <w:sz w:val="14"/>
          <w:szCs w:val="14"/>
          <w:color w:val="auto"/>
        </w:rPr>
        <w:t>equivalent preferential pricing terms as would have a material impact on the Gold Business, or (C) any Contract the express terms of which grant the other party exclusivity or similar rights as would have a material impact on the Gold Business;</w:t>
      </w:r>
    </w:p>
    <w:p>
      <w:pPr>
        <w:spacing w:after="0" w:line="41" w:lineRule="exact"/>
        <w:rPr>
          <w:sz w:val="20"/>
          <w:szCs w:val="20"/>
          <w:color w:val="auto"/>
        </w:rPr>
      </w:pPr>
    </w:p>
    <w:p>
      <w:pPr>
        <w:ind w:left="1700" w:right="259" w:firstLine="327"/>
        <w:spacing w:after="0" w:line="273" w:lineRule="auto"/>
        <w:tabs>
          <w:tab w:leader="none" w:pos="2305" w:val="left"/>
        </w:tabs>
        <w:numPr>
          <w:ilvl w:val="1"/>
          <w:numId w:val="3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(A) pursuant to which (1) any Person has licensed any material Intellectual Property to Gold or the Gold Subsidiaries, or granted to Gold or the Gold Subsidiaries, any covenant not to sue or right of use with respect to any Intellectual Property, excluding non-exclusive licenses with respect to commercially available software on standard terms with aggregate annual or one-time license, maintenance, support and other fees of less than $250,000, or (2) Gold or the Gold Subsidiaries have granted any Person a license to any material Gold Intellectual Property or a covenant not to sue or other right of use with respect to any material Gold Intellectual Property, other than non-exclusive licenses granted in the ordinary course of business in connection with the sale of any products or services to customers of Gold or the Gold Subsidiaries, or</w:t>
      </w:r>
    </w:p>
    <w:p>
      <w:pPr>
        <w:spacing w:after="0" w:line="3" w:lineRule="exact"/>
        <w:rPr>
          <w:rFonts w:ascii="Times New Roman" w:cs="Times New Roman" w:eastAsia="Times New Roman" w:hAnsi="Times New Roman"/>
          <w:sz w:val="13"/>
          <w:szCs w:val="13"/>
          <w:color w:val="auto"/>
        </w:rPr>
      </w:pPr>
    </w:p>
    <w:p>
      <w:pPr>
        <w:ind w:left="1700" w:right="299" w:hanging="2"/>
        <w:spacing w:after="0" w:line="300" w:lineRule="auto"/>
        <w:tabs>
          <w:tab w:leader="none" w:pos="1922" w:val="left"/>
        </w:tabs>
        <w:numPr>
          <w:ilvl w:val="0"/>
          <w:numId w:val="3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relating to the development of any material Intellectual Property purported to be owned by Gold or any Gold Subsidiary (other than Contracts entered into with employees or independent contractors on Gold’s standard form invention assignment agreements made available to SpinCo);</w:t>
      </w:r>
    </w:p>
    <w:p>
      <w:pPr>
        <w:spacing w:after="0" w:line="32" w:lineRule="exact"/>
        <w:rPr>
          <w:rFonts w:ascii="Times New Roman" w:cs="Times New Roman" w:eastAsia="Times New Roman" w:hAnsi="Times New Roman"/>
          <w:sz w:val="13"/>
          <w:szCs w:val="13"/>
          <w:color w:val="auto"/>
        </w:rPr>
      </w:pPr>
    </w:p>
    <w:p>
      <w:pPr>
        <w:ind w:left="1700" w:right="379" w:firstLine="327"/>
        <w:spacing w:after="0" w:line="261" w:lineRule="auto"/>
        <w:tabs>
          <w:tab w:leader="none" w:pos="2344"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Commitment Letter or otherwise in connection with the Gold Financing, any Contract relating to or evidencing indebtedness for borrowed money of Gold or the Gold Subsidiaries in excess of $1,000,000, except for any Contract relating to indebtedness for borrowed money or guarantees or credit support arrangements with respect to any such indebtedness or arrangements between Gold and a Gold Subsidiary or between the Gold Subsidiaries;</w:t>
      </w:r>
    </w:p>
    <w:p>
      <w:pPr>
        <w:spacing w:after="0" w:line="56" w:lineRule="exact"/>
        <w:rPr>
          <w:rFonts w:ascii="Times New Roman" w:cs="Times New Roman" w:eastAsia="Times New Roman" w:hAnsi="Times New Roman"/>
          <w:sz w:val="14"/>
          <w:szCs w:val="14"/>
          <w:color w:val="auto"/>
        </w:rPr>
      </w:pPr>
    </w:p>
    <w:p>
      <w:pPr>
        <w:ind w:left="1700" w:right="499" w:firstLine="327"/>
        <w:spacing w:after="0" w:line="283" w:lineRule="auto"/>
        <w:tabs>
          <w:tab w:leader="none" w:pos="2267"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interest rate, currency, commodity or other swap, collar, cap or other hedging or similar agreements or arrangements to which Gold or the Gold Subsidiaries are party;</w:t>
      </w:r>
    </w:p>
    <w:p>
      <w:pPr>
        <w:spacing w:after="0" w:line="40" w:lineRule="exact"/>
        <w:rPr>
          <w:rFonts w:ascii="Times New Roman" w:cs="Times New Roman" w:eastAsia="Times New Roman" w:hAnsi="Times New Roman"/>
          <w:sz w:val="14"/>
          <w:szCs w:val="14"/>
          <w:color w:val="auto"/>
        </w:rPr>
      </w:pPr>
    </w:p>
    <w:p>
      <w:pPr>
        <w:ind w:left="1700" w:right="279" w:firstLine="327"/>
        <w:spacing w:after="0" w:line="283" w:lineRule="auto"/>
        <w:tabs>
          <w:tab w:leader="none" w:pos="2228"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under which Gold or any of the Gold Subsidiaries has continuing material guarantee or indemnification obligations to any Person, other than those entered into in the ordinary course of the Gold Business;</w:t>
      </w:r>
    </w:p>
    <w:p>
      <w:pPr>
        <w:spacing w:after="0" w:line="40" w:lineRule="exact"/>
        <w:rPr>
          <w:rFonts w:ascii="Times New Roman" w:cs="Times New Roman" w:eastAsia="Times New Roman" w:hAnsi="Times New Roman"/>
          <w:sz w:val="14"/>
          <w:szCs w:val="14"/>
          <w:color w:val="auto"/>
        </w:rPr>
      </w:pPr>
    </w:p>
    <w:p>
      <w:pPr>
        <w:ind w:left="1700" w:right="359" w:firstLine="327"/>
        <w:spacing w:after="0" w:line="283" w:lineRule="auto"/>
        <w:tabs>
          <w:tab w:leader="none" w:pos="2267"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vendor Contracts with a third party pursuant to which such third party provides information technology, human resources or financial services to Gold or any of the Gold Subsidiaries for use in the Gold Business;</w:t>
      </w:r>
    </w:p>
    <w:p>
      <w:pPr>
        <w:spacing w:after="0" w:line="40" w:lineRule="exact"/>
        <w:rPr>
          <w:rFonts w:ascii="Times New Roman" w:cs="Times New Roman" w:eastAsia="Times New Roman" w:hAnsi="Times New Roman"/>
          <w:sz w:val="14"/>
          <w:szCs w:val="14"/>
          <w:color w:val="auto"/>
        </w:rPr>
      </w:pPr>
    </w:p>
    <w:p>
      <w:pPr>
        <w:ind w:left="1700" w:right="479" w:firstLine="327"/>
        <w:spacing w:after="0" w:line="283" w:lineRule="auto"/>
        <w:tabs>
          <w:tab w:leader="none" w:pos="2305"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(xii) any material settlement Contract relating to any actual or threatened Actions in the two (2) years preceding the date of this Agreement pursuant to which Gold or any of its Subsidiaries has ongoing obligations after the Closing.</w:t>
      </w:r>
    </w:p>
    <w:p>
      <w:pPr>
        <w:spacing w:after="0" w:line="125" w:lineRule="exact"/>
        <w:rPr>
          <w:sz w:val="20"/>
          <w:szCs w:val="20"/>
          <w:color w:val="auto"/>
        </w:rPr>
      </w:pPr>
    </w:p>
    <w:p>
      <w:pPr>
        <w:ind w:left="1360" w:right="239" w:firstLine="338"/>
        <w:spacing w:after="0" w:line="254" w:lineRule="auto"/>
        <w:tabs>
          <w:tab w:leader="none" w:pos="1901"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has made available to Mercury copies of each Gold Material Contract that are correct and complete in all material respects (subject to any redaction of information deemed competitively sensitive by Gold or pursuant to applicable Law). Except as would not reasonably be expected to have, individually or in the aggregate, a Gold Material Adverse Effect, (i) each Gold Material Contract is a legal, valid and binding obligation of Gold or a Gold Subsidiary, as applicable, and, to the Knowledge of Gold, each counterparty thereto, and is in full force and effect and enforceable in accordance with its terms subject to the Remedies Exception, (ii) neither Gold and the applicable Gold Subsidiaries nor, to the Knowledge of Gold, any other party thereto, is in breach of, or in default under, any such Gold Material Contract, and (iii) no event has occurred that with notice or lapse of time or both would constitute such a breach or default thereunder by Gold or any of the applicable Gold Subsidiaries, or, to the Knowledge of Gold, any other party thereto. As of the date hereof, no party to any Gold Material Contract has exercised any termination rights with respect thereto (or provided written notice of intent to exercise such termination rights or written notice that such party intends to adversely amend or modify in any material respect (other than notice of amendments or modifications provided in the ordinary course of business), or elect not to renew or perform in any material respect, such Gold Material Contract).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6.14 </w:t>
      </w:r>
      <w:r>
        <w:rPr>
          <w:rFonts w:ascii="Times New Roman" w:cs="Times New Roman" w:eastAsia="Times New Roman" w:hAnsi="Times New Roman"/>
          <w:sz w:val="14"/>
          <w:szCs w:val="14"/>
          <w:u w:val="single" w:color="auto"/>
          <w:color w:val="auto"/>
        </w:rPr>
        <w:t>Labor Relations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439" w:firstLine="338"/>
        <w:spacing w:after="0" w:line="283" w:lineRule="auto"/>
        <w:tabs>
          <w:tab w:leader="none" w:pos="1893"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6.14(a)</w:t>
      </w:r>
      <w:r>
        <w:rPr>
          <w:rFonts w:ascii="Times New Roman" w:cs="Times New Roman" w:eastAsia="Times New Roman" w:hAnsi="Times New Roman"/>
          <w:sz w:val="14"/>
          <w:szCs w:val="14"/>
          <w:color w:val="auto"/>
        </w:rPr>
        <w:t xml:space="preserve"> of the Gold Disclosure Letter sets forth a list, as of the date hereof, of (i) each labor union, works council or other employee representative body that represents employees of Gold or the Gold</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A-53</w:t>
      </w:r>
    </w:p>
    <w:p>
      <w:pPr>
        <w:sectPr>
          <w:pgSz w:w="11900" w:h="16838" w:orient="portrait"/>
          <w:cols w:equalWidth="0" w:num="1">
            <w:col w:w="10159"/>
          </w:cols>
          <w:pgMar w:left="300" w:top="385" w:right="1440"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Subsidiaries and (ii) each Collective Bargaining Agreement covering employees of Gold or the Gold Subsidiaries. Except as would not reasonably be expected to be material to the Gold Business, taken as a whole: (A) no petition for recognition or certification of a bargaining unit or employee representative by a labor organization for the representation of any employees of Gold or the Gold Subsidiaries is pending or, to the Knowledge of Gold, threatened; and (B) no strike, slowdown, work stoppage, lockout, job action, picketing, handbilling, labor dispute, union organizing activity, in each case affecting Gold or the Gold Subsidiaries, is pending or has occurred within the past two (2) years.</w:t>
      </w:r>
    </w:p>
    <w:p>
      <w:pPr>
        <w:spacing w:after="0" w:line="144" w:lineRule="exact"/>
        <w:rPr>
          <w:sz w:val="20"/>
          <w:szCs w:val="20"/>
          <w:color w:val="auto"/>
        </w:rPr>
      </w:pPr>
    </w:p>
    <w:p>
      <w:pPr>
        <w:ind w:left="1360" w:right="219" w:firstLine="338"/>
        <w:spacing w:after="0" w:line="261" w:lineRule="auto"/>
        <w:tabs>
          <w:tab w:leader="none" w:pos="1901"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pending, or to the Knowledge of Gold, threatened, unfair labor or other employment-related practice charges, complaints, grievances or other Actions by or before any Governmental Authority arising under any applicable Law governing labor or employment by, in connection with, or otherwise related to any current employees or independent contractors of Gold or the Gold Subsidiaries, other than any such charges, complaints, grievances or Actions that would not reasonably be expected to have, individually or in the aggregate, a Gold Material Adverse Effect.</w:t>
      </w:r>
    </w:p>
    <w:p>
      <w:pPr>
        <w:spacing w:after="0" w:line="140" w:lineRule="exact"/>
        <w:rPr>
          <w:rFonts w:ascii="Times New Roman" w:cs="Times New Roman" w:eastAsia="Times New Roman" w:hAnsi="Times New Roman"/>
          <w:sz w:val="14"/>
          <w:szCs w:val="14"/>
          <w:color w:val="auto"/>
        </w:rPr>
      </w:pPr>
    </w:p>
    <w:p>
      <w:pPr>
        <w:ind w:left="1880" w:hanging="182"/>
        <w:spacing w:after="0"/>
        <w:tabs>
          <w:tab w:leader="none" w:pos="1880" w:val="left"/>
        </w:tabs>
        <w:numPr>
          <w:ilvl w:val="1"/>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for the past two</w:t>
      </w:r>
    </w:p>
    <w:p>
      <w:pPr>
        <w:spacing w:after="0" w:line="21" w:lineRule="exact"/>
        <w:rPr>
          <w:rFonts w:ascii="Times New Roman" w:cs="Times New Roman" w:eastAsia="Times New Roman" w:hAnsi="Times New Roman"/>
          <w:sz w:val="14"/>
          <w:szCs w:val="14"/>
          <w:color w:val="auto"/>
        </w:rPr>
      </w:pPr>
    </w:p>
    <w:p>
      <w:pPr>
        <w:ind w:left="1360" w:right="259" w:hanging="5"/>
        <w:spacing w:after="0" w:line="253" w:lineRule="auto"/>
        <w:tabs>
          <w:tab w:leader="none" w:pos="1558"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Gold and the Gold Subsidiaries have been in compliance with all Laws relating to labor, employment, and employment practices, including all Laws respecting terms and conditions of employment, employment practices, discrimination, harassment, retaliation, civil rights, plant closures and mass layoffs (including WARN Laws), wages (including minimum wage and overtime), hours of work, meal and rest breaks, withholdings and deductions, worker classification (including the classification of exempt and non-exempt employees and of independent contractors and consultants), employment equity, collective bargaining, labor relations, occupational health and safety, workers’ compensation and immigration.</w:t>
      </w:r>
    </w:p>
    <w:p>
      <w:pPr>
        <w:spacing w:after="0" w:line="146" w:lineRule="exact"/>
        <w:rPr>
          <w:rFonts w:ascii="Times New Roman" w:cs="Times New Roman" w:eastAsia="Times New Roman" w:hAnsi="Times New Roman"/>
          <w:sz w:val="14"/>
          <w:szCs w:val="14"/>
          <w:color w:val="auto"/>
        </w:rPr>
      </w:pPr>
    </w:p>
    <w:p>
      <w:pPr>
        <w:jc w:val="both"/>
        <w:ind w:left="1360" w:right="399" w:firstLine="338"/>
        <w:spacing w:after="0" w:line="267" w:lineRule="auto"/>
        <w:tabs>
          <w:tab w:leader="none" w:pos="1901" w:val="left"/>
        </w:tabs>
        <w:numPr>
          <w:ilvl w:val="1"/>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and each of the Gold Subsidiaries have reasonably investigated all allegations of sexual or other harassment that have been reported to Gold’s human resources department in the past two (2) years made against any officer, director, executive, or similarly-levelled employee. Neither the Gold nor any of the Gold Subsidiaries reasonably anticipates any material Liabilities relating to any such allegations.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6.15 </w:t>
      </w:r>
      <w:r>
        <w:rPr>
          <w:rFonts w:ascii="Times New Roman" w:cs="Times New Roman" w:eastAsia="Times New Roman" w:hAnsi="Times New Roman"/>
          <w:sz w:val="14"/>
          <w:szCs w:val="14"/>
          <w:u w:val="single" w:color="auto"/>
          <w:color w:val="auto"/>
        </w:rPr>
        <w:t>Compliance with Law; Permits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38"/>
        <w:spacing w:after="0" w:line="254" w:lineRule="auto"/>
        <w:tabs>
          <w:tab w:leader="none" w:pos="1893"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Environmental Laws (which are addressed exclusively as set forth in </w:t>
      </w:r>
      <w:r>
        <w:rPr>
          <w:rFonts w:ascii="Times New Roman" w:cs="Times New Roman" w:eastAsia="Times New Roman" w:hAnsi="Times New Roman"/>
          <w:sz w:val="14"/>
          <w:szCs w:val="14"/>
          <w:u w:val="single" w:color="auto"/>
          <w:color w:val="auto"/>
        </w:rPr>
        <w:t>Section 6.19</w:t>
      </w:r>
      <w:r>
        <w:rPr>
          <w:rFonts w:ascii="Times New Roman" w:cs="Times New Roman" w:eastAsia="Times New Roman" w:hAnsi="Times New Roman"/>
          <w:sz w:val="14"/>
          <w:szCs w:val="14"/>
          <w:color w:val="auto"/>
        </w:rPr>
        <w:t>), Gold and the Gold Subsidiaries are, and, during the past two (2) years (i) have been in compliance with all applicable Laws and (ii) have not received written notice from any Governmental Authority alleging any material non-compliance with or possible material violation of any applicable Law or that Gold or any of the Gold Subsidiaries is subject to any inspection, investigation, survey, audit or other review, except in each case as would not reasonably be expected to have, individually or in the aggregate, a Gold Material Adverse Effect. Neither Gold nor any of the Gold Subsidiaries is subject to any corporate integrity agreements, deferred prosecution agreements, monitoring agreements or consent decrees with or imposed by any Governmental Authority and to the Knowledge of Gold</w:t>
      </w:r>
    </w:p>
    <w:p>
      <w:pPr>
        <w:spacing w:after="0" w:line="1" w:lineRule="exact"/>
        <w:rPr>
          <w:rFonts w:ascii="Times New Roman" w:cs="Times New Roman" w:eastAsia="Times New Roman" w:hAnsi="Times New Roman"/>
          <w:sz w:val="14"/>
          <w:szCs w:val="14"/>
          <w:color w:val="auto"/>
        </w:rPr>
      </w:pPr>
    </w:p>
    <w:p>
      <w:pPr>
        <w:ind w:left="1360" w:right="299" w:hanging="5"/>
        <w:spacing w:after="0" w:line="261" w:lineRule="auto"/>
        <w:tabs>
          <w:tab w:leader="none" w:pos="1589"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imposition of any such agreement or decree is not currently pending, and (B) neither Gold nor any of the Gold Subsidiaries has received written notice that the imposition of any such agreement or decree is currently contemplated or proposed.</w:t>
      </w:r>
    </w:p>
    <w:p>
      <w:pPr>
        <w:spacing w:after="0" w:line="139" w:lineRule="exact"/>
        <w:rPr>
          <w:rFonts w:ascii="Times New Roman" w:cs="Times New Roman" w:eastAsia="Times New Roman" w:hAnsi="Times New Roman"/>
          <w:sz w:val="14"/>
          <w:szCs w:val="14"/>
          <w:color w:val="auto"/>
        </w:rPr>
      </w:pPr>
    </w:p>
    <w:p>
      <w:pPr>
        <w:ind w:left="1360" w:right="359" w:firstLine="338"/>
        <w:spacing w:after="0" w:line="257" w:lineRule="auto"/>
        <w:tabs>
          <w:tab w:leader="none" w:pos="1901" w:val="left"/>
        </w:tabs>
        <w:numPr>
          <w:ilvl w:val="1"/>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with respect to Permits required under applicable Environmental Laws (which are addressed exclusively in </w:t>
      </w:r>
      <w:r>
        <w:rPr>
          <w:rFonts w:ascii="Times New Roman" w:cs="Times New Roman" w:eastAsia="Times New Roman" w:hAnsi="Times New Roman"/>
          <w:sz w:val="14"/>
          <w:szCs w:val="14"/>
          <w:u w:val="single" w:color="auto"/>
          <w:color w:val="auto"/>
        </w:rPr>
        <w:t>Section 6.19</w:t>
      </w:r>
      <w:r>
        <w:rPr>
          <w:rFonts w:ascii="Times New Roman" w:cs="Times New Roman" w:eastAsia="Times New Roman" w:hAnsi="Times New Roman"/>
          <w:sz w:val="14"/>
          <w:szCs w:val="14"/>
          <w:color w:val="auto"/>
        </w:rPr>
        <w:t>), at all times during the past two (2) years (i) Gold and the Gold Subsidiaries have obtained and maintained all of the Permits and Regulatory Authorizations necessary to conduct the Gold business substantially in the manner it was conducted as of the applicable date in compliance with applicable Law and (ii) such Permits and Regulatory Authorizations as are necessary to conduct the Gold Business substantially in the manner it is currently conducted are valid and in full force and effect and Gold or the applicable Gold Subsidiary is in compliance with the terms thereof, in each case of (i) and (ii) except for such matters that would not reasonably be expected to have, individually or in the aggregate, a Gold Material Adverse Effect.</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A-54</w:t>
      </w:r>
    </w:p>
    <w:p>
      <w:pPr>
        <w:sectPr>
          <w:pgSz w:w="11900" w:h="16838" w:orient="portrait"/>
          <w:cols w:equalWidth="0" w:num="1">
            <w:col w:w="10159"/>
          </w:cols>
          <w:pgMar w:left="300" w:top="386" w:right="1440"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38"/>
        <w:spacing w:after="0" w:line="280" w:lineRule="auto"/>
        <w:tabs>
          <w:tab w:leader="none" w:pos="1893" w:val="left"/>
        </w:tabs>
        <w:numPr>
          <w:ilvl w:val="0"/>
          <w:numId w:val="3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Gold, any of the Gold Subsidiaries, any of their respective employees or, to the Knowledge of Gold, any agent or other third party representative acting on behalf of Gold or the Gold Subsidiaries, (i) is currently, or since April 24, 2019 has been (A) a Sanctioned Person; (B) engaging in any dealings or transactions with or for the benefit of any Sanctioned Person or in any Sanctioned Country in violation of Sanctions; or (C) otherwise in violation of Trade Controls; or (ii) has in the past five (5) years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w:t>
      </w:r>
    </w:p>
    <w:p>
      <w:pPr>
        <w:spacing w:after="0" w:line="130" w:lineRule="exact"/>
        <w:rPr>
          <w:rFonts w:ascii="Times New Roman" w:cs="Times New Roman" w:eastAsia="Times New Roman" w:hAnsi="Times New Roman"/>
          <w:sz w:val="13"/>
          <w:szCs w:val="13"/>
          <w:color w:val="auto"/>
        </w:rPr>
      </w:pPr>
    </w:p>
    <w:p>
      <w:pPr>
        <w:ind w:left="1360" w:right="319" w:firstLine="338"/>
        <w:spacing w:after="0" w:line="256" w:lineRule="auto"/>
        <w:tabs>
          <w:tab w:leader="none" w:pos="1901"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Gold or any of the Gold Subsidiaries or any employee thereof, or, to the Knowledge of Gold, any agent or third party representative acting on behalf of the Gold Business, has (i) received from any Governmental Authority or any Person any written notice, request, citation, inquiry, or internal or external allegation; (ii) made any voluntary or involuntary disclosure to a Governmental Authority; or (iii) conducted any internal investigation or audit, in each case of clauses (i)-(iii) concerning any actual or potential violation or wrongdoing related to Trade Controls or Anti-Corruption Laws. There are no pending or, to the Knowledge of Gold, threatened claims against Gold or any of the Gold Subsidiaries with respect to Trade Controls or Anti-Corruption Laws. Gold and the Gold Subsidiaries have implemented policies and procedures reasonably designed to ensure compliance with Anti-Corruption Laws.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6.16 </w:t>
      </w:r>
      <w:r>
        <w:rPr>
          <w:rFonts w:ascii="Times New Roman" w:cs="Times New Roman" w:eastAsia="Times New Roman" w:hAnsi="Times New Roman"/>
          <w:sz w:val="14"/>
          <w:szCs w:val="14"/>
          <w:u w:val="single" w:color="auto"/>
          <w:color w:val="auto"/>
        </w:rPr>
        <w:t>Regulatory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38"/>
        <w:spacing w:after="0" w:line="280" w:lineRule="auto"/>
        <w:tabs>
          <w:tab w:leader="none" w:pos="1893" w:val="left"/>
        </w:tabs>
        <w:numPr>
          <w:ilvl w:val="0"/>
          <w:numId w:val="3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past two (2) years Gold and the Gold Subsidiaries have filed with the applicable regulatory authorities all required material filings, declarations, listings, registrations, reports or submissions, except, in each case, as would not have, and would not reasonably be expected to have, individually or in the aggregate, a Gold Material Adverse Effect. All such filings, declarations, listings, registrations, reports or submissions were in material compliance with all applicable Laws when filed, and, as of the date of this Agreement, no deficiencies have been asserted in writing by any applicable regulatory authorities to Gold or any of the Gold Subsidiaries with respect to any such filings, declarations, listing, registrations, reports or submissions, except as would not have, and would not reasonably be expected to have, individually or in the aggregate, a Gold Material Adverse Effect.</w:t>
      </w:r>
    </w:p>
    <w:p>
      <w:pPr>
        <w:spacing w:after="0" w:line="130" w:lineRule="exact"/>
        <w:rPr>
          <w:rFonts w:ascii="Times New Roman" w:cs="Times New Roman" w:eastAsia="Times New Roman" w:hAnsi="Times New Roman"/>
          <w:sz w:val="13"/>
          <w:szCs w:val="13"/>
          <w:color w:val="auto"/>
        </w:rPr>
      </w:pPr>
    </w:p>
    <w:p>
      <w:pPr>
        <w:ind w:left="1360" w:right="319" w:firstLine="338"/>
        <w:spacing w:after="0" w:line="267" w:lineRule="auto"/>
        <w:tabs>
          <w:tab w:leader="none" w:pos="1901"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and would not reasonably be expected to have, individually or in the aggregate, a Gold Material Adverse Effect, Gold and the Gold Subsidiaries have for the past two (2) years had appropriate internal controls that are reasonably designed to ensure compliance with all applicable Laws.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6.17 </w:t>
      </w:r>
      <w:r>
        <w:rPr>
          <w:rFonts w:ascii="Times New Roman" w:cs="Times New Roman" w:eastAsia="Times New Roman" w:hAnsi="Times New Roman"/>
          <w:sz w:val="14"/>
          <w:szCs w:val="14"/>
          <w:u w:val="single" w:color="auto"/>
          <w:color w:val="auto"/>
        </w:rPr>
        <w:t>Gold Benefit Plans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8" w:lineRule="auto"/>
        <w:tabs>
          <w:tab w:leader="none" w:pos="1893"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6.17(a)</w:t>
      </w:r>
      <w:r>
        <w:rPr>
          <w:rFonts w:ascii="Times New Roman" w:cs="Times New Roman" w:eastAsia="Times New Roman" w:hAnsi="Times New Roman"/>
          <w:sz w:val="14"/>
          <w:szCs w:val="14"/>
          <w:color w:val="auto"/>
        </w:rPr>
        <w:t xml:space="preserve"> of the Gold Disclosure Letter sets forth a list, as of the date hereof, of each material Gold Benefit Plan;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list may omit (i) any Gold Benefit Plan that is an individualized agreement that is consistent, in all material respects, with a representative form of agreement that has been provided to Mercury prior to the date hereof and (ii) any Gold Benefit Plan maintained outside of the United States. Within the sixty (60) day period following the date hereof Gold shall provide a supplemental Section 6.17(a) of the Gold Disclosure Letter that sets forth each Gold Benefit Plan that would been included on such initial schedule but for clause (ii) of the proviso in the first sentence of this Section 6.17(a).</w:t>
      </w:r>
    </w:p>
    <w:p>
      <w:pPr>
        <w:spacing w:after="0" w:line="143" w:lineRule="exact"/>
        <w:rPr>
          <w:rFonts w:ascii="Times New Roman" w:cs="Times New Roman" w:eastAsia="Times New Roman" w:hAnsi="Times New Roman"/>
          <w:sz w:val="14"/>
          <w:szCs w:val="14"/>
          <w:color w:val="auto"/>
        </w:rPr>
      </w:pPr>
    </w:p>
    <w:p>
      <w:pPr>
        <w:ind w:left="1360" w:right="259" w:firstLine="338"/>
        <w:spacing w:after="0" w:line="258" w:lineRule="auto"/>
        <w:tabs>
          <w:tab w:leader="none" w:pos="1901"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applicable with respect to each of the material Gold Benefit Plans required to be set forth on </w:t>
      </w:r>
      <w:r>
        <w:rPr>
          <w:rFonts w:ascii="Times New Roman" w:cs="Times New Roman" w:eastAsia="Times New Roman" w:hAnsi="Times New Roman"/>
          <w:sz w:val="14"/>
          <w:szCs w:val="14"/>
          <w:u w:val="single" w:color="auto"/>
          <w:color w:val="auto"/>
        </w:rPr>
        <w:t>Section 6.17(a</w:t>
      </w:r>
      <w:r>
        <w:rPr>
          <w:rFonts w:ascii="Times New Roman" w:cs="Times New Roman" w:eastAsia="Times New Roman" w:hAnsi="Times New Roman"/>
          <w:sz w:val="14"/>
          <w:szCs w:val="14"/>
          <w:color w:val="auto"/>
        </w:rPr>
        <w:t>) of the Gold Disclosure Letter, Gold has made available to Mercury true and complete copies of: (i) the applicable plan document (including all amendments thereto) (or, for any unwritten plan, a summary of the material terms thereof) and all related trust agreements, insurance policies or other funding arrangements; (ii) the most recent summary plan description; (iii) the most recent Form 5500 (including all schedules and attachments thereto); (iv) the most recent determination, opinion or advisory letter issued by the IRS; and (v) any</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A-55</w:t>
      </w:r>
    </w:p>
    <w:p>
      <w:pPr>
        <w:sectPr>
          <w:pgSz w:w="11900" w:h="16838" w:orient="portrait"/>
          <w:cols w:equalWidth="0" w:num="1">
            <w:col w:w="10159"/>
          </w:cols>
          <w:pgMar w:left="300" w:top="386" w:right="1440"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material, non-routine correspondence with any Governmental Authority in the past two (2) years. Notwithstanding the foregoing provisions of this paragraph, the foregoing materials in respect of material Gold Benefit Plans maintained outside of the United States may be made available to Mercury during the sixty (60) day period following the date hereof.</w:t>
      </w:r>
    </w:p>
    <w:p>
      <w:pPr>
        <w:spacing w:after="0" w:line="136" w:lineRule="exact"/>
        <w:rPr>
          <w:sz w:val="20"/>
          <w:szCs w:val="20"/>
          <w:color w:val="auto"/>
        </w:rPr>
      </w:pPr>
    </w:p>
    <w:p>
      <w:pPr>
        <w:ind w:left="1360" w:right="239" w:firstLine="338"/>
        <w:spacing w:after="0" w:line="267" w:lineRule="auto"/>
        <w:tabs>
          <w:tab w:leader="none" w:pos="1893" w:val="left"/>
        </w:tabs>
        <w:numPr>
          <w:ilvl w:val="1"/>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Gold Benefit Plan intended to be qualified under Section 401(a) of the Code has received a favorable determination letter from the IRS (or is entitled to rely upon a favorable opinion letter issued by the IRS), and to the Knowledge of Gold, there are no existing circumstances or events that would reasonably be expected to adversely affect the qualified status of any such plan.</w:t>
      </w:r>
    </w:p>
    <w:p>
      <w:pPr>
        <w:spacing w:after="0" w:line="135" w:lineRule="exact"/>
        <w:rPr>
          <w:rFonts w:ascii="Times New Roman" w:cs="Times New Roman" w:eastAsia="Times New Roman" w:hAnsi="Times New Roman"/>
          <w:sz w:val="14"/>
          <w:szCs w:val="14"/>
          <w:color w:val="auto"/>
        </w:rPr>
      </w:pPr>
    </w:p>
    <w:p>
      <w:pPr>
        <w:ind w:left="1360" w:right="259" w:firstLine="338"/>
        <w:spacing w:after="0" w:line="255" w:lineRule="auto"/>
        <w:tabs>
          <w:tab w:leader="none" w:pos="1901" w:val="left"/>
        </w:tabs>
        <w:numPr>
          <w:ilvl w:val="1"/>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(i) each of the Gold Benefit Plans has been established, maintained, operated, funded and administered in all respects in accordance with its terms and in compliance with applicable Law, including ERISA and the Code; (ii) there are no pending Actions or claims (other than routine claims for benefits), or to the Knowledge of Gold, threatened, against or involving any Gold Benefit Plan (or the assets thereof); (iii) all required contributions and other payments to each Gold Benefit Plan that have become due have been timely made or, if not yet due, properly accrued; (iv) there has been no non-exempt “prohibited transaction” within the meaning of Section 4975 of the Code or Section 406 of ERISA or breach of fiduciary duty (as determined under ERISA) with respect to any Gold Benefit Plan; and (v) neither Gold nor any of the Gold Subsidiaries has incurred (whether or not assessed) any Liability that has not been satisfied under Section 4980B, 4980D, 4980H, 6721 or 6722 of the Code.</w:t>
      </w:r>
    </w:p>
    <w:p>
      <w:pPr>
        <w:spacing w:after="0" w:line="145" w:lineRule="exact"/>
        <w:rPr>
          <w:rFonts w:ascii="Times New Roman" w:cs="Times New Roman" w:eastAsia="Times New Roman" w:hAnsi="Times New Roman"/>
          <w:sz w:val="14"/>
          <w:szCs w:val="14"/>
          <w:color w:val="auto"/>
        </w:rPr>
      </w:pPr>
    </w:p>
    <w:p>
      <w:pPr>
        <w:ind w:left="1360" w:right="319" w:firstLine="338"/>
        <w:spacing w:after="0" w:line="281" w:lineRule="auto"/>
        <w:tabs>
          <w:tab w:leader="none" w:pos="1893" w:val="left"/>
        </w:tabs>
        <w:numPr>
          <w:ilvl w:val="1"/>
          <w:numId w:val="3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Gold Benefit Plan is, and neither Gold nor any of its ERISA Affiliates sponsors, maintains, contributes to, has any obligation to contribute to, or has any Liability under or with respect to: (i) any Multiemployer Plan or (ii) a plan that has two (2) or more contributing sponsors, at least two</w:t>
      </w:r>
    </w:p>
    <w:p>
      <w:pPr>
        <w:spacing w:after="0" w:line="1" w:lineRule="exact"/>
        <w:rPr>
          <w:rFonts w:ascii="Times New Roman" w:cs="Times New Roman" w:eastAsia="Times New Roman" w:hAnsi="Times New Roman"/>
          <w:sz w:val="13"/>
          <w:szCs w:val="13"/>
          <w:color w:val="auto"/>
        </w:rPr>
      </w:pPr>
    </w:p>
    <w:p>
      <w:pPr>
        <w:ind w:left="1360" w:right="219" w:hanging="5"/>
        <w:spacing w:after="0" w:line="251" w:lineRule="auto"/>
        <w:tabs>
          <w:tab w:leader="none" w:pos="1558"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whom are not under common control, within the meaning of Section 4063 of ERISA, or any “multiple employer plan” within the meaning of Section 210 of ERISA or Section 413 of the Code. No Gold Benefit Plan is a “defined benefit plan” (as defined in Section 3(35) of ERISA) or a plan subject to Title IV or Section 302 of ERISA or Section 412, 430 or 4971 of the Code. Neither Gold nor any of its ERISA Affiliates has incurred (x) any Liability to or with respect to a Multiemployer Plan, including as a result of a complete or partial withdrawal from such Multiemployer Plan, as those terms are defined in Part 1 of Subtitle E of Title IV of ERISA, that has not been satisfied in full, or (y) any Controlled Group Liability that has not been satisfied in full, and, to the Knowledge of Gold, no condition exists that presents a material risk to Gold or its Subsidiaries of incurring any such Liabilities (including on account of any ERISA Affiliate). No Gold Benefit Plan is, and none of Gold or any of its Subsidiaries has any Liability with respect to, a “multiple employer welfare arrangement” (within the meaning of Section 3(40)(A) of ERISA). There is no Lien pursuant to ERISA Sections 303(k) or 4068 or Code Sections 412 or 430(k) in favor of, or enforceable by the Pension Benefit Guaranty Corporation or any other entity with respect to any of the assets of Gold or any of its Subsidiaries.</w:t>
      </w:r>
    </w:p>
    <w:p>
      <w:pPr>
        <w:spacing w:after="0" w:line="151" w:lineRule="exact"/>
        <w:rPr>
          <w:rFonts w:ascii="Times New Roman" w:cs="Times New Roman" w:eastAsia="Times New Roman" w:hAnsi="Times New Roman"/>
          <w:sz w:val="14"/>
          <w:szCs w:val="14"/>
          <w:color w:val="auto"/>
        </w:rPr>
      </w:pPr>
    </w:p>
    <w:p>
      <w:pPr>
        <w:ind w:left="1360" w:right="279" w:firstLine="338"/>
        <w:spacing w:after="0" w:line="256" w:lineRule="auto"/>
        <w:tabs>
          <w:tab w:leader="none" w:pos="1878" w:val="left"/>
        </w:tabs>
        <w:numPr>
          <w:ilvl w:val="1"/>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and delivery of this Agreement nor the consummation of the Transactions would reasonably be expected to, either alone or in combination with another event: (i) entitle any employee of Gold or the Gold Subsidiaries to material severance pay, unemployment compensation or any other material benefits or payments; (ii) accelerate the time of payment, funding or vesting, or materially increase the amount of any payments or benefits due to any employee of Gold or the Gold Subsidiaries (including the forgiveness of indebtedness); (iii) limit or restrict the right to merge, terminate or amend any Gold Benefit Plan on or after the Closing;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143"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1"/>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Gold Benefit Plan provides for the gross-up or reimbursement of Taxes under Section 409A or 4999 of the Code.</w:t>
      </w:r>
    </w:p>
    <w:p>
      <w:pPr>
        <w:spacing w:after="0" w:line="1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A-56</w:t>
      </w:r>
    </w:p>
    <w:p>
      <w:pPr>
        <w:sectPr>
          <w:pgSz w:w="11900" w:h="16838" w:orient="portrait"/>
          <w:cols w:equalWidth="0" w:num="1">
            <w:col w:w="10159"/>
          </w:cols>
          <w:pgMar w:left="300" w:top="386" w:right="1440"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38"/>
        <w:spacing w:after="0" w:line="283" w:lineRule="auto"/>
        <w:tabs>
          <w:tab w:leader="none" w:pos="1901" w:val="left"/>
        </w:tabs>
        <w:numPr>
          <w:ilvl w:val="0"/>
          <w:numId w:val="3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have, individually or in the aggregate, a Gold Material Adverse Effect, each Gold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all IRS guidance promulgated thereunder, and no amount under any such plan, agreement or arrangement is, has been or would reasonably be expected to be subject to any additional Tax, interest or penalties under Section 409A of the Code.</w:t>
      </w:r>
    </w:p>
    <w:p>
      <w:pPr>
        <w:spacing w:after="0" w:line="127" w:lineRule="exact"/>
        <w:rPr>
          <w:rFonts w:ascii="Times New Roman" w:cs="Times New Roman" w:eastAsia="Times New Roman" w:hAnsi="Times New Roman"/>
          <w:sz w:val="13"/>
          <w:szCs w:val="13"/>
          <w:color w:val="auto"/>
        </w:rPr>
      </w:pPr>
    </w:p>
    <w:p>
      <w:pPr>
        <w:ind w:left="1360" w:right="259" w:firstLine="338"/>
        <w:spacing w:after="0" w:line="267" w:lineRule="auto"/>
        <w:tabs>
          <w:tab w:leader="none" w:pos="187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Gold Benefit Plan provides, and neither Gold nor any of the Gold Subsidiaries has any obligation to provide, retiree, post-termination or other post-employment health or welfare benefits, other than health care continuation coverage (i) as required by Section 4980B of the Code or COBRA or ERISA, (ii) in connection with severance benefits or (iii) through the end of the month in which a termination of employment occurs.</w:t>
      </w:r>
    </w:p>
    <w:p>
      <w:pPr>
        <w:spacing w:after="0" w:line="135" w:lineRule="exact"/>
        <w:rPr>
          <w:rFonts w:ascii="Times New Roman" w:cs="Times New Roman" w:eastAsia="Times New Roman" w:hAnsi="Times New Roman"/>
          <w:sz w:val="14"/>
          <w:szCs w:val="14"/>
          <w:color w:val="auto"/>
        </w:rPr>
      </w:pPr>
    </w:p>
    <w:p>
      <w:pPr>
        <w:ind w:left="1360" w:right="259" w:firstLine="338"/>
        <w:spacing w:after="0" w:line="256" w:lineRule="auto"/>
        <w:tabs>
          <w:tab w:leader="none" w:pos="187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(i) each Gold Benefit Plan that is a Foreign Benefit Plan (a “</w:t>
      </w:r>
      <w:r>
        <w:rPr>
          <w:rFonts w:ascii="Times New Roman" w:cs="Times New Roman" w:eastAsia="Times New Roman" w:hAnsi="Times New Roman"/>
          <w:sz w:val="14"/>
          <w:szCs w:val="14"/>
          <w:u w:val="single" w:color="auto"/>
          <w:color w:val="auto"/>
        </w:rPr>
        <w:t>Gold Foreign Benefit Plan</w:t>
      </w:r>
      <w:r>
        <w:rPr>
          <w:rFonts w:ascii="Times New Roman" w:cs="Times New Roman" w:eastAsia="Times New Roman" w:hAnsi="Times New Roman"/>
          <w:sz w:val="14"/>
          <w:szCs w:val="14"/>
          <w:color w:val="auto"/>
        </w:rPr>
        <w:t>”)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Authority has been duly and timely filed, registered or approved, as applicable; (ii) is funded, book-reserved or secured by an insurance policy to the extent required by the terms of the applicable Gold Foreign Benefit Plan or applicable Law, based on reasonable actuarial assumptions in accordance with applicable accounting principles; and (iii) each Gold Foreign Benefit Plan required to be registered has been registered and has been maintained in good standing with applicable regulatory authorities.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6.18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338"/>
        <w:spacing w:after="0" w:line="256" w:lineRule="auto"/>
        <w:tabs>
          <w:tab w:leader="none" w:pos="1893"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6.18(a)</w:t>
      </w:r>
      <w:r>
        <w:rPr>
          <w:rFonts w:ascii="Times New Roman" w:cs="Times New Roman" w:eastAsia="Times New Roman" w:hAnsi="Times New Roman"/>
          <w:sz w:val="14"/>
          <w:szCs w:val="14"/>
          <w:color w:val="auto"/>
        </w:rPr>
        <w:t xml:space="preserve"> of the Gold Disclosure Letter sets forth a list of all Gold Intellectual Property that is Registered IP (the “</w:t>
      </w:r>
      <w:r>
        <w:rPr>
          <w:rFonts w:ascii="Times New Roman" w:cs="Times New Roman" w:eastAsia="Times New Roman" w:hAnsi="Times New Roman"/>
          <w:sz w:val="14"/>
          <w:szCs w:val="14"/>
          <w:u w:val="single" w:color="auto"/>
          <w:color w:val="auto"/>
        </w:rPr>
        <w:t>Registered Gold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xml:space="preserve">”), identifying for each, as applicable, the record (and if different, beneficial) owner, the registration, patent or application number and date, and the jurisdiction and domain name registrar. Except as would not reasonably be expected to have, individually or in the aggregate, a Gold Material Adverse Effect, the Intellectual Property required to be disclosed in </w:t>
      </w:r>
      <w:r>
        <w:rPr>
          <w:rFonts w:ascii="Times New Roman" w:cs="Times New Roman" w:eastAsia="Times New Roman" w:hAnsi="Times New Roman"/>
          <w:sz w:val="14"/>
          <w:szCs w:val="14"/>
          <w:u w:val="single" w:color="auto"/>
          <w:color w:val="auto"/>
        </w:rPr>
        <w:t>Section 6.18(a)</w:t>
      </w:r>
      <w:r>
        <w:rPr>
          <w:rFonts w:ascii="Times New Roman" w:cs="Times New Roman" w:eastAsia="Times New Roman" w:hAnsi="Times New Roman"/>
          <w:sz w:val="14"/>
          <w:szCs w:val="14"/>
          <w:color w:val="auto"/>
        </w:rPr>
        <w:t xml:space="preserve"> of the Gold Disclosure Letter pursuant to the foregoing sentence (i) is subsisting and, other than Registered Gold Intellectual Property constituting applications, valid and enforceable and (ii) do not require any filings, payments or similar actions to be taken by Gold within sixty (60) days of the date hereof for the purposes of obtaining, maintaining, perfecting or renewing such Intellectual Property.</w:t>
      </w:r>
    </w:p>
    <w:p>
      <w:pPr>
        <w:spacing w:after="0" w:line="143" w:lineRule="exact"/>
        <w:rPr>
          <w:rFonts w:ascii="Times New Roman" w:cs="Times New Roman" w:eastAsia="Times New Roman" w:hAnsi="Times New Roman"/>
          <w:sz w:val="14"/>
          <w:szCs w:val="14"/>
          <w:color w:val="auto"/>
        </w:rPr>
      </w:pPr>
    </w:p>
    <w:p>
      <w:pPr>
        <w:ind w:left="1360" w:right="259" w:firstLine="338"/>
        <w:spacing w:after="0" w:line="267" w:lineRule="auto"/>
        <w:tabs>
          <w:tab w:leader="none" w:pos="1901" w:val="left"/>
        </w:tabs>
        <w:numPr>
          <w:ilvl w:val="1"/>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Gold and the Gold Subsidiaries solely and exclusively own all rights, title and interest in and to the Gold Intellectual Property, in each case, free and clear of all Liens other than Permitted Liens.</w:t>
      </w:r>
    </w:p>
    <w:p>
      <w:pPr>
        <w:spacing w:after="0" w:line="135" w:lineRule="exact"/>
        <w:rPr>
          <w:rFonts w:ascii="Times New Roman" w:cs="Times New Roman" w:eastAsia="Times New Roman" w:hAnsi="Times New Roman"/>
          <w:sz w:val="14"/>
          <w:szCs w:val="14"/>
          <w:color w:val="auto"/>
        </w:rPr>
      </w:pPr>
    </w:p>
    <w:p>
      <w:pPr>
        <w:jc w:val="both"/>
        <w:ind w:left="1360" w:right="239" w:firstLine="338"/>
        <w:spacing w:after="0" w:line="277" w:lineRule="auto"/>
        <w:tabs>
          <w:tab w:leader="none" w:pos="1893" w:val="left"/>
        </w:tabs>
        <w:numPr>
          <w:ilvl w:val="1"/>
          <w:numId w:val="3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would not reasonably be expected to have, individually or in the aggregate, a Gold Material Adverse Effect: (i) there is no opposition or cancellation Action pending that challenges the ownership, scope, validity use or enforceability of any Gold Intellectual Property (other than ordinary course proceedings instituted by the relevant intellectual property office related to the application for any item of Registered Gold Intellectual Property);</w:t>
      </w:r>
    </w:p>
    <w:p>
      <w:pPr>
        <w:spacing w:after="0" w:line="1" w:lineRule="exact"/>
        <w:rPr>
          <w:rFonts w:ascii="Times New Roman" w:cs="Times New Roman" w:eastAsia="Times New Roman" w:hAnsi="Times New Roman"/>
          <w:sz w:val="13"/>
          <w:szCs w:val="13"/>
          <w:color w:val="auto"/>
        </w:rPr>
      </w:pPr>
    </w:p>
    <w:p>
      <w:pPr>
        <w:ind w:left="1360" w:right="299" w:hanging="5"/>
        <w:spacing w:after="0" w:line="254" w:lineRule="auto"/>
        <w:tabs>
          <w:tab w:leader="none" w:pos="1566"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of its business does not infringe, misappropriate, dilute, or otherwise violate, and in the past six (6) years has not infringed, misappropriated, diluted, or otherwise violated, the Intellectual Property of any other Person; and (iii) Gold and the Gold Subsidiaries have not received any written notice in the past six (6) years alleging that the operation of the Gold Business infringes, misappropriates, dilutes, or otherwise violates the Intellectual Property of any other Person.</w:t>
      </w:r>
    </w:p>
    <w:p>
      <w:pPr>
        <w:spacing w:after="0" w:line="144" w:lineRule="exact"/>
        <w:rPr>
          <w:rFonts w:ascii="Times New Roman" w:cs="Times New Roman" w:eastAsia="Times New Roman" w:hAnsi="Times New Roman"/>
          <w:sz w:val="14"/>
          <w:szCs w:val="14"/>
          <w:color w:val="auto"/>
        </w:rPr>
      </w:pPr>
    </w:p>
    <w:p>
      <w:pPr>
        <w:ind w:left="1360" w:right="279" w:firstLine="338"/>
        <w:spacing w:after="0" w:line="283" w:lineRule="auto"/>
        <w:tabs>
          <w:tab w:leader="none" w:pos="1901" w:val="left"/>
        </w:tabs>
        <w:numPr>
          <w:ilvl w:val="1"/>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(i) to the Knowledge of Gold, no Person is infringing, misappropriating, diluting, or otherwise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A-57</w:t>
      </w:r>
    </w:p>
    <w:p>
      <w:pPr>
        <w:sectPr>
          <w:pgSz w:w="11900" w:h="16838" w:orient="portrait"/>
          <w:cols w:equalWidth="0" w:num="1">
            <w:col w:w="10159"/>
          </w:cols>
          <w:pgMar w:left="300" w:top="386" w:right="1440"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violating, and in the past six (6) years has not infringed, misappropriated, diluted, or otherwise violated, any Gold Intellectual Property, and (ii) neither Gold nor any of the Gold Subsidiaries have, since the date that is six (6) years prior to the date hereof, made any allegation or brought any Action against any Person claiming that such Person is infringing, misappropriating, diluting or otherwise violating any Gold Intellectual Property.</w:t>
      </w:r>
    </w:p>
    <w:p>
      <w:pPr>
        <w:spacing w:after="0" w:line="136" w:lineRule="exact"/>
        <w:rPr>
          <w:sz w:val="20"/>
          <w:szCs w:val="20"/>
          <w:color w:val="auto"/>
        </w:rPr>
      </w:pPr>
    </w:p>
    <w:p>
      <w:pPr>
        <w:ind w:left="1360" w:right="239" w:firstLine="338"/>
        <w:spacing w:after="0" w:line="267" w:lineRule="auto"/>
        <w:tabs>
          <w:tab w:leader="none" w:pos="1893"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and the Gold Subsidiaries have taken commercially reasonable measures to protect, preserve, and maintain the Gold Intellectual Property, including by protecting the confidentiality of all material Trade Secrets included in the Gold Intellectual Property or otherwise held by Gold, and there are, and in the past three (3) years there have been, no unauthorized uses or disclosures of any such Trade Secrets.</w:t>
      </w:r>
    </w:p>
    <w:p>
      <w:pPr>
        <w:spacing w:after="0" w:line="135" w:lineRule="exact"/>
        <w:rPr>
          <w:rFonts w:ascii="Times New Roman" w:cs="Times New Roman" w:eastAsia="Times New Roman" w:hAnsi="Times New Roman"/>
          <w:sz w:val="14"/>
          <w:szCs w:val="14"/>
          <w:color w:val="auto"/>
        </w:rPr>
      </w:pPr>
    </w:p>
    <w:p>
      <w:pPr>
        <w:ind w:left="1360" w:right="259" w:firstLine="338"/>
        <w:spacing w:after="0" w:line="258" w:lineRule="auto"/>
        <w:tabs>
          <w:tab w:leader="none" w:pos="1878"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all Persons (including current and former employees, consultants and independent contractors) who contributed to the development or creation of any Intellectual Property purported to be owned by Gold or any Gold Subsidiary have assigned to Gold or one of the Gold Subsidiaries all of such Person’s right, title and interest in and to all such Intellectual Property developed or created in the course of such Person’s employment or retention thereby, except where ownership of such Intellectual Property vested in Gold or its applicable Subsidiary by operation of law.</w:t>
      </w:r>
    </w:p>
    <w:p>
      <w:pPr>
        <w:spacing w:after="0" w:line="143" w:lineRule="exact"/>
        <w:rPr>
          <w:rFonts w:ascii="Times New Roman" w:cs="Times New Roman" w:eastAsia="Times New Roman" w:hAnsi="Times New Roman"/>
          <w:sz w:val="14"/>
          <w:szCs w:val="14"/>
          <w:color w:val="auto"/>
        </w:rPr>
      </w:pPr>
    </w:p>
    <w:p>
      <w:pPr>
        <w:ind w:left="1360" w:right="259" w:firstLine="338"/>
        <w:spacing w:after="0" w:line="257" w:lineRule="auto"/>
        <w:tabs>
          <w:tab w:leader="none" w:pos="1901"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(i) no funding, personnel, or facilities of any Governmental Authority, university, college, or other educational institution or research center was used, directly or indirectly, to create, author, conceive of, invent, modify, improve, or develop any Intellectual Property for or on behalf of the Gold Business in a manner that has resulted in any such third party having any current claim or right in or to any Intellectual Property purported to be owned by Gold or any Gold Subsidiary, and (ii) no such Person has asserted in writing any claim or right in or to any Intellectual Property purported to be owned by Gold or any Gold Subsidiary on the basis that its funding, personnel, or facilities were used in the development thereof.</w:t>
      </w:r>
    </w:p>
    <w:p>
      <w:pPr>
        <w:spacing w:after="0" w:line="143" w:lineRule="exact"/>
        <w:rPr>
          <w:rFonts w:ascii="Times New Roman" w:cs="Times New Roman" w:eastAsia="Times New Roman" w:hAnsi="Times New Roman"/>
          <w:sz w:val="14"/>
          <w:szCs w:val="14"/>
          <w:color w:val="auto"/>
        </w:rPr>
      </w:pPr>
    </w:p>
    <w:p>
      <w:pPr>
        <w:ind w:left="1360" w:right="239" w:firstLine="338"/>
        <w:spacing w:after="0" w:line="253" w:lineRule="auto"/>
        <w:tabs>
          <w:tab w:leader="none" w:pos="1901"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Gold and the Gold Subsidiaries have not incorporated, included, embedded, linked or distributed any Open Source Software with proprietary Software included in the Gold Intellectual Property (“</w:t>
      </w:r>
      <w:r>
        <w:rPr>
          <w:rFonts w:ascii="Times New Roman" w:cs="Times New Roman" w:eastAsia="Times New Roman" w:hAnsi="Times New Roman"/>
          <w:sz w:val="14"/>
          <w:szCs w:val="14"/>
          <w:u w:val="single" w:color="auto"/>
          <w:color w:val="auto"/>
        </w:rPr>
        <w:t>Gold Software</w:t>
      </w:r>
      <w:r>
        <w:rPr>
          <w:rFonts w:ascii="Times New Roman" w:cs="Times New Roman" w:eastAsia="Times New Roman" w:hAnsi="Times New Roman"/>
          <w:sz w:val="14"/>
          <w:szCs w:val="14"/>
          <w:color w:val="auto"/>
        </w:rPr>
        <w:t>”) in a manner that requires that any such Gold Software (or portion thereof): (i) be disclosed or distributed in source code form; (ii) be licensed for the purpose of making, or otherwise permit any person to make, derivative works of or reverse engineer any such source code; or (iii) be redistributed, hosted or otherwise made available at no or nominal charge. Except as would not reasonably be expected to have, individually or in the aggregate, a Gold Material Adverse Effect, (A) no portion of source code of the Gold Software has been disclosed, licensed, released, distributed, escrowed or made available to or for any Person who was not or is not an employee, contractor, consultant or other Person working on behalf of Gold and the Gold Subsidiaries, in each case who have signed written confidentiality agreements with respect thereto, and no such Person has been granted any rights thereto or agreed to disclose, license, release, deliver, escrow, or otherwise grant any right thereto and (B)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or any other grant of any right be made with respect thereto.</w:t>
      </w:r>
    </w:p>
    <w:p>
      <w:pPr>
        <w:spacing w:after="0" w:line="150" w:lineRule="exact"/>
        <w:rPr>
          <w:rFonts w:ascii="Times New Roman" w:cs="Times New Roman" w:eastAsia="Times New Roman" w:hAnsi="Times New Roman"/>
          <w:sz w:val="14"/>
          <w:szCs w:val="14"/>
          <w:color w:val="auto"/>
        </w:rPr>
      </w:pPr>
    </w:p>
    <w:p>
      <w:pPr>
        <w:ind w:left="1360" w:right="299" w:firstLine="338"/>
        <w:spacing w:after="0" w:line="256" w:lineRule="auto"/>
        <w:tabs>
          <w:tab w:leader="none" w:pos="1870" w:val="left"/>
        </w:tabs>
        <w:numPr>
          <w:ilvl w:val="1"/>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in each case solely with respect to the Gold Business, (i) neither Gold nor any of the Gold Subsidiaries has, in past two (2) years, sent, been required to send, or received any written notice in connection with any violation by Gold or the Gold Subsidiaries of any Privacy Requirement, nor has Gold or the Gold Subsidiaries been threatened in writing to be charged with any such violation by any Governmental Authority; (ii) neither Gold nor its Subsidiaries has, in past two</w:t>
      </w:r>
    </w:p>
    <w:p>
      <w:pPr>
        <w:ind w:left="1360" w:right="239" w:hanging="5"/>
        <w:spacing w:after="0" w:line="261" w:lineRule="auto"/>
        <w:tabs>
          <w:tab w:leader="none" w:pos="1558"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received any written complaint by any Person with respect to the collection, use or processing of Personal Information; (iii) Gold and the Gold Subsidiaries maintain policies and procedures regarding data security, privacy, data transfer and the processing of data and</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A-58</w:t>
      </w:r>
    </w:p>
    <w:p>
      <w:pPr>
        <w:sectPr>
          <w:pgSz w:w="11900" w:h="16838" w:orient="portrait"/>
          <w:cols w:equalWidth="0" w:num="1">
            <w:col w:w="10159"/>
          </w:cols>
          <w:pgMar w:left="300" w:top="385" w:right="1440"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Personal Information that are commercially reasonable and designed to protect Personal Information against any unauthorized use, access or disclosure and otherwise comply with, Privacy Requirements; (iv) Gold and the Gold Subsidiaries, in connection with the Gold Business, in past two (2) years, have been in compliance in all material respects with all Privacy Requirements; and (v) in past two (2) years, to the Knowledge of Gold, there has been no unauthorized use, access or disclosure or other processing of any Gold Business Systems, data, or other information (including Trade Secrets and Personal Information) used in the Gold Business and owned by Mercury.</w:t>
      </w:r>
    </w:p>
    <w:p>
      <w:pPr>
        <w:spacing w:after="0" w:line="144" w:lineRule="exact"/>
        <w:rPr>
          <w:sz w:val="20"/>
          <w:szCs w:val="20"/>
          <w:color w:val="auto"/>
        </w:rPr>
      </w:pPr>
    </w:p>
    <w:p>
      <w:pPr>
        <w:ind w:left="1360" w:right="299" w:firstLine="338"/>
        <w:spacing w:after="0" w:line="258" w:lineRule="auto"/>
        <w:tabs>
          <w:tab w:leader="none" w:pos="187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(i) as of the date hereof and as of the Closing Date, Gold owns or has a valid right to access and use the Gold Business Systems; and (ii) the Gold Business Systems (A) do not, to the Knowledge of Gold, contain any viruses, worms, trojan horses, bugs, faults or other devices, errors, contaminants or effects that are designed to disrupt or adversely affect the functionality of any such Gold Business Systems and (B) are adequate and sufficient for the operation of the Gold Business as currently conducted.</w:t>
      </w:r>
    </w:p>
    <w:p>
      <w:pPr>
        <w:spacing w:after="0" w:line="143" w:lineRule="exact"/>
        <w:rPr>
          <w:rFonts w:ascii="Times New Roman" w:cs="Times New Roman" w:eastAsia="Times New Roman" w:hAnsi="Times New Roman"/>
          <w:sz w:val="14"/>
          <w:szCs w:val="14"/>
          <w:color w:val="auto"/>
        </w:rPr>
      </w:pPr>
    </w:p>
    <w:p>
      <w:pPr>
        <w:ind w:left="1360" w:right="279" w:firstLine="338"/>
        <w:spacing w:after="0" w:line="258" w:lineRule="auto"/>
        <w:tabs>
          <w:tab w:leader="none" w:pos="1901"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Gold and the Gold Subsidiaries have taken commercially reasonable precautions to protect the confidentiality, integrity and security of the Gold Business Systems, and all information processes thereby or stored therein from any unauthorized processing, access, use, interruption, modification or corruption and commercially reasonable data backup, disaster recovery and business continuity plans and procedures; and (ii) in past two (2) years there have been no failures or other adverse events affecting any of the Gold Business Systems that have caused any material disruption in the use thereof or to the operation of the Gold Business.</w:t>
      </w:r>
    </w:p>
    <w:p>
      <w:pPr>
        <w:spacing w:after="0" w:line="143" w:lineRule="exact"/>
        <w:rPr>
          <w:rFonts w:ascii="Times New Roman" w:cs="Times New Roman" w:eastAsia="Times New Roman" w:hAnsi="Times New Roman"/>
          <w:sz w:val="14"/>
          <w:szCs w:val="14"/>
          <w:color w:val="auto"/>
        </w:rPr>
      </w:pPr>
    </w:p>
    <w:p>
      <w:pPr>
        <w:ind w:left="1360" w:right="299" w:firstLine="338"/>
        <w:spacing w:after="0" w:line="261" w:lineRule="auto"/>
        <w:tabs>
          <w:tab w:leader="none" w:pos="187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reasonably be expected to have, individually or in the aggregate, a Gold Material Adverse Effect, neither the execution of this Agreement or the Transaction Documents nor the consummation of the Transaction Process will result in the loss, limitation, termination or impairment of (or any right of any Person to limit, terminate or impair) or the requirement to pay additional fees or royalties with respect to Gold’s or any of the Gold Subsidiaries’ right to own or use any Intellectual Property used in or necessary for the Gold Business.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6.19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38"/>
        <w:spacing w:after="0" w:line="257" w:lineRule="auto"/>
        <w:tabs>
          <w:tab w:leader="none" w:pos="1893"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and the Gold Subsidiaries and the facilities, assets and operations on any real property owned, leased, used or operated by Gold and the Gold Subsidiaries are, and during the past three (3) years have been, in compliance with (i) applicable Environmental Laws (including the possession, maintenance of, and application for, any such Permit described in clause (ii) below) and (ii) any material Permit required to operate the Gold Business or occupy and use any real property or facility (including the Gold Leased Real Property and Gold Owned Real Property) under any applicable Environmental Law (any “</w:t>
      </w:r>
      <w:r>
        <w:rPr>
          <w:rFonts w:ascii="Times New Roman" w:cs="Times New Roman" w:eastAsia="Times New Roman" w:hAnsi="Times New Roman"/>
          <w:sz w:val="14"/>
          <w:szCs w:val="14"/>
          <w:u w:val="single" w:color="auto"/>
          <w:color w:val="auto"/>
        </w:rPr>
        <w:t>Gold Environmental Permit</w:t>
      </w:r>
      <w:r>
        <w:rPr>
          <w:rFonts w:ascii="Times New Roman" w:cs="Times New Roman" w:eastAsia="Times New Roman" w:hAnsi="Times New Roman"/>
          <w:sz w:val="14"/>
          <w:szCs w:val="14"/>
          <w:color w:val="auto"/>
        </w:rPr>
        <w:t>”), except in each case of (i) and (ii) as would not reasonably be expected to have, individually or in the aggregate, a Gold Material Adverse Effect.</w:t>
      </w:r>
    </w:p>
    <w:p>
      <w:pPr>
        <w:spacing w:after="0" w:line="143" w:lineRule="exact"/>
        <w:rPr>
          <w:rFonts w:ascii="Times New Roman" w:cs="Times New Roman" w:eastAsia="Times New Roman" w:hAnsi="Times New Roman"/>
          <w:sz w:val="14"/>
          <w:szCs w:val="14"/>
          <w:color w:val="auto"/>
        </w:rPr>
      </w:pPr>
    </w:p>
    <w:p>
      <w:pPr>
        <w:ind w:left="1360" w:right="239" w:firstLine="338"/>
        <w:spacing w:after="0" w:line="255" w:lineRule="auto"/>
        <w:tabs>
          <w:tab w:leader="none" w:pos="1901"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There is no Action pending or, to the Knowledge of Gold, threatened that asserts any actual or potential Environmental Liability relating to Gold or the Gold Subsidiaries, (ii) no outstanding Order has been issued or is otherwise in effect in relation to any Environmental Law or any Gold Environmental Permit, in each case relating to Gold or the Gold Subsidiaries or any real property or facility currently owned, leased, used or operated by Gold or the Gold Subsidiaries (including the Gold Leased Real Property or Gold Owned Real Property), and (iii) neither Gold nor the Gold Subsidiaries has received, (A) in the past three (3) years, any written notice, report or other information alleging any Environmental Liability relating to the Gold Business, or (B), at any time, any such written notice, report or other information alleging any Environmental Liability relating to the Gold Business the subject of which has not been resolved, except in each case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as would not reasonably be expected to have, individually or in the aggregate, a Gold Material Adverse Effect.</w:t>
      </w:r>
    </w:p>
    <w:p>
      <w:pPr>
        <w:spacing w:after="0" w:line="28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A-59</w:t>
      </w:r>
    </w:p>
    <w:p>
      <w:pPr>
        <w:sectPr>
          <w:pgSz w:w="11900" w:h="16838" w:orient="portrait"/>
          <w:cols w:equalWidth="0" w:num="1">
            <w:col w:w="10159"/>
          </w:cols>
          <w:pgMar w:left="300" w:top="386" w:right="1440"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99" w:firstLine="338"/>
        <w:spacing w:after="0" w:line="261" w:lineRule="auto"/>
        <w:tabs>
          <w:tab w:leader="none" w:pos="1893"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Gold, neither Gold nor any of the Gold Subsidiaries (or any other Person to the extent resulting in Environmental Liability for Gold or the Gold Subsidiaries) has Released, produced, processed, generated, transported, treated, handled, used, stored, disposed of, arranged for the disposal of, or exposed any Person to, any Hazardous Materials, in each case except as would not reasonably be expected to have, individually or in the aggregate, a Gold Material Adverse Effect.</w:t>
      </w:r>
    </w:p>
    <w:p>
      <w:pPr>
        <w:spacing w:after="0" w:line="140" w:lineRule="exact"/>
        <w:rPr>
          <w:rFonts w:ascii="Times New Roman" w:cs="Times New Roman" w:eastAsia="Times New Roman" w:hAnsi="Times New Roman"/>
          <w:sz w:val="14"/>
          <w:szCs w:val="14"/>
          <w:color w:val="auto"/>
        </w:rPr>
      </w:pPr>
    </w:p>
    <w:p>
      <w:pPr>
        <w:ind w:left="1360" w:right="539" w:firstLine="338"/>
        <w:spacing w:after="0" w:line="267" w:lineRule="auto"/>
        <w:tabs>
          <w:tab w:leader="none" w:pos="1901"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Gold nor any of the Gold Subsidiaries (or any other Person to the extent resulting in Environmental Liability for Gold or the Gold Subsidiaries) has expressly assumed or retained any Environmental Liability of any other Person, including in any acquisition or divestiture of any property or business except as would not reasonably be expected to have, individually or in the aggregate, a Gold Material Adverse Effect.</w:t>
      </w:r>
    </w:p>
    <w:p>
      <w:pPr>
        <w:spacing w:after="0" w:line="136"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6.20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xml:space="preserve">. All insurance policies (excluding those funding any Gold Benefit Plans set forth on </w:t>
      </w:r>
      <w:r>
        <w:rPr>
          <w:rFonts w:ascii="Times New Roman" w:cs="Times New Roman" w:eastAsia="Times New Roman" w:hAnsi="Times New Roman"/>
          <w:sz w:val="14"/>
          <w:szCs w:val="14"/>
          <w:u w:val="single" w:color="auto"/>
          <w:color w:val="auto"/>
        </w:rPr>
        <w:t>Section 6.17</w:t>
      </w:r>
      <w:r>
        <w:rPr>
          <w:rFonts w:ascii="Times New Roman" w:cs="Times New Roman" w:eastAsia="Times New Roman" w:hAnsi="Times New Roman"/>
          <w:sz w:val="14"/>
          <w:szCs w:val="14"/>
          <w:color w:val="auto"/>
        </w:rPr>
        <w:t xml:space="preserve"> of the Gold Disclosure Letter) to which Gold or any of the Gold Subsidiaries is currently a party, or which are held for the benefit of Gold or any of the Gold Subsidiaries, are in full force and effect, and, to the Knowledge of Gold, have been issued by licensed insurers, all premiums due and payable with respect thereto have been paid, and no written notice of cancellation or termination has been received with respect to any such policies, except for such cancellations or terminations which would not reasonably be expected to have, individually or in the aggregate, a Gold Material Adverse Effect.</w:t>
      </w:r>
    </w:p>
    <w:p>
      <w:pPr>
        <w:spacing w:after="0" w:line="144"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6.21 </w:t>
      </w:r>
      <w:r>
        <w:rPr>
          <w:rFonts w:ascii="Times New Roman" w:cs="Times New Roman" w:eastAsia="Times New Roman" w:hAnsi="Times New Roman"/>
          <w:sz w:val="14"/>
          <w:szCs w:val="14"/>
          <w:u w:val="single" w:color="auto"/>
          <w:color w:val="auto"/>
        </w:rPr>
        <w:t>Affiliate Matters</w:t>
      </w:r>
      <w:r>
        <w:rPr>
          <w:rFonts w:ascii="Times New Roman" w:cs="Times New Roman" w:eastAsia="Times New Roman" w:hAnsi="Times New Roman"/>
          <w:sz w:val="14"/>
          <w:szCs w:val="14"/>
          <w:color w:val="auto"/>
        </w:rPr>
        <w:t xml:space="preserve">. Except for Contracts solely between or among Gold and the Gold Subsidiaries or Contracts for employment, compensation or benefit agreements or arrangements with directors, officers and employees made in the ordinary course of business or as set forth on </w:t>
      </w:r>
      <w:r>
        <w:rPr>
          <w:rFonts w:ascii="Times New Roman" w:cs="Times New Roman" w:eastAsia="Times New Roman" w:hAnsi="Times New Roman"/>
          <w:sz w:val="14"/>
          <w:szCs w:val="14"/>
          <w:u w:val="single" w:color="auto"/>
          <w:color w:val="auto"/>
        </w:rPr>
        <w:t>Section 6.21</w:t>
      </w:r>
      <w:r>
        <w:rPr>
          <w:rFonts w:ascii="Times New Roman" w:cs="Times New Roman" w:eastAsia="Times New Roman" w:hAnsi="Times New Roman"/>
          <w:sz w:val="14"/>
          <w:szCs w:val="14"/>
          <w:color w:val="auto"/>
        </w:rPr>
        <w:t xml:space="preserve"> of the Gold Disclosure Letter, neither Gold nor any of the Gold Subsidiaries is party to any Gold Affiliate Contract.</w:t>
      </w:r>
    </w:p>
    <w:p>
      <w:pPr>
        <w:spacing w:after="0" w:line="136"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6.22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Except for Barclays Capital Inc., no broker, finder or investment banker is entitled to any brokerage, finder’s or other fee or commission from Gold or the Gold Subsidiaries, or for which Mercury or any of its Subsidiaries would be liable, in connection with this Agreement or the other Transaction Documents, or the Transactions, based upon arrangements made by or on behalf of Gold or any of the Gold Subsidiaries.</w:t>
      </w:r>
    </w:p>
    <w:p>
      <w:pPr>
        <w:spacing w:after="0" w:line="136"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6.23 </w:t>
      </w:r>
      <w:r>
        <w:rPr>
          <w:rFonts w:ascii="Times New Roman" w:cs="Times New Roman" w:eastAsia="Times New Roman" w:hAnsi="Times New Roman"/>
          <w:sz w:val="14"/>
          <w:szCs w:val="14"/>
          <w:u w:val="single" w:color="auto"/>
          <w:color w:val="auto"/>
        </w:rPr>
        <w:t>Proxy Statement; Registration Statements</w:t>
      </w:r>
      <w:r>
        <w:rPr>
          <w:rFonts w:ascii="Times New Roman" w:cs="Times New Roman" w:eastAsia="Times New Roman" w:hAnsi="Times New Roman"/>
          <w:sz w:val="14"/>
          <w:szCs w:val="14"/>
          <w:color w:val="auto"/>
        </w:rPr>
        <w:t>. None of the information regarding Gold, the Gold Business or any of the Gold Subsidiaries or the transactions contemplated by this Agreement or any Transaction Document to be provided by Gold or any Gold Subsidiaries specifically for inclusion in, or incorporation by reference into, the Proxy Statement, the Gold Registration Statement, the SpinCo Registration Statement or the Distribution Documents will, in the case of the Proxy Statement or the Distribution Documents or any amendment or supplement thereto, at the time of the first mailing of the Proxy Statement and the Distribution Documents and of any amendment or supplement thereto, or, in the case of the Gold Registration Statement and the SpinCo Registration Statement, at the time such registration statement becomes effective, on the date of the Gold Shareholders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 The Proxy Statement and the Gold Registration Statement will comply as to form in all material respects with the provisions of the Securities Act and the Exchange Act, as the case may be, except that no representation is made by Gold with respect to information provided by Mercury or SpinCo specifically for inclusion in, or incorporation by reference into, the Proxy Statement or the Gold Registration Statement.</w:t>
      </w:r>
    </w:p>
    <w:p>
      <w:pPr>
        <w:spacing w:after="0" w:line="14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6.24 </w:t>
      </w:r>
      <w:r>
        <w:rPr>
          <w:rFonts w:ascii="Times New Roman" w:cs="Times New Roman" w:eastAsia="Times New Roman" w:hAnsi="Times New Roman"/>
          <w:sz w:val="14"/>
          <w:szCs w:val="14"/>
          <w:u w:val="single" w:color="auto"/>
          <w:color w:val="auto"/>
        </w:rPr>
        <w:t>Opinion of Gold Financial Advisor</w:t>
      </w:r>
      <w:r>
        <w:rPr>
          <w:rFonts w:ascii="Times New Roman" w:cs="Times New Roman" w:eastAsia="Times New Roman" w:hAnsi="Times New Roman"/>
          <w:sz w:val="14"/>
          <w:szCs w:val="14"/>
          <w:color w:val="auto"/>
        </w:rPr>
        <w:t xml:space="preserve">. The Gold Board has received, the opinion of Barclays Capital Inc. to the effect that, as of the date of such opinion, and based upon and subject to the qualifications, assumptions, limitations and other matters set forth in the written opinion, the Exchange Ratio pursuant to this Agreement (subject to any adjustment pursuant to </w:t>
      </w:r>
      <w:r>
        <w:rPr>
          <w:rFonts w:ascii="Times New Roman" w:cs="Times New Roman" w:eastAsia="Times New Roman" w:hAnsi="Times New Roman"/>
          <w:sz w:val="14"/>
          <w:szCs w:val="14"/>
          <w:u w:val="single" w:color="auto"/>
          <w:color w:val="auto"/>
        </w:rPr>
        <w:t>Section 3.1(c)(ii)</w:t>
      </w:r>
      <w:r>
        <w:rPr>
          <w:rFonts w:ascii="Times New Roman" w:cs="Times New Roman" w:eastAsia="Times New Roman" w:hAnsi="Times New Roman"/>
          <w:sz w:val="14"/>
          <w:szCs w:val="14"/>
          <w:color w:val="auto"/>
        </w:rPr>
        <w:t xml:space="preserve"> that is not in excess of the Final Adjustment Cap) is fair, from a financial point of view, to Gold.</w:t>
      </w:r>
    </w:p>
    <w:p>
      <w:pPr>
        <w:spacing w:after="0" w:line="141"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6.25 </w:t>
      </w:r>
      <w:r>
        <w:rPr>
          <w:rFonts w:ascii="Times New Roman" w:cs="Times New Roman" w:eastAsia="Times New Roman" w:hAnsi="Times New Roman"/>
          <w:sz w:val="14"/>
          <w:szCs w:val="14"/>
          <w:u w:val="single" w:color="auto"/>
          <w:color w:val="auto"/>
        </w:rPr>
        <w:t>Certain Board Findings</w:t>
      </w:r>
      <w:r>
        <w:rPr>
          <w:rFonts w:ascii="Times New Roman" w:cs="Times New Roman" w:eastAsia="Times New Roman" w:hAnsi="Times New Roman"/>
          <w:sz w:val="14"/>
          <w:szCs w:val="14"/>
          <w:color w:val="auto"/>
        </w:rPr>
        <w:t>. The Gold Board, at a meeting duly called and held, unanimously adopted resolutions (a) determining that the terms of the Agreement and the transactions contemplated hereby,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A-60</w:t>
      </w:r>
    </w:p>
    <w:p>
      <w:pPr>
        <w:sectPr>
          <w:pgSz w:w="11900" w:h="16838" w:orient="portrait"/>
          <w:cols w:equalWidth="0" w:num="1">
            <w:col w:w="10159"/>
          </w:cols>
          <w:pgMar w:left="300" w:top="385" w:right="1440"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 xml:space="preserve">including the Gold Share Issuance, are advisable and in the best interests of Gold and its shareholders, (b) approving the execution, delivery and performance of this Agreement and the consummation of the Transactions, including the Merger and the Gold Share Issuance, (c) resolving to make the Gold Board Recommendation, subject to </w:t>
      </w:r>
      <w:r>
        <w:rPr>
          <w:rFonts w:ascii="Times New Roman" w:cs="Times New Roman" w:eastAsia="Times New Roman" w:hAnsi="Times New Roman"/>
          <w:sz w:val="14"/>
          <w:szCs w:val="14"/>
          <w:u w:val="single" w:color="auto"/>
          <w:color w:val="auto"/>
        </w:rPr>
        <w:t>Section 7.3(d</w:t>
      </w:r>
      <w:r>
        <w:rPr>
          <w:rFonts w:ascii="Times New Roman" w:cs="Times New Roman" w:eastAsia="Times New Roman" w:hAnsi="Times New Roman"/>
          <w:sz w:val="14"/>
          <w:szCs w:val="14"/>
          <w:color w:val="auto"/>
        </w:rPr>
        <w:t>), and (d) directing that the Gold Share Issuance and the Gold Charter Amendment be submitted to a vote at a meeting of Gold’s shareholders.</w:t>
      </w:r>
    </w:p>
    <w:p>
      <w:pPr>
        <w:spacing w:after="0" w:line="14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6.26 </w:t>
      </w:r>
      <w:r>
        <w:rPr>
          <w:rFonts w:ascii="Times New Roman" w:cs="Times New Roman" w:eastAsia="Times New Roman" w:hAnsi="Times New Roman"/>
          <w:sz w:val="14"/>
          <w:szCs w:val="14"/>
          <w:u w:val="single" w:color="auto"/>
          <w:color w:val="auto"/>
        </w:rPr>
        <w:t>Shareholder Approval Required</w:t>
      </w:r>
      <w:r>
        <w:rPr>
          <w:rFonts w:ascii="Times New Roman" w:cs="Times New Roman" w:eastAsia="Times New Roman" w:hAnsi="Times New Roman"/>
          <w:sz w:val="14"/>
          <w:szCs w:val="14"/>
          <w:color w:val="auto"/>
        </w:rPr>
        <w:t>. No vote of the holders of any class of equity securities of Gold or any of the Gold Subsidiaries is required for the execution and delivery of this Agreement or any other Transaction Documents to which any of Gold or the Gold Subsidiaries is to be a party, the performance by Gold or any of the Gold Subsidiaries of its obligations hereunder and thereunder, or to consummate the Merger and the other Transactions, except that the Gold Share Issuance and the Gold Charter Amendment require the Gold Shareholder Approval.</w:t>
      </w:r>
    </w:p>
    <w:p>
      <w:pPr>
        <w:spacing w:after="0" w:line="141"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6.27 </w:t>
      </w:r>
      <w:r>
        <w:rPr>
          <w:rFonts w:ascii="Times New Roman" w:cs="Times New Roman" w:eastAsia="Times New Roman" w:hAnsi="Times New Roman"/>
          <w:sz w:val="14"/>
          <w:szCs w:val="14"/>
          <w:u w:val="single" w:color="auto"/>
          <w:color w:val="auto"/>
        </w:rPr>
        <w:t>SpinCo Common Stock</w:t>
      </w:r>
      <w:r>
        <w:rPr>
          <w:rFonts w:ascii="Times New Roman" w:cs="Times New Roman" w:eastAsia="Times New Roman" w:hAnsi="Times New Roman"/>
          <w:sz w:val="14"/>
          <w:szCs w:val="14"/>
          <w:color w:val="auto"/>
        </w:rPr>
        <w:t>. Neither Gold nor any of the Gold Subsidiaries owns or will own (directly or indirectly, beneficially or of record) on the Closing Date, nor is Gold or any of the Gold Subsidiaries a party to any Contract for the purpose of acquiring, holding, voting or disposing of, in each case, any shares of capital stock of SpinCo (other than as contemplated by this Agreement) or Mercury.</w:t>
      </w:r>
    </w:p>
    <w:p>
      <w:pPr>
        <w:spacing w:after="0" w:line="136"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6.28 </w:t>
      </w:r>
      <w:r>
        <w:rPr>
          <w:rFonts w:ascii="Times New Roman" w:cs="Times New Roman" w:eastAsia="Times New Roman" w:hAnsi="Times New Roman"/>
          <w:sz w:val="14"/>
          <w:szCs w:val="14"/>
          <w:u w:val="single" w:color="auto"/>
          <w:color w:val="auto"/>
        </w:rPr>
        <w:t>Gold Financing</w:t>
      </w:r>
      <w:r>
        <w:rPr>
          <w:rFonts w:ascii="Times New Roman" w:cs="Times New Roman" w:eastAsia="Times New Roman" w:hAnsi="Times New Roman"/>
          <w:sz w:val="14"/>
          <w:szCs w:val="14"/>
          <w:color w:val="auto"/>
        </w:rPr>
        <w:t>. As of the date of this Agreement, the Commitment Letter is in full force and effect and is a legal, valid and binding obligation of Gold and, to the Knowledge of Gold, each of the other parties thereto (other than SpinCo), enforceable against Gold and, to the Knowledge of Gold, each of the other parties thereto (other than SpinCo) in accordance with its terms (except insofar as such enforceability is subject to the Remedies Exception). As of the date of this Agreement, except for the Commitment Letter, there are no side letters or other Contracts to which Gold or any of its Affiliates is a party containing conditions precedent to or otherwise relating to the funding of the full amount of the Gold Financing, other than as expressly set forth in the Commitment Letter. As of the date of this Agreement, no event has occurred, which, with or without notice, lapse of time or both, (i) would constitute a default or breach on the part of Gold or its Affiliates or, to the Knowledge of Gold, any other party thereto (other than SpinCo), under the Commitment Letter, or (ii) to the Knowledge of Gold, would result in any portion of the Gold Financing being unavailable or delayed.</w:t>
      </w:r>
    </w:p>
    <w:p>
      <w:pPr>
        <w:spacing w:after="0" w:line="149"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6.29 </w:t>
      </w:r>
      <w:r>
        <w:rPr>
          <w:rFonts w:ascii="Times New Roman" w:cs="Times New Roman" w:eastAsia="Times New Roman" w:hAnsi="Times New Roman"/>
          <w:sz w:val="14"/>
          <w:szCs w:val="14"/>
          <w:u w:val="single" w:color="auto"/>
          <w:color w:val="auto"/>
        </w:rPr>
        <w:t>No Rights Plan; No Antitakeover Law</w:t>
      </w:r>
      <w:r>
        <w:rPr>
          <w:rFonts w:ascii="Times New Roman" w:cs="Times New Roman" w:eastAsia="Times New Roman" w:hAnsi="Times New Roman"/>
          <w:sz w:val="14"/>
          <w:szCs w:val="14"/>
          <w:color w:val="auto"/>
        </w:rPr>
        <w:t>. As of the date hereof, there is no rights plan, “poison pill,” antitakeover plan or other similar device in effect, to which Gold or any of the Gold Subsidiaries is a party or otherwise bound. As of the Effective Time, there will be no rights plan, “poison pill,” antitakeover plan or other similar device in effect, to which Gold or any of the Gold Subsidiaries will be a party or otherwise be bound, other than any such plan or device that (x) contains an express exception for this Agreement, the Merger and the other transactions contemplated hereby and any acquisition of Gold Common Stock pursuant to the Merger and (y) does not otherwise interfere with or adversely affect any of the transactions contemplated hereby. No “fair price,” “moratorium,” “control share acquisition,” “business combination” or other similar antitakeover Law applicable to Gold or Merger Sub applies to this Agreement, the Merger or the other transactions contemplated hereby or thereby.</w:t>
      </w:r>
    </w:p>
    <w:p>
      <w:pPr>
        <w:spacing w:after="0" w:line="144" w:lineRule="exact"/>
        <w:rPr>
          <w:sz w:val="20"/>
          <w:szCs w:val="20"/>
          <w:color w:val="auto"/>
        </w:rPr>
      </w:pPr>
    </w:p>
    <w:p>
      <w:pPr>
        <w:ind w:left="1360" w:right="239" w:firstLine="343"/>
        <w:spacing w:after="0" w:line="277" w:lineRule="auto"/>
        <w:rPr>
          <w:sz w:val="20"/>
          <w:szCs w:val="20"/>
          <w:color w:val="auto"/>
        </w:rPr>
      </w:pPr>
      <w:r>
        <w:rPr>
          <w:rFonts w:ascii="Times New Roman" w:cs="Times New Roman" w:eastAsia="Times New Roman" w:hAnsi="Times New Roman"/>
          <w:sz w:val="13"/>
          <w:szCs w:val="13"/>
          <w:color w:val="auto"/>
        </w:rPr>
        <w:t xml:space="preserve">Section 6.30 </w:t>
      </w:r>
      <w:r>
        <w:rPr>
          <w:rFonts w:ascii="Times New Roman" w:cs="Times New Roman" w:eastAsia="Times New Roman" w:hAnsi="Times New Roman"/>
          <w:sz w:val="13"/>
          <w:szCs w:val="13"/>
          <w:u w:val="single" w:color="auto"/>
          <w:color w:val="auto"/>
        </w:rPr>
        <w:t>No Other Representations and Warranties</w:t>
      </w:r>
      <w:r>
        <w:rPr>
          <w:rFonts w:ascii="Times New Roman" w:cs="Times New Roman" w:eastAsia="Times New Roman" w:hAnsi="Times New Roman"/>
          <w:sz w:val="13"/>
          <w:szCs w:val="13"/>
          <w:color w:val="auto"/>
        </w:rPr>
        <w:t xml:space="preserve">. Except as expressly set forth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or in any Transaction Document (and except for any Mercury Distribution Tax Representations), (a) Gold and Merger Sub each acknowledges and agrees that neither Mercury, SpinCo nor any of their Affiliates (including the members of the SpinCo Group), nor any of their respective Representatives has made, or is making, any express or implied representation or warranty whatsoever with respect to Mercury, SpinCo nor any of their Affiliates (including the members of the SpinCo Group), or any of their respective businesses, operations, assets, liabilities, conditions (financial or otherwise) or prospects, and (b) each of Gold and Merger Sub each further acknowledges and agrees that neither Mercury, SpinCo nor any of their Affiliates shall be liable in respect of the accuracy or completeness of any information provided to Gold, Merger Sub or any of their respective Affiliates or Representatives. Without limiting the generality of the foregoing, except as expressly set forth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or in any Transaction Document (and except for any Mercury Distribution Tax</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A-61</w:t>
      </w:r>
    </w:p>
    <w:p>
      <w:pPr>
        <w:sectPr>
          <w:pgSz w:w="11900" w:h="16838" w:orient="portrait"/>
          <w:cols w:equalWidth="0" w:num="1">
            <w:col w:w="10159"/>
          </w:cols>
          <w:pgMar w:left="300" w:top="386" w:right="1440"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 xml:space="preserve">Representations), Gold and Merger Sub each acknowledges and agrees that no representations or warranties are made with respect to any projections, forecasts, estimates or budgets with respect to Mercury, SpinCo, any of the members of the SpinCo Group or the SpinCo Business that may have been made available, in the SpinCo Datasite or otherwise, to Gold or Merger Sub or any of their respective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Gold or Merger Sub or any of their respective Representatives of any document or other information with respect to any one (1)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(including the SpinCo Disclosure Letter), any information, documents or other materials (including any such materials contained in the SpinCo Datasite or otherwise reviewed by Gold, Merger Sub or any of their respective Affiliates or Representatives) or management presentations that have been or shall hereafter be provided to Gold, Merger Sub or any of their respective Affiliates or Representatives are not and will not be deemed to be representations or warranties of Mercury or SpinCo, and no representation or warranty is made as to the accuracy or completeness of any of the foregoing except as expressly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of this Agreement or in any Transaction Document (and except, in each case, for any Mercury Distribution Tax Representations). In entering into this Agreement, Gold and Merger Sub acknowledge and agree that they have relied solely upon their own investigation and analysis, and Gold and Merger Sub each acknowledges and agrees, to the fullest extent permitted by Law, that Mercury, the members of the SpinCo Group and their Affiliates and their respective Representatives shall not have any Liability or responsibility whatsoever to Gold or the Gold Subsidiaries or any of their respective Representatives on any basis (including in contract or tort, under federal or state securities laws or otherwise) based upon any information provided or made available, or statements made (or any omissions therefrom), to Gold or the Gold Subsidiaries or any of their respective Representatives, including in respect of the specific representations and warranties as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of this Agreement or any Transaction Document, except as and only to the extent expressly set forth herein or therein with respect to such representations and warranties and subject to the limitations and restrictions contained herein or therein.</w:t>
      </w:r>
    </w:p>
    <w:p>
      <w:pPr>
        <w:spacing w:after="0" w:line="3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Conduct of Business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4" w:lineRule="auto"/>
        <w:tabs>
          <w:tab w:leader="none" w:pos="1893"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Mercury covenants and agrees that, from the date of this Agreement through the earlier of the Closing or the termination of this Agreement in accordance with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Interim Period</w:t>
      </w:r>
      <w:r>
        <w:rPr>
          <w:rFonts w:ascii="Times New Roman" w:cs="Times New Roman" w:eastAsia="Times New Roman" w:hAnsi="Times New Roman"/>
          <w:sz w:val="14"/>
          <w:szCs w:val="14"/>
          <w:color w:val="auto"/>
        </w:rPr>
        <w:t xml:space="preserve">”) (solely with respect to the SpinCo Group or the SpinCo Business and excluding the Mercury Assets and the Mercury Liabilities), except (i) as otherwise required or expressly contemplated by this Agreement (including in furtherance of the Distribution and the Reorganization), (ii) as required by Law, (iii) as disclosed in </w:t>
      </w:r>
      <w:r>
        <w:rPr>
          <w:rFonts w:ascii="Times New Roman" w:cs="Times New Roman" w:eastAsia="Times New Roman" w:hAnsi="Times New Roman"/>
          <w:sz w:val="14"/>
          <w:szCs w:val="14"/>
          <w:u w:val="single" w:color="auto"/>
          <w:color w:val="auto"/>
        </w:rPr>
        <w:t>Section 7.1(a)</w:t>
      </w:r>
      <w:r>
        <w:rPr>
          <w:rFonts w:ascii="Times New Roman" w:cs="Times New Roman" w:eastAsia="Times New Roman" w:hAnsi="Times New Roman"/>
          <w:sz w:val="14"/>
          <w:szCs w:val="14"/>
          <w:color w:val="auto"/>
        </w:rPr>
        <w:t xml:space="preserve"> of the SpinCo Disclosure Letter or (iv) as otherwise consented to by Gold (which consent shall not be unreasonably withheld, conditioned or delayed), Mercury shall (and shall cause each of its Subsidiaries to) use commercially reasonable efforts to conduct the SpinCo Business in all material respects in the ordinary course of business and to preserve intact its businesses and its business relationships with key employees, significant customers and others having significant business relationships with the SpinCo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any failure to take any action for which Gold’s consent was required by </w:t>
      </w:r>
      <w:r>
        <w:rPr>
          <w:rFonts w:ascii="Times New Roman" w:cs="Times New Roman" w:eastAsia="Times New Roman" w:hAnsi="Times New Roman"/>
          <w:sz w:val="14"/>
          <w:szCs w:val="14"/>
          <w:u w:val="single" w:color="auto"/>
          <w:color w:val="auto"/>
        </w:rPr>
        <w:t>Section 7.1(b)</w:t>
      </w:r>
      <w:r>
        <w:rPr>
          <w:rFonts w:ascii="Times New Roman" w:cs="Times New Roman" w:eastAsia="Times New Roman" w:hAnsi="Times New Roman"/>
          <w:sz w:val="14"/>
          <w:szCs w:val="14"/>
          <w:color w:val="auto"/>
        </w:rPr>
        <w:t xml:space="preserve"> and was not provided by Gold following Mercury’s request therefor shall not be deemed a breach of this </w:t>
      </w:r>
      <w:r>
        <w:rPr>
          <w:rFonts w:ascii="Times New Roman" w:cs="Times New Roman" w:eastAsia="Times New Roman" w:hAnsi="Times New Roman"/>
          <w:sz w:val="14"/>
          <w:szCs w:val="14"/>
          <w:u w:val="single" w:color="auto"/>
          <w:color w:val="auto"/>
        </w:rPr>
        <w:t>Section 7.1(a)</w:t>
      </w:r>
      <w:r>
        <w:rPr>
          <w:rFonts w:ascii="Times New Roman" w:cs="Times New Roman" w:eastAsia="Times New Roman" w:hAnsi="Times New Roman"/>
          <w:sz w:val="14"/>
          <w:szCs w:val="14"/>
          <w:color w:val="auto"/>
        </w:rPr>
        <w:t>.</w:t>
      </w:r>
    </w:p>
    <w:p>
      <w:pPr>
        <w:spacing w:after="0" w:line="148" w:lineRule="exact"/>
        <w:rPr>
          <w:rFonts w:ascii="Times New Roman" w:cs="Times New Roman" w:eastAsia="Times New Roman" w:hAnsi="Times New Roman"/>
          <w:sz w:val="14"/>
          <w:szCs w:val="14"/>
          <w:color w:val="auto"/>
        </w:rPr>
      </w:pPr>
    </w:p>
    <w:p>
      <w:pPr>
        <w:ind w:left="1360" w:right="319" w:firstLine="338"/>
        <w:spacing w:after="0" w:line="283" w:lineRule="auto"/>
        <w:tabs>
          <w:tab w:leader="none" w:pos="1901"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covenants and agrees that, during the Interim Period (solely with respect to the SpinCo Group or the SpinCo Business and excluding the Mercury Assets and the Mercury Liabilities), except (i) as otherwise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A-62</w:t>
      </w:r>
    </w:p>
    <w:p>
      <w:pPr>
        <w:sectPr>
          <w:pgSz w:w="11900" w:h="16838" w:orient="portrait"/>
          <w:cols w:equalWidth="0" w:num="1">
            <w:col w:w="10159"/>
          </w:cols>
          <w:pgMar w:left="300" w:top="385"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required or expressly contemplated by this Agreement (including in order to give effect to the Distribution, the Reorganization), (ii) as required by Law,</w:t>
      </w:r>
    </w:p>
    <w:p>
      <w:pPr>
        <w:spacing w:after="0" w:line="22" w:lineRule="exact"/>
        <w:rPr>
          <w:sz w:val="20"/>
          <w:szCs w:val="20"/>
          <w:color w:val="auto"/>
        </w:rPr>
      </w:pPr>
    </w:p>
    <w:p>
      <w:pPr>
        <w:ind w:left="1360" w:right="399" w:hanging="5"/>
        <w:spacing w:after="0" w:line="261" w:lineRule="auto"/>
        <w:tabs>
          <w:tab w:leader="none" w:pos="1605"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disclosed in </w:t>
      </w:r>
      <w:r>
        <w:rPr>
          <w:rFonts w:ascii="Times New Roman" w:cs="Times New Roman" w:eastAsia="Times New Roman" w:hAnsi="Times New Roman"/>
          <w:sz w:val="14"/>
          <w:szCs w:val="14"/>
          <w:u w:val="single" w:color="auto"/>
          <w:color w:val="auto"/>
        </w:rPr>
        <w:t>Section 7.1(b)</w:t>
      </w:r>
      <w:r>
        <w:rPr>
          <w:rFonts w:ascii="Times New Roman" w:cs="Times New Roman" w:eastAsia="Times New Roman" w:hAnsi="Times New Roman"/>
          <w:sz w:val="14"/>
          <w:szCs w:val="14"/>
          <w:color w:val="auto"/>
        </w:rPr>
        <w:t xml:space="preserve"> of the SpinCo Disclosure Letter or (iv) as otherwise consented to by Gold (which consent shall not be unreasonably withheld, conditioned or delayed), Mercury shall not, and shall cause its Subsidiaries not to:</w:t>
      </w:r>
    </w:p>
    <w:p>
      <w:pPr>
        <w:spacing w:after="0" w:line="55" w:lineRule="exact"/>
        <w:rPr>
          <w:rFonts w:ascii="Times New Roman" w:cs="Times New Roman" w:eastAsia="Times New Roman" w:hAnsi="Times New Roman"/>
          <w:sz w:val="14"/>
          <w:szCs w:val="14"/>
          <w:color w:val="auto"/>
        </w:rPr>
      </w:pPr>
    </w:p>
    <w:p>
      <w:pPr>
        <w:ind w:left="1700" w:right="359" w:firstLine="327"/>
        <w:spacing w:after="0" w:line="267" w:lineRule="auto"/>
        <w:tabs>
          <w:tab w:leader="none" w:pos="2197"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restate, waive, rescind or otherwise change the Organizational Documents of Mercury or any of its Subsidiaries (other than any such changes thereto that would not prevent or materially impair or materially delay Mercury’s or any of its Subsidiaries’ ability to comply with its obligations hereunder and under the Separation Agreement, or to consummate the transactions contemplated hereby or thereby);</w:t>
      </w:r>
    </w:p>
    <w:p>
      <w:pPr>
        <w:spacing w:after="0" w:line="51" w:lineRule="exact"/>
        <w:rPr>
          <w:rFonts w:ascii="Times New Roman" w:cs="Times New Roman" w:eastAsia="Times New Roman" w:hAnsi="Times New Roman"/>
          <w:sz w:val="14"/>
          <w:szCs w:val="14"/>
          <w:color w:val="auto"/>
        </w:rPr>
      </w:pPr>
    </w:p>
    <w:p>
      <w:pPr>
        <w:ind w:left="1700" w:right="619" w:firstLine="327"/>
        <w:spacing w:after="0" w:line="261" w:lineRule="auto"/>
        <w:tabs>
          <w:tab w:leader="none" w:pos="2235" w:val="left"/>
        </w:tabs>
        <w:numPr>
          <w:ilvl w:val="2"/>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except for transactions among wholly-owned members of the SpinCo Group, make any material acquisition of any assets or businesses in excess of $10,000,000, individually, other than acquisitions of assets (but not businesses) in the ordinary course of business or</w:t>
      </w:r>
    </w:p>
    <w:p>
      <w:pPr>
        <w:ind w:left="1700" w:right="479" w:hanging="2"/>
        <w:spacing w:after="0" w:line="261" w:lineRule="auto"/>
        <w:tabs>
          <w:tab w:leader="none" w:pos="1922" w:val="left"/>
        </w:tabs>
        <w:numPr>
          <w:ilvl w:val="1"/>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transactions between or among wholly-owned members of the SpinCo Group, sell, pledge, dispose of or encumber any material assets or businesses other than in the ordinary course of business (solely with respect to assets);</w:t>
      </w:r>
    </w:p>
    <w:p>
      <w:pPr>
        <w:spacing w:after="0" w:line="55" w:lineRule="exact"/>
        <w:rPr>
          <w:rFonts w:ascii="Times New Roman" w:cs="Times New Roman" w:eastAsia="Times New Roman" w:hAnsi="Times New Roman"/>
          <w:sz w:val="14"/>
          <w:szCs w:val="14"/>
          <w:color w:val="auto"/>
        </w:rPr>
      </w:pPr>
    </w:p>
    <w:p>
      <w:pPr>
        <w:ind w:left="1700" w:right="299" w:firstLine="327"/>
        <w:spacing w:after="0" w:line="257" w:lineRule="auto"/>
        <w:tabs>
          <w:tab w:leader="none" w:pos="2274" w:val="left"/>
        </w:tabs>
        <w:numPr>
          <w:ilvl w:val="2"/>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issue, sell, pledge or transfer any equity interests of any of the members of the SpinCo Group, or securities convertible into, or exchangeable or exercisable for, or options with respect to, or warrants to purchase, or rights to subscribe for, equity interests of any of the members of the SpinCo Group, in each case other than (i) to other members of the SpinCo Group and (ii) the granting of Permitted Liens described in clause (j) of the definition thereof or (B) from the Determination Time through the earlier of the Closing or the termination of this Agreement, issue, sell or pledge any equity interests of Mercury, or securities convertible into, or exchangeable or exercisable for, or options with respect to, or warrants to purchase, or rights to subscribe for, equity interests of Mercury;</w:t>
      </w:r>
    </w:p>
    <w:p>
      <w:pPr>
        <w:spacing w:after="0" w:line="58" w:lineRule="exact"/>
        <w:rPr>
          <w:rFonts w:ascii="Times New Roman" w:cs="Times New Roman" w:eastAsia="Times New Roman" w:hAnsi="Times New Roman"/>
          <w:sz w:val="14"/>
          <w:szCs w:val="14"/>
          <w:color w:val="auto"/>
        </w:rPr>
      </w:pPr>
    </w:p>
    <w:p>
      <w:pPr>
        <w:ind w:left="1700" w:right="279" w:firstLine="327"/>
        <w:spacing w:after="0" w:line="257" w:lineRule="auto"/>
        <w:tabs>
          <w:tab w:leader="none" w:pos="2267" w:val="left"/>
        </w:tabs>
        <w:numPr>
          <w:ilvl w:val="2"/>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sell, lease, license (as licensor), assign, dispose of, or transfer any material SpinCo Intellectual Property (other than non-exclusive licenses of such Intellectual Property granted in the ordinary course of business), (B) abandon, permit to lapse, dedicate to public or permit to expire any material Registered SpinCo Intellectual Property (other than at the end of its non-renewable statutory term), (C) disclose any material confidential information or material Trade Secrets included in the SpinCo Intellectual Property to any Person that is not subject to reasonable obligations with respect to confidentiality and non-disclosure, or (D) escrow or make available any material source code for any SpinCo Software included in the SpinCo Intellectual Property;</w:t>
      </w:r>
    </w:p>
    <w:p>
      <w:pPr>
        <w:spacing w:after="0" w:line="58" w:lineRule="exact"/>
        <w:rPr>
          <w:rFonts w:ascii="Times New Roman" w:cs="Times New Roman" w:eastAsia="Times New Roman" w:hAnsi="Times New Roman"/>
          <w:sz w:val="14"/>
          <w:szCs w:val="14"/>
          <w:color w:val="auto"/>
        </w:rPr>
      </w:pPr>
    </w:p>
    <w:p>
      <w:pPr>
        <w:jc w:val="both"/>
        <w:ind w:left="1700" w:right="259" w:firstLine="327"/>
        <w:spacing w:after="0" w:line="267" w:lineRule="auto"/>
        <w:tabs>
          <w:tab w:leader="none" w:pos="2228" w:val="left"/>
        </w:tabs>
        <w:numPr>
          <w:ilvl w:val="2"/>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Contract for the purchase of real property or any lease (as lessee) of real property related to any leased property providing for annual payments in excess of $1,000,000 other than any renewal or extension of a real property lease in the ordinary course of business and on substantially similar terms to the existing lease or terms no less favorable in the aggregate to the SpinCo Business than those in the existing lease;</w:t>
      </w:r>
    </w:p>
    <w:p>
      <w:pPr>
        <w:spacing w:after="0" w:line="51" w:lineRule="exact"/>
        <w:rPr>
          <w:rFonts w:ascii="Times New Roman" w:cs="Times New Roman" w:eastAsia="Times New Roman" w:hAnsi="Times New Roman"/>
          <w:sz w:val="14"/>
          <w:szCs w:val="14"/>
          <w:color w:val="auto"/>
        </w:rPr>
      </w:pPr>
    </w:p>
    <w:p>
      <w:pPr>
        <w:ind w:left="1700" w:right="359" w:firstLine="327"/>
        <w:spacing w:after="0" w:line="261" w:lineRule="auto"/>
        <w:tabs>
          <w:tab w:leader="none" w:pos="2267" w:val="left"/>
        </w:tabs>
        <w:numPr>
          <w:ilvl w:val="2"/>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amend any material term of, or waive any material right under, or voluntarily terminate (other than upon expiration in accordance with its terms), any SpinCo Material Contract or any SpinCo Transferred Property Lease, or (B) enter into any Contract that, if in effect on the date hereof, would be a SpinCo Material Contract or any SpinCo Transferred Property Lease, other than, in each case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(1) in the ordinary course of business or (2) any modifications which are more favorable to the SpinCo Business;</w:t>
      </w:r>
    </w:p>
    <w:p>
      <w:pPr>
        <w:spacing w:after="0" w:line="56" w:lineRule="exact"/>
        <w:rPr>
          <w:rFonts w:ascii="Times New Roman" w:cs="Times New Roman" w:eastAsia="Times New Roman" w:hAnsi="Times New Roman"/>
          <w:sz w:val="14"/>
          <w:szCs w:val="14"/>
          <w:color w:val="auto"/>
        </w:rPr>
      </w:pPr>
    </w:p>
    <w:p>
      <w:pPr>
        <w:ind w:left="1700" w:right="279" w:firstLine="327"/>
        <w:spacing w:after="0" w:line="255" w:lineRule="auto"/>
        <w:tabs>
          <w:tab w:leader="none" w:pos="2305" w:val="left"/>
        </w:tabs>
        <w:numPr>
          <w:ilvl w:val="2"/>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any member of the SpinCo Group to repurchase, repay, prepay, refinance or incur any indebtedness for borrowed money, issue debt securities or any right to acquire any debt securities, engage in any securitization transactions or similar arrangements or assume, guarantee or endorse, or otherwise as an accommodation become responsible for (whether directly, contingently or otherwise), the obligations of any Person for borrowed money except (A) in the ordinary course of business, including pursuant to working capital facilities and commercial paper issuances, in an aggregate principal amount not to exceed $5,000,000, (B) the SpinCo Financing and Permanent SpinCo Financing,</w:t>
      </w:r>
    </w:p>
    <w:p>
      <w:pPr>
        <w:ind w:left="1920" w:hanging="222"/>
        <w:spacing w:after="0"/>
        <w:tabs>
          <w:tab w:leader="none" w:pos="1920" w:val="left"/>
        </w:tabs>
        <w:numPr>
          <w:ilvl w:val="1"/>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indebtedness</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A-63</w:t>
      </w:r>
    </w:p>
    <w:p>
      <w:pPr>
        <w:sectPr>
          <w:pgSz w:w="11900" w:h="16838" w:orient="portrait"/>
          <w:cols w:equalWidth="0" w:num="1">
            <w:col w:w="10159"/>
          </w:cols>
          <w:pgMar w:left="300" w:top="386" w:right="1440"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479"/>
        <w:spacing w:after="0" w:line="267" w:lineRule="auto"/>
        <w:rPr>
          <w:sz w:val="20"/>
          <w:szCs w:val="20"/>
          <w:color w:val="auto"/>
        </w:rPr>
      </w:pPr>
      <w:r>
        <w:rPr>
          <w:rFonts w:ascii="Times New Roman" w:cs="Times New Roman" w:eastAsia="Times New Roman" w:hAnsi="Times New Roman"/>
          <w:sz w:val="14"/>
          <w:szCs w:val="14"/>
          <w:color w:val="auto"/>
        </w:rPr>
        <w:t>among SpinCo and its wholly owned Subsidiaries or among any such wholly owned Subsidiaries and (D) intercompany indebtedness among SpinCo and its Subsidiaries, on the one hand, and Mercury and its Subsidiaries (other than SpinCo and its Subsidiaries), and the other hand, in connection with the Reorganization or in the ordinary course of business, which shall be settled at or prior to the Closing;</w:t>
      </w:r>
    </w:p>
    <w:p>
      <w:pPr>
        <w:spacing w:after="0" w:line="51" w:lineRule="exact"/>
        <w:rPr>
          <w:sz w:val="20"/>
          <w:szCs w:val="20"/>
          <w:color w:val="auto"/>
        </w:rPr>
      </w:pPr>
    </w:p>
    <w:p>
      <w:pPr>
        <w:ind w:left="1700" w:right="219" w:firstLine="327"/>
        <w:spacing w:after="0" w:line="251" w:lineRule="auto"/>
        <w:tabs>
          <w:tab w:leader="none" w:pos="2344" w:val="left"/>
        </w:tabs>
        <w:numPr>
          <w:ilvl w:val="1"/>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 as required by any Benefit Plan or Collective Bargaining Agreement or (B) with respect to Mercury Benefit Plans (other than SpinCo Benefit Plans), in connection with any action that applies in a substantially uniform manner to SpinCo Group Employees and other similarly situated employees of Mercury and its Affiliates, (1) grant any increases in cash compensation of any SpinCo Group Employee or other individual service provider of the SpinCo Group, other than any actions taken in the ordinary course of business with respect to SpinCo Group Employees or other individual service provider of the SpinCo Group (x) below the level of Vice President, General Manager and (y) with annualized base cash compensation below $400,000; (2) enter into or adopt any new SpinCo Benefit Plan, or materially amend or terminate any existing SpinCo Benefit Plan; (3) enter into any employment, consulting, severance or termination agreement with any SpinCo Group Employee or other individual service provider of the SpinCo Group, other than any actions taken in the ordinary course of business (x) with respect to SpinCo Group Employees or other individual service provider of the SpinCo Group (A) below the level of Plant Manager and (B)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(4) enter into, adopt or provide for any retention, change in control or transaction bonus agreement, plan or program with any SpinCo Group Employee or other individual service provider of the SpinCo Group; (5) accelerate the vesting of, or the lapsing of restrictions with respect to, any equity-based or other incentive-based compensation or cause or otherwise require SpinCo or any of the SpinCo Subsidiaries to fund or commit to fund any compensation; (6) terminate the employment or services of any SpinCo Group Employee or other individual service provider of the SpinCo Group (x) at or above the level of Vice President or (y) with annualized base cash compensation at or above $400,000, in each case, other than for cause or performance, in each case, as determined by Mercury in good faith in the ordinary course of business consistent with past practice; (7) hire, engage or promote (other than to fill a vacancy in the ordinary course of business) any SpinCo Group Employee or other individual service provider of the SpinCo Group (x) at or above the level of Plant Manager or</w:t>
      </w:r>
    </w:p>
    <w:p>
      <w:pPr>
        <w:spacing w:after="0" w:line="11" w:lineRule="exact"/>
        <w:rPr>
          <w:rFonts w:ascii="Times New Roman" w:cs="Times New Roman" w:eastAsia="Times New Roman" w:hAnsi="Times New Roman"/>
          <w:sz w:val="14"/>
          <w:szCs w:val="14"/>
          <w:color w:val="auto"/>
        </w:rPr>
      </w:pPr>
    </w:p>
    <w:p>
      <w:pPr>
        <w:ind w:left="1700" w:right="299" w:hanging="2"/>
        <w:spacing w:after="0" w:line="256" w:lineRule="auto"/>
        <w:tabs>
          <w:tab w:leader="none" w:pos="1898"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annualized base cash compensation at or above $300,000; or (8) establish, adopt, enter into, negotiate, terminate or materially amend any Collective Bargaining Agreement, or recognize or certify any labor union, works council, or other labor organization or employee representative as the bargaining representative for any SpinCo Group Employees;</w:t>
      </w:r>
    </w:p>
    <w:p>
      <w:pPr>
        <w:spacing w:after="0" w:line="58" w:lineRule="exact"/>
        <w:rPr>
          <w:rFonts w:ascii="Times New Roman" w:cs="Times New Roman" w:eastAsia="Times New Roman" w:hAnsi="Times New Roman"/>
          <w:sz w:val="14"/>
          <w:szCs w:val="14"/>
          <w:color w:val="auto"/>
        </w:rPr>
      </w:pPr>
    </w:p>
    <w:p>
      <w:pPr>
        <w:ind w:left="1700" w:right="259" w:firstLine="327"/>
        <w:spacing w:after="0" w:line="283" w:lineRule="auto"/>
        <w:tabs>
          <w:tab w:leader="none" w:pos="2267" w:val="left"/>
        </w:tabs>
        <w:numPr>
          <w:ilvl w:val="1"/>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any reduction-in-force, office or plant closing, or similar action that, in each case, would trigger notice obligations under any WARN Laws;</w:t>
      </w:r>
    </w:p>
    <w:p>
      <w:pPr>
        <w:spacing w:after="0" w:line="40" w:lineRule="exact"/>
        <w:rPr>
          <w:rFonts w:ascii="Times New Roman" w:cs="Times New Roman" w:eastAsia="Times New Roman" w:hAnsi="Times New Roman"/>
          <w:sz w:val="14"/>
          <w:szCs w:val="14"/>
          <w:color w:val="auto"/>
        </w:rPr>
      </w:pPr>
    </w:p>
    <w:p>
      <w:pPr>
        <w:ind w:left="1700" w:right="279" w:firstLine="327"/>
        <w:spacing w:after="0" w:line="258" w:lineRule="auto"/>
        <w:tabs>
          <w:tab w:leader="none" w:pos="2228" w:val="left"/>
        </w:tabs>
        <w:numPr>
          <w:ilvl w:val="1"/>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transfer or reassign the duties or employment of (A) any SpinCo Group Employee such that he or she no longer meets the definition of a SpinCo Group Employee or (B) any other employee of Mercury or any of its Affiliates such that he or she does meet the definition of a SpinCo Group Employee;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termination of employment or services of any SpinCo Group Employee or other individual service provider of the SpinCo Group that would not be prohibited by </w:t>
      </w:r>
      <w:r>
        <w:rPr>
          <w:rFonts w:ascii="Times New Roman" w:cs="Times New Roman" w:eastAsia="Times New Roman" w:hAnsi="Times New Roman"/>
          <w:sz w:val="14"/>
          <w:szCs w:val="14"/>
          <w:u w:val="single" w:color="auto"/>
          <w:color w:val="auto"/>
        </w:rPr>
        <w:t>Section 7.1(b)(viii)(6)</w:t>
      </w:r>
      <w:r>
        <w:rPr>
          <w:rFonts w:ascii="Times New Roman" w:cs="Times New Roman" w:eastAsia="Times New Roman" w:hAnsi="Times New Roman"/>
          <w:sz w:val="14"/>
          <w:szCs w:val="14"/>
          <w:color w:val="auto"/>
        </w:rPr>
        <w:t xml:space="preserve"> will not constitute a transfer or reassignment of duties for purposes of this </w:t>
      </w:r>
      <w:r>
        <w:rPr>
          <w:rFonts w:ascii="Times New Roman" w:cs="Times New Roman" w:eastAsia="Times New Roman" w:hAnsi="Times New Roman"/>
          <w:sz w:val="14"/>
          <w:szCs w:val="14"/>
          <w:u w:val="single" w:color="auto"/>
          <w:color w:val="auto"/>
        </w:rPr>
        <w:t>Section 7.1(b)(x)</w:t>
      </w: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ind w:left="1700" w:right="759" w:firstLine="327"/>
        <w:spacing w:after="0" w:line="283" w:lineRule="auto"/>
        <w:tabs>
          <w:tab w:leader="none" w:pos="2267" w:val="left"/>
        </w:tabs>
        <w:numPr>
          <w:ilvl w:val="1"/>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transfer the employment of any individual who is not a SpinCo Group Employee into the SpinCo Group, or (B) transfer the employment of any SpinCo Group Employee out of the SpinCo Group;</w:t>
      </w:r>
    </w:p>
    <w:p>
      <w:pPr>
        <w:spacing w:after="0" w:line="40" w:lineRule="exact"/>
        <w:rPr>
          <w:rFonts w:ascii="Times New Roman" w:cs="Times New Roman" w:eastAsia="Times New Roman" w:hAnsi="Times New Roman"/>
          <w:sz w:val="14"/>
          <w:szCs w:val="14"/>
          <w:color w:val="auto"/>
        </w:rPr>
      </w:pPr>
    </w:p>
    <w:p>
      <w:pPr>
        <w:jc w:val="both"/>
        <w:ind w:left="1700" w:right="379" w:firstLine="327"/>
        <w:spacing w:after="0" w:line="267" w:lineRule="auto"/>
        <w:tabs>
          <w:tab w:leader="none" w:pos="2305" w:val="left"/>
        </w:tabs>
        <w:numPr>
          <w:ilvl w:val="1"/>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transfer the sponsorship of, or any Liabilities relating to, any Mercury Benefit Plan (other than a SpinCo Benefit Plan set forth and so designated on </w:t>
      </w:r>
      <w:r>
        <w:rPr>
          <w:rFonts w:ascii="Times New Roman" w:cs="Times New Roman" w:eastAsia="Times New Roman" w:hAnsi="Times New Roman"/>
          <w:sz w:val="14"/>
          <w:szCs w:val="14"/>
          <w:u w:val="single" w:color="auto"/>
          <w:color w:val="auto"/>
        </w:rPr>
        <w:t>Section 5.15(a)</w:t>
      </w:r>
      <w:r>
        <w:rPr>
          <w:rFonts w:ascii="Times New Roman" w:cs="Times New Roman" w:eastAsia="Times New Roman" w:hAnsi="Times New Roman"/>
          <w:sz w:val="14"/>
          <w:szCs w:val="14"/>
          <w:color w:val="auto"/>
        </w:rPr>
        <w:t xml:space="preserve"> of the SpinCo Disclosure Letter as of the date hereof or immaterial SpinCo Benefit Plans as listed within 60 days following the date hereof as contemplated by </w:t>
      </w:r>
      <w:r>
        <w:rPr>
          <w:rFonts w:ascii="Times New Roman" w:cs="Times New Roman" w:eastAsia="Times New Roman" w:hAnsi="Times New Roman"/>
          <w:sz w:val="14"/>
          <w:szCs w:val="14"/>
          <w:u w:val="single" w:color="auto"/>
          <w:color w:val="auto"/>
        </w:rPr>
        <w:t>Section 5.15(a)</w:t>
      </w:r>
      <w:r>
        <w:rPr>
          <w:rFonts w:ascii="Times New Roman" w:cs="Times New Roman" w:eastAsia="Times New Roman" w:hAnsi="Times New Roman"/>
          <w:sz w:val="14"/>
          <w:szCs w:val="14"/>
          <w:color w:val="auto"/>
        </w:rPr>
        <w:t>) to SpinCo or any Subsidiary thereof;</w:t>
      </w:r>
    </w:p>
    <w:p>
      <w:pPr>
        <w:spacing w:after="0" w:line="51" w:lineRule="exact"/>
        <w:rPr>
          <w:rFonts w:ascii="Times New Roman" w:cs="Times New Roman" w:eastAsia="Times New Roman" w:hAnsi="Times New Roman"/>
          <w:sz w:val="14"/>
          <w:szCs w:val="14"/>
          <w:color w:val="auto"/>
        </w:rPr>
      </w:pPr>
    </w:p>
    <w:p>
      <w:pPr>
        <w:ind w:left="2340" w:hanging="313"/>
        <w:spacing w:after="0"/>
        <w:tabs>
          <w:tab w:leader="none" w:pos="2340" w:val="left"/>
        </w:tabs>
        <w:numPr>
          <w:ilvl w:val="1"/>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an obligation of SpinCo or any Subsidiary thereof to contribute to any Multiemployer Plan;</w:t>
      </w:r>
    </w:p>
    <w:p>
      <w:pPr>
        <w:spacing w:after="0" w:line="1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A-64</w:t>
      </w:r>
    </w:p>
    <w:p>
      <w:pPr>
        <w:sectPr>
          <w:pgSz w:w="11900" w:h="16838" w:orient="portrait"/>
          <w:cols w:equalWidth="0" w:num="1">
            <w:col w:w="10159"/>
          </w:cols>
          <w:pgMar w:left="300" w:top="386" w:right="144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39" w:firstLine="327"/>
        <w:spacing w:after="0" w:line="252" w:lineRule="auto"/>
        <w:tabs>
          <w:tab w:leader="none" w:pos="2337" w:val="left"/>
        </w:tabs>
        <w:numPr>
          <w:ilvl w:val="1"/>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make any change (or file any such change) in any method of Tax accounting, (B) make (other than in a manner consistent with past practice and other than an initial entity classification election), change or revoke any material Tax election, (C) settle any audit, proceeding, claim or assessment with respect to material Taxes of a member of the SpinCo Group, (D) enter into a “closing agreement” within the meaning of Section 7121 of the Code or other written agreement with a Governmental Authority with respect to material Taxes of a member of the SpinCo Group, (E) agree to waive, surrender or abandon any right to claim a material Tax refund, offset or other reduction in liability of a member of the SpinCo Group, (F) file any material Tax Return other than on a basis consistent in all material respects with past practice (except as otherwise required by a change in Law) with respect to a member of the SpinCo Group, (G) file any material amended Tax Return or claim for refund for material Taxes or (H)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(A) through (H), only to the extent such action (x) would be binding on the SpinCo Group or Gold and its Subsidiaries or</w:t>
      </w:r>
    </w:p>
    <w:p>
      <w:pPr>
        <w:spacing w:after="0" w:line="6" w:lineRule="exact"/>
        <w:rPr>
          <w:rFonts w:ascii="Times New Roman" w:cs="Times New Roman" w:eastAsia="Times New Roman" w:hAnsi="Times New Roman"/>
          <w:sz w:val="14"/>
          <w:szCs w:val="14"/>
          <w:color w:val="auto"/>
        </w:rPr>
      </w:pPr>
    </w:p>
    <w:p>
      <w:pPr>
        <w:ind w:left="1700" w:right="239" w:hanging="2"/>
        <w:spacing w:after="0" w:line="252" w:lineRule="auto"/>
        <w:tabs>
          <w:tab w:leader="none" w:pos="1898" w:val="left"/>
        </w:tabs>
        <w:numPr>
          <w:ilvl w:val="0"/>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would reasonably be expected to have an adverse impact on the Taxes of the SpinCo Group or Gold and its Subsidiaries (it being understood and agreed that, notwithstanding any other provisions of this Agreement to the contrary, none of the covenants set forth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(xiii)</w:t>
      </w:r>
      <w:r>
        <w:rPr>
          <w:rFonts w:ascii="Times New Roman" w:cs="Times New Roman" w:eastAsia="Times New Roman" w:hAnsi="Times New Roman"/>
          <w:sz w:val="14"/>
          <w:szCs w:val="14"/>
          <w:color w:val="auto"/>
        </w:rPr>
        <w:t xml:space="preserve"> nor </w:t>
      </w:r>
      <w:r>
        <w:rPr>
          <w:rFonts w:ascii="Times New Roman" w:cs="Times New Roman" w:eastAsia="Times New Roman" w:hAnsi="Times New Roman"/>
          <w:sz w:val="14"/>
          <w:szCs w:val="14"/>
          <w:u w:val="single" w:color="auto"/>
          <w:color w:val="auto"/>
        </w:rPr>
        <w:t>(xv)</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(xxi)</w:t>
      </w:r>
      <w:r>
        <w:rPr>
          <w:rFonts w:ascii="Times New Roman" w:cs="Times New Roman" w:eastAsia="Times New Roman" w:hAnsi="Times New Roman"/>
          <w:sz w:val="14"/>
          <w:szCs w:val="14"/>
          <w:color w:val="auto"/>
        </w:rPr>
        <w:t xml:space="preserve"> shall be considered to relate to Tax compliance (other than </w:t>
      </w:r>
      <w:r>
        <w:rPr>
          <w:rFonts w:ascii="Times New Roman" w:cs="Times New Roman" w:eastAsia="Times New Roman" w:hAnsi="Times New Roman"/>
          <w:sz w:val="14"/>
          <w:szCs w:val="14"/>
          <w:u w:val="single" w:color="auto"/>
          <w:color w:val="auto"/>
        </w:rPr>
        <w:t>clause (xxi)</w:t>
      </w:r>
      <w:r>
        <w:rPr>
          <w:rFonts w:ascii="Times New Roman" w:cs="Times New Roman" w:eastAsia="Times New Roman" w:hAnsi="Times New Roman"/>
          <w:sz w:val="14"/>
          <w:szCs w:val="14"/>
          <w:color w:val="auto"/>
        </w:rPr>
        <w:t xml:space="preserve"> insofar as it relates to this </w:t>
      </w:r>
      <w:r>
        <w:rPr>
          <w:rFonts w:ascii="Times New Roman" w:cs="Times New Roman" w:eastAsia="Times New Roman" w:hAnsi="Times New Roman"/>
          <w:sz w:val="14"/>
          <w:szCs w:val="14"/>
          <w:u w:val="single" w:color="auto"/>
          <w:color w:val="auto"/>
        </w:rPr>
        <w:t>clause (xiv)</w:t>
      </w:r>
      <w:r>
        <w:rPr>
          <w:rFonts w:ascii="Times New Roman" w:cs="Times New Roman" w:eastAsia="Times New Roman" w:hAnsi="Times New Roman"/>
          <w:sz w:val="14"/>
          <w:szCs w:val="14"/>
          <w:color w:val="auto"/>
        </w:rPr>
        <w:t>)); provided, that each of the foregoing clauses (A) through (H) shall not apply with respect to any Mercury Combined Tax Return or any member of the Mercury Tax Group (or any Tax Return of any member of the Mercury Tax Group) or any Tax Return to the extent required to conform to a Mercury Combined Tax Return or a Tax Return of any member of the Mercury Tax Group, in each case, other than to the extent such action would reasonably be expected to have a material adverse impact on the Taxes of the SpinCo Group or Gold and its Subsidiaries;</w:t>
      </w:r>
    </w:p>
    <w:p>
      <w:pPr>
        <w:spacing w:after="0" w:line="63" w:lineRule="exact"/>
        <w:rPr>
          <w:rFonts w:ascii="Times New Roman" w:cs="Times New Roman" w:eastAsia="Times New Roman" w:hAnsi="Times New Roman"/>
          <w:sz w:val="14"/>
          <w:szCs w:val="14"/>
          <w:color w:val="auto"/>
        </w:rPr>
      </w:pPr>
    </w:p>
    <w:p>
      <w:pPr>
        <w:ind w:left="1700" w:right="339" w:firstLine="327"/>
        <w:spacing w:after="0" w:line="283" w:lineRule="auto"/>
        <w:tabs>
          <w:tab w:leader="none" w:pos="2298" w:val="left"/>
        </w:tabs>
        <w:numPr>
          <w:ilvl w:val="1"/>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in any method of financial accounting or financial accounting practice or policy applicable to the SpinCo Business, other than such changes as are required by GAAP or applicable Law or that otherwise apply generally to Mercury and its Subsidiaries;</w:t>
      </w:r>
    </w:p>
    <w:p>
      <w:pPr>
        <w:spacing w:after="0" w:line="40" w:lineRule="exact"/>
        <w:rPr>
          <w:rFonts w:ascii="Times New Roman" w:cs="Times New Roman" w:eastAsia="Times New Roman" w:hAnsi="Times New Roman"/>
          <w:sz w:val="14"/>
          <w:szCs w:val="14"/>
          <w:color w:val="auto"/>
        </w:rPr>
      </w:pPr>
    </w:p>
    <w:p>
      <w:pPr>
        <w:ind w:left="1700" w:right="239" w:firstLine="327"/>
        <w:spacing w:after="0" w:line="257" w:lineRule="auto"/>
        <w:tabs>
          <w:tab w:leader="none" w:pos="2337" w:val="left"/>
        </w:tabs>
        <w:numPr>
          <w:ilvl w:val="1"/>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settle or compromise any Action, or enter into any consent decree or settlement agreement with any Governmental Authority, against any member of the SpinCo Group or primarily relating to the SpinCo Business or the liability of which would be a SpinCo Liability, other than settlements or compromises of any Action in the ordinary course of business or where the amount paid in settlement or compromise does not exceed $1,000,000 individually or $2,500,000 in the aggregate (excluding any amounts covered by insurance) (it being agreed and understood that this </w:t>
      </w:r>
      <w:r>
        <w:rPr>
          <w:rFonts w:ascii="Times New Roman" w:cs="Times New Roman" w:eastAsia="Times New Roman" w:hAnsi="Times New Roman"/>
          <w:sz w:val="14"/>
          <w:szCs w:val="14"/>
          <w:u w:val="single" w:color="auto"/>
          <w:color w:val="auto"/>
        </w:rPr>
        <w:t>clause (xvi)</w:t>
      </w:r>
      <w:r>
        <w:rPr>
          <w:rFonts w:ascii="Times New Roman" w:cs="Times New Roman" w:eastAsia="Times New Roman" w:hAnsi="Times New Roman"/>
          <w:sz w:val="14"/>
          <w:szCs w:val="14"/>
          <w:color w:val="auto"/>
        </w:rPr>
        <w:t xml:space="preserve"> shall not apply with respect to (A) Tax matters, or (B) derivative, direct or other Actions brought by or on behalf of Mercury’s shareholders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costs associated with such derivative, direct or other Actions shall be borne solely by Mercury));</w:t>
      </w:r>
    </w:p>
    <w:p>
      <w:pPr>
        <w:spacing w:after="0" w:line="58" w:lineRule="exact"/>
        <w:rPr>
          <w:rFonts w:ascii="Times New Roman" w:cs="Times New Roman" w:eastAsia="Times New Roman" w:hAnsi="Times New Roman"/>
          <w:sz w:val="14"/>
          <w:szCs w:val="14"/>
          <w:color w:val="auto"/>
        </w:rPr>
      </w:pPr>
    </w:p>
    <w:p>
      <w:pPr>
        <w:ind w:left="1700" w:right="339" w:firstLine="327"/>
        <w:spacing w:after="0" w:line="261" w:lineRule="auto"/>
        <w:tabs>
          <w:tab w:leader="none" w:pos="2376" w:val="left"/>
        </w:tabs>
        <w:numPr>
          <w:ilvl w:val="1"/>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combine or consolidate (pursuant to a plan of merger or otherwise) any of the members of the SpinCo Group with any Person or adopt a plan of complete or partial liquidation or resolutions providing for a complete or partial liquidation, dissolution, restructuring, recapitalization or other reorganization of any of the members of the SpinCo Group (other than in connection with the Reorganization or the Separation);</w:t>
      </w:r>
    </w:p>
    <w:p>
      <w:pPr>
        <w:spacing w:after="0" w:line="56" w:lineRule="exact"/>
        <w:rPr>
          <w:rFonts w:ascii="Times New Roman" w:cs="Times New Roman" w:eastAsia="Times New Roman" w:hAnsi="Times New Roman"/>
          <w:sz w:val="14"/>
          <w:szCs w:val="14"/>
          <w:color w:val="auto"/>
        </w:rPr>
      </w:pPr>
    </w:p>
    <w:p>
      <w:pPr>
        <w:jc w:val="both"/>
        <w:ind w:left="1700" w:right="399" w:firstLine="327"/>
        <w:spacing w:after="0" w:line="261" w:lineRule="auto"/>
        <w:tabs>
          <w:tab w:leader="none" w:pos="2414" w:val="left"/>
        </w:tabs>
        <w:numPr>
          <w:ilvl w:val="1"/>
          <w:numId w:val="3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or grant a material Lien (other than a Permitted Lien) on any assets, properties or rights of any member of the SpinCo Group that constitute SpinCo Assets, in each case, except (A) Liens securing obligations under the SpinCo Financing or Permanent SpinCo Financing,</w:t>
      </w:r>
    </w:p>
    <w:p>
      <w:pPr>
        <w:ind w:left="1700" w:right="279"/>
        <w:spacing w:after="0" w:line="28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 xml:space="preserve">(B) Liens securing guarantees of obligations under credit agreements to which any member of the SpinCo Group is party as of the date 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such Liens and guarantees will be released prior to or in connection with the Closing, (C) Liens incurred in connection with the ordinary course factoring of receivables pursuant to agreements delivered to Gold, (D) Liens that will be released prior to or in connection with the Closing or (E) Liens securing any intercompany indebtedness among the SpinCo Group or otherwise permitted by </w:t>
      </w:r>
      <w:r>
        <w:rPr>
          <w:rFonts w:ascii="Times New Roman" w:cs="Times New Roman" w:eastAsia="Times New Roman" w:hAnsi="Times New Roman"/>
          <w:sz w:val="13"/>
          <w:szCs w:val="13"/>
          <w:u w:val="single" w:color="auto"/>
          <w:color w:val="auto"/>
        </w:rPr>
        <w:t>Section 7.1(b)(vii)(D)</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1918335</wp:posOffset>
            </wp:positionH>
            <wp:positionV relativeFrom="paragraph">
              <wp:posOffset>-1209675</wp:posOffset>
            </wp:positionV>
            <wp:extent cx="2222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A-65</w:t>
      </w:r>
    </w:p>
    <w:p>
      <w:pPr>
        <w:sectPr>
          <w:pgSz w:w="11900" w:h="16838" w:orient="portrait"/>
          <w:cols w:equalWidth="0" w:num="1">
            <w:col w:w="10159"/>
          </w:cols>
          <w:pgMar w:left="300" w:top="385" w:right="1440"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19" w:firstLine="327"/>
        <w:spacing w:after="0" w:line="261" w:lineRule="auto"/>
        <w:tabs>
          <w:tab w:leader="none" w:pos="2337" w:val="left"/>
        </w:tabs>
        <w:numPr>
          <w:ilvl w:val="2"/>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accordance with Mercury’s annual capital expenditure budgets set forth on Section 7.1(b)(xix) of the SpinCo Disclosure Letter, plus a 4% variance for the total amount budgeted under such capital expenditure budgets, or pursuant to a SpinCo Material Contract made available to Gold as of the date hereof, make any capital expenditure or expenditures or enter into agreements or arrangements providing for any capital expenditure or expenditures or otherwise commit to do so;</w:t>
      </w:r>
    </w:p>
    <w:p>
      <w:pPr>
        <w:spacing w:after="0" w:line="56" w:lineRule="exact"/>
        <w:rPr>
          <w:rFonts w:ascii="Times New Roman" w:cs="Times New Roman" w:eastAsia="Times New Roman" w:hAnsi="Times New Roman"/>
          <w:sz w:val="14"/>
          <w:szCs w:val="14"/>
          <w:color w:val="auto"/>
        </w:rPr>
      </w:pPr>
    </w:p>
    <w:p>
      <w:pPr>
        <w:jc w:val="both"/>
        <w:ind w:left="1700" w:right="339" w:firstLine="327"/>
        <w:spacing w:after="0" w:line="283" w:lineRule="auto"/>
        <w:tabs>
          <w:tab w:leader="none" w:pos="2298" w:val="left"/>
        </w:tabs>
        <w:numPr>
          <w:ilvl w:val="2"/>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grant any material refunds, discounts, credits, rebates or allowances to customers, or (B) take actions to delay accounts payable or accelerate accounts receivable in any material respect, in each case, other than in the ordinary course of business consistent with past practice; or</w:t>
      </w:r>
    </w:p>
    <w:p>
      <w:pPr>
        <w:spacing w:after="0" w:line="40" w:lineRule="exact"/>
        <w:rPr>
          <w:rFonts w:ascii="Times New Roman" w:cs="Times New Roman" w:eastAsia="Times New Roman" w:hAnsi="Times New Roman"/>
          <w:sz w:val="14"/>
          <w:szCs w:val="14"/>
          <w:color w:val="auto"/>
        </w:rPr>
      </w:pPr>
    </w:p>
    <w:p>
      <w:pPr>
        <w:ind w:left="2340" w:hanging="313"/>
        <w:spacing w:after="0"/>
        <w:tabs>
          <w:tab w:leader="none" w:pos="2340" w:val="left"/>
        </w:tabs>
        <w:numPr>
          <w:ilvl w:val="2"/>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or commit or agree to take any of the foregoing actions.</w:t>
      </w:r>
    </w:p>
    <w:p>
      <w:pPr>
        <w:spacing w:after="0" w:line="175" w:lineRule="exact"/>
        <w:rPr>
          <w:rFonts w:ascii="Times New Roman" w:cs="Times New Roman" w:eastAsia="Times New Roman" w:hAnsi="Times New Roman"/>
          <w:sz w:val="14"/>
          <w:szCs w:val="14"/>
          <w:color w:val="auto"/>
        </w:rPr>
      </w:pPr>
    </w:p>
    <w:p>
      <w:pPr>
        <w:ind w:left="1360" w:right="239" w:firstLine="338"/>
        <w:spacing w:after="0" w:line="256" w:lineRule="auto"/>
        <w:tabs>
          <w:tab w:leader="none" w:pos="1893"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Gold covenants and agrees that, during the Interim Period, except (i) as otherwise required or expressly contemplated by this Agreement, (ii) as required by Law, (iii) as disclosed in </w:t>
      </w:r>
      <w:r>
        <w:rPr>
          <w:rFonts w:ascii="Times New Roman" w:cs="Times New Roman" w:eastAsia="Times New Roman" w:hAnsi="Times New Roman"/>
          <w:sz w:val="14"/>
          <w:szCs w:val="14"/>
          <w:u w:val="single" w:color="auto"/>
          <w:color w:val="auto"/>
        </w:rPr>
        <w:t>Section 7.1(c)</w:t>
      </w:r>
      <w:r>
        <w:rPr>
          <w:rFonts w:ascii="Times New Roman" w:cs="Times New Roman" w:eastAsia="Times New Roman" w:hAnsi="Times New Roman"/>
          <w:sz w:val="14"/>
          <w:szCs w:val="14"/>
          <w:color w:val="auto"/>
        </w:rPr>
        <w:t xml:space="preserve"> of the Gold Disclosure Letter or (iv) as otherwise consented to by Mercury (which consent shall not be unreasonably withheld, conditioned or delayed), Gold shall (and shall cause each of the Gold Subsidiaries to) use commercially reasonable efforts to conduct the Gold Business in all material respects in the ordinary course of business and to preserve intact its respective businesses and its business relationships with key employees, significant customers and others having significant business relationships with the Gold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any failure to take any action for which Mercury’s consent was required by </w:t>
      </w:r>
      <w:r>
        <w:rPr>
          <w:rFonts w:ascii="Times New Roman" w:cs="Times New Roman" w:eastAsia="Times New Roman" w:hAnsi="Times New Roman"/>
          <w:sz w:val="14"/>
          <w:szCs w:val="14"/>
          <w:u w:val="single" w:color="auto"/>
          <w:color w:val="auto"/>
        </w:rPr>
        <w:t>Section 7.1(d</w:t>
      </w:r>
      <w:r>
        <w:rPr>
          <w:rFonts w:ascii="Times New Roman" w:cs="Times New Roman" w:eastAsia="Times New Roman" w:hAnsi="Times New Roman"/>
          <w:sz w:val="14"/>
          <w:szCs w:val="14"/>
          <w:color w:val="auto"/>
        </w:rPr>
        <w:t xml:space="preserve">) and was not provided by Mercury following Gold’s request therefor shall not be deemed a breach of this </w:t>
      </w:r>
      <w:r>
        <w:rPr>
          <w:rFonts w:ascii="Times New Roman" w:cs="Times New Roman" w:eastAsia="Times New Roman" w:hAnsi="Times New Roman"/>
          <w:sz w:val="14"/>
          <w:szCs w:val="14"/>
          <w:u w:val="single" w:color="auto"/>
          <w:color w:val="auto"/>
        </w:rPr>
        <w:t>Section 7.1(c</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1"/>
          <w:numId w:val="3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covenants and agrees that, during the Interim Period, except (i) as otherwise required or expressly contemplated by this Agreement,</w:t>
      </w:r>
    </w:p>
    <w:p>
      <w:pPr>
        <w:spacing w:after="0" w:line="21" w:lineRule="exact"/>
        <w:rPr>
          <w:rFonts w:ascii="Times New Roman" w:cs="Times New Roman" w:eastAsia="Times New Roman" w:hAnsi="Times New Roman"/>
          <w:sz w:val="14"/>
          <w:szCs w:val="14"/>
          <w:color w:val="auto"/>
        </w:rPr>
      </w:pPr>
    </w:p>
    <w:p>
      <w:pPr>
        <w:ind w:left="1360" w:right="459" w:hanging="5"/>
        <w:spacing w:after="0" w:line="261" w:lineRule="auto"/>
        <w:tabs>
          <w:tab w:leader="none" w:pos="1566" w:val="left"/>
        </w:tabs>
        <w:numPr>
          <w:ilvl w:val="0"/>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required by Law, (iii) as disclosed in </w:t>
      </w:r>
      <w:r>
        <w:rPr>
          <w:rFonts w:ascii="Times New Roman" w:cs="Times New Roman" w:eastAsia="Times New Roman" w:hAnsi="Times New Roman"/>
          <w:sz w:val="14"/>
          <w:szCs w:val="14"/>
          <w:u w:val="single" w:color="auto"/>
          <w:color w:val="auto"/>
        </w:rPr>
        <w:t>Section 7.1(d)</w:t>
      </w:r>
      <w:r>
        <w:rPr>
          <w:rFonts w:ascii="Times New Roman" w:cs="Times New Roman" w:eastAsia="Times New Roman" w:hAnsi="Times New Roman"/>
          <w:sz w:val="14"/>
          <w:szCs w:val="14"/>
          <w:color w:val="auto"/>
        </w:rPr>
        <w:t xml:space="preserve"> of the Gold Disclosure Letter or (iv) as otherwise consented to by Mercury (which consent shall not be unreasonably withheld, conditioned or delayed), Gold shall not, and shall cause its Subsidiaries (including Merger Sub) not to:</w:t>
      </w:r>
    </w:p>
    <w:p>
      <w:pPr>
        <w:spacing w:after="0" w:line="55" w:lineRule="exact"/>
        <w:rPr>
          <w:rFonts w:ascii="Times New Roman" w:cs="Times New Roman" w:eastAsia="Times New Roman" w:hAnsi="Times New Roman"/>
          <w:sz w:val="14"/>
          <w:szCs w:val="14"/>
          <w:color w:val="auto"/>
        </w:rPr>
      </w:pPr>
    </w:p>
    <w:p>
      <w:pPr>
        <w:ind w:left="1700" w:right="279" w:firstLine="327"/>
        <w:spacing w:after="0" w:line="267" w:lineRule="auto"/>
        <w:tabs>
          <w:tab w:leader="none" w:pos="2197" w:val="left"/>
        </w:tabs>
        <w:numPr>
          <w:ilvl w:val="2"/>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restate, waive, rescind or otherwise change the Organizational Documents of Gold or any of the Gold Subsidiaries (other than any such changes thereto that would not prevent or materially impair or materially delay Gold’s or any Gold Subsidiary’s ability to comply with its obligations hereunder and under the Separation Agreement, or to consummate the transactions contemplated hereby or thereby);</w:t>
      </w:r>
    </w:p>
    <w:p>
      <w:pPr>
        <w:spacing w:after="0" w:line="51" w:lineRule="exact"/>
        <w:rPr>
          <w:rFonts w:ascii="Times New Roman" w:cs="Times New Roman" w:eastAsia="Times New Roman" w:hAnsi="Times New Roman"/>
          <w:sz w:val="14"/>
          <w:szCs w:val="14"/>
          <w:color w:val="auto"/>
        </w:rPr>
      </w:pPr>
    </w:p>
    <w:p>
      <w:pPr>
        <w:ind w:left="1700" w:right="419" w:firstLine="327"/>
        <w:spacing w:after="0" w:line="261" w:lineRule="auto"/>
        <w:tabs>
          <w:tab w:leader="none" w:pos="2235" w:val="left"/>
        </w:tabs>
        <w:numPr>
          <w:ilvl w:val="2"/>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transactions among Gold and any of its Subsidiaries in the ordinary course of business and transactions among Gold and its wholly owned Subsidiaries, (A) make any material acquisition of any assets or businesses in excess of $10,000,000, individually, other than acquisitions of assets (but not businesses) in the ordinary course of business or (B) sell, pledge, dispose of or encumber any material assets or businesses other than in the ordinary course of business (solely with respect to assets);</w:t>
      </w:r>
    </w:p>
    <w:p>
      <w:pPr>
        <w:spacing w:after="0" w:line="56" w:lineRule="exact"/>
        <w:rPr>
          <w:rFonts w:ascii="Times New Roman" w:cs="Times New Roman" w:eastAsia="Times New Roman" w:hAnsi="Times New Roman"/>
          <w:sz w:val="14"/>
          <w:szCs w:val="14"/>
          <w:color w:val="auto"/>
        </w:rPr>
      </w:pPr>
    </w:p>
    <w:p>
      <w:pPr>
        <w:ind w:left="1700" w:right="359" w:firstLine="327"/>
        <w:spacing w:after="0" w:line="257" w:lineRule="auto"/>
        <w:tabs>
          <w:tab w:leader="none" w:pos="2274" w:val="left"/>
        </w:tabs>
        <w:numPr>
          <w:ilvl w:val="2"/>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sell, pledge or transfer any equity interests of Gold or Gold Subsidiaries, or securities convertible into, or exchangeable or exercisable for, or options with respect to, or warrants to purchase, or rights to subscribe for, equity interests of Gold or any Gold Subsidiary, in each case other than (A) to Gold or any of the Gold Subsidiaries, (B) the granting of Permitted Liens, (C) in respect of the settlement of Gold Equity Awards in accordance with their terms and, as applicable, the Gold Equity Incentive Plan, in each case, in the ordinary course of business consistent with past practice, or (D) in respect of the issuance of annual Gold Equity Awards and issuance of Gold Equity Awards in connection with new hires or promotions, in each case, in the ordinary course of business consistent with past practice;</w:t>
      </w:r>
    </w:p>
    <w:p>
      <w:pPr>
        <w:spacing w:after="0" w:line="58" w:lineRule="exact"/>
        <w:rPr>
          <w:rFonts w:ascii="Times New Roman" w:cs="Times New Roman" w:eastAsia="Times New Roman" w:hAnsi="Times New Roman"/>
          <w:sz w:val="14"/>
          <w:szCs w:val="14"/>
          <w:color w:val="auto"/>
        </w:rPr>
      </w:pPr>
    </w:p>
    <w:p>
      <w:pPr>
        <w:ind w:left="1700" w:right="419" w:firstLine="327"/>
        <w:spacing w:after="0" w:line="257" w:lineRule="auto"/>
        <w:tabs>
          <w:tab w:leader="none" w:pos="2267" w:val="left"/>
        </w:tabs>
        <w:numPr>
          <w:ilvl w:val="2"/>
          <w:numId w:val="3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sell, lease, license (as licensor), assign, dispose of, or transfer any material Gold Intellectual Property (other than non-exclusive licenses of such Intellectual Property granted in the ordinary course of business), (B) abandon, permit to lapse, dedicate to public or permit to expire any material Registered Gold Intellectual Property (other than at the end of its non-renewable statutory term), (C) disclose any material confidential information or material Trade Secrets included in the Gold Intellectual Property to any Person that is not subject to reasonable obligations with respect to confidentiality and non-disclosure, or (D) escrow or make available any material source code for any Gold Software included in the Gold Intellectual Property;</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A-66</w:t>
      </w:r>
    </w:p>
    <w:p>
      <w:pPr>
        <w:sectPr>
          <w:pgSz w:w="11900" w:h="16838" w:orient="portrait"/>
          <w:cols w:equalWidth="0" w:num="1">
            <w:col w:w="10159"/>
          </w:cols>
          <w:pgMar w:left="300" w:top="386" w:right="1440"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700" w:right="259" w:firstLine="327"/>
        <w:spacing w:after="0" w:line="267" w:lineRule="auto"/>
        <w:tabs>
          <w:tab w:leader="none" w:pos="2228"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Contract for the purchase of real property or any lease (as lessee) of real property related to any leased property providing for annual payments in excess of $1,000,000 other than any renewal or extension of a real property lease in the ordinary course of business and on substantially similar terms to the existing lease or terms no less favorable in the aggregate to the Gold Business than those in the existing lease;</w:t>
      </w:r>
    </w:p>
    <w:p>
      <w:pPr>
        <w:spacing w:after="0" w:line="51" w:lineRule="exact"/>
        <w:rPr>
          <w:rFonts w:ascii="Times New Roman" w:cs="Times New Roman" w:eastAsia="Times New Roman" w:hAnsi="Times New Roman"/>
          <w:sz w:val="14"/>
          <w:szCs w:val="14"/>
          <w:color w:val="auto"/>
        </w:rPr>
      </w:pPr>
    </w:p>
    <w:p>
      <w:pPr>
        <w:ind w:left="1700" w:right="239" w:firstLine="327"/>
        <w:spacing w:after="0" w:line="252" w:lineRule="auto"/>
        <w:tabs>
          <w:tab w:leader="none" w:pos="2267"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any Gold Benefit Plan or Collective Bargaining Agreement: (1) grant any increases in cash compensation of any employee or individual service provider of Gold or the Gold Subsidiaries, other than any actions taken in the ordinary course of business with respect to employees or individual service providers of Gold or the Gold Subsidiaries (x) below the level of Senior Vice President or General Manager and (y) with annualized base cash compensation below $400,000; (2) enter into or adopt any new Benefit Plan, or materially amend or terminate any existing Gold Benefit Plan, other than with respect to broad-based welfare benefit plans in the ordinary course of business; (3) enter into any employment, consulting, severance or termination agreement with any employee, individual service provider or former employee of Gold or the Gold Subsidiaries, other than (x) any actions taken in the ordinary course of business with respect to employees or individual service providers of Gold or the Gold Subsidiaries (A) below the level of Senior Vice President or General Manager and (B)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(4) accelerate the vesting of, or the lapsing of restrictions with respect to, any equity-based or other incentive-based compensation or the funding of any other compensation; (5) terminate the employment or services of any employee or other individual service provider of Gold or its Subsidiaries (x) at or above the level of Senior Vice President or General Manager or (y) with annualized base cash compensation at or above $400,000, in each case, other than for cause or performance, in each case, as determined by Gold in good faith in the ordinary course of business consistent with past practice; (6) hire, engage or promote (other than to fill a vacancy in the ordinary course of business) any employee or other individual service provider of Gold or the Gold Subsidiaries (x) at or above the level of Senior Vice President or General Manager or (y) with annualized base cash compensation at or above $400,000; or (7) establish, adopt, enter into, negotiate, terminate or materially amend any Collective Bargaining Agreement, or recognize or certify any labor union, works council, or other labor organization or employee representative as the bargaining representative for any employees of Gold or the Gold Subsidiaries;</w:t>
      </w:r>
    </w:p>
    <w:p>
      <w:pPr>
        <w:spacing w:after="0" w:line="68" w:lineRule="exact"/>
        <w:rPr>
          <w:rFonts w:ascii="Times New Roman" w:cs="Times New Roman" w:eastAsia="Times New Roman" w:hAnsi="Times New Roman"/>
          <w:sz w:val="14"/>
          <w:szCs w:val="14"/>
          <w:color w:val="auto"/>
        </w:rPr>
      </w:pPr>
    </w:p>
    <w:p>
      <w:pPr>
        <w:ind w:left="1700" w:right="219" w:firstLine="327"/>
        <w:spacing w:after="0" w:line="283" w:lineRule="auto"/>
        <w:tabs>
          <w:tab w:leader="none" w:pos="2305"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any reduction-in-force, office or plant closing, or similar action that, in each case, would trigger notice obligations under any WARN Laws;</w:t>
      </w:r>
    </w:p>
    <w:p>
      <w:pPr>
        <w:spacing w:after="0" w:line="40" w:lineRule="exact"/>
        <w:rPr>
          <w:rFonts w:ascii="Times New Roman" w:cs="Times New Roman" w:eastAsia="Times New Roman" w:hAnsi="Times New Roman"/>
          <w:sz w:val="14"/>
          <w:szCs w:val="14"/>
          <w:color w:val="auto"/>
        </w:rPr>
      </w:pPr>
    </w:p>
    <w:p>
      <w:pPr>
        <w:jc w:val="both"/>
        <w:ind w:left="1700" w:right="299" w:firstLine="327"/>
        <w:spacing w:after="0" w:line="261" w:lineRule="auto"/>
        <w:tabs>
          <w:tab w:leader="none" w:pos="2344"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amend any material term of, or waive any material right under, or voluntarily terminate (other than upon expiration in accordance with its terms), any Gold Material Contract, or (B) enter into any Contract that, if in effect on the date hereof, would be a Gold Material Contract, other than, in each case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(1) in the ordinary course of business or (2) any modifications which are more favorable to the Gold Business;</w:t>
      </w:r>
    </w:p>
    <w:p>
      <w:pPr>
        <w:spacing w:after="0" w:line="56" w:lineRule="exact"/>
        <w:rPr>
          <w:rFonts w:ascii="Times New Roman" w:cs="Times New Roman" w:eastAsia="Times New Roman" w:hAnsi="Times New Roman"/>
          <w:sz w:val="14"/>
          <w:szCs w:val="14"/>
          <w:color w:val="auto"/>
        </w:rPr>
      </w:pPr>
    </w:p>
    <w:p>
      <w:pPr>
        <w:ind w:left="1700" w:right="239" w:firstLine="327"/>
        <w:spacing w:after="0" w:line="256" w:lineRule="auto"/>
        <w:tabs>
          <w:tab w:leader="none" w:pos="2267"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repay, prepay, refinance or incur any indebtedness for borrowed money, issue any debt securities or any right to acquire debt securities, engage in any securitization transactions or similar arrangements or assume, guarantee or endorse, or otherwise as an accommodation become responsible for (whether directly, contingently or otherwise), the obligations of any Person for borrowed money except (A) in the ordinary course of business, including pursuant to working capital facilities and commercial paper issuances, in an aggregate principal amount not to exceed $5,000,000 at any time outstanding, (B) the Gold Financing, (C) revolving borrowings pursuant to the Gold Credit Agreement (as in effect on the date hereof), and (D) intercompany indebtedness among Gold and its wholly owned Subsidiaries or among any such wholly owned Subsidiaries;</w:t>
      </w:r>
    </w:p>
    <w:p>
      <w:pPr>
        <w:spacing w:after="0" w:line="59" w:lineRule="exact"/>
        <w:rPr>
          <w:rFonts w:ascii="Times New Roman" w:cs="Times New Roman" w:eastAsia="Times New Roman" w:hAnsi="Times New Roman"/>
          <w:sz w:val="14"/>
          <w:szCs w:val="14"/>
          <w:color w:val="auto"/>
        </w:rPr>
      </w:pPr>
    </w:p>
    <w:p>
      <w:pPr>
        <w:ind w:left="1700" w:right="339" w:firstLine="327"/>
        <w:spacing w:after="0" w:line="283" w:lineRule="auto"/>
        <w:tabs>
          <w:tab w:leader="none" w:pos="2228" w:val="left"/>
        </w:tabs>
        <w:numPr>
          <w:ilvl w:val="0"/>
          <w:numId w:val="3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make any change (or file any such change) in any method of Tax accounting, (B) make (other than in a manner consistent with past practice and other than an initial entity classification election), change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A-67</w:t>
      </w:r>
    </w:p>
    <w:p>
      <w:pPr>
        <w:sectPr>
          <w:pgSz w:w="11900" w:h="16838" w:orient="portrait"/>
          <w:cols w:equalWidth="0" w:num="1">
            <w:col w:w="10159"/>
          </w:cols>
          <w:pgMar w:left="300" w:top="385" w:right="1440"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19"/>
        <w:spacing w:after="0" w:line="272" w:lineRule="auto"/>
        <w:rPr>
          <w:sz w:val="20"/>
          <w:szCs w:val="20"/>
          <w:color w:val="auto"/>
        </w:rPr>
      </w:pPr>
      <w:r>
        <w:rPr>
          <w:rFonts w:ascii="Times New Roman" w:cs="Times New Roman" w:eastAsia="Times New Roman" w:hAnsi="Times New Roman"/>
          <w:sz w:val="13"/>
          <w:szCs w:val="13"/>
          <w:color w:val="auto"/>
        </w:rPr>
        <w:t xml:space="preserve">or revoke any material Tax election, (C) settle any audit, proceeding, claim or assessment with respect to material Taxes, (D) enter into a “closing agreement” within the meaning of Section 7121 of the Code or other written agreement with a Governmental Authority with respect to material Taxes, (E) agree to waive, surrender or abandon any right to claim a material Tax refund, offset or other reduction in liability, (F) file any material Tax Return other than on a basis consistent in all material respects with past practice (except as otherwise required by a change in Law), (G) file any material amended Tax Return or claim for refund for material Taxes or (H)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(A) through (H), only to the extent such action (x) would be binding on the SpinCo Group or Gold and its Subsidiaries or (y) would reasonably be expected to have an adverse impact on the Taxes of the SpinCo Group or Gold and the Gold Subsidiaries (it being understood and agreed that, notwithstanding any other provisions of this Agreement to the contrary, none of the covenants set forth in </w:t>
      </w:r>
      <w:r>
        <w:rPr>
          <w:rFonts w:ascii="Times New Roman" w:cs="Times New Roman" w:eastAsia="Times New Roman" w:hAnsi="Times New Roman"/>
          <w:sz w:val="13"/>
          <w:szCs w:val="13"/>
          <w:u w:val="single" w:color="auto"/>
          <w:color w:val="auto"/>
        </w:rPr>
        <w:t>clauses (i)</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(ix)</w:t>
      </w:r>
      <w:r>
        <w:rPr>
          <w:rFonts w:ascii="Times New Roman" w:cs="Times New Roman" w:eastAsia="Times New Roman" w:hAnsi="Times New Roman"/>
          <w:sz w:val="13"/>
          <w:szCs w:val="13"/>
          <w:color w:val="auto"/>
        </w:rPr>
        <w:t xml:space="preserve"> nor </w:t>
      </w:r>
      <w:r>
        <w:rPr>
          <w:rFonts w:ascii="Times New Roman" w:cs="Times New Roman" w:eastAsia="Times New Roman" w:hAnsi="Times New Roman"/>
          <w:sz w:val="13"/>
          <w:szCs w:val="13"/>
          <w:u w:val="single" w:color="auto"/>
          <w:color w:val="auto"/>
        </w:rPr>
        <w:t>(xi)</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(xvii)</w:t>
      </w:r>
      <w:r>
        <w:rPr>
          <w:rFonts w:ascii="Times New Roman" w:cs="Times New Roman" w:eastAsia="Times New Roman" w:hAnsi="Times New Roman"/>
          <w:sz w:val="13"/>
          <w:szCs w:val="13"/>
          <w:color w:val="auto"/>
        </w:rPr>
        <w:t xml:space="preserve"> shall be considered to relate to Tax compliance (other than </w:t>
      </w:r>
      <w:r>
        <w:rPr>
          <w:rFonts w:ascii="Times New Roman" w:cs="Times New Roman" w:eastAsia="Times New Roman" w:hAnsi="Times New Roman"/>
          <w:sz w:val="13"/>
          <w:szCs w:val="13"/>
          <w:u w:val="single" w:color="auto"/>
          <w:color w:val="auto"/>
        </w:rPr>
        <w:t>clause</w:t>
      </w:r>
    </w:p>
    <w:p>
      <w:pPr>
        <w:spacing w:after="0" w:line="2" w:lineRule="exact"/>
        <w:rPr>
          <w:sz w:val="20"/>
          <w:szCs w:val="20"/>
          <w:color w:val="auto"/>
        </w:rPr>
      </w:pPr>
    </w:p>
    <w:p>
      <w:pPr>
        <w:ind w:left="2040" w:hanging="342"/>
        <w:spacing w:after="0"/>
        <w:tabs>
          <w:tab w:leader="none" w:pos="2040" w:val="left"/>
        </w:tabs>
        <w:numPr>
          <w:ilvl w:val="0"/>
          <w:numId w:val="350"/>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insofar as it relates to this </w:t>
      </w:r>
      <w:r>
        <w:rPr>
          <w:rFonts w:ascii="Times New Roman" w:cs="Times New Roman" w:eastAsia="Times New Roman" w:hAnsi="Times New Roman"/>
          <w:sz w:val="14"/>
          <w:szCs w:val="14"/>
          <w:u w:val="single" w:color="auto"/>
          <w:color w:val="auto"/>
        </w:rPr>
        <w:t>clause (x)</w:t>
      </w:r>
      <w:r>
        <w:rPr>
          <w:rFonts w:ascii="Times New Roman" w:cs="Times New Roman" w:eastAsia="Times New Roman" w:hAnsi="Times New Roman"/>
          <w:sz w:val="14"/>
          <w:szCs w:val="14"/>
          <w:color w:val="auto"/>
        </w:rPr>
        <w:t>));</w:t>
      </w:r>
    </w:p>
    <w:p>
      <w:pPr>
        <w:spacing w:after="0" w:line="76" w:lineRule="exact"/>
        <w:rPr>
          <w:rFonts w:ascii="Times New Roman" w:cs="Times New Roman" w:eastAsia="Times New Roman" w:hAnsi="Times New Roman"/>
          <w:sz w:val="14"/>
          <w:szCs w:val="14"/>
          <w:u w:val="single" w:color="auto"/>
          <w:color w:val="auto"/>
        </w:rPr>
      </w:pPr>
    </w:p>
    <w:p>
      <w:pPr>
        <w:ind w:left="1700" w:right="359" w:firstLine="327"/>
        <w:spacing w:after="0" w:line="283" w:lineRule="auto"/>
        <w:tabs>
          <w:tab w:leader="none" w:pos="2267"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material change in any method of financial accounting or financial accounting practice or policy, other than such changes as are required by GAAP or applicable Law;</w:t>
      </w:r>
    </w:p>
    <w:p>
      <w:pPr>
        <w:spacing w:after="0" w:line="40" w:lineRule="exact"/>
        <w:rPr>
          <w:rFonts w:ascii="Times New Roman" w:cs="Times New Roman" w:eastAsia="Times New Roman" w:hAnsi="Times New Roman"/>
          <w:sz w:val="14"/>
          <w:szCs w:val="14"/>
          <w:color w:val="auto"/>
        </w:rPr>
      </w:pPr>
    </w:p>
    <w:p>
      <w:pPr>
        <w:ind w:left="1700" w:right="239" w:firstLine="327"/>
        <w:spacing w:after="0" w:line="257" w:lineRule="auto"/>
        <w:tabs>
          <w:tab w:leader="none" w:pos="2305"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settle or compromise any Action, or enter into any consent decree or settlement agreement with any Governmental Authority, against Gold or any of the Gold Subsidiaries, other than settlements or compromises of any Action in the ordinary course of business or where the amount paid in settlement or compromise does not exceed $1,000,000 individually or $2,500,000 in the aggregate (excluding any amounts covered by insurance) (it being agreed and understood that this </w:t>
      </w:r>
      <w:r>
        <w:rPr>
          <w:rFonts w:ascii="Times New Roman" w:cs="Times New Roman" w:eastAsia="Times New Roman" w:hAnsi="Times New Roman"/>
          <w:sz w:val="14"/>
          <w:szCs w:val="14"/>
          <w:u w:val="single" w:color="auto"/>
          <w:color w:val="auto"/>
        </w:rPr>
        <w:t>clause (xii)</w:t>
      </w:r>
      <w:r>
        <w:rPr>
          <w:rFonts w:ascii="Times New Roman" w:cs="Times New Roman" w:eastAsia="Times New Roman" w:hAnsi="Times New Roman"/>
          <w:sz w:val="14"/>
          <w:szCs w:val="14"/>
          <w:color w:val="auto"/>
        </w:rPr>
        <w:t xml:space="preserve"> shall not apply with respect to (A) Tax matters, or (B) derivative, direct or other Actions brought by or on behalf of Gold’s shareholders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costs associated with such derivative, direct or other Actions shall be borne solely by Gold));</w:t>
      </w:r>
    </w:p>
    <w:p>
      <w:pPr>
        <w:spacing w:after="0" w:line="58" w:lineRule="exact"/>
        <w:rPr>
          <w:rFonts w:ascii="Times New Roman" w:cs="Times New Roman" w:eastAsia="Times New Roman" w:hAnsi="Times New Roman"/>
          <w:sz w:val="14"/>
          <w:szCs w:val="14"/>
          <w:color w:val="auto"/>
        </w:rPr>
      </w:pPr>
    </w:p>
    <w:p>
      <w:pPr>
        <w:ind w:left="1700" w:right="259" w:firstLine="327"/>
        <w:spacing w:after="0" w:line="267" w:lineRule="auto"/>
        <w:tabs>
          <w:tab w:leader="none" w:pos="2344"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combine or consolidate (pursuant to a plan of merger or otherwise) with any Person or adopt a plan of complete or partial liquidation or resolutions providing for a complete or partial liquidation, dissolution, restructuring, recapitalization or other reorganization of Gold or any of the Gold Subsidiaries;</w:t>
      </w:r>
    </w:p>
    <w:p>
      <w:pPr>
        <w:spacing w:after="0" w:line="51" w:lineRule="exact"/>
        <w:rPr>
          <w:rFonts w:ascii="Times New Roman" w:cs="Times New Roman" w:eastAsia="Times New Roman" w:hAnsi="Times New Roman"/>
          <w:sz w:val="14"/>
          <w:szCs w:val="14"/>
          <w:color w:val="auto"/>
        </w:rPr>
      </w:pPr>
    </w:p>
    <w:p>
      <w:pPr>
        <w:ind w:left="1700" w:right="319" w:firstLine="327"/>
        <w:spacing w:after="0" w:line="257" w:lineRule="auto"/>
        <w:tabs>
          <w:tab w:leader="none" w:pos="2337"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incur or grant a material Lien (other than a Permitted Lien) on any assets, properties or rights of Gold or any of the Gold Subsidiaries, in each case, except (A) Liens securing obligations under the SpinCo Financing, Permanent SpinCo Financing or Gold Financing, (B) Liens securing guarantees of obligations under credit agreements to which Gold or any of the Gold Subsidiaries is party as of the date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such Liens and guarantees will be released prior to or in connection with the Closing, (C) Liens incurred in connection with the ordinary course factoring of receivables pursuant to agreements delivered to Mercury, (D) Liens that will be released prior to or in connection with the Closing or (E) Liens securing any intercompany indebtedness among Gold and the Gold Subsidiaries;</w:t>
      </w:r>
    </w:p>
    <w:p>
      <w:pPr>
        <w:spacing w:after="0" w:line="58" w:lineRule="exact"/>
        <w:rPr>
          <w:rFonts w:ascii="Times New Roman" w:cs="Times New Roman" w:eastAsia="Times New Roman" w:hAnsi="Times New Roman"/>
          <w:sz w:val="14"/>
          <w:szCs w:val="14"/>
          <w:color w:val="auto"/>
        </w:rPr>
      </w:pPr>
    </w:p>
    <w:p>
      <w:pPr>
        <w:ind w:left="1700" w:right="259" w:firstLine="327"/>
        <w:spacing w:after="0" w:line="261" w:lineRule="auto"/>
        <w:tabs>
          <w:tab w:leader="none" w:pos="2298"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in accordance with Gold’s annual capital expenditure budget set forth on </w:t>
      </w:r>
      <w:r>
        <w:rPr>
          <w:rFonts w:ascii="Times New Roman" w:cs="Times New Roman" w:eastAsia="Times New Roman" w:hAnsi="Times New Roman"/>
          <w:sz w:val="14"/>
          <w:szCs w:val="14"/>
          <w:u w:val="single" w:color="auto"/>
          <w:color w:val="auto"/>
        </w:rPr>
        <w:t>Section 7.1(d)(xv)</w:t>
      </w:r>
      <w:r>
        <w:rPr>
          <w:rFonts w:ascii="Times New Roman" w:cs="Times New Roman" w:eastAsia="Times New Roman" w:hAnsi="Times New Roman"/>
          <w:sz w:val="14"/>
          <w:szCs w:val="14"/>
          <w:color w:val="auto"/>
        </w:rPr>
        <w:t xml:space="preserve"> of the Gold Disclosure Letter, plus a 4% variance for the total amount budgeted under such capital expenditure budget, or pursuant to a Gold Material Contract made available to Mercury as of the date hereof, make any capital expenditure or expenditures or enter into agreements or arrangements providing for any capital expenditure or expenditures or otherwise commit to do so;</w:t>
      </w:r>
    </w:p>
    <w:p>
      <w:pPr>
        <w:spacing w:after="0" w:line="56" w:lineRule="exact"/>
        <w:rPr>
          <w:rFonts w:ascii="Times New Roman" w:cs="Times New Roman" w:eastAsia="Times New Roman" w:hAnsi="Times New Roman"/>
          <w:sz w:val="14"/>
          <w:szCs w:val="14"/>
          <w:color w:val="auto"/>
        </w:rPr>
      </w:pPr>
    </w:p>
    <w:p>
      <w:pPr>
        <w:ind w:left="1700" w:right="239" w:firstLine="327"/>
        <w:spacing w:after="0" w:line="267" w:lineRule="auto"/>
        <w:tabs>
          <w:tab w:leader="none" w:pos="2337"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declare or pay any dividends on or make other distributions in respect of Gold Common Stock or other equity securities (whether in cash, securities or property) or (y) redeem, repurchase or otherwise acquire any shares of Gold Common Stock (including any securities convertible or exchangeable into such capital stock); or</w:t>
      </w:r>
    </w:p>
    <w:p>
      <w:pPr>
        <w:spacing w:after="0" w:line="51" w:lineRule="exact"/>
        <w:rPr>
          <w:rFonts w:ascii="Times New Roman" w:cs="Times New Roman" w:eastAsia="Times New Roman" w:hAnsi="Times New Roman"/>
          <w:sz w:val="14"/>
          <w:szCs w:val="14"/>
          <w:color w:val="auto"/>
        </w:rPr>
      </w:pPr>
    </w:p>
    <w:p>
      <w:pPr>
        <w:ind w:left="2380" w:hanging="353"/>
        <w:spacing w:after="0"/>
        <w:tabs>
          <w:tab w:leader="none" w:pos="2380" w:val="left"/>
        </w:tabs>
        <w:numPr>
          <w:ilvl w:val="1"/>
          <w:numId w:val="3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or commit or agree to take any of the foregoing actions.</w:t>
      </w:r>
    </w:p>
    <w:p>
      <w:pPr>
        <w:spacing w:after="0" w:line="175" w:lineRule="exact"/>
        <w:rPr>
          <w:sz w:val="20"/>
          <w:szCs w:val="20"/>
          <w:color w:val="auto"/>
        </w:rPr>
      </w:pPr>
    </w:p>
    <w:p>
      <w:pPr>
        <w:ind w:left="1360" w:right="319" w:firstLine="338"/>
        <w:spacing w:after="0" w:line="283" w:lineRule="auto"/>
        <w:tabs>
          <w:tab w:leader="none" w:pos="1893" w:val="left"/>
        </w:tabs>
        <w:numPr>
          <w:ilvl w:val="0"/>
          <w:numId w:val="3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Agreement shall give Gold or Mercury, directly or indirectly, the right to control or direct the other Party’s or any of its Subsidiaries’ businesses or operations prior to the Closing.</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A-68</w:t>
      </w:r>
    </w:p>
    <w:p>
      <w:pPr>
        <w:sectPr>
          <w:pgSz w:w="11900" w:h="16838" w:orient="portrait"/>
          <w:cols w:equalWidth="0" w:num="1">
            <w:col w:w="10159"/>
          </w:cols>
          <w:pgMar w:left="300" w:top="386" w:right="1440"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 xml:space="preserve">Notwithstanding anything in this Agreement to the contrary, including this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Gold and Merger Sub, on the one hand, and Mercury and SpinCo, on the other hand, shall retain control of and responsibility for the operation of their respective businesses consistent with any applicable Antitrust Law or Foreign Investment Law, and each Party to this Agreement shall comply with the terms of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of this Agreement consistent with and in compliance with any applicable Antitrust Law or Foreign Investment Law. In furtherance of the foregoing, nothing contained in the Agreement shall give Gold or Merger Sub the ability to control or direct the business or operations of Mercury or SpinCo nor give Mercury or SpinCo the ability to control or direct the business or operations of Gold or Merger Sub. In addition, the Parties acknowledge and agree that nothing in this </w:t>
      </w:r>
      <w:r>
        <w:rPr>
          <w:rFonts w:ascii="Times New Roman" w:cs="Times New Roman" w:eastAsia="Times New Roman" w:hAnsi="Times New Roman"/>
          <w:sz w:val="14"/>
          <w:szCs w:val="14"/>
          <w:u w:val="single" w:color="auto"/>
          <w:color w:val="auto"/>
        </w:rPr>
        <w:t>Section 7.1</w:t>
      </w:r>
      <w:r>
        <w:rPr>
          <w:rFonts w:ascii="Times New Roman" w:cs="Times New Roman" w:eastAsia="Times New Roman" w:hAnsi="Times New Roman"/>
          <w:sz w:val="14"/>
          <w:szCs w:val="14"/>
          <w:color w:val="auto"/>
        </w:rPr>
        <w:t xml:space="preserve"> shall be deemed to limit the transfer of the Mercury Assets or the Mercury Liabilities prior to, at or after the Closing or prohibit Mercury or its Affiliates from implementing the Reorganization and the Distribution.</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4"/>
          <w:szCs w:val="14"/>
          <w:color w:val="auto"/>
        </w:rPr>
        <w:t>(a) This Agreement is intended to constitute a “plan of reorganization” within the meaning of Treasury Regulations Sections 1.368-2(g) and</w:t>
      </w:r>
    </w:p>
    <w:p>
      <w:pPr>
        <w:spacing w:after="0" w:line="22"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 xml:space="preserve">1.368-3(a) for the Merger and for purposes of Sections 354, 361 and 368 of the Code, and the Parties hereby adopt it as such. From and after the date of this Agreement and until the Effective Time, each Party shall use its reasonable best efforts to ensure that the Contribution, Distribution and Merger will have the U.S. federal income Tax treatment described in the “Intended Tax Treatment” as defined in the Form of Tax Matters Agreement included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u w:val="single" w:color="auto"/>
          <w:color w:val="auto"/>
        </w:rPr>
        <w:t>Intended Tax Treatment</w:t>
      </w:r>
      <w:r>
        <w:rPr>
          <w:rFonts w:ascii="Times New Roman" w:cs="Times New Roman" w:eastAsia="Times New Roman" w:hAnsi="Times New Roman"/>
          <w:sz w:val="14"/>
          <w:szCs w:val="14"/>
          <w:color w:val="auto"/>
        </w:rPr>
        <w:t>”) and shall not take any action, cause or permit any action to be taken, fail to take any action or cause any action to fail to be taken, which action or failure to act could prevent the Intended Tax Treatment.</w:t>
      </w:r>
    </w:p>
    <w:p>
      <w:pPr>
        <w:spacing w:after="0" w:line="146" w:lineRule="exact"/>
        <w:rPr>
          <w:sz w:val="20"/>
          <w:szCs w:val="20"/>
          <w:color w:val="auto"/>
        </w:rPr>
      </w:pPr>
    </w:p>
    <w:p>
      <w:pPr>
        <w:ind w:left="1360" w:right="259" w:firstLine="338"/>
        <w:spacing w:after="0" w:line="255" w:lineRule="auto"/>
        <w:tabs>
          <w:tab w:leader="none" w:pos="1901"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Mercury, SpinCo and Gold shall cooperate with one another and shall use its reasonable best efforts to cause Mercury to obtain a written opinion of Tax Counsel, reasonably satisfactory in form and substance to Mercury (the “</w:t>
      </w:r>
      <w:r>
        <w:rPr>
          <w:rFonts w:ascii="Times New Roman" w:cs="Times New Roman" w:eastAsia="Times New Roman" w:hAnsi="Times New Roman"/>
          <w:sz w:val="14"/>
          <w:szCs w:val="14"/>
          <w:u w:val="single" w:color="auto"/>
          <w:color w:val="auto"/>
        </w:rPr>
        <w:t>Distribution Tax Opinion</w:t>
      </w:r>
      <w:r>
        <w:rPr>
          <w:rFonts w:ascii="Times New Roman" w:cs="Times New Roman" w:eastAsia="Times New Roman" w:hAnsi="Times New Roman"/>
          <w:sz w:val="14"/>
          <w:szCs w:val="14"/>
          <w:color w:val="auto"/>
        </w:rPr>
        <w:t xml:space="preserve">”), dated as of the Closing Date, regarding the U.S. federal income Tax treatments of the Contribution and Distribution set forth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(f)</w:t>
      </w:r>
      <w:r>
        <w:rPr>
          <w:rFonts w:ascii="Times New Roman" w:cs="Times New Roman" w:eastAsia="Times New Roman" w:hAnsi="Times New Roman"/>
          <w:sz w:val="14"/>
          <w:szCs w:val="14"/>
          <w:color w:val="auto"/>
        </w:rPr>
        <w:t xml:space="preserve"> of the definition of “Intended Tax Treatment” as defined in the Form of Tax Matters Agreement included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 delivering the Distribution Tax Opinion, Tax Counsel shall be entitled to receive and rely upon the Gold Distribution Tax Representations and the Mercury Distribution Tax Representations. Mercury shall provide draft copies of the Gold Distribution Tax Representations and the Mercury Distribution Tax Representations to Gold no later than fifteen (15) days before Mercury intends to finalize such representations, Gold shall provide any comments within ten (10) days of receipt of such draft copies, and Mercury shall determine in its reasonable discretion whether to incorporate any comments so received.</w:t>
      </w:r>
    </w:p>
    <w:p>
      <w:pPr>
        <w:spacing w:after="0" w:line="145" w:lineRule="exact"/>
        <w:rPr>
          <w:rFonts w:ascii="Times New Roman" w:cs="Times New Roman" w:eastAsia="Times New Roman" w:hAnsi="Times New Roman"/>
          <w:sz w:val="14"/>
          <w:szCs w:val="14"/>
          <w:color w:val="auto"/>
        </w:rPr>
      </w:pPr>
    </w:p>
    <w:p>
      <w:pPr>
        <w:ind w:left="1360" w:right="279" w:firstLine="338"/>
        <w:spacing w:after="0" w:line="257" w:lineRule="auto"/>
        <w:tabs>
          <w:tab w:leader="none" w:pos="1893"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Mercury, SpinCo and Gold shall cooperate with one another and shall use its reasonable best efforts to cause Mercury to obtain a written opinion of Tax Counsel (the “</w:t>
      </w:r>
      <w:r>
        <w:rPr>
          <w:rFonts w:ascii="Times New Roman" w:cs="Times New Roman" w:eastAsia="Times New Roman" w:hAnsi="Times New Roman"/>
          <w:sz w:val="14"/>
          <w:szCs w:val="14"/>
          <w:u w:val="single" w:color="auto"/>
          <w:color w:val="auto"/>
        </w:rPr>
        <w:t>Mercury Merger Tax Opinion</w:t>
      </w:r>
      <w:r>
        <w:rPr>
          <w:rFonts w:ascii="Times New Roman" w:cs="Times New Roman" w:eastAsia="Times New Roman" w:hAnsi="Times New Roman"/>
          <w:sz w:val="14"/>
          <w:szCs w:val="14"/>
          <w:color w:val="auto"/>
        </w:rPr>
        <w:t>”) and Gold to obtain a written opinion of Gold Tax Counsel (the “</w:t>
      </w:r>
      <w:r>
        <w:rPr>
          <w:rFonts w:ascii="Times New Roman" w:cs="Times New Roman" w:eastAsia="Times New Roman" w:hAnsi="Times New Roman"/>
          <w:sz w:val="14"/>
          <w:szCs w:val="14"/>
          <w:u w:val="single" w:color="auto"/>
          <w:color w:val="auto"/>
        </w:rPr>
        <w:t>Gold Merger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Opinion</w:t>
      </w:r>
      <w:r>
        <w:rPr>
          <w:rFonts w:ascii="Times New Roman" w:cs="Times New Roman" w:eastAsia="Times New Roman" w:hAnsi="Times New Roman"/>
          <w:sz w:val="14"/>
          <w:szCs w:val="14"/>
          <w:color w:val="auto"/>
        </w:rPr>
        <w:t>”) reasonably satisfactory in form and substance to Mercury and Gold, respectively, dated as of the Closing Date, to the effect that, on the basis of the facts, representations and assumptions set forth or referred to in such opinion, the Merger will qualify as a “reorganization” within the meaning of Section 368(a) of the Code. In delivering the Mercury Merger Tax Opinion and the Gold Merger Tax Opinion, Tax Counsel and Gold Tax Counsel shall both be entitled to receive and rely upon the SpinCo Merger Tax Representations and the Gold Merger Tax Representations.</w:t>
      </w:r>
    </w:p>
    <w:p>
      <w:pPr>
        <w:spacing w:after="0" w:line="143" w:lineRule="exact"/>
        <w:rPr>
          <w:rFonts w:ascii="Times New Roman" w:cs="Times New Roman" w:eastAsia="Times New Roman" w:hAnsi="Times New Roman"/>
          <w:sz w:val="14"/>
          <w:szCs w:val="14"/>
          <w:color w:val="auto"/>
        </w:rPr>
      </w:pPr>
    </w:p>
    <w:p>
      <w:pPr>
        <w:jc w:val="both"/>
        <w:ind w:left="1360" w:right="239" w:firstLine="338"/>
        <w:spacing w:after="0" w:line="267" w:lineRule="auto"/>
        <w:tabs>
          <w:tab w:leader="none" w:pos="1901"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and SpinCo, on the one hand, and Gold, on the other hand, shall cooperate with each other in obtaining, and shall use their respective reasonable best efforts to obtain, any Tax opinions required to be filed with the SEC in connection with the filing of the Gold Registration Statement and shall each use its respective reasonable best efforts to cause such opinions to be timely filed.</w:t>
      </w:r>
    </w:p>
    <w:p>
      <w:pPr>
        <w:spacing w:after="0" w:line="135" w:lineRule="exact"/>
        <w:rPr>
          <w:rFonts w:ascii="Times New Roman" w:cs="Times New Roman" w:eastAsia="Times New Roman" w:hAnsi="Times New Roman"/>
          <w:sz w:val="14"/>
          <w:szCs w:val="14"/>
          <w:color w:val="auto"/>
        </w:rPr>
      </w:pPr>
    </w:p>
    <w:p>
      <w:pPr>
        <w:ind w:left="1360" w:right="379" w:firstLine="338"/>
        <w:spacing w:after="0" w:line="267" w:lineRule="auto"/>
        <w:tabs>
          <w:tab w:leader="none" w:pos="1893" w:val="left"/>
        </w:tabs>
        <w:numPr>
          <w:ilvl w:val="0"/>
          <w:numId w:val="3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shall promptly notify and consult in good faith with Mercury if, before the Effective Time, (i) it is notified by Gold Tax Counsel that Gold Tax Counsel expects to be unwilling or unable to deliver the Gold Merger Tax Opinion at the Closing or (ii) it discovers any other fact that could be expected, in Gold’s reasonable discretion, to prevent the delivery of the Gold Merger Tax Opinion or the delivery of the IRS Ruling.</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A-69</w:t>
      </w:r>
    </w:p>
    <w:p>
      <w:pPr>
        <w:sectPr>
          <w:pgSz w:w="11900" w:h="16838" w:orient="portrait"/>
          <w:cols w:equalWidth="0" w:num="1">
            <w:col w:w="10159"/>
          </w:cols>
          <w:pgMar w:left="300" w:top="386" w:right="1440"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38"/>
        <w:spacing w:after="0" w:line="258" w:lineRule="auto"/>
        <w:tabs>
          <w:tab w:leader="none" w:pos="1878"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shall promptly notify and consult in good faith with Gold if, before the Effective Time, (i) it is notified by Tax Counsel that Tax Counsel (x) expects the IRS Ruling will not be delivered by the expected Closing Date (with such expectation to be determined based on the time of such notification by Mercury in its reasonable discretion) or (y) expects to be unwilling or unable to deliver the Distribution Tax Opinion or the Mercury Merger Tax Opinion at the Closing, or (ii) it discovers any other fact that could be expected, in Mercury’s reasonable discretion, to prevent the delivery of the IRS Ruling, the Distribution Tax Opinion or Mercury Merger Tax Opinion.</w:t>
      </w:r>
    </w:p>
    <w:p>
      <w:pPr>
        <w:spacing w:after="0" w:line="143" w:lineRule="exact"/>
        <w:rPr>
          <w:rFonts w:ascii="Times New Roman" w:cs="Times New Roman" w:eastAsia="Times New Roman" w:hAnsi="Times New Roman"/>
          <w:sz w:val="14"/>
          <w:szCs w:val="14"/>
          <w:color w:val="auto"/>
        </w:rPr>
      </w:pPr>
    </w:p>
    <w:p>
      <w:pPr>
        <w:ind w:left="1360" w:right="659" w:firstLine="338"/>
        <w:spacing w:after="0" w:line="261" w:lineRule="auto"/>
        <w:tabs>
          <w:tab w:leader="none" w:pos="1901"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 Mercury shall deliver, or cause to be delivered, to Gold a certification by SpinCo and a notice to the IRS meeting the requirements of Treasury Regulations Sections 1.1445-2(c)(3) and 1.897-2(h), dated as of the Closing Date and in form and substance reasonably acceptable to Gold; provided that delivery of such documentation shall not be a condition to Closing, and Gold’s sole recourse if Mercury fails to deliver, or cause to be delivered, such documentation shall be to make any withholding required under applicable Law.</w:t>
      </w:r>
    </w:p>
    <w:p>
      <w:pPr>
        <w:spacing w:after="0" w:line="140"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Ruling Procedures</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700" w:right="459" w:firstLine="327"/>
        <w:spacing w:after="0" w:line="257" w:lineRule="auto"/>
        <w:tabs>
          <w:tab w:leader="none" w:pos="2197"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reasonably practicable after the date hereof, Mercury shall submit (i) an IRS pre-submission conference memorandum requesting a conference regarding the IRS Ruling (“</w:t>
      </w:r>
      <w:r>
        <w:rPr>
          <w:rFonts w:ascii="Times New Roman" w:cs="Times New Roman" w:eastAsia="Times New Roman" w:hAnsi="Times New Roman"/>
          <w:sz w:val="14"/>
          <w:szCs w:val="14"/>
          <w:u w:val="single" w:color="auto"/>
          <w:color w:val="auto"/>
        </w:rPr>
        <w:t>IRS Pre-Submission Conference Request</w:t>
      </w:r>
      <w:r>
        <w:rPr>
          <w:rFonts w:ascii="Times New Roman" w:cs="Times New Roman" w:eastAsia="Times New Roman" w:hAnsi="Times New Roman"/>
          <w:sz w:val="14"/>
          <w:szCs w:val="14"/>
          <w:color w:val="auto"/>
        </w:rPr>
        <w:t>”) and (ii) the IRS Ruling Request. Mercury shall submit to the IRS supplemental materials relating thereto that Mercury determines in good faith are necessary or appropriate to obtain the requested rulings under the IRS Ruling Request or any additional rulings from the IRS that Mercury determines are necessary or appropriate, including as a result of the transactions contemplated by this Agreement (each, together with the IRS Ruling Request and IRS Pre-Submission Conference Request, an “</w:t>
      </w:r>
      <w:r>
        <w:rPr>
          <w:rFonts w:ascii="Times New Roman" w:cs="Times New Roman" w:eastAsia="Times New Roman" w:hAnsi="Times New Roman"/>
          <w:sz w:val="14"/>
          <w:szCs w:val="14"/>
          <w:u w:val="single" w:color="auto"/>
          <w:color w:val="auto"/>
        </w:rPr>
        <w:t>IRS Submission</w:t>
      </w:r>
      <w:r>
        <w:rPr>
          <w:rFonts w:ascii="Times New Roman" w:cs="Times New Roman" w:eastAsia="Times New Roman" w:hAnsi="Times New Roman"/>
          <w:sz w:val="14"/>
          <w:szCs w:val="14"/>
          <w:color w:val="auto"/>
        </w:rPr>
        <w:t>”).</w:t>
      </w:r>
    </w:p>
    <w:p>
      <w:pPr>
        <w:spacing w:after="0" w:line="58" w:lineRule="exact"/>
        <w:rPr>
          <w:rFonts w:ascii="Times New Roman" w:cs="Times New Roman" w:eastAsia="Times New Roman" w:hAnsi="Times New Roman"/>
          <w:sz w:val="14"/>
          <w:szCs w:val="14"/>
          <w:color w:val="auto"/>
        </w:rPr>
      </w:pPr>
    </w:p>
    <w:p>
      <w:pPr>
        <w:ind w:left="1700" w:right="619" w:firstLine="327"/>
        <w:spacing w:after="0" w:line="283" w:lineRule="auto"/>
        <w:tabs>
          <w:tab w:leader="none" w:pos="2235"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IRS Submissions shall be prepared by Mercury, subject to the terms of this </w:t>
      </w:r>
      <w:r>
        <w:rPr>
          <w:rFonts w:ascii="Times New Roman" w:cs="Times New Roman" w:eastAsia="Times New Roman" w:hAnsi="Times New Roman"/>
          <w:sz w:val="14"/>
          <w:szCs w:val="14"/>
          <w:u w:val="single" w:color="auto"/>
          <w:color w:val="auto"/>
        </w:rPr>
        <w:t>Section 7.2(h)</w:t>
      </w:r>
      <w:r>
        <w:rPr>
          <w:rFonts w:ascii="Times New Roman" w:cs="Times New Roman" w:eastAsia="Times New Roman" w:hAnsi="Times New Roman"/>
          <w:sz w:val="14"/>
          <w:szCs w:val="14"/>
          <w:color w:val="auto"/>
        </w:rPr>
        <w:t xml:space="preserve">. Mercury shall have control over the process for submitting and prosecuting IRS Submissions, subject to the terms of this </w:t>
      </w:r>
      <w:r>
        <w:rPr>
          <w:rFonts w:ascii="Times New Roman" w:cs="Times New Roman" w:eastAsia="Times New Roman" w:hAnsi="Times New Roman"/>
          <w:sz w:val="14"/>
          <w:szCs w:val="14"/>
          <w:u w:val="single" w:color="auto"/>
          <w:color w:val="auto"/>
        </w:rPr>
        <w:t>Section 7.2(h)</w:t>
      </w:r>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ind w:left="1700" w:right="239" w:firstLine="327"/>
        <w:spacing w:after="0" w:line="258" w:lineRule="auto"/>
        <w:tabs>
          <w:tab w:leader="none" w:pos="2274"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date of this Agreement and until the Effective Time, each Party agrees to use its reasonable best efforts to facilitate receipt by Mercury of (i) the IRS Ruling (and any additional rulings Mercury determines are necessary or appropriate), including providing such appropriate information as the IRS shall require in connection with the IRS Ruling Request or any IRS Submission and (ii) any other Tax opinions from Mercury’s counsel or tax advisors that Mercury determines are necessary or appropriate addressing the U.S. Tax or non-U.S. Tax consequences of the Reorganization, Contribution, Distribution or Merger.</w:t>
      </w:r>
    </w:p>
    <w:p>
      <w:pPr>
        <w:spacing w:after="0" w:line="59" w:lineRule="exact"/>
        <w:rPr>
          <w:rFonts w:ascii="Times New Roman" w:cs="Times New Roman" w:eastAsia="Times New Roman" w:hAnsi="Times New Roman"/>
          <w:sz w:val="14"/>
          <w:szCs w:val="14"/>
          <w:color w:val="auto"/>
        </w:rPr>
      </w:pPr>
    </w:p>
    <w:p>
      <w:pPr>
        <w:ind w:left="1700" w:right="219" w:firstLine="327"/>
        <w:spacing w:after="0" w:line="254" w:lineRule="auto"/>
        <w:tabs>
          <w:tab w:leader="none" w:pos="2267"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Mercury shall provide Gold with draft copies of the IRS Pre-Submission Conference Request, the IRS Ruling Request and, subject to </w:t>
      </w:r>
      <w:r>
        <w:rPr>
          <w:rFonts w:ascii="Times New Roman" w:cs="Times New Roman" w:eastAsia="Times New Roman" w:hAnsi="Times New Roman"/>
          <w:sz w:val="14"/>
          <w:szCs w:val="14"/>
          <w:u w:val="single" w:color="auto"/>
          <w:color w:val="auto"/>
        </w:rPr>
        <w:t>Section 7.2(h)(v)</w:t>
      </w:r>
      <w:r>
        <w:rPr>
          <w:rFonts w:ascii="Times New Roman" w:cs="Times New Roman" w:eastAsia="Times New Roman" w:hAnsi="Times New Roman"/>
          <w:sz w:val="14"/>
          <w:szCs w:val="14"/>
          <w:color w:val="auto"/>
        </w:rPr>
        <w:t xml:space="preserve">, each other material IRS Submission reasonably in advance of the filing thereof with the IRS in order to provide Gold the opportunity to review and comment on each such submission, and shall consider in good faith any comments provided by Gold on such draft copies prior to filing or submission;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Mercury shall provide the draft copies of the IRS Pre-Submission Conference Request and the IRS Ruling Request to Gold no later than six (6) days before Mercury intends to or is required to file or submit such documents to the IRS;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with respect to each other material IRS Submission not addressed in </w:t>
      </w:r>
      <w:r>
        <w:rPr>
          <w:rFonts w:ascii="Times New Roman" w:cs="Times New Roman" w:eastAsia="Times New Roman" w:hAnsi="Times New Roman"/>
          <w:sz w:val="14"/>
          <w:szCs w:val="14"/>
          <w:u w:val="single" w:color="auto"/>
          <w:color w:val="auto"/>
        </w:rPr>
        <w:t>Section 7.2(h)(v)</w:t>
      </w:r>
      <w:r>
        <w:rPr>
          <w:rFonts w:ascii="Times New Roman" w:cs="Times New Roman" w:eastAsia="Times New Roman" w:hAnsi="Times New Roman"/>
          <w:sz w:val="14"/>
          <w:szCs w:val="14"/>
          <w:color w:val="auto"/>
        </w:rPr>
        <w:t xml:space="preserve">, Mercury shall provide such materials to Gold no later than six (6) days before Mercury intends to or is required to file or submit such document to the IRS and shall consider in good faith any comments provided Gold within four (4) days of receipt of such draft copies;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Mercury may redact from any such draft copies of such IRS Submissions any information (“</w:t>
      </w:r>
      <w:r>
        <w:rPr>
          <w:rFonts w:ascii="Times New Roman" w:cs="Times New Roman" w:eastAsia="Times New Roman" w:hAnsi="Times New Roman"/>
          <w:sz w:val="14"/>
          <w:szCs w:val="14"/>
          <w:u w:val="single" w:color="auto"/>
          <w:color w:val="auto"/>
        </w:rPr>
        <w:t>Redactable Information</w:t>
      </w:r>
      <w:r>
        <w:rPr>
          <w:rFonts w:ascii="Times New Roman" w:cs="Times New Roman" w:eastAsia="Times New Roman" w:hAnsi="Times New Roman"/>
          <w:sz w:val="14"/>
          <w:szCs w:val="14"/>
          <w:color w:val="auto"/>
        </w:rPr>
        <w:t>”) that Mercury, in its good faith judgment, considers to be confidential and not germane to Gold’s or SpinCo’s obligations under this Agreement or any Transaction Documents.</w:t>
      </w:r>
    </w:p>
    <w:p>
      <w:pPr>
        <w:spacing w:after="0" w:line="62" w:lineRule="exact"/>
        <w:rPr>
          <w:rFonts w:ascii="Times New Roman" w:cs="Times New Roman" w:eastAsia="Times New Roman" w:hAnsi="Times New Roman"/>
          <w:sz w:val="14"/>
          <w:szCs w:val="14"/>
          <w:color w:val="auto"/>
        </w:rPr>
      </w:pPr>
    </w:p>
    <w:p>
      <w:pPr>
        <w:ind w:left="1700" w:right="319" w:firstLine="327"/>
        <w:spacing w:after="0" w:line="283" w:lineRule="auto"/>
        <w:tabs>
          <w:tab w:leader="none" w:pos="2228" w:val="left"/>
        </w:tabs>
        <w:numPr>
          <w:ilvl w:val="1"/>
          <w:numId w:val="3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shall apply for “fast-track” processing for the IRS Ruling Request as provided for under Revenue Procedure 2023-26, 2023-23 I.R.B. 486 (or any successor or substantially similar IRS guidance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4803775</wp:posOffset>
            </wp:positionH>
            <wp:positionV relativeFrom="paragraph">
              <wp:posOffset>-518160</wp:posOffset>
            </wp:positionV>
            <wp:extent cx="2222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A-70</w:t>
      </w:r>
    </w:p>
    <w:p>
      <w:pPr>
        <w:sectPr>
          <w:pgSz w:w="11900" w:h="16838" w:orient="portrait"/>
          <w:cols w:equalWidth="0" w:num="1">
            <w:col w:w="10159"/>
          </w:cols>
          <w:pgMar w:left="300" w:top="385" w:right="1440"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59"/>
        <w:spacing w:after="0" w:line="257" w:lineRule="auto"/>
        <w:rPr>
          <w:sz w:val="20"/>
          <w:szCs w:val="20"/>
          <w:color w:val="auto"/>
        </w:rPr>
      </w:pPr>
      <w:r>
        <w:rPr>
          <w:rFonts w:ascii="Times New Roman" w:cs="Times New Roman" w:eastAsia="Times New Roman" w:hAnsi="Times New Roman"/>
          <w:sz w:val="14"/>
          <w:szCs w:val="14"/>
          <w:color w:val="auto"/>
        </w:rPr>
        <w:t xml:space="preserve">procedures). To the extent such “fast-track” processing is obtained, Mercury shall provide Gold with draft copies of any material IRS Submission (other than the IRS Pre-Submission Conference Request and the IRS Ruling Request, which shall be provided in accordance with </w:t>
      </w:r>
      <w:r>
        <w:rPr>
          <w:rFonts w:ascii="Times New Roman" w:cs="Times New Roman" w:eastAsia="Times New Roman" w:hAnsi="Times New Roman"/>
          <w:sz w:val="14"/>
          <w:szCs w:val="14"/>
          <w:u w:val="single" w:color="auto"/>
          <w:color w:val="auto"/>
        </w:rPr>
        <w:t>Section 7.2(h)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no later than two (2) Business Days before Mercury intends to or is required to file or submit such document to the IRS in order to provide Gold the opportunity to review and comment on each such submission, and shall consider in good faith any comments provided by Gold within one (1) Business Day of receipt of such draft copies;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Mercury may redact any Redactable Information from any such draft copies of such IRS Submissions.</w:t>
      </w:r>
    </w:p>
    <w:p>
      <w:pPr>
        <w:spacing w:after="0" w:line="59" w:lineRule="exact"/>
        <w:rPr>
          <w:sz w:val="20"/>
          <w:szCs w:val="20"/>
          <w:color w:val="auto"/>
        </w:rPr>
      </w:pPr>
    </w:p>
    <w:p>
      <w:pPr>
        <w:ind w:left="1700" w:right="319" w:firstLine="327"/>
        <w:spacing w:after="0" w:line="261" w:lineRule="auto"/>
        <w:tabs>
          <w:tab w:leader="none" w:pos="2267" w:val="left"/>
        </w:tabs>
        <w:numPr>
          <w:ilvl w:val="2"/>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shall provide Gold with notice reasonably in advance of the pre-submission conference that follows the submission of the IRS Pre-Submission Conference Request and shall permit the Gold Tax Counsel to attend such meeting. Gold shall, and shall use reasonable best efforts to cause the Gold Tax Counsel to, take actions necessary to facilitate such attendance, including the signing of a power of attorney or similar forms reasonably requested by Mercury.</w:t>
      </w:r>
    </w:p>
    <w:p>
      <w:pPr>
        <w:spacing w:after="0" w:line="56" w:lineRule="exact"/>
        <w:rPr>
          <w:rFonts w:ascii="Times New Roman" w:cs="Times New Roman" w:eastAsia="Times New Roman" w:hAnsi="Times New Roman"/>
          <w:sz w:val="14"/>
          <w:szCs w:val="14"/>
          <w:color w:val="auto"/>
        </w:rPr>
      </w:pPr>
    </w:p>
    <w:p>
      <w:pPr>
        <w:ind w:left="1700" w:right="259" w:firstLine="327"/>
        <w:spacing w:after="0" w:line="283" w:lineRule="auto"/>
        <w:tabs>
          <w:tab w:leader="none" w:pos="2305" w:val="left"/>
        </w:tabs>
        <w:numPr>
          <w:ilvl w:val="2"/>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Mercury shall provide Gold with copies of each IRS Submission filed with the IRS, as filed with the IRS, promptly following the filing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Mercury may redact any Redactable Information from such IRS Submissions.</w:t>
      </w:r>
    </w:p>
    <w:p>
      <w:pPr>
        <w:spacing w:after="0" w:line="40" w:lineRule="exact"/>
        <w:rPr>
          <w:rFonts w:ascii="Times New Roman" w:cs="Times New Roman" w:eastAsia="Times New Roman" w:hAnsi="Times New Roman"/>
          <w:sz w:val="14"/>
          <w:szCs w:val="14"/>
          <w:color w:val="auto"/>
        </w:rPr>
      </w:pPr>
    </w:p>
    <w:p>
      <w:pPr>
        <w:ind w:left="1700" w:right="279" w:firstLine="327"/>
        <w:spacing w:after="0" w:line="277" w:lineRule="auto"/>
        <w:tabs>
          <w:tab w:leader="none" w:pos="2344" w:val="left"/>
        </w:tabs>
        <w:numPr>
          <w:ilvl w:val="2"/>
          <w:numId w:val="3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Mercury shall keep Gold reasonably informed in a timely manner of all material actions taken or proposed to be taken by Mercury with respect to the IRS Submissions and the status of the IRS Submissions, including the withdrawal of any IRS Submission (such actions being subject to the approval of Gold, which approval shall not be unreasonably withheld, conditioned or delayed). Mercury shall provide Gold with notice reasonably in advance of any formally scheduled meetings (including telephonic meetings) with the IRS (subject to approval by the IRS) that relate to the IRS Ruling Request and any other IRS Submission and permit Gold’s Tax Counsel to attend such meeting if Gold’s Tax Counsel is available during the scheduled time (which scheduled time shall be at the mutual convenience of Mercury’s Representatives and the IRS). For the avoidance of doubt, the foregoing shall not apply to any non-scheduled or informal telephonic discussions between Mercury’s Representatives and the IRS;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Mercury shall keep Gold reasonably informed in a timely manner regarding the contents of any such discussions.</w:t>
      </w:r>
    </w:p>
    <w:p>
      <w:pPr>
        <w:spacing w:after="0" w:line="49" w:lineRule="exact"/>
        <w:rPr>
          <w:rFonts w:ascii="Times New Roman" w:cs="Times New Roman" w:eastAsia="Times New Roman" w:hAnsi="Times New Roman"/>
          <w:sz w:val="13"/>
          <w:szCs w:val="13"/>
          <w:color w:val="auto"/>
        </w:rPr>
      </w:pPr>
    </w:p>
    <w:p>
      <w:pPr>
        <w:ind w:left="1700" w:right="779" w:firstLine="327"/>
        <w:spacing w:after="0" w:line="283" w:lineRule="auto"/>
        <w:tabs>
          <w:tab w:leader="none" w:pos="2267" w:val="left"/>
        </w:tabs>
        <w:numPr>
          <w:ilvl w:val="2"/>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Following the receipt of the IRS Ruling, Mercury shall promptly make available copies of the IRS Ruling to SpinCo and Gold;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Mercury may redact from any such copies any Redactable Information.</w:t>
      </w:r>
    </w:p>
    <w:p>
      <w:pPr>
        <w:spacing w:after="0" w:line="124" w:lineRule="exact"/>
        <w:rPr>
          <w:rFonts w:ascii="Times New Roman" w:cs="Times New Roman" w:eastAsia="Times New Roman" w:hAnsi="Times New Roman"/>
          <w:sz w:val="14"/>
          <w:szCs w:val="14"/>
          <w:color w:val="auto"/>
        </w:rPr>
      </w:pPr>
    </w:p>
    <w:p>
      <w:pPr>
        <w:ind w:left="1360" w:right="239" w:firstLine="338"/>
        <w:spacing w:after="0" w:line="254" w:lineRule="auto"/>
        <w:tabs>
          <w:tab w:leader="none" w:pos="1870" w:val="left"/>
        </w:tabs>
        <w:numPr>
          <w:ilvl w:val="1"/>
          <w:numId w:val="3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in the event of any Adverse Law Event prior to the Closing, Mercury reasonably determines that the transactions contemplated by this Agreement or any Transaction Documents would result in a material amount of Tax to Mercury or any of its Affiliates or (B) either Gold Tax Counsel or Tax Counsel reasonably expects to be unwilling or unable to deliver its Merger Tax Opinion, then the Parties shall collaborate reasonably and in good faith in order to change the method or structure of effecting the transactions (including by having SpinCo, immediately after the Merger, merge with and into a limited liability company that is classified as an entity that is disregarded as separate from Gold for U.S. federal income tax purposes) contemplated by the Transaction Documents (including the Reorganization) so as to either (i) make likely the receipt from the IRS of the IRS Ruling,</w:t>
      </w:r>
    </w:p>
    <w:p>
      <w:pPr>
        <w:spacing w:after="0" w:line="1" w:lineRule="exact"/>
        <w:rPr>
          <w:rFonts w:ascii="Times New Roman" w:cs="Times New Roman" w:eastAsia="Times New Roman" w:hAnsi="Times New Roman"/>
          <w:sz w:val="14"/>
          <w:szCs w:val="14"/>
          <w:color w:val="auto"/>
        </w:rPr>
      </w:pPr>
    </w:p>
    <w:p>
      <w:pPr>
        <w:ind w:left="1360" w:right="259" w:hanging="5"/>
        <w:spacing w:after="0" w:line="252" w:lineRule="auto"/>
        <w:tabs>
          <w:tab w:leader="none" w:pos="1566" w:val="left"/>
        </w:tabs>
        <w:numPr>
          <w:ilvl w:val="0"/>
          <w:numId w:val="3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likely the receipt of the Distribution Tax Opinions or the Merger Tax Opinions or (iii) allow Mercury to accomplish the same result as the structure contemplated as of the date hereof in a tax-free or, in the reasonable judgment of Mercury, Tax efficient manner, as promptly as practicable and in any event prior to the Outside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 such change shall alter or change the Exchange Ratio, the SpinCo Cash Distribution, the nature or mix of the Merger Consideration, or materially alter the scope of the SpinCo Business, the SpinCo Assets, the members of the SpinCo Group or SpinCo Liabilities to be acquired by Gold in connection with the Transactions. In the event that the Parties reasonably, and in good faith, agree to an alternative structure pursuant to this </w:t>
      </w:r>
      <w:r>
        <w:rPr>
          <w:rFonts w:ascii="Times New Roman" w:cs="Times New Roman" w:eastAsia="Times New Roman" w:hAnsi="Times New Roman"/>
          <w:sz w:val="14"/>
          <w:szCs w:val="14"/>
          <w:u w:val="single" w:color="auto"/>
          <w:color w:val="auto"/>
        </w:rPr>
        <w:t>Section 7.2(i)</w:t>
      </w:r>
      <w:r>
        <w:rPr>
          <w:rFonts w:ascii="Times New Roman" w:cs="Times New Roman" w:eastAsia="Times New Roman" w:hAnsi="Times New Roman"/>
          <w:sz w:val="14"/>
          <w:szCs w:val="14"/>
          <w:color w:val="auto"/>
        </w:rPr>
        <w:t>, they shall be obligated, as soon as practicable thereafter, to modify the covenants and agreements set forth in this Agreement and the Transaction Documents to the extent required in order to reflect such change in transaction structure, and the Parties shall use all commercially</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A-71</w:t>
      </w:r>
    </w:p>
    <w:p>
      <w:pPr>
        <w:sectPr>
          <w:pgSz w:w="11900" w:h="16838" w:orient="portrait"/>
          <w:cols w:equalWidth="0" w:num="1">
            <w:col w:w="10159"/>
          </w:cols>
          <w:pgMar w:left="300" w:top="385" w:right="1440"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reasonable efforts to cause the transactions contemplated hereby, as so modified, to be consummated as soon as practicable thereafter.</w:t>
      </w:r>
    </w:p>
    <w:p>
      <w:pPr>
        <w:spacing w:after="0" w:line="175" w:lineRule="exact"/>
        <w:rPr>
          <w:sz w:val="20"/>
          <w:szCs w:val="20"/>
          <w:color w:val="auto"/>
        </w:rPr>
      </w:pPr>
    </w:p>
    <w:p>
      <w:pPr>
        <w:ind w:left="1860" w:hanging="162"/>
        <w:spacing w:after="0"/>
        <w:tabs>
          <w:tab w:leader="none" w:pos="1860" w:val="left"/>
        </w:tabs>
        <w:numPr>
          <w:ilvl w:val="0"/>
          <w:numId w:val="3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PRC Bulletin 7 Tax</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(i) The Parties acknowledge and agree that reporting will be made with the applicable Tax Authorities of the Peoples Republic of China</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PRC</w:t>
      </w:r>
      <w:r>
        <w:rPr>
          <w:rFonts w:ascii="Times New Roman" w:cs="Times New Roman" w:eastAsia="Times New Roman" w:hAnsi="Times New Roman"/>
          <w:sz w:val="14"/>
          <w:szCs w:val="14"/>
          <w:color w:val="auto"/>
        </w:rPr>
        <w:t>”) in connection with Article 9 of Bulletin 7 with respect to the Merger. Accordingly, Mercury shall, as soon as reasonably practicable after</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Closing, prepare and, upon prior written consent of Gold (not to be unreasonably withheld or delayed) file all such information and documents as</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required under Article 9 and Bulletin 7 (the “</w:t>
      </w:r>
      <w:r>
        <w:rPr>
          <w:rFonts w:ascii="Times New Roman" w:cs="Times New Roman" w:eastAsia="Times New Roman" w:hAnsi="Times New Roman"/>
          <w:sz w:val="14"/>
          <w:szCs w:val="14"/>
          <w:u w:val="single" w:color="auto"/>
          <w:color w:val="auto"/>
        </w:rPr>
        <w:t>Bulletin 7 Reporting</w:t>
      </w:r>
      <w:r>
        <w:rPr>
          <w:rFonts w:ascii="Times New Roman" w:cs="Times New Roman" w:eastAsia="Times New Roman" w:hAnsi="Times New Roman"/>
          <w:sz w:val="14"/>
          <w:szCs w:val="14"/>
          <w:color w:val="auto"/>
        </w:rPr>
        <w:t>”), in each case, with respect to the Merger. The Parties shall use their respective</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commercially reasonable efforts to adopt a centralized filing approach with respect to the Bulletin 7 Reporting, to the extent applicable.</w:t>
      </w:r>
    </w:p>
    <w:p>
      <w:pPr>
        <w:spacing w:after="0" w:line="77" w:lineRule="exact"/>
        <w:rPr>
          <w:sz w:val="20"/>
          <w:szCs w:val="20"/>
          <w:color w:val="auto"/>
        </w:rPr>
      </w:pPr>
    </w:p>
    <w:p>
      <w:pPr>
        <w:ind w:left="1700" w:right="239" w:firstLine="327"/>
        <w:spacing w:after="0" w:line="258" w:lineRule="auto"/>
        <w:tabs>
          <w:tab w:leader="none" w:pos="2235" w:val="left"/>
        </w:tabs>
        <w:numPr>
          <w:ilvl w:val="1"/>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shall provide reasonable and necessary cooperation and assistance to Mercury in relation to the Bulletin 7 Reporting. Mercury shall, no less than seven (7) days before it submits the Bulletin 7 Reporting to any PRC Tax Authority, (i) confer with Gold in good faith regarding the timing and venue of its proposed filings, (ii) provide Gold with copies of all Bulletin 7 Reporting documents it proposes to submit,</w:t>
      </w:r>
    </w:p>
    <w:p>
      <w:pPr>
        <w:ind w:left="1700" w:right="259" w:hanging="2"/>
        <w:spacing w:after="0" w:line="252" w:lineRule="auto"/>
        <w:tabs>
          <w:tab w:leader="none" w:pos="1945" w:val="left"/>
        </w:tabs>
        <w:numPr>
          <w:ilvl w:val="0"/>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 in good faith any reasonable comments raised by Gold thereon that are provided to Mercury in writing no more than three (3) days after the date such Bulletin 7 Reporting documents are provided to Mercury, (iv) include explicit representations in the Bulletin 7 Reporting documents that Mercury, instead of Gold, is solely responsible for the associated Tax filings and liabilities, if applicable, in connection with any indirect share transfer of the members of the SpinCo Group under this Agreement, and will file any required Tax Returns and settle relevant Taxes pursuant to Bulletin 7, and (v) promptly after the filing of the Bulletin 7 Reporting, deliver to Gold a copy of the submitted version of the Bulletin 7 Reporting documents and an acknowledgement or receipt in respect of the filing issued by the appropriate PRC Tax Authority or a duplicate of the submitted version of the Bulletin 7 Reporting documents.</w:t>
      </w:r>
    </w:p>
    <w:p>
      <w:pPr>
        <w:spacing w:after="0" w:line="63" w:lineRule="exact"/>
        <w:rPr>
          <w:rFonts w:ascii="Times New Roman" w:cs="Times New Roman" w:eastAsia="Times New Roman" w:hAnsi="Times New Roman"/>
          <w:sz w:val="14"/>
          <w:szCs w:val="14"/>
          <w:color w:val="auto"/>
        </w:rPr>
      </w:pPr>
    </w:p>
    <w:p>
      <w:pPr>
        <w:ind w:left="1700" w:right="239" w:firstLine="327"/>
        <w:spacing w:after="0" w:line="253" w:lineRule="auto"/>
        <w:tabs>
          <w:tab w:leader="none" w:pos="2274"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applicable, Mercury shall file required Tax Returns and pay or cause to be paid the Tax amount due with the appropriate PRC Tax Authorities and other Governmental Authorities in connection with the Merger before the respective filing and payment due dates as specified in Bulletin 7 (the “</w:t>
      </w:r>
      <w:r>
        <w:rPr>
          <w:rFonts w:ascii="Times New Roman" w:cs="Times New Roman" w:eastAsia="Times New Roman" w:hAnsi="Times New Roman"/>
          <w:sz w:val="14"/>
          <w:szCs w:val="14"/>
          <w:u w:val="single" w:color="auto"/>
          <w:color w:val="auto"/>
        </w:rPr>
        <w:t>Bulletin 7 Taxes</w:t>
      </w:r>
      <w:r>
        <w:rPr>
          <w:rFonts w:ascii="Times New Roman" w:cs="Times New Roman" w:eastAsia="Times New Roman" w:hAnsi="Times New Roman"/>
          <w:sz w:val="14"/>
          <w:szCs w:val="14"/>
          <w:color w:val="auto"/>
        </w:rPr>
        <w:t>”), including any amended or supplemental Tax Returns that may be required. Mercury shall provide Gold with a copy of such Tax Returns (including amended or supplemental Tax Returns) at least ten (10) days before submitting the Tax Returns to the appropriate PRC Tax Authority, and shall consider in good faith any reasonable comments raised by Gold thereon that are provided to Mercury in writing no more than seven (7) days after the date such Tax Returns are provided to Gold. Notwithstanding the foregoing, upon Mercury or Gold receiving a payment or assessment notice issued by relevant PRC Tax Authorities (a “</w:t>
      </w:r>
      <w:r>
        <w:rPr>
          <w:rFonts w:ascii="Times New Roman" w:cs="Times New Roman" w:eastAsia="Times New Roman" w:hAnsi="Times New Roman"/>
          <w:sz w:val="14"/>
          <w:szCs w:val="14"/>
          <w:u w:val="single" w:color="auto"/>
          <w:color w:val="auto"/>
        </w:rPr>
        <w:t>PRC Payment Notice</w:t>
      </w:r>
      <w:r>
        <w:rPr>
          <w:rFonts w:ascii="Times New Roman" w:cs="Times New Roman" w:eastAsia="Times New Roman" w:hAnsi="Times New Roman"/>
          <w:sz w:val="14"/>
          <w:szCs w:val="14"/>
          <w:color w:val="auto"/>
        </w:rPr>
        <w:t>” ) for any PRC Bulletin 7 Taxes with respect to any member of the SpinCo Group, the Party that received the PRC Payment Notice shall deliver a written notice to the other Party with a copy of the PRC Payment Notice, and Mercury shall pay or cause to be paid the amount shown as due and payable on the PRC Payment Notice to the relevant PRC Tax Authorities in settlement of such Bulletin 7 Taxes in accordance with the PRC Payment Notice and applicable PRC Tax laws. Mercury shall provide to Gold copies of the Tax payment receipt from the competent PRC Tax Authorities indicating that Mercury or one or more of their Affiliates has paid the necessary Bulletin 7 Tax amount.</w:t>
      </w:r>
    </w:p>
    <w:p>
      <w:pPr>
        <w:spacing w:after="0" w:line="66" w:lineRule="exact"/>
        <w:rPr>
          <w:rFonts w:ascii="Times New Roman" w:cs="Times New Roman" w:eastAsia="Times New Roman" w:hAnsi="Times New Roman"/>
          <w:sz w:val="14"/>
          <w:szCs w:val="14"/>
          <w:color w:val="auto"/>
        </w:rPr>
      </w:pPr>
    </w:p>
    <w:p>
      <w:pPr>
        <w:ind w:left="1700" w:right="259" w:firstLine="327"/>
        <w:spacing w:after="0" w:line="261" w:lineRule="auto"/>
        <w:tabs>
          <w:tab w:leader="none" w:pos="2267"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Mercury or Gold receive any other written communication of any PRC Governmental Authority in relation to the Merger and/or Bulletin 7 Reporting, such Party shall promptly forward the communication to the other Party. Upon Mercury’s request following the execution of this Agreement, Gold shall, and following the Closing shall cause the relevant members of the SpinCo Group to, provide to Mercury all information, documents and assistance reasonably necessary in connection with any Tax filings to be made in connection with Bulletin 7 Taxes.</w:t>
      </w:r>
    </w:p>
    <w:p>
      <w:pPr>
        <w:spacing w:after="0" w:line="56" w:lineRule="exact"/>
        <w:rPr>
          <w:rFonts w:ascii="Times New Roman" w:cs="Times New Roman" w:eastAsia="Times New Roman" w:hAnsi="Times New Roman"/>
          <w:sz w:val="14"/>
          <w:szCs w:val="14"/>
          <w:color w:val="auto"/>
        </w:rPr>
      </w:pPr>
    </w:p>
    <w:p>
      <w:pPr>
        <w:ind w:left="1700" w:right="579" w:firstLine="327"/>
        <w:spacing w:after="0" w:line="283" w:lineRule="auto"/>
        <w:tabs>
          <w:tab w:leader="none" w:pos="2228" w:val="left"/>
        </w:tabs>
        <w:numPr>
          <w:ilvl w:val="1"/>
          <w:numId w:val="3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and Gold shall use commercially reasonable efforts following the execution of this Agreement to discuss in good faith the anticipated allocation of the Merger Consideration for purposes of Bulletin 7.</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A-72</w:t>
      </w:r>
    </w:p>
    <w:p>
      <w:pPr>
        <w:sectPr>
          <w:pgSz w:w="11900" w:h="16838" w:orient="portrait"/>
          <w:cols w:equalWidth="0" w:num="1">
            <w:col w:w="10159"/>
          </w:cols>
          <w:pgMar w:left="300" w:top="385" w:right="1440"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Preparation of the Registration Statements and Prospectus; Gold Shareholders Meeting</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99" w:firstLine="338"/>
        <w:spacing w:after="0" w:line="256" w:lineRule="auto"/>
        <w:tabs>
          <w:tab w:leader="none" w:pos="1893"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after the execution of this Agreement, to the extent such filings are required by Law in connection with the transactions contemplated by this Agreement: (i) Gold, Mercury and SpinCo shall jointly prepare and Gold shall file or confidentially submit with the SEC the Gold Registration Statement (and Gold and Mercury shall mutually agree whether to file or confidentially submit); (ii) Gold, Mercury and SpinCo shall jointly prepare and SpinCo shall file or confidentially submit with the SEC the SpinCo Registration Statement (and Gold and Mercury shall mutually agree whether to file or confidentially submit); and (iii) Gold, Mercury and SpinCo shall jointly prepare and Gold shall file or confidentially submit with the SEC the Proxy Statement (which Proxy Statement may form a part of the Gold Registration Statement) (the Gold Registration Statement, the SpinCo Registration Statement and the Proxy Statement, the “</w:t>
      </w:r>
      <w:r>
        <w:rPr>
          <w:rFonts w:ascii="Times New Roman" w:cs="Times New Roman" w:eastAsia="Times New Roman" w:hAnsi="Times New Roman"/>
          <w:sz w:val="14"/>
          <w:szCs w:val="14"/>
          <w:u w:val="single" w:color="auto"/>
          <w:color w:val="auto"/>
        </w:rPr>
        <w:t>Securities Filings</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360" w:right="239" w:firstLine="338"/>
        <w:spacing w:after="0" w:line="252" w:lineRule="auto"/>
        <w:tabs>
          <w:tab w:leader="none" w:pos="1901"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Gold, Mercury and SpinCo shall use its reasonable best efforts to have the Gold Registration Statement and the SpinCo Registration Statement declared effective as promptly as practicable after such filing (including by responding to comments of the SEC) and, prior to the effective date of the Gold Registration Statement and the SpinCo Registration Statement, each of Gold, Mercury and SpinCo shall take all action reasonably required (other than qualifying to do business in any jurisdiction in which it is not now so qualified or filing a general consent to service of process in any such jurisdiction) to be taken under any applicable securities Laws in connection with, in the case of Gold, the Gold Share Issuance and, in the case of Mercury and SpinCo, the Distribution. The Parties shall cooperate in preparing and filing with the SEC the Securities Filings and any necessary amendments or supplements thereto, including making available upon reasonable notice the senior management employees of the applicable Party to discuss the materials prepared and delivered pursuant to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Following the effective date of the Gold Registration Statement and the SpinCo Registration Statement, each of Gold, Mercury and SpinCo shall take all action reasonably required (other than qualifying to do business in any jurisdiction in which it is not now so qualified or filing a general consent to service of process in any such jurisdiction) to be taken under any applicable securities Laws in order to keep the Gold Registration Statement and the SpinCo Registration Statement effective for as long as is necessary in order to consummate the Transactions. As promptly as practicable after the SpinCo Registration Statement shall have become effective, Mercury shall cause the Distribution Documents to be mailed or made available to Mercury’s shareholders pursuant to applicable Law. No filing of, or amendment or supplement to, the Gold Registration Statement or the Proxy Statement will be made by Gold without providing Mercury and SpinCo with a reasonable opportunity to review and comment thereon (and such comments shall be reasonably considered by Gold in good faith). No filing of, or amendment or supplement to, the SpinCo Registration Statement will be made by Mercury or SpinCo without providing Gold with a reasonable opportunity to review and comment thereon (and such comments shall be reasonably considered by Mercury and SpinCo in good faith). Each Party (as applicable) will cause the Distribution Documents to comply in all material respects with the applicable requirements of U.S. federal securities laws. Gold and Merger Sub shall furnish all information concerning Gold and its Subsidiaries, and Mercury and SpinCo shall furnish all information concerning Mercury, the SpinCo Business and the members of the SpinCo Group, in each case, as may be reasonably requested by the other Parties in connection with, or is required by applicable Law in order to complete, the preparation, filing and distribution of the Securities Filings and any necessary amendments or supplements thereto. For the avoidance of doubt, any ordinary course communications filed pursuant to Rule 425 under the Securities Act or any other disclosures or statements with respect to the Merger and the other transactions contemplated hereby and in the Transaction Documents contained in any filing under the Securities Act or the Exchange Act, including filings required under securities Laws, other than the Securities Filings, shall not be subject to this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 xml:space="preserve"> and shall instead be subject to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w:t>
      </w:r>
    </w:p>
    <w:p>
      <w:pPr>
        <w:spacing w:after="0" w:line="147" w:lineRule="exact"/>
        <w:rPr>
          <w:rFonts w:ascii="Times New Roman" w:cs="Times New Roman" w:eastAsia="Times New Roman" w:hAnsi="Times New Roman"/>
          <w:sz w:val="14"/>
          <w:szCs w:val="14"/>
          <w:color w:val="auto"/>
        </w:rPr>
      </w:pPr>
    </w:p>
    <w:p>
      <w:pPr>
        <w:ind w:left="1360" w:right="259" w:firstLine="338"/>
        <w:spacing w:after="0" w:line="258" w:lineRule="auto"/>
        <w:tabs>
          <w:tab w:leader="none" w:pos="1893" w:val="left"/>
        </w:tabs>
        <w:numPr>
          <w:ilvl w:val="0"/>
          <w:numId w:val="3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prior to the Effective Time, any information relating to Gold, Mercury or SpinCo, or any of their respective Affiliates, directors or officers, should be discovered by Gold, Mercury or SpinCo which should be set forth in an amendment or supplement to any of the Securities Filings, so that any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to the extent required by applicable Law, an</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A-73</w:t>
      </w:r>
    </w:p>
    <w:p>
      <w:pPr>
        <w:sectPr>
          <w:pgSz w:w="11900" w:h="16838" w:orient="portrait"/>
          <w:cols w:equalWidth="0" w:num="1">
            <w:col w:w="10159"/>
          </w:cols>
          <w:pgMar w:left="300" w:top="386" w:right="1440"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appropriate amendment or supplement describing such information shall be promptly filed with the SEC, and, to the extent required by applicable Law, disseminated to the shareholders of Gold or the shareholders of Mercury, as applicable. Each Party shall notify the other Party promptly of (i) the time when the Gold Registration Statement or the SpinCo Registration Statement has become effective or when any supplement or amendment to any Securities Filing has been filed and (ii) the issuance of any stop order or suspension of the qualification of the shares of Gold Common Stock issuable pursuant to the Merger or shares of SpinCo Common Stock issuable in the Distribution for offering or sale in any jurisdiction. In addition, each Party agrees to promptly provide the other Party and their respective counsel with copies of any written comments or requests for amendments or supplements, and shall promptly inform the other Party of any oral comments or requests for amendments or supplements, that such Party or its counsel may receive from time to time from the SEC with respect to any of the Securities Filings promptly after receipt of such comments, and shall provide the other Party with copies of any written or oral responses or correspondence between it or its Affiliates and the SEC related thereto. Each Party and their respective counsel shall be given a reasonable opportunity to review any such written responses prior to such written responses being filed with the SEC and to participate in any discussions or oral material communications with the SEC, and each Party shall reasonably consider in good faith the additions, deletions, comments or changes suggested thereto by the other Party and their respective counsel.</w:t>
      </w:r>
    </w:p>
    <w:p>
      <w:pPr>
        <w:spacing w:after="0" w:line="150" w:lineRule="exact"/>
        <w:rPr>
          <w:sz w:val="20"/>
          <w:szCs w:val="20"/>
          <w:color w:val="auto"/>
        </w:rPr>
      </w:pPr>
    </w:p>
    <w:p>
      <w:pPr>
        <w:ind w:left="1900" w:hanging="202"/>
        <w:spacing w:after="0"/>
        <w:tabs>
          <w:tab w:leader="none" w:pos="1900" w:val="left"/>
        </w:tabs>
        <w:numPr>
          <w:ilvl w:val="0"/>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Gold Shareholders Meeting</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700" w:right="259" w:firstLine="327"/>
        <w:spacing w:after="0" w:line="274" w:lineRule="auto"/>
        <w:tabs>
          <w:tab w:leader="none" w:pos="2197" w:val="left"/>
        </w:tabs>
        <w:numPr>
          <w:ilvl w:val="1"/>
          <w:numId w:val="3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in all respects to </w:t>
      </w:r>
      <w:r>
        <w:rPr>
          <w:rFonts w:ascii="Times New Roman" w:cs="Times New Roman" w:eastAsia="Times New Roman" w:hAnsi="Times New Roman"/>
          <w:sz w:val="13"/>
          <w:szCs w:val="13"/>
          <w:u w:val="single" w:color="auto"/>
          <w:color w:val="auto"/>
        </w:rPr>
        <w:t>Section 7.3(d)(iii)</w:t>
      </w:r>
      <w:r>
        <w:rPr>
          <w:rFonts w:ascii="Times New Roman" w:cs="Times New Roman" w:eastAsia="Times New Roman" w:hAnsi="Times New Roman"/>
          <w:sz w:val="13"/>
          <w:szCs w:val="13"/>
          <w:color w:val="auto"/>
        </w:rPr>
        <w:t>, Gold shall call, give notice of, convene and hold a meeting of its shareholders (the “</w:t>
      </w:r>
      <w:r>
        <w:rPr>
          <w:rFonts w:ascii="Times New Roman" w:cs="Times New Roman" w:eastAsia="Times New Roman" w:hAnsi="Times New Roman"/>
          <w:sz w:val="13"/>
          <w:szCs w:val="13"/>
          <w:u w:val="single" w:color="auto"/>
          <w:color w:val="auto"/>
        </w:rPr>
        <w:t>Gold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Shareholders Meeting</w:t>
      </w:r>
      <w:r>
        <w:rPr>
          <w:rFonts w:ascii="Times New Roman" w:cs="Times New Roman" w:eastAsia="Times New Roman" w:hAnsi="Times New Roman"/>
          <w:sz w:val="13"/>
          <w:szCs w:val="13"/>
          <w:color w:val="auto"/>
        </w:rPr>
        <w:t xml:space="preserve">”) as promptly as reasonably practicable following the date on which the Gold Registration Statement is declared effective, for the purpose of obtaining the Gold Shareholder Approval (and no other matters, except for a customary proposal to adjourn the meeting to solicit additional proxies to obtain the Gold Shareholder Approval, if necessary, and any other proposal required by applicable Law, may be considered or voted upon at the Gold Shareholders Meeting without Mercury’s prior written consent). Gold shall not postpone or adjourn the Gold Shareholders Meeting without the prior written consent of Mercury;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subject to the requirements of any applicable Law, Gold may after consultation with Mercury, and in the case of clause (C) on up to two (2) occasions upon the reasonable request of Mercury (and for no more than ten (10) Business Days each) shall, postpone or adjourn the Gold Shareholders Meeting: (A) if a quorum necessary to conduct the business to be conducted at the Gold Shareholders Meeting has not been established; (B) to allow reasonable additional time for the filing and mailing of any supplemental or amended disclosure which the Gold Board has determined in good faith after consultation with outside counsel is required under applicable Law and for such supplemental or amended disclosure to be disseminated and reviewed by Gold’s shareholders prior to the Gold Shareholders Meeting (in each case so long as any such disclosure was made in compliance with this Agreement); (C) to allow reasonable additional time to solicit additional proxies, if and to the extent the requisite Gold Shareholder Approval would not otherwise be obtained; (D) if required by applicable Law (and not otherwise covered by clause (B) above); or (E) with the prior written consent of Mercury;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unless otherwise agreed to by Mercury, the Gold Shareholders Meeting shall not be postponed or adjourned under </w:t>
      </w:r>
      <w:r>
        <w:rPr>
          <w:rFonts w:ascii="Times New Roman" w:cs="Times New Roman" w:eastAsia="Times New Roman" w:hAnsi="Times New Roman"/>
          <w:sz w:val="13"/>
          <w:szCs w:val="13"/>
          <w:u w:val="single" w:color="auto"/>
          <w:color w:val="auto"/>
        </w:rPr>
        <w:t>clauses</w:t>
      </w:r>
    </w:p>
    <w:p>
      <w:pPr>
        <w:spacing w:after="0" w:line="148" w:lineRule="exact"/>
        <w:rPr>
          <w:rFonts w:ascii="Times New Roman" w:cs="Times New Roman" w:eastAsia="Times New Roman" w:hAnsi="Times New Roman"/>
          <w:sz w:val="13"/>
          <w:szCs w:val="13"/>
          <w:color w:val="auto"/>
        </w:rPr>
      </w:pPr>
    </w:p>
    <w:p>
      <w:pPr>
        <w:ind w:left="1700" w:right="35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for more than twenty (20) Business Days in the aggregate from the originally scheduled date of the Gold Shareholders Meeting without the written consent of Mercury. Gold shall advise Mercury upon request on a daily basis during each of the last ten (10) Business Days prior to the then-scheduled date of the Gold Shareholders Meeting as to the aggregate tally of proxies received by Gold with respect to the Gold Shareholder Approval and at additional times upon the reasonable request of Mercury. Gold shall use its reasonable best efforts to ensure that all proxies solicited by Gold, the Gold Subsidiaries and their respective Representatives in connection with the Gold Shareholders Meeting are solicited in compliance with applicable Law.</w:t>
      </w:r>
    </w:p>
    <w:p>
      <w:pPr>
        <w:spacing w:after="0" w:line="64" w:lineRule="exact"/>
        <w:rPr>
          <w:rFonts w:ascii="Times New Roman" w:cs="Times New Roman" w:eastAsia="Times New Roman" w:hAnsi="Times New Roman"/>
          <w:sz w:val="13"/>
          <w:szCs w:val="13"/>
          <w:color w:val="auto"/>
        </w:rPr>
      </w:pPr>
    </w:p>
    <w:p>
      <w:pPr>
        <w:ind w:left="1700" w:right="339" w:firstLine="327"/>
        <w:spacing w:after="0" w:line="267" w:lineRule="auto"/>
        <w:tabs>
          <w:tab w:leader="none" w:pos="2235" w:val="left"/>
        </w:tabs>
        <w:numPr>
          <w:ilvl w:val="1"/>
          <w:numId w:val="3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7.9</w:t>
      </w:r>
      <w:r>
        <w:rPr>
          <w:rFonts w:ascii="Times New Roman" w:cs="Times New Roman" w:eastAsia="Times New Roman" w:hAnsi="Times New Roman"/>
          <w:sz w:val="14"/>
          <w:szCs w:val="14"/>
          <w:color w:val="auto"/>
        </w:rPr>
        <w:t>, Gold shall, through the Gold Board, make the Gold Board Recommendation and include such Gold Board Recommendation in the Proxy Statement and use its reasonable best efforts to solicit from its shareholders proxies in favor of the approval of the proposals required under the Gold Shareholder Approval.</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A-74</w:t>
      </w:r>
    </w:p>
    <w:p>
      <w:pPr>
        <w:sectPr>
          <w:pgSz w:w="11900" w:h="16838" w:orient="portrait"/>
          <w:cols w:equalWidth="0" w:num="1">
            <w:col w:w="10159"/>
          </w:cols>
          <w:pgMar w:left="300" w:top="386" w:right="1440"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259" w:firstLine="327"/>
        <w:spacing w:after="0" w:line="257" w:lineRule="auto"/>
        <w:tabs>
          <w:tab w:leader="none" w:pos="2274" w:val="left"/>
        </w:tabs>
        <w:numPr>
          <w:ilvl w:val="0"/>
          <w:numId w:val="3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including any Gold Adverse Recommendation Change, unless this Agreement is terminated in accordance with Section 9.1, the obligations of the Parties under this Section 7.3 shall continue in full force and effect. Without limiting the generality of the foregoing, unless this Agreement is terminated in accordance with Section 9.1, the proposals required under the Gold Shareholder Approval shall be submitted to the shareholders of Gold for approval at the Gold Shareholders Meeting whether or not (A) the Gold Board shall have effected a Gold Adverse Recommendation Change or (B) any Competing Proposal shall have been publicly proposed or announced or otherwise submitted to Gold or any of its Representatives.</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Reasonable Best Efforts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338"/>
        <w:spacing w:after="0" w:line="252" w:lineRule="auto"/>
        <w:tabs>
          <w:tab w:leader="none" w:pos="1893"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terms of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which shall govern with respect to the subject matter thereof, each of Gold and Mercury shall use its reasonable best efforts to promptly take, or cause to be taken, all actions, and to promptly do, or cause to be done, and to assist and cooperate with the other in doing, all things reasonably necessary, proper or advisable under applicable Laws to consummate and make effective the Merger and the other transactions contemplated by the Transaction Documents, as promptly as practicable and in any event prior to the Outside Date, including: (i) preparing and filing of all forms, registrations, and notifications required to be filed to consummate the Merger and the other Transactions; (ii) subject to </w:t>
      </w:r>
      <w:r>
        <w:rPr>
          <w:rFonts w:ascii="Times New Roman" w:cs="Times New Roman" w:eastAsia="Times New Roman" w:hAnsi="Times New Roman"/>
          <w:sz w:val="14"/>
          <w:szCs w:val="14"/>
          <w:u w:val="single" w:color="auto"/>
          <w:color w:val="auto"/>
        </w:rPr>
        <w:t>Section 7.4(c)</w:t>
      </w:r>
      <w:r>
        <w:rPr>
          <w:rFonts w:ascii="Times New Roman" w:cs="Times New Roman" w:eastAsia="Times New Roman" w:hAnsi="Times New Roman"/>
          <w:sz w:val="14"/>
          <w:szCs w:val="14"/>
          <w:color w:val="auto"/>
        </w:rPr>
        <w:t xml:space="preserve">, obtaining of all necessary actions or nonactions, waivers, consents, clearances, approvals, and expirations or terminations of waiting periods, from Governmental Authorities; (iii) obtaining all necessary consents, approvals or waivers from third parties; and (iv) subject to </w:t>
      </w:r>
      <w:r>
        <w:rPr>
          <w:rFonts w:ascii="Times New Roman" w:cs="Times New Roman" w:eastAsia="Times New Roman" w:hAnsi="Times New Roman"/>
          <w:sz w:val="14"/>
          <w:szCs w:val="14"/>
          <w:u w:val="single" w:color="auto"/>
          <w:color w:val="auto"/>
        </w:rPr>
        <w:t>Section 7.4(c)</w:t>
      </w:r>
      <w:r>
        <w:rPr>
          <w:rFonts w:ascii="Times New Roman" w:cs="Times New Roman" w:eastAsia="Times New Roman" w:hAnsi="Times New Roman"/>
          <w:sz w:val="14"/>
          <w:szCs w:val="14"/>
          <w:color w:val="auto"/>
        </w:rPr>
        <w:t xml:space="preserve">, defending any lawsuits or other legal proceedings, whether judicial or administrative, challenging this Agreement or the consummation of the Merger and the other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other than as set forth in the Separation Agreement, in no event shall Mercury, SpinCo, Gold or their respective Subsidiaries be required to pay any fee, penalty or other consideration to any third party for any consent or approval required for the consummation of the Transactions. In furtherance of the foregoing, each of Gold, SpinCo and Mercury shall not, and shall cause their respective Affiliates not to, acquire or agree to acquire (by merging or consolidating with, or by purchasing a substantial portion of the assets of or equity in, or by any other manner), any Person or portion thereof, or otherwise acquire or agree to acquire any assets, if the entering into a definitive agreement relating to, or the consummation of, such acquisition, merger or consolidation or other transaction (or series of transactions) after the date of this Agreement would reasonably be expected to materially delay the obtaining of, or result in not obtaining, any consent, clearance, expiration or termination of a waiting period, authorization, Order or approval of, or any exemption by, any Governmental Authority necessary to be obtained at or prior to the Closing.</w:t>
      </w:r>
    </w:p>
    <w:p>
      <w:pPr>
        <w:spacing w:after="0" w:line="153" w:lineRule="exact"/>
        <w:rPr>
          <w:rFonts w:ascii="Times New Roman" w:cs="Times New Roman" w:eastAsia="Times New Roman" w:hAnsi="Times New Roman"/>
          <w:sz w:val="14"/>
          <w:szCs w:val="14"/>
          <w:color w:val="auto"/>
        </w:rPr>
      </w:pPr>
    </w:p>
    <w:p>
      <w:pPr>
        <w:ind w:left="1360" w:right="239" w:firstLine="338"/>
        <w:spacing w:after="0" w:line="253" w:lineRule="auto"/>
        <w:tabs>
          <w:tab w:leader="none" w:pos="1901" w:val="left"/>
        </w:tabs>
        <w:numPr>
          <w:ilvl w:val="0"/>
          <w:numId w:val="3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Mercury and Gold shall (i) promptly, but in no event later than twenty-five (25) Business Days after the date hereof, file (or cause to be filed) any and all required pre-merger notification and report forms under the HSR Act with respect to the Merger and the other transactions contemplated in this Agreement, the Separation Agreement and the other Transaction Documents, (ii) as soon as reasonably practicable, file (or cause to be filed) any and all filings or notifications under applicable Foreign Investment Laws, as set forth in </w:t>
      </w:r>
      <w:r>
        <w:rPr>
          <w:rFonts w:ascii="Times New Roman" w:cs="Times New Roman" w:eastAsia="Times New Roman" w:hAnsi="Times New Roman"/>
          <w:sz w:val="14"/>
          <w:szCs w:val="14"/>
          <w:u w:val="single" w:color="auto"/>
          <w:color w:val="auto"/>
        </w:rPr>
        <w:t>Section 7.4(b)(ii)</w:t>
      </w:r>
      <w:r>
        <w:rPr>
          <w:rFonts w:ascii="Times New Roman" w:cs="Times New Roman" w:eastAsia="Times New Roman" w:hAnsi="Times New Roman"/>
          <w:sz w:val="14"/>
          <w:szCs w:val="14"/>
          <w:color w:val="auto"/>
        </w:rPr>
        <w:t xml:space="preserve"> of the Gold Disclosure Letter, and (iii) as soon as reasonably practicable, make any and all other filings or notifications (or drafts thereof) under applicable Antitrust Laws or Foreign Investment Laws, as set forth in </w:t>
      </w:r>
      <w:r>
        <w:rPr>
          <w:rFonts w:ascii="Times New Roman" w:cs="Times New Roman" w:eastAsia="Times New Roman" w:hAnsi="Times New Roman"/>
          <w:sz w:val="14"/>
          <w:szCs w:val="14"/>
          <w:u w:val="single" w:color="auto"/>
          <w:color w:val="auto"/>
        </w:rPr>
        <w:t>Section 7.4(b)(iii)</w:t>
      </w:r>
      <w:r>
        <w:rPr>
          <w:rFonts w:ascii="Times New Roman" w:cs="Times New Roman" w:eastAsia="Times New Roman" w:hAnsi="Times New Roman"/>
          <w:sz w:val="14"/>
          <w:szCs w:val="14"/>
          <w:color w:val="auto"/>
        </w:rPr>
        <w:t xml:space="preserve"> of the Gold Disclosure Letter. Mercury and Gold shall request early termination of any applicable waiting periods under the Antitrust Laws and Foreign Investment Laws (to the extent available) and shall respectively use their reasonable best efforts to cause the expiration or termination of such waiting periods, and shall provide an appropriate response to any request for additional information or documents that may be requested pursuant to any Law or by any Governmental Authority as promptly as practicable. None of Gold, SpinCo or Mercury shall commit to or agree with any Governmental Authority to (w) stay, toll or extend any applicable waiting period under the HSR Act, (x) pull and refile or resubmit the notification and report forms pursuant to the HSR Act, (y) not consummate the Merger or any other transactions contemplated herein or in the other Transaction Documents before an agreed-to date, or (z) any timing agreement, in each case relating to the Merger and the other transactions contemplated by the other Transaction Documents, without the prior written consent of the other Parties.</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A-75</w:t>
      </w:r>
    </w:p>
    <w:p>
      <w:pPr>
        <w:sectPr>
          <w:pgSz w:w="11900" w:h="16838" w:orient="portrait"/>
          <w:cols w:equalWidth="0" w:num="1">
            <w:col w:w="10159"/>
          </w:cols>
          <w:pgMar w:left="300" w:top="386" w:right="1440"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38"/>
        <w:spacing w:after="0" w:line="273" w:lineRule="auto"/>
        <w:tabs>
          <w:tab w:leader="none" w:pos="1893" w:val="left"/>
        </w:tabs>
        <w:numPr>
          <w:ilvl w:val="1"/>
          <w:numId w:val="3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furtherance of the covenants of the parties contained in this </w:t>
      </w:r>
      <w:r>
        <w:rPr>
          <w:rFonts w:ascii="Times New Roman" w:cs="Times New Roman" w:eastAsia="Times New Roman" w:hAnsi="Times New Roman"/>
          <w:sz w:val="13"/>
          <w:szCs w:val="13"/>
          <w:u w:val="single" w:color="auto"/>
          <w:color w:val="auto"/>
        </w:rPr>
        <w:t>Section 7.4</w:t>
      </w:r>
      <w:r>
        <w:rPr>
          <w:rFonts w:ascii="Times New Roman" w:cs="Times New Roman" w:eastAsia="Times New Roman" w:hAnsi="Times New Roman"/>
          <w:sz w:val="13"/>
          <w:szCs w:val="13"/>
          <w:color w:val="auto"/>
        </w:rPr>
        <w:t>, (i) if any administrative or judicial action or proceeding, including any proceeding by a private party, is instituted (or threatened to be instituted) challenging the Merger or any other transaction contemplated in this Agreement, the Separation Agreement and the other Transaction Documents as violative of any applicable Law, including any Antitrust Law or Foreign Investment Law, each of the Parties hereto shall, and shall cause their respective Affiliates to, use its reasonable best efforts to contest and resist any such action or proceeding and to have vacated, lifted, reversed or overturned any decree, judgment, injunction, or other order, whether temporary, preliminary or permanent, that results from such action or proceeding and that prohibits, prevents or restricts consummation of the Merger or any other transaction contemplated by this Agreement, the Separation Agreement and the other Transaction Documents on or before the Outside Date and</w:t>
      </w:r>
    </w:p>
    <w:p>
      <w:pPr>
        <w:spacing w:after="0" w:line="1" w:lineRule="exact"/>
        <w:rPr>
          <w:rFonts w:ascii="Times New Roman" w:cs="Times New Roman" w:eastAsia="Times New Roman" w:hAnsi="Times New Roman"/>
          <w:sz w:val="13"/>
          <w:szCs w:val="13"/>
          <w:color w:val="auto"/>
        </w:rPr>
      </w:pPr>
    </w:p>
    <w:p>
      <w:pPr>
        <w:ind w:left="1360" w:right="239" w:hanging="5"/>
        <w:spacing w:after="0" w:line="251" w:lineRule="auto"/>
        <w:tabs>
          <w:tab w:leader="none" w:pos="1566"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Gold shall, and shall cause its Affiliates to, use reasonable best efforts to take such further action as may be necessary to avoid or eliminate each and every impediment under any applicable law, including any Antitrust Law and Foreign Investment Law so as to enable the Closing to occur as promptly as practicable (and in any event no later than the Outside Date), and including (A) proposing, negotiating, committing to and effecting, by consent decree, hold separate order or otherwise, any sale, licensing, divestiture or disposition of any share capital or other equity voting interests, assets (whether tangible or intangible), businesses, contracts, divisions, operations, properties, products or product lines of Gold, the SpinCo Business or the members of the SpinCo Group or any of their respective Affiliates (other than Mercury and its Affiliates following the Closing), (B) terminating, transferring or creating relationships, contractual rights or other obligations of Gold, the SpinCo Business or the members of the SpinCo Group or any of their respective Affiliates (other than Mercury and its Affiliates following the Closing) and (C) otherwise taking or committing to take actions, including other structural or conduct relief or behavioral remedies, that after the Closing would limit the freedom of action of Gold, the SpinCo Business or the members of the SpinCo Group or any of their respective Affiliates (or of Gold and its Affiliates) with respect to, or their ability to retain, operate, vote, transfer, receive dividends or otherwise exercise full ownership rights with respect to any share capital or other equity voting interests, assets (whether tangible or intangible), businesses, divisions, operations, properties, products or product lines, including by creating, terminating or divesting relationships, contractual rights or obligations. No actions taken pursuant to this </w:t>
      </w:r>
      <w:r>
        <w:rPr>
          <w:rFonts w:ascii="Times New Roman" w:cs="Times New Roman" w:eastAsia="Times New Roman" w:hAnsi="Times New Roman"/>
          <w:sz w:val="14"/>
          <w:szCs w:val="14"/>
          <w:u w:val="single" w:color="auto"/>
          <w:color w:val="auto"/>
        </w:rPr>
        <w:t>Section 7.4(c)</w:t>
      </w:r>
      <w:r>
        <w:rPr>
          <w:rFonts w:ascii="Times New Roman" w:cs="Times New Roman" w:eastAsia="Times New Roman" w:hAnsi="Times New Roman"/>
          <w:sz w:val="14"/>
          <w:szCs w:val="14"/>
          <w:color w:val="auto"/>
        </w:rPr>
        <w:t xml:space="preserve"> shall be considered for purposes of determining whether a Gold Material Adverse Effect has occurred or may occur. Notwithstanding any other provision in this Agreement to the contrary, (x) Gold and its Affiliates shall not be required to take or agree to take any action if such action or actions would, or would reasonably be expected to, result in a material adverse effect on the business, assets, properties, financial condition or results of operations of Gold and the Gold Subsidiaries (including SpinCo and the other members of the SpinCo Group), taken as a whole, after the consummation of the Transactions, and (y) Mercury, SpinCo and their respective Affiliates shall not be required to take or agree to take any action if such action or actions (1) is not conditioned on the Closing or (2) relates to or would impact any properties, assets or businesses of Mercury’s climate solutions business (clauses (x) and (y), a “</w:t>
      </w:r>
      <w:r>
        <w:rPr>
          <w:rFonts w:ascii="Times New Roman" w:cs="Times New Roman" w:eastAsia="Times New Roman" w:hAnsi="Times New Roman"/>
          <w:sz w:val="14"/>
          <w:szCs w:val="14"/>
          <w:u w:val="single" w:color="auto"/>
          <w:color w:val="auto"/>
        </w:rPr>
        <w:t>Burdensome Condition</w:t>
      </w:r>
      <w:r>
        <w:rPr>
          <w:rFonts w:ascii="Times New Roman" w:cs="Times New Roman" w:eastAsia="Times New Roman" w:hAnsi="Times New Roman"/>
          <w:sz w:val="14"/>
          <w:szCs w:val="14"/>
          <w:color w:val="auto"/>
        </w:rPr>
        <w:t>”).</w:t>
      </w:r>
    </w:p>
    <w:p>
      <w:pPr>
        <w:spacing w:after="0" w:line="150" w:lineRule="exact"/>
        <w:rPr>
          <w:rFonts w:ascii="Times New Roman" w:cs="Times New Roman" w:eastAsia="Times New Roman" w:hAnsi="Times New Roman"/>
          <w:sz w:val="14"/>
          <w:szCs w:val="14"/>
          <w:color w:val="auto"/>
        </w:rPr>
      </w:pPr>
    </w:p>
    <w:p>
      <w:pPr>
        <w:ind w:left="1360" w:right="259" w:firstLine="338"/>
        <w:spacing w:after="0" w:line="253" w:lineRule="auto"/>
        <w:tabs>
          <w:tab w:leader="none" w:pos="1901" w:val="left"/>
        </w:tabs>
        <w:numPr>
          <w:ilvl w:val="1"/>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Whether or not the Merger is consummated, Gold shall be responsible for all filing fees payable to any Governmental Authority in order to obtain any consent, finding of suitability, clearance, expiration or termination of a waiting period, authorization, Order or approval pursuant to this Section 7.4, and each of Gold and Mercury shall otherwise bear its own costs and expenses in connection therewith. Gold and Mercury shall, and shall cause their respective Affiliates to, cooperate and consult with one another in connection with the making of all filings, notifications, communications, submissions, and any other actions pursuant to this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and, subject to applicable legal limitations and the instructions of any Governmental Authority, Gold and Mercury shall keep each other apprised on a current basis of the status of matters relating to the completion of the transactions contemplated hereby, including promptly furnishing the other with copies of notices or other substantive communications received by Gold or Mercury, as the case may be, or any of their respective Affiliates, from any third party and/or any Governmental Authority with respect to such transactions. Subject to applicable Law relating to the exchange of information, Gold and Mercury shall permit counsel for the other party reasonable opportunity to review in advance, and consider in good faith the views of the other party in connection with, any proposed notifications or filings and any written communications or submissions to any Governmental Authority;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materials may be redacted (i) to remove references concerning the valuation of the SpinCo Business and the SpinCo Assets or information concerning the Transaction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-128270</wp:posOffset>
            </wp:positionV>
            <wp:extent cx="2222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A-76</w:t>
      </w:r>
    </w:p>
    <w:p>
      <w:pPr>
        <w:sectPr>
          <w:pgSz w:w="11900" w:h="16838" w:orient="portrait"/>
          <w:cols w:equalWidth="0" w:num="1">
            <w:col w:w="10159"/>
          </w:cols>
          <w:pgMar w:left="300" w:top="385" w:right="1440"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 xml:space="preserve">or proposals from third parties with respect thereto, (ii) as necessary to comply with contractual agreements, and (iii) as necessary to address reasonable privilege or confidentiality concerns;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Gold or Mercury, as the case may be, may reasonably designate any competitively sensitive material provided to another party under this </w:t>
      </w:r>
      <w:r>
        <w:rPr>
          <w:rFonts w:ascii="Times New Roman" w:cs="Times New Roman" w:eastAsia="Times New Roman" w:hAnsi="Times New Roman"/>
          <w:sz w:val="14"/>
          <w:szCs w:val="14"/>
          <w:u w:val="single" w:color="auto"/>
          <w:color w:val="auto"/>
        </w:rPr>
        <w:t>Section 7.4(d)</w:t>
      </w:r>
      <w:r>
        <w:rPr>
          <w:rFonts w:ascii="Times New Roman" w:cs="Times New Roman" w:eastAsia="Times New Roman" w:hAnsi="Times New Roman"/>
          <w:sz w:val="14"/>
          <w:szCs w:val="14"/>
          <w:color w:val="auto"/>
        </w:rPr>
        <w:t xml:space="preserve"> as “Outside Counsel Only”. To the extent practicable, Gold and Mercury agree not to participate in any scheduled meeting or discussion, either in person, by video conference, or by telephone, with any Governmental Authority in connection with the Merger or any other transaction contemplated hereby unless it consults with the other party in advance and, to the extent not prohibited by such Governmental Authority, gives the other party a reasonable opportunity to attend and participate. Subject to the terms of this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including the last sentence of </w:t>
      </w:r>
      <w:r>
        <w:rPr>
          <w:rFonts w:ascii="Times New Roman" w:cs="Times New Roman" w:eastAsia="Times New Roman" w:hAnsi="Times New Roman"/>
          <w:sz w:val="14"/>
          <w:szCs w:val="14"/>
          <w:u w:val="single" w:color="auto"/>
          <w:color w:val="auto"/>
        </w:rPr>
        <w:t>Section 7.4(b)</w:t>
      </w:r>
      <w:r>
        <w:rPr>
          <w:rFonts w:ascii="Times New Roman" w:cs="Times New Roman" w:eastAsia="Times New Roman" w:hAnsi="Times New Roman"/>
          <w:sz w:val="14"/>
          <w:szCs w:val="14"/>
          <w:color w:val="auto"/>
        </w:rPr>
        <w:t xml:space="preserve">, Gold shall, after good-faith consultation with Mercury, lead all communications and develop and direct strategy, in each case, with respect to any actions to be taken by the Parties pursuant to this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to obtain the expiration or termination of the waiting period under the HSR Act and the Requisite Regulatory Approvals from any Governmental Authority under the applicable Antitrust Laws or Foreign Investment Laws.</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SpinCo Financing; Mercury Credit Agreement</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338"/>
        <w:spacing w:after="0" w:line="253" w:lineRule="auto"/>
        <w:tabs>
          <w:tab w:leader="none" w:pos="1893" w:val="left"/>
        </w:tabs>
        <w:numPr>
          <w:ilvl w:val="1"/>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Until the earlier of the Closing and the valid termination of this Agreement in accordance with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SpinCo shall (and Mercury shall cause SpinCo to) use reasonable best efforts to take, or cause to be taken, all actions and to do, or cause to be done, all things reasonably necessary, proper or advisable to (i) maintain in effect the commitment letter, dated as of the date of this Agreement (including: (A) all exhibits, schedules, documents, certificates and annexes to such agreement in effect as of the date hereof; and (B) any associated fee letters (together, as amended, modified, supplemented, restated, replaced or waived from time to time in accordance with the terms of this Agreement and the terms thereof, the “</w:t>
      </w:r>
      <w:r>
        <w:rPr>
          <w:rFonts w:ascii="Times New Roman" w:cs="Times New Roman" w:eastAsia="Times New Roman" w:hAnsi="Times New Roman"/>
          <w:sz w:val="14"/>
          <w:szCs w:val="14"/>
          <w:u w:val="single" w:color="auto"/>
          <w:color w:val="auto"/>
        </w:rPr>
        <w:t>Commitment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Letter</w:t>
      </w:r>
      <w:r>
        <w:rPr>
          <w:rFonts w:ascii="Times New Roman" w:cs="Times New Roman" w:eastAsia="Times New Roman" w:hAnsi="Times New Roman"/>
          <w:sz w:val="14"/>
          <w:szCs w:val="14"/>
          <w:color w:val="auto"/>
        </w:rPr>
        <w:t>”)), pursuant to which, among other things, the applicable Lenders have committed to provide SpinCo with debt financing in the applicable amount set forth therein (the debt financing contemplated by the Commitment Letter to be issued or incurred by SpinCo being referred to as the “</w:t>
      </w:r>
      <w:r>
        <w:rPr>
          <w:rFonts w:ascii="Times New Roman" w:cs="Times New Roman" w:eastAsia="Times New Roman" w:hAnsi="Times New Roman"/>
          <w:sz w:val="14"/>
          <w:szCs w:val="14"/>
          <w:u w:val="single" w:color="auto"/>
          <w:color w:val="auto"/>
        </w:rPr>
        <w:t>SpinCo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Financing</w:t>
      </w:r>
      <w:r>
        <w:rPr>
          <w:rFonts w:ascii="Times New Roman" w:cs="Times New Roman" w:eastAsia="Times New Roman" w:hAnsi="Times New Roman"/>
          <w:sz w:val="14"/>
          <w:szCs w:val="14"/>
          <w:color w:val="auto"/>
        </w:rPr>
        <w:t>”), (ii) comply on a timely basis with the obligations and satisfy on a timely basis the conditions, in each case, that are set forth in the Commitment Letter that are applicable to and within the control of SpinCo, (iii) enforce the rights of SpinCo under the Commitment Letter and</w:t>
      </w:r>
    </w:p>
    <w:p>
      <w:pPr>
        <w:spacing w:after="0" w:line="1" w:lineRule="exact"/>
        <w:rPr>
          <w:rFonts w:ascii="Times New Roman" w:cs="Times New Roman" w:eastAsia="Times New Roman" w:hAnsi="Times New Roman"/>
          <w:sz w:val="14"/>
          <w:szCs w:val="14"/>
          <w:color w:val="auto"/>
        </w:rPr>
      </w:pPr>
    </w:p>
    <w:p>
      <w:pPr>
        <w:ind w:left="1360" w:right="379" w:hanging="5"/>
        <w:spacing w:after="0" w:line="261" w:lineRule="auto"/>
        <w:tabs>
          <w:tab w:leader="none" w:pos="1597"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funding of the SpinCo Financing (other than any portion thereof that is replaced with previously or concurrently funded Permanent SpinCo Financing) no later than immediately prior to the Distribution.</w:t>
      </w:r>
    </w:p>
    <w:p>
      <w:pPr>
        <w:spacing w:after="0" w:line="139" w:lineRule="exact"/>
        <w:rPr>
          <w:rFonts w:ascii="Times New Roman" w:cs="Times New Roman" w:eastAsia="Times New Roman" w:hAnsi="Times New Roman"/>
          <w:sz w:val="14"/>
          <w:szCs w:val="14"/>
          <w:color w:val="auto"/>
        </w:rPr>
      </w:pPr>
    </w:p>
    <w:p>
      <w:pPr>
        <w:ind w:left="1360" w:right="339" w:firstLine="338"/>
        <w:spacing w:after="0" w:line="252" w:lineRule="auto"/>
        <w:tabs>
          <w:tab w:leader="none" w:pos="1901" w:val="left"/>
        </w:tabs>
        <w:numPr>
          <w:ilvl w:val="1"/>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any funds in the amounts set forth in the Commitment Letter or the SpinCo Financing Agreements (as defined below), or any portion thereof, become unavailable to SpinCo on the terms and conditions contemplated in the Commitment Letter or the SpinCo Financing Agreements, Mercury (in consultation in good faith with Gold) shall cause SpinCo to, and each of SpinCo and Gold shall, and shall cause their respective Subsidiaries to, use reasonable best efforts to cooperate to obtain promptly replacement debt financing for SpinCo from the same or alternative sources, in an aggregate amount, when added to the portion of the SpinCo Financing and Permanent SpinCo Financing that is available, equal to $290,000,000 (the “</w:t>
      </w:r>
      <w:r>
        <w:rPr>
          <w:rFonts w:ascii="Times New Roman" w:cs="Times New Roman" w:eastAsia="Times New Roman" w:hAnsi="Times New Roman"/>
          <w:sz w:val="14"/>
          <w:szCs w:val="14"/>
          <w:u w:val="single" w:color="auto"/>
          <w:color w:val="auto"/>
        </w:rPr>
        <w:t>Alternative SpinCo Financing</w:t>
      </w:r>
      <w:r>
        <w:rPr>
          <w:rFonts w:ascii="Times New Roman" w:cs="Times New Roman" w:eastAsia="Times New Roman" w:hAnsi="Times New Roman"/>
          <w:sz w:val="14"/>
          <w:szCs w:val="14"/>
          <w:color w:val="auto"/>
        </w:rPr>
        <w:t xml:space="preserve">”, it being understood and agreed that references herein to (i) the SpinCo Financing shall include any such Alternative SpinCo Financing and (ii) the Commitment Letter or SpinCo Financing Agreements shall include the commitment letter and definitive agreements, as applicable, in each case relating to such Alternative SpinCo Financing), and to obtain a new financing commitment that provides for such financing;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terms of the Alternative SpinCo Financing must (A) not result in any material and adverse Tax consequences to Mercury and its Subsidiaries, including as to the Intended Tax Treatment of the transactions contemplated by the Transaction Documents (as determined by Mercury in good faith);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any violation of the Intended Tax Treatment shall be deemed material and adverse for purposes of this </w:t>
      </w:r>
      <w:r>
        <w:rPr>
          <w:rFonts w:ascii="Times New Roman" w:cs="Times New Roman" w:eastAsia="Times New Roman" w:hAnsi="Times New Roman"/>
          <w:sz w:val="14"/>
          <w:szCs w:val="14"/>
          <w:u w:val="single" w:color="auto"/>
          <w:color w:val="auto"/>
        </w:rPr>
        <w:t>Section 7.5(b)</w:t>
      </w:r>
      <w:r>
        <w:rPr>
          <w:rFonts w:ascii="Times New Roman" w:cs="Times New Roman" w:eastAsia="Times New Roman" w:hAnsi="Times New Roman"/>
          <w:sz w:val="14"/>
          <w:szCs w:val="14"/>
          <w:color w:val="auto"/>
        </w:rPr>
        <w:t>, (B) unless otherwise agreed to in writing by Mercury, SpinCo and Gold, be on terms and conditions not materially less favorable (i) with respect to final stated maturity, “all-in-yield”, interest rate margin or mandatory prepayment provisions or</w:t>
      </w:r>
    </w:p>
    <w:p>
      <w:pPr>
        <w:spacing w:after="0" w:line="3" w:lineRule="exact"/>
        <w:rPr>
          <w:rFonts w:ascii="Times New Roman" w:cs="Times New Roman" w:eastAsia="Times New Roman" w:hAnsi="Times New Roman"/>
          <w:sz w:val="14"/>
          <w:szCs w:val="14"/>
          <w:color w:val="auto"/>
        </w:rPr>
      </w:pPr>
    </w:p>
    <w:p>
      <w:pPr>
        <w:ind w:left="1560" w:hanging="205"/>
        <w:spacing w:after="0"/>
        <w:tabs>
          <w:tab w:leader="none" w:pos="156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taken as a whole, to SpinCo and Gold than those in the Commitment Letter or the SpinCo Financing Agreements, as applicable and</w:t>
      </w:r>
    </w:p>
    <w:p>
      <w:pPr>
        <w:spacing w:after="0" w:line="7" w:lineRule="exact"/>
        <w:rPr>
          <w:rFonts w:ascii="Times New Roman" w:cs="Times New Roman" w:eastAsia="Times New Roman" w:hAnsi="Times New Roman"/>
          <w:sz w:val="14"/>
          <w:szCs w:val="14"/>
          <w:color w:val="auto"/>
        </w:rPr>
      </w:pPr>
    </w:p>
    <w:p>
      <w:pPr>
        <w:ind w:left="1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unless otherwise agreed to in writing by Mercury, SpinCo and Gold, not contain any conditions to the consummation of such Alternative</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A-77</w:t>
      </w:r>
    </w:p>
    <w:p>
      <w:pPr>
        <w:sectPr>
          <w:pgSz w:w="11900" w:h="16838" w:orient="portrait"/>
          <w:cols w:equalWidth="0" w:num="1">
            <w:col w:w="10159"/>
          </w:cols>
          <w:pgMar w:left="300" w:top="385" w:right="1440"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SpinCo Financing that are more onerous than the conditions set forth in the Commitment Letter or the SpinCo Financing Agreements, as applicable (subject, in each case, to the Intended Tax Treatment).</w:t>
      </w:r>
    </w:p>
    <w:p>
      <w:pPr>
        <w:spacing w:after="0" w:line="125" w:lineRule="exact"/>
        <w:rPr>
          <w:sz w:val="20"/>
          <w:szCs w:val="20"/>
          <w:color w:val="auto"/>
        </w:rPr>
      </w:pPr>
    </w:p>
    <w:p>
      <w:pPr>
        <w:ind w:left="1360" w:right="279" w:firstLine="338"/>
        <w:spacing w:after="0" w:line="254" w:lineRule="auto"/>
        <w:tabs>
          <w:tab w:leader="none" w:pos="1893" w:val="left"/>
        </w:tabs>
        <w:numPr>
          <w:ilvl w:val="1"/>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SpinCo shall give Gold, and Gold shall give SpinCo and Mercury, prompt written notice upon it obtaining Knowledge of (i) any material breach (or threatened material breach) or default (or any event or circumstance that, with or without notice, lapse of time or both, could reasonably be expected to give rise to any material breach or default) by any party to the SpinCo Financing Agreements or the Permanent SpinCo Financing Agreements, (ii) any actual or threatened withdrawal, repudiation or termination of the SpinCo Financing or Permanent SpinCo Financing by any party to the SpinCo Financing Agreements or the Permanent SpinCo Financing Agreements, (iii) any material dispute or disagreement between or among any of the parties to the SpinCo Financing Agreements or the Permanent SpinCo Financing Agreements, (iv) the termination or expiration of the SpinCo Financing Agreements or the Permanent SpinCo Financing Agreements or (v) any amendment, restatement, supplement or modification of, or waiver under, or replacement of the SpinCo Financing Agreements or the Permanent SpinCo Financing Agreements. Subject to </w:t>
      </w:r>
      <w:r>
        <w:rPr>
          <w:rFonts w:ascii="Times New Roman" w:cs="Times New Roman" w:eastAsia="Times New Roman" w:hAnsi="Times New Roman"/>
          <w:sz w:val="14"/>
          <w:szCs w:val="14"/>
          <w:u w:val="single" w:color="auto"/>
          <w:color w:val="auto"/>
        </w:rPr>
        <w:t>Section 7.5(b)</w:t>
      </w:r>
      <w:r>
        <w:rPr>
          <w:rFonts w:ascii="Times New Roman" w:cs="Times New Roman" w:eastAsia="Times New Roman" w:hAnsi="Times New Roman"/>
          <w:sz w:val="14"/>
          <w:szCs w:val="14"/>
          <w:color w:val="auto"/>
        </w:rPr>
        <w:t>, SpinCo shall not, without the prior written consent of Gold, amend, modify, supplement, restate, replace, terminate, or agree to any waiver under the SpinCo Financing Agreements or the Permanent SpinCo Financing Agreements.</w:t>
      </w:r>
    </w:p>
    <w:p>
      <w:pPr>
        <w:spacing w:after="0" w:line="146" w:lineRule="exact"/>
        <w:rPr>
          <w:rFonts w:ascii="Times New Roman" w:cs="Times New Roman" w:eastAsia="Times New Roman" w:hAnsi="Times New Roman"/>
          <w:sz w:val="14"/>
          <w:szCs w:val="14"/>
          <w:color w:val="auto"/>
        </w:rPr>
      </w:pPr>
    </w:p>
    <w:p>
      <w:pPr>
        <w:ind w:left="1360" w:right="339" w:firstLine="338"/>
        <w:spacing w:after="0" w:line="253" w:lineRule="auto"/>
        <w:tabs>
          <w:tab w:leader="none" w:pos="1901" w:val="left"/>
        </w:tabs>
        <w:numPr>
          <w:ilvl w:val="1"/>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Until the earlier of the Closing and the valid termination of this Agreement in accordance with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by SpinCo of the SpinCo Financing, including by (i) participating (and using reasonable best efforts to cause members with appropriate seniority and expertise of the management team of and advisors, including auditors, to SpinCo and Gold to participate, in each case to the extent reasonable and customary) in the marketing and syndication efforts related thereto,</w:t>
      </w:r>
    </w:p>
    <w:p>
      <w:pPr>
        <w:spacing w:after="0" w:line="4" w:lineRule="exact"/>
        <w:rPr>
          <w:rFonts w:ascii="Times New Roman" w:cs="Times New Roman" w:eastAsia="Times New Roman" w:hAnsi="Times New Roman"/>
          <w:sz w:val="14"/>
          <w:szCs w:val="14"/>
          <w:color w:val="auto"/>
        </w:rPr>
      </w:pPr>
    </w:p>
    <w:p>
      <w:pPr>
        <w:ind w:left="1360" w:right="239" w:hanging="5"/>
        <w:spacing w:after="0" w:line="251" w:lineRule="auto"/>
        <w:tabs>
          <w:tab w:leader="none" w:pos="1566"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participating in the preparation of rating agency presentations and meetings with rating agencies, due diligence sessions and drafting sessions with respect thereto, (iii) participating in the preparation of appropriate and customary materials for bank information memoranda and similar documents customarily required in connection with obtaining such SpinCo Financing, and assisting with the identification of any portion of the information contained therein relating to such Person that constitutes material non-public information of such Person, including executing and delivering customary authorization and representations letters in connection with the foregoing and subject to customary confidentiality provisions and disclaimers (including a customary “10b-5” representation regarding the absence of material misstatements or omissions in the information furnished in connection therewith, and, where applicable, certifying as to the absence of material non-public information in the information furnished in connection therewith), (iv) negotiating and, in the case of SpinCo, entering into definitive agreements with respect thereto, on the terms and conditions contained in the Commitment Letter or on such other terms as are reasonably acceptable to Mercury, SpinCo and Gold (the “</w:t>
      </w:r>
      <w:r>
        <w:rPr>
          <w:rFonts w:ascii="Times New Roman" w:cs="Times New Roman" w:eastAsia="Times New Roman" w:hAnsi="Times New Roman"/>
          <w:sz w:val="14"/>
          <w:szCs w:val="14"/>
          <w:u w:val="single" w:color="auto"/>
          <w:color w:val="auto"/>
        </w:rPr>
        <w:t>SpinCo Financing Agreements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other terms must not result in any material and adverse Tax consequences to Mercury and its Subsidiaries, including as to the Intended Tax Treatment of the transactions contemplated by the Transaction Documents (as determined by Mercury in good faith);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xml:space="preserve">, that any violation of the Intended Tax Treatment shall be deemed material and adverse for purposes of this </w:t>
      </w:r>
      <w:r>
        <w:rPr>
          <w:rFonts w:ascii="Times New Roman" w:cs="Times New Roman" w:eastAsia="Times New Roman" w:hAnsi="Times New Roman"/>
          <w:sz w:val="14"/>
          <w:szCs w:val="14"/>
          <w:u w:val="single" w:color="auto"/>
          <w:color w:val="auto"/>
        </w:rPr>
        <w:t>Section 7.5(d)</w:t>
      </w:r>
      <w:r>
        <w:rPr>
          <w:rFonts w:ascii="Times New Roman" w:cs="Times New Roman" w:eastAsia="Times New Roman" w:hAnsi="Times New Roman"/>
          <w:sz w:val="14"/>
          <w:szCs w:val="14"/>
          <w:color w:val="auto"/>
        </w:rPr>
        <w:t>, (v) on a timely basis (A) satisfying all conditions precedent in the Commitment Letter and the SpinCo Financing Agreements that are within the control of SpinCo, Gold or their respective Subsidiaries, as applicable, (B) furnishing all financial information as set forth in Section 4 of Annex C to the Commitment Letter (the “</w:t>
      </w:r>
      <w:r>
        <w:rPr>
          <w:rFonts w:ascii="Times New Roman" w:cs="Times New Roman" w:eastAsia="Times New Roman" w:hAnsi="Times New Roman"/>
          <w:sz w:val="14"/>
          <w:szCs w:val="14"/>
          <w:u w:val="single" w:color="auto"/>
          <w:color w:val="auto"/>
        </w:rPr>
        <w:t>Required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SpinCo Information</w:t>
      </w:r>
      <w:r>
        <w:rPr>
          <w:rFonts w:ascii="Times New Roman" w:cs="Times New Roman" w:eastAsia="Times New Roman" w:hAnsi="Times New Roman"/>
          <w:sz w:val="14"/>
          <w:szCs w:val="14"/>
          <w:color w:val="auto"/>
        </w:rPr>
        <w:t xml:space="preserve">”) and any additional customary financial information regarding the SpinCo Business or Gold and the Gold Subsidiaries, as applicable, or any of their respective properties or assets, as may be reasonably requested by SpinCo or Gold, as applicable, in connection with the SpinCo Financing and (C) preparing reasonable and customary financing documents, offering materials and other materials related to the SpinCo Financing;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doubt, Gold shall be solely responsible for the preparation and content of any offering documents, bank information memoranda, pro forma financial information, capitalization tables, projections, forward-looking statements and</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A-78</w:t>
      </w:r>
    </w:p>
    <w:p>
      <w:pPr>
        <w:sectPr>
          <w:pgSz w:w="11900" w:h="16838" w:orient="portrait"/>
          <w:cols w:equalWidth="0" w:num="1">
            <w:col w:w="10159"/>
          </w:cols>
          <w:pgMar w:left="300" w:top="385" w:right="1440"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539"/>
        <w:spacing w:after="0" w:line="275" w:lineRule="auto"/>
        <w:rPr>
          <w:sz w:val="20"/>
          <w:szCs w:val="20"/>
          <w:color w:val="auto"/>
        </w:rPr>
      </w:pPr>
      <w:r>
        <w:rPr>
          <w:rFonts w:ascii="Times New Roman" w:cs="Times New Roman" w:eastAsia="Times New Roman" w:hAnsi="Times New Roman"/>
          <w:sz w:val="13"/>
          <w:szCs w:val="13"/>
          <w:color w:val="auto"/>
        </w:rPr>
        <w:t>synergy/cost-savings information, (vi) furnishing at least four (4) Business Days prior to the Closing (A) all documentation and other information requested by the financing sources required under applicable “know your customer” and anti-money laundering rules and regulations, including the U.S.A. Patriot Act of 2001, and (B) if SpinCo qualifies as a “legal entity customer” under the Beneficial Ownership Regulation (as defined in the Commitment Letter), the certification required by Section 5 of Annex C to the Commitment Letter, in each case to the extent requested at least nine</w:t>
      </w:r>
    </w:p>
    <w:p>
      <w:pPr>
        <w:spacing w:after="0" w:line="2" w:lineRule="exact"/>
        <w:rPr>
          <w:sz w:val="20"/>
          <w:szCs w:val="20"/>
          <w:color w:val="auto"/>
        </w:rPr>
      </w:pPr>
    </w:p>
    <w:p>
      <w:pPr>
        <w:ind w:left="1360" w:right="479" w:hanging="5"/>
        <w:spacing w:after="0" w:line="261" w:lineRule="auto"/>
        <w:tabs>
          <w:tab w:leader="none" w:pos="1558"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Days prior to the Closing, and (vii) delivering any customary certificates required by the SpinCo Financing Agreements (other than any solvency certificate, which shall be delivered by an officer of Gold). All cooperation under this </w:t>
      </w:r>
      <w:r>
        <w:rPr>
          <w:rFonts w:ascii="Times New Roman" w:cs="Times New Roman" w:eastAsia="Times New Roman" w:hAnsi="Times New Roman"/>
          <w:sz w:val="14"/>
          <w:szCs w:val="14"/>
          <w:u w:val="single" w:color="auto"/>
          <w:color w:val="auto"/>
        </w:rPr>
        <w:t>Section 7.5(d)</w:t>
      </w:r>
      <w:r>
        <w:rPr>
          <w:rFonts w:ascii="Times New Roman" w:cs="Times New Roman" w:eastAsia="Times New Roman" w:hAnsi="Times New Roman"/>
          <w:sz w:val="14"/>
          <w:szCs w:val="14"/>
          <w:color w:val="auto"/>
        </w:rPr>
        <w:t xml:space="preserve"> shall be subject to </w:t>
      </w:r>
      <w:r>
        <w:rPr>
          <w:rFonts w:ascii="Times New Roman" w:cs="Times New Roman" w:eastAsia="Times New Roman" w:hAnsi="Times New Roman"/>
          <w:sz w:val="14"/>
          <w:szCs w:val="14"/>
          <w:u w:val="single" w:color="auto"/>
          <w:color w:val="auto"/>
        </w:rPr>
        <w:t>Section 7.5(h)</w:t>
      </w:r>
      <w:r>
        <w:rPr>
          <w:rFonts w:ascii="Times New Roman" w:cs="Times New Roman" w:eastAsia="Times New Roman" w:hAnsi="Times New Roman"/>
          <w:sz w:val="14"/>
          <w:szCs w:val="14"/>
          <w:color w:val="auto"/>
        </w:rPr>
        <w:t>.</w:t>
      </w:r>
    </w:p>
    <w:p>
      <w:pPr>
        <w:spacing w:after="0" w:line="139" w:lineRule="exact"/>
        <w:rPr>
          <w:rFonts w:ascii="Times New Roman" w:cs="Times New Roman" w:eastAsia="Times New Roman" w:hAnsi="Times New Roman"/>
          <w:sz w:val="14"/>
          <w:szCs w:val="14"/>
          <w:color w:val="auto"/>
        </w:rPr>
      </w:pPr>
    </w:p>
    <w:p>
      <w:pPr>
        <w:ind w:left="1360" w:right="239" w:firstLine="338"/>
        <w:spacing w:after="0" w:line="257" w:lineRule="auto"/>
        <w:tabs>
          <w:tab w:leader="none" w:pos="1893" w:val="left"/>
        </w:tabs>
        <w:numPr>
          <w:ilvl w:val="1"/>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hereby consents to the use of SpinCo’s and the SpinCo Subsidiaries’ logos, and Gold hereby consents to the use of its and the Gold Subsidiaries’ logos, in connection with the SpinCo Financing and Permanent SpinCo Financing and solely in a manner that is not intended or reasonably likely to harm or disparage the reputation or goodwill of the relevant party, or any of their respective Intellectual Property rights. SpinCo and Gold shall, upon reasonable request by Mercury, each keep Mercury informed in reasonable detail of the status of its efforts to arrange and consummate the SpinCo Financing and Permanent SpinCo Financing and as promptly as practicable provide copies of then-current drafts of the SpinCo Financing Agreements and Permanent SpinCo Financing Agreements.</w:t>
      </w:r>
    </w:p>
    <w:p>
      <w:pPr>
        <w:spacing w:after="0" w:line="143" w:lineRule="exact"/>
        <w:rPr>
          <w:rFonts w:ascii="Times New Roman" w:cs="Times New Roman" w:eastAsia="Times New Roman" w:hAnsi="Times New Roman"/>
          <w:sz w:val="14"/>
          <w:szCs w:val="14"/>
          <w:color w:val="auto"/>
        </w:rPr>
      </w:pPr>
    </w:p>
    <w:p>
      <w:pPr>
        <w:ind w:left="1360" w:right="239" w:firstLine="338"/>
        <w:spacing w:after="0" w:line="254" w:lineRule="auto"/>
        <w:tabs>
          <w:tab w:leader="none" w:pos="1878" w:val="left"/>
        </w:tabs>
        <w:numPr>
          <w:ilvl w:val="1"/>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of the foregoing or any other provision in this Agreement to the contrary, (i) other than in the event of a termination by Gold pursuant to </w:t>
      </w:r>
      <w:r>
        <w:rPr>
          <w:rFonts w:ascii="Times New Roman" w:cs="Times New Roman" w:eastAsia="Times New Roman" w:hAnsi="Times New Roman"/>
          <w:sz w:val="14"/>
          <w:szCs w:val="14"/>
          <w:u w:val="single" w:color="auto"/>
          <w:color w:val="auto"/>
        </w:rPr>
        <w:t>Section 9.1(d</w:t>
      </w:r>
      <w:r>
        <w:rPr>
          <w:rFonts w:ascii="Times New Roman" w:cs="Times New Roman" w:eastAsia="Times New Roman" w:hAnsi="Times New Roman"/>
          <w:sz w:val="14"/>
          <w:szCs w:val="14"/>
          <w:color w:val="auto"/>
        </w:rPr>
        <w:t>) due to a material breach of a covenant on the part of Mercury or SpinCo, in which case Mercury shall be responsible for 100% of the Financing Reimbursement Obligations, Gold shall, and shall cause the Gold Subsidiaries to, pay to Mercury an amount of cash equal to 100% of the aggregate amount of the Financing Reimbursement Obligations (payment for any such Financing Reimbursement Obligations to be made promptly and in any event within ten (10) Business Days following delivery to Gold by Mercury of a written request therefor accompanied by reasonable supporting documentation evidencing such Financing Reimbursement Obligations) and (ii) without duplication of the foregoing, Gold shall, and shall cause the Gold Subsidiaries to, indemnify and hold harmless Mercury, its Subsidiaries and its and their respective Representatives from and against 100% of Losses actually suffered or incurred by them in connection with the SpinCo Financing, the Permanent SpinCo Financing or the Gold Financing, except any such Losses to the extent suffered or incurred as a result of the bad faith, gross negligence, willful misconduct or material breach of this Agreement, the Commitment Letter, any SpinCo Financing Agreement or any other agreement executed in connection with the SpinCo Financing or the Permanent SpinCo Financing by Mercury or any of its Subsidiaries, including SpinCo, or any of their respective Representatives.</w:t>
      </w:r>
    </w:p>
    <w:p>
      <w:pPr>
        <w:spacing w:after="0" w:line="144" w:lineRule="exact"/>
        <w:rPr>
          <w:rFonts w:ascii="Times New Roman" w:cs="Times New Roman" w:eastAsia="Times New Roman" w:hAnsi="Times New Roman"/>
          <w:sz w:val="14"/>
          <w:szCs w:val="14"/>
          <w:color w:val="auto"/>
        </w:rPr>
      </w:pPr>
    </w:p>
    <w:p>
      <w:pPr>
        <w:ind w:left="1360" w:right="239" w:firstLine="338"/>
        <w:spacing w:after="0" w:line="253" w:lineRule="auto"/>
        <w:tabs>
          <w:tab w:leader="none" w:pos="1901" w:val="left"/>
        </w:tabs>
        <w:numPr>
          <w:ilvl w:val="1"/>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Until the earlier of the Closing and the valid termination of this Agreement in accordance with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of the issuance of any debt securities or the incurrence of any other long-term debt financing by SpinCo (or its designee) in lieu of or in replacement of the SpinCo Financing (such financing, the “</w:t>
      </w:r>
      <w:r>
        <w:rPr>
          <w:rFonts w:ascii="Times New Roman" w:cs="Times New Roman" w:eastAsia="Times New Roman" w:hAnsi="Times New Roman"/>
          <w:sz w:val="14"/>
          <w:szCs w:val="14"/>
          <w:u w:val="single" w:color="auto"/>
          <w:color w:val="auto"/>
        </w:rPr>
        <w:t>Permanent SpinCo Financing</w:t>
      </w:r>
      <w:r>
        <w:rPr>
          <w:rFonts w:ascii="Times New Roman" w:cs="Times New Roman" w:eastAsia="Times New Roman" w:hAnsi="Times New Roman"/>
          <w:sz w:val="14"/>
          <w:szCs w:val="14"/>
          <w:color w:val="auto"/>
        </w:rPr>
        <w:t>”), including by (i) consulting in good faith on the terms and conditions of any Permanent SpinCo Financing, which shall be subject to SpinCo and Gold’s mutual approval, (ii) participating (and using reasonable best efforts to cause members with appropriate seniority and expertise of the management team of and advisors, including auditors, to SpinCo and Gold, to participate, in each case to the extent reasonable and customary) in the marketing and syndication efforts related thereto, (iii) participating in the preparation of rating agency presentations and meetings with rating agencies, due diligence sessions and drafting sessions with respect thereto, (iv) participating in the preparation of appropriate and customary materials for investor presentations, offering memoranda, private placement memoranda, bank information memoranda and similar documents customarily required in connection with obtaining such Permanent SpinCo Financing, and assisting with the identification of any portion of the information contained therein relating to such Person that constitutes material</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A-79</w:t>
      </w:r>
    </w:p>
    <w:p>
      <w:pPr>
        <w:sectPr>
          <w:pgSz w:w="11900" w:h="16838" w:orient="portrait"/>
          <w:cols w:equalWidth="0" w:num="1">
            <w:col w:w="10159"/>
          </w:cols>
          <w:pgMar w:left="300" w:top="386" w:right="1440"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non-public information of such Person, including executing and delivering customary authorization and representations letters in connection with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foregoing and subject to customary confidentiality provisions and disclaimers (including a customary “10b-5” representation regarding the absence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material misstatements or omissions in the information furnished in connection therewith, and, where applicable, certifying as to the absence of material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non-public information in the information furnished in connection therewith), (v) using reasonable best efforts to obtain or provide customary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accountants’ comfort letters (including customary “negative assurance” and change period), legal opinions (if and to the extent required by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applicable financing sources and, prior to the Effective Time, to be delivered by counsel to Gold (and not by counsel to SpinCo); provided that any legal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opinion of counsel to SpinCo, shall be delivered effective as of the Effective Time and solely with respect to SpinCo and its Subsidiaries, at Gold’s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request and expense), negative assurance letters, officers’ certificates and other documentation and items relating to the Permanent SpinCo Financing to</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extent customarily provided in similar financings for issuers comparable to SpinCo (but, for the avoidance of doubt, no solvency certificate shall be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required from any officer of SpinCo), (vi) negotiating and, in the case of SpinCo, entering into definitive agreements with respect thereto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Permanent SpinCo Financing Agreements</w:t>
      </w:r>
      <w:r>
        <w:rPr>
          <w:rFonts w:ascii="Times New Roman" w:cs="Times New Roman" w:eastAsia="Times New Roman" w:hAnsi="Times New Roman"/>
          <w:sz w:val="14"/>
          <w:szCs w:val="14"/>
          <w:color w:val="auto"/>
        </w:rPr>
        <w:t xml:space="preserve">”), on terms and conditions reasonably satisfactory to Mercury, SpinCo and Gold;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5668010</wp:posOffset>
            </wp:positionH>
            <wp:positionV relativeFrom="paragraph">
              <wp:posOffset>-14605</wp:posOffset>
            </wp:positionV>
            <wp:extent cx="2222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terms must not result in any material and adverse Tax consequences to Mercury and its Subsidiaries, including as to the Intended Tax Treatment of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transactions contemplated by the Transaction Documents (as determined by Mercury in good faith);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violation of the Intended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Tax Treatment shall be material for purposes of this </w:t>
      </w:r>
      <w:r>
        <w:rPr>
          <w:rFonts w:ascii="Times New Roman" w:cs="Times New Roman" w:eastAsia="Times New Roman" w:hAnsi="Times New Roman"/>
          <w:sz w:val="14"/>
          <w:szCs w:val="14"/>
          <w:u w:val="single" w:color="auto"/>
          <w:color w:val="auto"/>
        </w:rPr>
        <w:t>Section 7.5(g)</w:t>
      </w:r>
      <w:r>
        <w:rPr>
          <w:rFonts w:ascii="Times New Roman" w:cs="Times New Roman" w:eastAsia="Times New Roman" w:hAnsi="Times New Roman"/>
          <w:sz w:val="14"/>
          <w:szCs w:val="14"/>
          <w:color w:val="auto"/>
        </w:rPr>
        <w:t>, (vii) on a timely basis (A) satisfying all conditions precedent in the Permanent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SpinCo Financing Agreements that are within the control of SpinCo, Gold or their respective Subsidiaries, as applicable, (B) furnishing all Required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SpinCo Information and any additional customary financial information regarding the SpinCo Business or Gold and the Gold Subsidiaries, 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applicable, or any of their respective properties or assets, as may be reasonably requested by SpinCo or Gold, as applicable, in connection with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Permanent SpinCo Financing and (C) preparing reasonable and customary financing documents, offering materials and other materials related to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Permanent SpinCo Financing, (viii) facilitating the provision of guarantees if required by the terms of the Permanent SpinCo Financing; provided that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 guarantees or security shall be required from Mercury or any Affiliate other than SpinCo and its Subsidiaries, and no guarantees or security from</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SpinCo or any of its Subsidiaries shall be required to be provided prior to the Effective Time (other than any escrow subsidiary or other special purpose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entity solely for purposes of any Permanent SpinCo Financing), (ix) furnishing at least four (4) Business Days prior to the Closing (A) all documentation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other information requested by the financing sources required under applicable “know your customer” and anti-money laundering rules and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regulations, including the U.S.A. Patriot Act of 2001, and (B) if SpinCo qualifies as a “legal entity customer” under the Beneficial Ownership</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Regulation (as defined in the Commitment Letter), the certification required by Section 5 of Annex C to the Commitment Letter, in each case to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extent requested at least nine (9) Business Days prior to the Closing, and (x) delivering any customary certificates required by the Permanent SpinCo</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Financing Agreements. For the avoidance of doubt, (x) Gold shall be solely responsible for the preparation and content of any offering documents, bank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information memoranda, pro forma financial information, capitalization tables, projections, forward-looking statements and synergy/cost-savings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information relating to the Permanent SpinCo Financing, and (y) SpinCo’s obligations under this </w:t>
      </w:r>
      <w:r>
        <w:rPr>
          <w:rFonts w:ascii="Times New Roman" w:cs="Times New Roman" w:eastAsia="Times New Roman" w:hAnsi="Times New Roman"/>
          <w:sz w:val="14"/>
          <w:szCs w:val="14"/>
          <w:u w:val="single" w:color="auto"/>
          <w:color w:val="auto"/>
        </w:rPr>
        <w:t>Section 7.5(g)</w:t>
      </w:r>
      <w:r>
        <w:rPr>
          <w:rFonts w:ascii="Times New Roman" w:cs="Times New Roman" w:eastAsia="Times New Roman" w:hAnsi="Times New Roman"/>
          <w:sz w:val="14"/>
          <w:szCs w:val="14"/>
          <w:color w:val="auto"/>
        </w:rPr>
        <w:t xml:space="preserve"> are subject to </w:t>
      </w:r>
      <w:r>
        <w:rPr>
          <w:rFonts w:ascii="Times New Roman" w:cs="Times New Roman" w:eastAsia="Times New Roman" w:hAnsi="Times New Roman"/>
          <w:sz w:val="14"/>
          <w:szCs w:val="14"/>
          <w:u w:val="single" w:color="auto"/>
          <w:color w:val="auto"/>
        </w:rPr>
        <w:t>Section 7.5(h)</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ind w:left="1360" w:right="279" w:firstLine="338"/>
        <w:spacing w:after="0" w:line="254" w:lineRule="auto"/>
        <w:tabs>
          <w:tab w:leader="none" w:pos="1901"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(i) no action contemplated in this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shall be required to the extent such action would: (A) require Mercury or any of its Subsidiaries (other than SpinCo and its Subsidiaries) or, prior to the Closing, Gold or any of the Gold Subsidiaries to be an issuer or guarantor of the SpinCo Financing or the Permanent SpinCo Financing; (B) require Mercury or any of its Subsidiaries or, prior to the Closing, Gold or any of the Gold Subsidiaries to provide (or have provided on its behalf) any certificates, legal opinions, negative assurance letters or other documentation (other than, in the case of Gold, SpinCo and their respective Subsidiaries, certificates, opinions, letters or other documentation delivered (or delivered on such entity’s behalf) at the launch, pricing or closing of the SpinCo Financing or the Permanent SpinCo Financing,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the avoidance of doubt, no officer, employee or counsel of SpinCo shall be required to deliver any legal opinion to any financing source prior to the Effective Time, and any legal opinion required by the Commitment Letter, the SpinCo Financing Agreements or the Permanent SpinCo</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A-80</w:t>
      </w:r>
    </w:p>
    <w:p>
      <w:pPr>
        <w:sectPr>
          <w:pgSz w:w="11900" w:h="16838" w:orient="portrait"/>
          <w:cols w:equalWidth="0" w:num="1">
            <w:col w:w="10159"/>
          </w:cols>
          <w:pgMar w:left="300" w:top="386" w:right="1440"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1" w:lineRule="auto"/>
        <w:rPr>
          <w:sz w:val="20"/>
          <w:szCs w:val="20"/>
          <w:color w:val="auto"/>
        </w:rPr>
      </w:pPr>
      <w:r>
        <w:rPr>
          <w:rFonts w:ascii="Times New Roman" w:cs="Times New Roman" w:eastAsia="Times New Roman" w:hAnsi="Times New Roman"/>
          <w:sz w:val="14"/>
          <w:szCs w:val="14"/>
          <w:color w:val="auto"/>
        </w:rPr>
        <w:t xml:space="preserve">Financing Agreements shall, prior to the Effective Time, be delivered by counsel to Gold (and not by counsel to SpinCo);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foregoing limitations shall not apply to the provision of customary authorization and representation letters to be executed and delivered by Gold and any of the Gold Subsidiaries as required by </w:t>
      </w:r>
      <w:r>
        <w:rPr>
          <w:rFonts w:ascii="Times New Roman" w:cs="Times New Roman" w:eastAsia="Times New Roman" w:hAnsi="Times New Roman"/>
          <w:sz w:val="14"/>
          <w:szCs w:val="14"/>
          <w:u w:val="single" w:color="auto"/>
          <w:color w:val="auto"/>
        </w:rPr>
        <w:t>Section 7.5(d)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7.5(g)</w:t>
      </w:r>
      <w:r>
        <w:rPr>
          <w:rFonts w:ascii="Times New Roman" w:cs="Times New Roman" w:eastAsia="Times New Roman" w:hAnsi="Times New Roman"/>
          <w:sz w:val="14"/>
          <w:szCs w:val="14"/>
          <w:color w:val="auto"/>
        </w:rPr>
        <w:t xml:space="preserve"> above; (C) cause any director, officer or employee of Mercury or any of its Subsidiaries or Gold or any of the Gold Subsidiaries, to incur any personal liability; (D) without limiting clause (B) above, require Mercury or any of its Subsidiaries (other than SpinCo and its Subsidiaries) or, prior to the Closing, Gold or any of the Gold Subsidiaries to execute and deliver any documentation related to the SpinCo Financing or Permanent SpinCo Financing (other than (1) the customary comfort letters, legal opinions, negative assurance letters and officers’ certificates contemplated to be delivered by or on behalf of Gold and any of the Gold Subsidiaries under </w:t>
      </w:r>
      <w:r>
        <w:rPr>
          <w:rFonts w:ascii="Times New Roman" w:cs="Times New Roman" w:eastAsia="Times New Roman" w:hAnsi="Times New Roman"/>
          <w:sz w:val="14"/>
          <w:szCs w:val="14"/>
          <w:u w:val="single" w:color="auto"/>
          <w:color w:val="auto"/>
        </w:rPr>
        <w:t>Section 7.5(g)(v)</w:t>
      </w:r>
      <w:r>
        <w:rPr>
          <w:rFonts w:ascii="Times New Roman" w:cs="Times New Roman" w:eastAsia="Times New Roman" w:hAnsi="Times New Roman"/>
          <w:sz w:val="14"/>
          <w:szCs w:val="14"/>
          <w:color w:val="auto"/>
        </w:rPr>
        <w:t xml:space="preserve"> above, and (2) the customary authorization and representation letters to be executed and delivered by Gold and any of the Gold Subsidiaries as required by </w:t>
      </w:r>
      <w:r>
        <w:rPr>
          <w:rFonts w:ascii="Times New Roman" w:cs="Times New Roman" w:eastAsia="Times New Roman" w:hAnsi="Times New Roman"/>
          <w:sz w:val="14"/>
          <w:szCs w:val="14"/>
          <w:u w:val="single" w:color="auto"/>
          <w:color w:val="auto"/>
        </w:rPr>
        <w:t>Section 7.5(d)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7.5(g)</w:t>
      </w:r>
      <w:r>
        <w:rPr>
          <w:rFonts w:ascii="Times New Roman" w:cs="Times New Roman" w:eastAsia="Times New Roman" w:hAnsi="Times New Roman"/>
          <w:sz w:val="14"/>
          <w:szCs w:val="14"/>
          <w:color w:val="auto"/>
        </w:rPr>
        <w:t xml:space="preserve"> above); (E) (1) jeopardize (in Mercury’s reasonable determination) any attorney-client privilege of Mercury or any of its Subsidiaries (in which case Mercury and such Subsidiaries shall use reasonable best efforts to take such action in a manner that would not jeopardize such attorney-client privilege) or (2) jeopardize (in Gold’s reasonable determination) any attorney-client privilege of Gold or any of the Gold Subsidiaries (in which case Gold and such Subsidiaries shall use reasonable best efforts to take such action in a manner that would not jeopardize such attorney-client privilege); (F) result in a material violation or breach of, or a default under, the Organizational Documents of Mercury or its Subsidiaries, the Organizational Documents of Gold or the Gold Subsidiaries, or any applicable Law; (G) require the incurrence or issuance of any indebtedness (other than the SpinCo Financing, the Permanent SpinCo Financing and intercompany indebtedness required or otherwise contemplated by the Transaction Documents, including the Reorganization Step Plan); (H) unreasonably interfere with the respective businesses or ongoing operations of Mercury and its Subsidiaries or Gold and the Gold Subsidiaries; (I) require Mercury or any of its Subsidiaries or Gold or any of the Gold Subsidiaries to prepare or deliver in connection with the SpinCo Financing or the Permanent SpinCo Financing any financial information (other than the Required SpinCo Information) that is not readily available to them or prepared in the ordinary course of their respective financial reporting practices; or</w:t>
      </w:r>
    </w:p>
    <w:p>
      <w:pPr>
        <w:spacing w:after="0" w:line="12" w:lineRule="exact"/>
        <w:rPr>
          <w:sz w:val="20"/>
          <w:szCs w:val="20"/>
          <w:color w:val="auto"/>
        </w:rPr>
      </w:pPr>
    </w:p>
    <w:p>
      <w:pPr>
        <w:ind w:left="1360" w:right="279" w:hanging="5"/>
        <w:spacing w:after="0" w:line="252" w:lineRule="auto"/>
        <w:tabs>
          <w:tab w:leader="none" w:pos="1543"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require Mercury, SpinCo or their respective Subsidiaries to prepare any pro forma financial statements or pro forma financial information or provide any information regarding any post-Closing or pro forma cost savings, synergies, capitalization, ownership or other post-Closing pro forma adjustments desired to be incorporated into any information used in connection with the SpinCo Financing or the Permanent SpinCo Financing, which shall be prepared by Gold and (ii) no action contemplated in this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shall be required by Mercury, SpinCo or their respective Subsidiaries to the extent such action would result in any material and adverse Tax consequences to Mercury or its Subsidiaries, including as to the Intended Tax Treatment of the transactions contemplated by the Transaction Documents (as determined by Mercury in good faith);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violation of the Intended Tax Treatment shall be material for purposes of this </w:t>
      </w:r>
      <w:r>
        <w:rPr>
          <w:rFonts w:ascii="Times New Roman" w:cs="Times New Roman" w:eastAsia="Times New Roman" w:hAnsi="Times New Roman"/>
          <w:sz w:val="14"/>
          <w:szCs w:val="14"/>
          <w:u w:val="single" w:color="auto"/>
          <w:color w:val="auto"/>
        </w:rPr>
        <w:t>Section 7.5(h)</w:t>
      </w:r>
      <w:r>
        <w:rPr>
          <w:rFonts w:ascii="Times New Roman" w:cs="Times New Roman" w:eastAsia="Times New Roman" w:hAnsi="Times New Roman"/>
          <w:sz w:val="14"/>
          <w:szCs w:val="14"/>
          <w:color w:val="auto"/>
        </w:rPr>
        <w:t>.</w:t>
      </w:r>
    </w:p>
    <w:p>
      <w:pPr>
        <w:spacing w:after="0" w:line="147" w:lineRule="exact"/>
        <w:rPr>
          <w:rFonts w:ascii="Times New Roman" w:cs="Times New Roman" w:eastAsia="Times New Roman" w:hAnsi="Times New Roman"/>
          <w:sz w:val="14"/>
          <w:szCs w:val="14"/>
          <w:color w:val="auto"/>
        </w:rPr>
      </w:pPr>
    </w:p>
    <w:p>
      <w:pPr>
        <w:ind w:left="1360" w:right="239" w:firstLine="338"/>
        <w:spacing w:after="0" w:line="254" w:lineRule="auto"/>
        <w:tabs>
          <w:tab w:leader="none" w:pos="1870" w:val="left"/>
        </w:tabs>
        <w:numPr>
          <w:ilvl w:val="1"/>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non-public or otherwise confidential information regarding the SpinCo Business obtained by Gold or its Representatives pursuant to this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or otherwise shall be kept confidential in accordance with the terms of the Confidentiality Agreement. Notwithstanding any other provision set forth herein or in any other agreement between Mercury and Gold (or their respective Affiliates), each of Mercury and SpinCo agrees that Gold may share information with respect to SpinCo and the SpinCo Business with the Lenders, and that Gold and such Lenders may share such information with potential financing sources in connection with any marketing efforts for the SpinCo Financing and the Permanent SpinCo Financing;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recipients of such information and any other information contemplated to be provided by Gold or any of the Gold Subsidiaries pursuant to this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agree to customary confidentiality arrangements, including “click through” confidentiality agreements and confidentiality provisions contained in customary bank books and offering memoranda; and competitively sensitive information may be provided on an “outside counsel only” basis where reasonably practicable.</w:t>
      </w:r>
    </w:p>
    <w:p>
      <w:pPr>
        <w:spacing w:after="0" w:line="148" w:lineRule="exact"/>
        <w:rPr>
          <w:rFonts w:ascii="Times New Roman" w:cs="Times New Roman" w:eastAsia="Times New Roman" w:hAnsi="Times New Roman"/>
          <w:sz w:val="14"/>
          <w:szCs w:val="14"/>
          <w:color w:val="auto"/>
        </w:rPr>
      </w:pPr>
    </w:p>
    <w:p>
      <w:pPr>
        <w:ind w:left="1360" w:right="239" w:firstLine="338"/>
        <w:spacing w:after="0" w:line="267" w:lineRule="auto"/>
        <w:tabs>
          <w:tab w:leader="none" w:pos="1870" w:val="left"/>
        </w:tabs>
        <w:numPr>
          <w:ilvl w:val="1"/>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non-public or otherwise confidential information regarding the businesses of Gold and the Gold Subsidiaries obtained by Mercury, SpinCo or their respective Representatives pursuant to this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xml:space="preserve"> or otherwise shall be kept confidential in accordance with the terms of the Confidentiality Agreement. Notwithstanding any other</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A-81</w:t>
      </w:r>
    </w:p>
    <w:p>
      <w:pPr>
        <w:sectPr>
          <w:pgSz w:w="11900" w:h="16838" w:orient="portrait"/>
          <w:cols w:equalWidth="0" w:num="1">
            <w:col w:w="10159"/>
          </w:cols>
          <w:pgMar w:left="300" w:top="386" w:right="1440"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 xml:space="preserve">provision set forth herein or in any other agreement between Mercury or SpinCo, on the one hand, and Gold, on the other hand (or their respective Affiliates), Gold agrees that Mercury and SpinCo may share information with respect to the businesses of Gold and the Gold Subsidiaries with the Lenders, and that Mercury, SpinCo and such Lenders may share such information with potential financing sources in connection with any marketing efforts for the SpinCo Financing and the Permanent SpinCo Financing;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recipients of such information and any other information contemplated to be provided by Mercury, SpinCo or any of their respective Subsidiaries pursuant to this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 agree to customary confidentiality arrangements, including “click through” confidentiality agreements and confidentiality provisions contained in customary bank books and offering memoranda, private placement memoranda and similar documents; and competitively sensitive information may be provided on an “outside counsel only” basis where reasonably practicable.</w:t>
      </w:r>
    </w:p>
    <w:p>
      <w:pPr>
        <w:spacing w:after="0" w:line="145" w:lineRule="exact"/>
        <w:rPr>
          <w:sz w:val="20"/>
          <w:szCs w:val="20"/>
          <w:color w:val="auto"/>
        </w:rPr>
      </w:pPr>
    </w:p>
    <w:p>
      <w:pPr>
        <w:ind w:left="1900" w:hanging="202"/>
        <w:spacing w:after="0"/>
        <w:tabs>
          <w:tab w:leader="none" w:pos="190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shall:</w:t>
      </w:r>
    </w:p>
    <w:p>
      <w:pPr>
        <w:spacing w:after="0" w:line="91" w:lineRule="exact"/>
        <w:rPr>
          <w:rFonts w:ascii="Times New Roman" w:cs="Times New Roman" w:eastAsia="Times New Roman" w:hAnsi="Times New Roman"/>
          <w:sz w:val="14"/>
          <w:szCs w:val="14"/>
          <w:color w:val="auto"/>
        </w:rPr>
      </w:pPr>
    </w:p>
    <w:p>
      <w:pPr>
        <w:ind w:left="1700" w:right="439" w:firstLine="327"/>
        <w:spacing w:after="0" w:line="258" w:lineRule="auto"/>
        <w:tabs>
          <w:tab w:leader="none" w:pos="2197" w:val="left"/>
        </w:tabs>
        <w:numPr>
          <w:ilvl w:val="1"/>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possible after the date hereof (and in any event prior to the Closing), deliver to Gold an amendment (the substantially agreed form of which shall be delivered to Gold no later than two (2) Business Days prior to the Closing) to each of the Mercury Existing Debt Agreements pursuant to which the requisite holders of indebtedness issued pursuant to such Mercury Existing Debt Agreement shall have consented to or otherwise amended such Mercury Existing Debt Agreements to permit the transactions contemplated by the Transaction Documents, the SpinCo Financing and the Permanent SpinCo Financing; and</w:t>
      </w:r>
    </w:p>
    <w:p>
      <w:pPr>
        <w:spacing w:after="0" w:line="59" w:lineRule="exact"/>
        <w:rPr>
          <w:rFonts w:ascii="Times New Roman" w:cs="Times New Roman" w:eastAsia="Times New Roman" w:hAnsi="Times New Roman"/>
          <w:sz w:val="14"/>
          <w:szCs w:val="14"/>
          <w:color w:val="auto"/>
        </w:rPr>
      </w:pPr>
    </w:p>
    <w:p>
      <w:pPr>
        <w:ind w:left="1700" w:right="259" w:firstLine="327"/>
        <w:spacing w:after="0" w:line="254" w:lineRule="auto"/>
        <w:tabs>
          <w:tab w:leader="none" w:pos="2235" w:val="left"/>
        </w:tabs>
        <w:numPr>
          <w:ilvl w:val="1"/>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deliver to Gold customary evidence that, pursuant to the terms of the Mercury Existing Debt Agreements and effective prior to or as of the Closing, (A) SpinCo and its Subsidiaries have been released from all guarantees of indebtedness under each Mercury Existing Debt Agreement and (B) the equity interests of SpinCo and its Subsidiaries, all assets of SpinCo and its Subsidiaries and all other assets and business transferred from Mercury to SpinCo pursuant to the Separation Agreement have been released from all Liens and other collateral obligations under each of the Mercury Existing Debt Agreements. Such evidence shall be in form and substance reasonably satisfactory to Gold and may consist of some or all of the following, as applicable: UCC-3 termination statements; recordable satisfactions or releases with respect to any mortgages or deeds of trust; recordable releases with respect to any security interests recorded with the United States Patent and Trademark Office or the United States Copyright Office; and terminations or acknowledgments of any deposit account control agreements, securities account control agreements or similar perfection arrangements, together with an officer’s certificate of Mercury identifying the specific provisions of the Mercury Existing Debt Agreements and related security documents pursuant to which such releases occur automatically upon a permitted disposition and a lien release letter or acknowledgment from the agent or other secured parties under each Mercury Existing Debt Agreement.</w:t>
      </w:r>
    </w:p>
    <w:p>
      <w:pPr>
        <w:spacing w:after="0" w:line="144" w:lineRule="exact"/>
        <w:rPr>
          <w:rFonts w:ascii="Times New Roman" w:cs="Times New Roman" w:eastAsia="Times New Roman" w:hAnsi="Times New Roman"/>
          <w:sz w:val="14"/>
          <w:szCs w:val="14"/>
          <w:color w:val="auto"/>
        </w:rPr>
      </w:pPr>
    </w:p>
    <w:p>
      <w:pPr>
        <w:ind w:left="1360" w:right="339" w:firstLine="338"/>
        <w:spacing w:after="0" w:line="258" w:lineRule="auto"/>
        <w:tabs>
          <w:tab w:leader="none" w:pos="187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that the Issuing SPV (as defined in the Commitment Letter) is utilized in connection with any Permanent SpinCo Financing, the costs, fees and expenses associated with prefunding any reserve, escrow or similar account established in connection therewith (including any amounts required to be deposited to prefund or secure the payment of principal of, or interest or premium on, any Notes issued by or through the Issuing SPV) (the “Escrow Prefunding Costs”) shall be allocated 100% to SpinCo. The Escrow Prefunding Costs shall be deemed Financing Reimbursement Obligations for purposes of </w:t>
      </w:r>
      <w:r>
        <w:rPr>
          <w:rFonts w:ascii="Times New Roman" w:cs="Times New Roman" w:eastAsia="Times New Roman" w:hAnsi="Times New Roman"/>
          <w:sz w:val="14"/>
          <w:szCs w:val="14"/>
          <w:u w:val="single" w:color="auto"/>
          <w:color w:val="auto"/>
        </w:rPr>
        <w:t>Section 7.5(f)</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7.6 </w:t>
      </w:r>
      <w:r>
        <w:rPr>
          <w:rFonts w:ascii="Times New Roman" w:cs="Times New Roman" w:eastAsia="Times New Roman" w:hAnsi="Times New Roman"/>
          <w:sz w:val="14"/>
          <w:szCs w:val="14"/>
          <w:u w:val="single" w:color="auto"/>
          <w:color w:val="auto"/>
        </w:rPr>
        <w:t>Gold Financing</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7" w:lineRule="auto"/>
        <w:tabs>
          <w:tab w:leader="none" w:pos="1893"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Until the earlier of the Closing and the valid termination of this Agreement in accordance with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(or, if earlier, the date that the requisite holders of indebtedness issued pursuant to the Gold Credit Agreement shall have consented to or otherwise amended, amended and restated, refinanced or replaced the Gold Credit Agreement to permit the transactions contemplated by the Transaction Documents, the SpinCo Financing and the Permanent SpinCo Financing (such date, the “</w:t>
      </w:r>
      <w:r>
        <w:rPr>
          <w:rFonts w:ascii="Times New Roman" w:cs="Times New Roman" w:eastAsia="Times New Roman" w:hAnsi="Times New Roman"/>
          <w:sz w:val="14"/>
          <w:szCs w:val="14"/>
          <w:u w:val="single" w:color="auto"/>
          <w:color w:val="auto"/>
        </w:rPr>
        <w:t>Gold Credit Agreement Consent Date</w:t>
      </w:r>
      <w:r>
        <w:rPr>
          <w:rFonts w:ascii="Times New Roman" w:cs="Times New Roman" w:eastAsia="Times New Roman" w:hAnsi="Times New Roman"/>
          <w:sz w:val="14"/>
          <w:szCs w:val="14"/>
          <w:color w:val="auto"/>
        </w:rPr>
        <w:t>”)), Gold shall use reasonable best efforts to take, or cause to be taken, all actions and to do, or cause to be done, all things reasonably necessary, proper or advisable to (i) maintain in effect the Commitment Letter, pursuant to which, among other</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A-82</w:t>
      </w:r>
    </w:p>
    <w:p>
      <w:pPr>
        <w:sectPr>
          <w:pgSz w:w="11900" w:h="16838" w:orient="portrait"/>
          <w:cols w:equalWidth="0" w:num="1">
            <w:col w:w="10159"/>
          </w:cols>
          <w:pgMar w:left="300" w:top="386" w:right="1440"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things, the applicable Lenders have committed to provide Gold with debt financing in the applicable amount set forth therein (the debt financing contemplated by the Commitment Letter to be issued or incurred by Gold being referred to as the “</w:t>
      </w:r>
      <w:r>
        <w:rPr>
          <w:rFonts w:ascii="Times New Roman" w:cs="Times New Roman" w:eastAsia="Times New Roman" w:hAnsi="Times New Roman"/>
          <w:sz w:val="14"/>
          <w:szCs w:val="14"/>
          <w:u w:val="single" w:color="auto"/>
          <w:color w:val="auto"/>
        </w:rPr>
        <w:t>Gold Financing</w:t>
      </w:r>
      <w:r>
        <w:rPr>
          <w:rFonts w:ascii="Times New Roman" w:cs="Times New Roman" w:eastAsia="Times New Roman" w:hAnsi="Times New Roman"/>
          <w:sz w:val="14"/>
          <w:szCs w:val="14"/>
          <w:color w:val="auto"/>
        </w:rPr>
        <w:t>”), (ii) comply on a timely basis with the obligations and satisfy on a timely basis the conditions within the control of Gold, in each case, that are set forth in the Commitment Letter that are applicable to Gold, (iii) enforce the rights of Gold under the Commitment Letter and (iv) obtain funding of the Gold Financing no later than contemporaneously with or immediately prior to the Merger.</w:t>
      </w:r>
    </w:p>
    <w:p>
      <w:pPr>
        <w:spacing w:after="0" w:line="144" w:lineRule="exact"/>
        <w:rPr>
          <w:sz w:val="20"/>
          <w:szCs w:val="20"/>
          <w:color w:val="auto"/>
        </w:rPr>
      </w:pPr>
    </w:p>
    <w:p>
      <w:pPr>
        <w:ind w:left="1360" w:right="239" w:firstLine="338"/>
        <w:spacing w:after="0" w:line="271" w:lineRule="auto"/>
        <w:tabs>
          <w:tab w:leader="none" w:pos="1901" w:val="left"/>
        </w:tabs>
        <w:numPr>
          <w:ilvl w:val="1"/>
          <w:numId w:val="3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any funds in the amounts set forth in the Commitment Letter or the Gold Financing Agreements (as defined below), or any portion thereof, become unavailable on the terms and conditions contemplated in the Commitment Letter or the Gold Financing Agreements (other than as a result of the Gold Credit Agreement Consent Date), each of Mercury and Gold (in consultation in good faith with Mercury) shall, and shall cause their respective Subsidiaries (in the case of Mercury, limited to SpinCo and its Subsidiaries) to, use reasonable best efforts to cooperate to obtain promptly replacement debt financing for Gold from the same or alternative sources, in an aggregate amount, when added to the portion of the Gold Financing that is available and other available sources of liquidity, equal to $500,000,000 (the “</w:t>
      </w:r>
      <w:r>
        <w:rPr>
          <w:rFonts w:ascii="Times New Roman" w:cs="Times New Roman" w:eastAsia="Times New Roman" w:hAnsi="Times New Roman"/>
          <w:sz w:val="13"/>
          <w:szCs w:val="13"/>
          <w:u w:val="single" w:color="auto"/>
          <w:color w:val="auto"/>
        </w:rPr>
        <w:t>Gold Alternative Financing</w:t>
      </w:r>
      <w:r>
        <w:rPr>
          <w:rFonts w:ascii="Times New Roman" w:cs="Times New Roman" w:eastAsia="Times New Roman" w:hAnsi="Times New Roman"/>
          <w:sz w:val="13"/>
          <w:szCs w:val="13"/>
          <w:color w:val="auto"/>
        </w:rPr>
        <w:t xml:space="preserve">”, it being understood and agreed that references herein to (i) the Gold Financing shall include any such Gold Alternative Financing and (ii) the Commitment Letter or Gold Financing Agreements shall include the commitment letter and definitive agreements, as applicable, in each case relating to such Gold Alternative Financing), and to obtain a new financing commitment that provides for such financing;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terms of the Gold Alternative Financing must (A) not result in any material and adverse Tax consequences to Mercury and its Subsidiaries, including as to the Intended Tax Treatment of the transactions contemplated by the Transaction Documents (as determined by Mercury in good faith);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any violation of the Intended Tax Treatment shall be deemed material and adverse for purposes of this </w:t>
      </w:r>
      <w:r>
        <w:rPr>
          <w:rFonts w:ascii="Times New Roman" w:cs="Times New Roman" w:eastAsia="Times New Roman" w:hAnsi="Times New Roman"/>
          <w:sz w:val="13"/>
          <w:szCs w:val="13"/>
          <w:u w:val="single" w:color="auto"/>
          <w:color w:val="auto"/>
        </w:rPr>
        <w:t>Section 7.6(b)</w:t>
      </w:r>
      <w:r>
        <w:rPr>
          <w:rFonts w:ascii="Times New Roman" w:cs="Times New Roman" w:eastAsia="Times New Roman" w:hAnsi="Times New Roman"/>
          <w:sz w:val="13"/>
          <w:szCs w:val="13"/>
          <w:color w:val="auto"/>
        </w:rPr>
        <w:t>, (B) unless otherwise agreed to in writing by Mercury, be on terms and conditions not materially less favorable, taken as a whole, to Gold than those in the Commitment Letter or the Gold Financing Agreements, as applicable and</w:t>
      </w:r>
    </w:p>
    <w:p>
      <w:pPr>
        <w:spacing w:after="0" w:line="6" w:lineRule="exact"/>
        <w:rPr>
          <w:rFonts w:ascii="Times New Roman" w:cs="Times New Roman" w:eastAsia="Times New Roman" w:hAnsi="Times New Roman"/>
          <w:sz w:val="13"/>
          <w:szCs w:val="13"/>
          <w:color w:val="auto"/>
        </w:rPr>
      </w:pPr>
    </w:p>
    <w:p>
      <w:pPr>
        <w:ind w:left="1360" w:right="279" w:hanging="5"/>
        <w:spacing w:after="0" w:line="256" w:lineRule="auto"/>
        <w:tabs>
          <w:tab w:leader="none" w:pos="1582" w:val="left"/>
        </w:tabs>
        <w:numPr>
          <w:ilvl w:val="0"/>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agreed to in writing by Mercury, not contain any conditions to the consummation of such Gold Alternative Financing that are more onerous than the conditions set forth in the Commitment Letter or the Gold Financing Agreements, as applicable (subject, in each case, to the Intended Tax Treatment).</w:t>
      </w:r>
    </w:p>
    <w:p>
      <w:pPr>
        <w:spacing w:after="0" w:line="142" w:lineRule="exact"/>
        <w:rPr>
          <w:rFonts w:ascii="Times New Roman" w:cs="Times New Roman" w:eastAsia="Times New Roman" w:hAnsi="Times New Roman"/>
          <w:sz w:val="14"/>
          <w:szCs w:val="14"/>
          <w:color w:val="auto"/>
        </w:rPr>
      </w:pPr>
    </w:p>
    <w:p>
      <w:pPr>
        <w:ind w:left="1360" w:right="239" w:firstLine="338"/>
        <w:spacing w:after="0" w:line="254" w:lineRule="auto"/>
        <w:tabs>
          <w:tab w:leader="none" w:pos="1893"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the Gold Credit Agreement Consent Date, (i) Gold shall give SpinCo and Mercury prompt written notice upon it obtaining Knowledge of (A) any material breach (or threatened material breach) or default (or any event or circumstance that, with or without notice, lapse of time or both, could reasonably be expected to give rise to any material breach or default) by any party to the Gold Financing Agreements, (B) any actual or threatened withdrawal, repudiation or termination of the Gold Financing by any party to the Gold Financing Agreements, (C) any material dispute or disagreement between or among any of the parties to the Gold Financing Agreements, (D) the termination or expiration of the Gold Financing Agreements, or (E) any amendment, restatement, supplement or modification of, or waiver under, or replacement of the Gold Financing Agreements (including the Gold Credit Agreement Consent Date) and (ii) subject to the immediately preceding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Gold shall not, without the prior written consent of Mercury, amend, modify, supplement, restate, replace, terminate, or agree to any waiver under the Gold Financing Agreements;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 SpinCo’s consent shall not be unreasonably withheld, conditioned or delayed and (ii) Gold may make immaterial or administrative amendments, waivers or modifications that do not adversely affect SpinCo or the economic terms of the Gold Financing in any material respect, with prompt notice to SpinCo.</w:t>
      </w:r>
    </w:p>
    <w:p>
      <w:pPr>
        <w:spacing w:after="0" w:line="146" w:lineRule="exact"/>
        <w:rPr>
          <w:rFonts w:ascii="Times New Roman" w:cs="Times New Roman" w:eastAsia="Times New Roman" w:hAnsi="Times New Roman"/>
          <w:sz w:val="14"/>
          <w:szCs w:val="14"/>
          <w:color w:val="auto"/>
        </w:rPr>
      </w:pPr>
    </w:p>
    <w:p>
      <w:pPr>
        <w:ind w:left="1360" w:right="239" w:firstLine="338"/>
        <w:spacing w:after="0" w:line="257" w:lineRule="auto"/>
        <w:tabs>
          <w:tab w:leader="none" w:pos="1901" w:val="left"/>
        </w:tabs>
        <w:numPr>
          <w:ilvl w:val="1"/>
          <w:numId w:val="3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Until the earlier of the Closing and the valid termination of this Agreement in accordance with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(or, if earlier, the Gold Credit Agreement Consent Date),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by Gold of the Gold Financing, including by (i) participating (and using reasonable best efforts to cause members with appropriate seniority and</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A-83</w:t>
      </w:r>
    </w:p>
    <w:p>
      <w:pPr>
        <w:sectPr>
          <w:pgSz w:w="11900" w:h="16838" w:orient="portrait"/>
          <w:cols w:equalWidth="0" w:num="1">
            <w:col w:w="10159"/>
          </w:cols>
          <w:pgMar w:left="300" w:top="385" w:right="1440"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2" w:lineRule="auto"/>
        <w:rPr>
          <w:sz w:val="20"/>
          <w:szCs w:val="20"/>
          <w:color w:val="auto"/>
        </w:rPr>
      </w:pPr>
      <w:r>
        <w:rPr>
          <w:rFonts w:ascii="Times New Roman" w:cs="Times New Roman" w:eastAsia="Times New Roman" w:hAnsi="Times New Roman"/>
          <w:sz w:val="14"/>
          <w:szCs w:val="14"/>
          <w:color w:val="auto"/>
        </w:rPr>
        <w:t>expertise of the management team of and advisors, including auditors, to SpinCo and Gold to participate, in each case to the extent reasonable and customary) in the marketing and syndication efforts related thereto, (ii) participating in the preparation of rating agency presentations and meetings with rating agencies, due diligence sessions and drafting sessions with respect thereto, (iii) negotiating and, in the case of Gold, entering into definitive agreements with respect thereto, on the terms and conditions contained in the Commitment Letter or on such other terms as are reasonably acceptable to Mercury, SpinCo and Gold (the “</w:t>
      </w:r>
      <w:r>
        <w:rPr>
          <w:rFonts w:ascii="Times New Roman" w:cs="Times New Roman" w:eastAsia="Times New Roman" w:hAnsi="Times New Roman"/>
          <w:sz w:val="14"/>
          <w:szCs w:val="14"/>
          <w:u w:val="single" w:color="auto"/>
          <w:color w:val="auto"/>
        </w:rPr>
        <w:t>Gold Financing Agreements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other terms must not result in any material and adverse Tax consequences to Mercury and its Subsidiaries, including as to the Intended Tax Treatment of the transactions contemplated by the Transaction Documents (as determined by Mercury in good faith and, with respect to consequences of the Intended Tax Treatment, in consultation with Gold);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any violation of the Intended Tax Treatment that is attributable to the terms of the Gold Financing Agreements shall be deemed material and adverse for purposes of this </w:t>
      </w:r>
      <w:r>
        <w:rPr>
          <w:rFonts w:ascii="Times New Roman" w:cs="Times New Roman" w:eastAsia="Times New Roman" w:hAnsi="Times New Roman"/>
          <w:sz w:val="14"/>
          <w:szCs w:val="14"/>
          <w:u w:val="single" w:color="auto"/>
          <w:color w:val="auto"/>
        </w:rPr>
        <w:t>Section 7.6(d)</w:t>
      </w:r>
      <w:r>
        <w:rPr>
          <w:rFonts w:ascii="Times New Roman" w:cs="Times New Roman" w:eastAsia="Times New Roman" w:hAnsi="Times New Roman"/>
          <w:sz w:val="14"/>
          <w:szCs w:val="14"/>
          <w:color w:val="auto"/>
        </w:rPr>
        <w:t>, (iv) on a timely basis (A) satisfying all conditions precedent in the Commitment Letter and the Gold Financing Agreements that are within the control of SpinCo, Gold or their respective Subsidiaries, as applicable, (B) furnishing all financial information as set forth in Section 4 of Annex C to the Commitment Letter (the “</w:t>
      </w:r>
      <w:r>
        <w:rPr>
          <w:rFonts w:ascii="Times New Roman" w:cs="Times New Roman" w:eastAsia="Times New Roman" w:hAnsi="Times New Roman"/>
          <w:sz w:val="14"/>
          <w:szCs w:val="14"/>
          <w:u w:val="single" w:color="auto"/>
          <w:color w:val="auto"/>
        </w:rPr>
        <w:t>Required Gold Information</w:t>
      </w:r>
      <w:r>
        <w:rPr>
          <w:rFonts w:ascii="Times New Roman" w:cs="Times New Roman" w:eastAsia="Times New Roman" w:hAnsi="Times New Roman"/>
          <w:sz w:val="14"/>
          <w:szCs w:val="14"/>
          <w:color w:val="auto"/>
        </w:rPr>
        <w:t>”) and any additional customary financial information regarding the SpinCo Business or Gold and the Gold Subsidiaries, as applicable, or any of their respective properties or assets, as may be reasonably requested by SpinCo or Gold, as applicable, in connection with the Gold Financing and (C) preparing reasonable and customary financing documents, offering materials and other materials related to the Gold Financing, (v) furnishing at least four (4) Business Days prior to the Closing</w:t>
      </w:r>
    </w:p>
    <w:p>
      <w:pPr>
        <w:spacing w:after="0" w:line="3" w:lineRule="exact"/>
        <w:rPr>
          <w:sz w:val="20"/>
          <w:szCs w:val="20"/>
          <w:color w:val="auto"/>
        </w:rPr>
      </w:pPr>
    </w:p>
    <w:p>
      <w:pPr>
        <w:ind w:left="1360" w:right="239" w:hanging="5"/>
        <w:spacing w:after="0" w:line="251" w:lineRule="auto"/>
        <w:tabs>
          <w:tab w:leader="none" w:pos="1589"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documentation and other information requested by the financing sources required under applicable “know your customer” and anti-money laundering rules and regulations, including the U.S.A. Patriot Act of 2001, and (B) if Gold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(vi) delivering any customary certificates required by the Gold Financing Agreements;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SpinCo’s obligations under this </w:t>
      </w:r>
      <w:r>
        <w:rPr>
          <w:rFonts w:ascii="Times New Roman" w:cs="Times New Roman" w:eastAsia="Times New Roman" w:hAnsi="Times New Roman"/>
          <w:sz w:val="14"/>
          <w:szCs w:val="14"/>
          <w:u w:val="single" w:color="auto"/>
          <w:color w:val="auto"/>
        </w:rPr>
        <w:t>Section 7.6(d</w:t>
      </w:r>
      <w:r>
        <w:rPr>
          <w:rFonts w:ascii="Times New Roman" w:cs="Times New Roman" w:eastAsia="Times New Roman" w:hAnsi="Times New Roman"/>
          <w:sz w:val="14"/>
          <w:szCs w:val="14"/>
          <w:color w:val="auto"/>
        </w:rPr>
        <w:t xml:space="preserve">) are limited to providing information regarding SpinCo to the extent in its possession and control, participating in reasonable and customary due diligence sessions and delivering limited authorization letters consistent with </w:t>
      </w:r>
      <w:r>
        <w:rPr>
          <w:rFonts w:ascii="Times New Roman" w:cs="Times New Roman" w:eastAsia="Times New Roman" w:hAnsi="Times New Roman"/>
          <w:sz w:val="14"/>
          <w:szCs w:val="14"/>
          <w:u w:val="single" w:color="auto"/>
          <w:color w:val="auto"/>
        </w:rPr>
        <w:t>Section 7.5(d)</w:t>
      </w:r>
      <w:r>
        <w:rPr>
          <w:rFonts w:ascii="Times New Roman" w:cs="Times New Roman" w:eastAsia="Times New Roman" w:hAnsi="Times New Roman"/>
          <w:sz w:val="14"/>
          <w:szCs w:val="14"/>
          <w:color w:val="auto"/>
        </w:rPr>
        <w:t xml:space="preserve">, SpinCo shall not be required to deliver, or to cause its counsel to deliver, any legal opinion in connection with the Gold Financing (any such legal opinions to be delivered by counsel to Gold), and SpinCo shall not be required to satisfy, or be deemed to have satisfied, any condition precedent to the Gold Financing other than delivery of such SpinCo information and cooperation; and nothing herein shall require disclosure of information protected by privilege, restricted by Law or Contract, or competitively sensitive (which, where reasonably practicable, may be provided on an “outside counsel only” basis). All cooperation under this </w:t>
      </w:r>
      <w:r>
        <w:rPr>
          <w:rFonts w:ascii="Times New Roman" w:cs="Times New Roman" w:eastAsia="Times New Roman" w:hAnsi="Times New Roman"/>
          <w:sz w:val="14"/>
          <w:szCs w:val="14"/>
          <w:u w:val="single" w:color="auto"/>
          <w:color w:val="auto"/>
        </w:rPr>
        <w:t>Section 7.6(d)</w:t>
      </w:r>
      <w:r>
        <w:rPr>
          <w:rFonts w:ascii="Times New Roman" w:cs="Times New Roman" w:eastAsia="Times New Roman" w:hAnsi="Times New Roman"/>
          <w:sz w:val="14"/>
          <w:szCs w:val="14"/>
          <w:color w:val="auto"/>
        </w:rPr>
        <w:t xml:space="preserve"> shall be subject to </w:t>
      </w:r>
      <w:r>
        <w:rPr>
          <w:rFonts w:ascii="Times New Roman" w:cs="Times New Roman" w:eastAsia="Times New Roman" w:hAnsi="Times New Roman"/>
          <w:sz w:val="14"/>
          <w:szCs w:val="14"/>
          <w:u w:val="single" w:color="auto"/>
          <w:color w:val="auto"/>
        </w:rPr>
        <w:t>Section 7.6(f</w:t>
      </w:r>
      <w:r>
        <w:rPr>
          <w:rFonts w:ascii="Times New Roman" w:cs="Times New Roman" w:eastAsia="Times New Roman" w:hAnsi="Times New Roman"/>
          <w:sz w:val="14"/>
          <w:szCs w:val="14"/>
          <w:color w:val="auto"/>
        </w:rPr>
        <w:t>).</w:t>
      </w:r>
    </w:p>
    <w:p>
      <w:pPr>
        <w:spacing w:after="0" w:line="151" w:lineRule="exact"/>
        <w:rPr>
          <w:rFonts w:ascii="Times New Roman" w:cs="Times New Roman" w:eastAsia="Times New Roman" w:hAnsi="Times New Roman"/>
          <w:sz w:val="14"/>
          <w:szCs w:val="14"/>
          <w:color w:val="auto"/>
        </w:rPr>
      </w:pPr>
    </w:p>
    <w:p>
      <w:pPr>
        <w:ind w:left="1360" w:right="299" w:firstLine="338"/>
        <w:spacing w:after="0" w:line="258" w:lineRule="auto"/>
        <w:tabs>
          <w:tab w:leader="none" w:pos="1893" w:val="left"/>
        </w:tabs>
        <w:numPr>
          <w:ilvl w:val="1"/>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hereby consents to the use of SpinCo’s and its Subsidiaries’ logos, and Gold hereby consents to the use of its and the Gold Subsidiaries’ logos, in connection with the Gold Financing and solely in a manner that is not intended or reasonably likely to harm or disparage the reputation or goodwill of the relevant party, or any of their respective Intellectual Property rights. SpinCo and Gold shall, upon reasonable request by Mercury, each keep Mercury informed in reasonable detail of the status of its efforts to arrange and consummate the Gold Financing and as promptly as practicable provide copies of then-current drafts of the Gold Financing.</w:t>
      </w:r>
    </w:p>
    <w:p>
      <w:pPr>
        <w:spacing w:after="0" w:line="143" w:lineRule="exact"/>
        <w:rPr>
          <w:rFonts w:ascii="Times New Roman" w:cs="Times New Roman" w:eastAsia="Times New Roman" w:hAnsi="Times New Roman"/>
          <w:sz w:val="14"/>
          <w:szCs w:val="14"/>
          <w:color w:val="auto"/>
        </w:rPr>
      </w:pPr>
    </w:p>
    <w:p>
      <w:pPr>
        <w:ind w:left="1360" w:right="379" w:firstLine="338"/>
        <w:spacing w:after="0" w:line="255" w:lineRule="auto"/>
        <w:tabs>
          <w:tab w:leader="none" w:pos="1878" w:val="left"/>
        </w:tabs>
        <w:numPr>
          <w:ilvl w:val="1"/>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7.6</w:t>
      </w:r>
      <w:r>
        <w:rPr>
          <w:rFonts w:ascii="Times New Roman" w:cs="Times New Roman" w:eastAsia="Times New Roman" w:hAnsi="Times New Roman"/>
          <w:sz w:val="14"/>
          <w:szCs w:val="14"/>
          <w:color w:val="auto"/>
        </w:rPr>
        <w:t xml:space="preserve">, no action contemplated in this </w:t>
      </w:r>
      <w:r>
        <w:rPr>
          <w:rFonts w:ascii="Times New Roman" w:cs="Times New Roman" w:eastAsia="Times New Roman" w:hAnsi="Times New Roman"/>
          <w:sz w:val="14"/>
          <w:szCs w:val="14"/>
          <w:u w:val="single" w:color="auto"/>
          <w:color w:val="auto"/>
        </w:rPr>
        <w:t>Section 7.6</w:t>
      </w:r>
      <w:r>
        <w:rPr>
          <w:rFonts w:ascii="Times New Roman" w:cs="Times New Roman" w:eastAsia="Times New Roman" w:hAnsi="Times New Roman"/>
          <w:sz w:val="14"/>
          <w:szCs w:val="14"/>
          <w:color w:val="auto"/>
        </w:rPr>
        <w:t xml:space="preserve"> shall be required to the extent such action would: (A) require Mercury or any of its Subsidiaries (other than SpinCo and its Subsidiaries) or, prior to the Closing, SpinCo or any of its Subsidiaries to be an issuer or guarantor of the Gold Financing; (B) require Mercury or any of its Subsidiaries (other than SpinCo and its Subsidiaries) or Gold or any of the Gold Subsidiaries or, prior to the Closing, SpinCo or any of its Subsidiaries to provide (or have provided on its behalf) any certificates, legal opinions, negative assurance letters or other documentation (other than, in the case of Gold and the Gold Subsidiaries, certificates, opinions, letters or other documentation delivered (or delivered on its behalf) at the closing of the Gold Financing);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SpinCo shall not be required to deliver, or to cause its counsel to deliver, any legal opinion in connection with the Gold Financing (any such legal opinions to be delivered by counsel to Gold), and no legal opinion of counsel to</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A-84</w:t>
      </w:r>
    </w:p>
    <w:p>
      <w:pPr>
        <w:sectPr>
          <w:pgSz w:w="11900" w:h="16838" w:orient="portrait"/>
          <w:cols w:equalWidth="0" w:num="1">
            <w:col w:w="10159"/>
          </w:cols>
          <w:pgMar w:left="300" w:top="386" w:right="1440"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 xml:space="preserve">SpinCo shall be required prior to the Effective Time; (C) cause any director, officer or employee of Mercury or any of its Subsidiaries, or Gold or any of the Gold Subsidiaries, to incur any personal liability; (D) without limiting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above, require Mercury or any of its Subsidiaries (other than SpinCo and its Subsidiaries) or, prior to the Closing, SpinCo or any of its Subsidiaries, to execute and deliver any documentation related to the Gold Financing; (E) (1) jeopardize (in Mercury’s reasonable determination) any attorney-client privilege of Mercury or any of its Subsidiaries (in which case Mercury and such Subsidiaries shall use reasonable best efforts to take such action in a manner that would not jeopardize such attorney-client privilege) or (2) jeopardize (in Gold’s reasonable determination) any attorney-client privilege of Gold or any of the Gold Subsidiaries (in which case Gold and such Subsidiaries shall use reasonable best efforts to take such action in a manner that would not jeopardize such attorney-client privilege); (F) result in a material violation or breach of, or a default under, the Organizational Documents of Mercury or its Subsidiaries, the Organizational Documents of Gold or the Gold Subsidiaries, or any applicable Law; (G) require the incurrence or issuance of any indebtedness (other than the Gold Financing); (H) unreasonably interfere with the respective businesses or ongoing operations of Mercury and its Subsidiaries or Gold and the Gold Subsidiaries;</w:t>
      </w:r>
    </w:p>
    <w:p>
      <w:pPr>
        <w:spacing w:after="0" w:line="6" w:lineRule="exact"/>
        <w:rPr>
          <w:sz w:val="20"/>
          <w:szCs w:val="20"/>
          <w:color w:val="auto"/>
        </w:rPr>
      </w:pPr>
    </w:p>
    <w:p>
      <w:pPr>
        <w:ind w:left="1360" w:right="239" w:hanging="5"/>
        <w:spacing w:after="0" w:line="253" w:lineRule="auto"/>
        <w:tabs>
          <w:tab w:leader="none" w:pos="1535"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Mercury or any of its Subsidiaries or Gold or any of the Gold Subsidiaries to prepare or deliver in connection with the Gold Financing any financial information (other than the Required Gold Information) that is not readily available to them or prepared in the ordinary course of their respective financial reporting practices; or (J) require Mercury, SpinCo or their respective Subsidiaries to prepare any pro forma financial statements or pro forma financial information or provide any information regarding any post-Closing or pro forma cost savings, synergies, capitalization, ownership or other post-Closing pro forma adjustments.</w:t>
      </w:r>
    </w:p>
    <w:p>
      <w:pPr>
        <w:spacing w:after="0" w:line="146" w:lineRule="exact"/>
        <w:rPr>
          <w:rFonts w:ascii="Times New Roman" w:cs="Times New Roman" w:eastAsia="Times New Roman" w:hAnsi="Times New Roman"/>
          <w:sz w:val="14"/>
          <w:szCs w:val="14"/>
          <w:color w:val="auto"/>
        </w:rPr>
      </w:pPr>
    </w:p>
    <w:p>
      <w:pPr>
        <w:ind w:left="1360" w:right="299" w:firstLine="338"/>
        <w:spacing w:after="0" w:line="277" w:lineRule="auto"/>
        <w:tabs>
          <w:tab w:leader="none" w:pos="1901" w:val="left"/>
        </w:tabs>
        <w:numPr>
          <w:ilvl w:val="1"/>
          <w:numId w:val="3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non-public or otherwise confidential information regarding the SpinCo Business obtained by Gold or its Representatives pursuant to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or otherwise shall be kept confidential in accordance with the terms of the Confidentiality Agreement. Notwithstanding any other provision set forth herein or in any other agreement between Mercury and Gold (or their respective Affiliates), each of Mercury and SpinCo agrees that Gold may share information with respect to SpinCo and the SpinCo Business with the Lenders, and that Gold and such Lenders may share such information with potential financing sources in connection with any marketing efforts for the Gold Financing;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recipients of such information and any other information contemplated to be provided by Gold or any of the Gold Subsidiaries pursuant to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agree to customary confidentiality arrangements, including “click through” confidentiality agreements and confidentiality provisions contained in customary bank books and offering memoranda; and competitively sensitive information may be provided on an “outside counsel only” basis where reasonably practicable.</w:t>
      </w:r>
    </w:p>
    <w:p>
      <w:pPr>
        <w:spacing w:after="0" w:line="133" w:lineRule="exact"/>
        <w:rPr>
          <w:rFonts w:ascii="Times New Roman" w:cs="Times New Roman" w:eastAsia="Times New Roman" w:hAnsi="Times New Roman"/>
          <w:sz w:val="13"/>
          <w:szCs w:val="13"/>
          <w:color w:val="auto"/>
        </w:rPr>
      </w:pPr>
    </w:p>
    <w:p>
      <w:pPr>
        <w:ind w:left="1360" w:right="239" w:firstLine="338"/>
        <w:spacing w:after="0" w:line="254" w:lineRule="auto"/>
        <w:tabs>
          <w:tab w:leader="none" w:pos="1901" w:val="left"/>
        </w:tabs>
        <w:numPr>
          <w:ilvl w:val="1"/>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non-public or otherwise confidential information regarding the businesses of Gold and the Gold Subsidiaries obtained by Mercury, SpinCo or their respective Representatives pursuant to this </w:t>
      </w:r>
      <w:r>
        <w:rPr>
          <w:rFonts w:ascii="Times New Roman" w:cs="Times New Roman" w:eastAsia="Times New Roman" w:hAnsi="Times New Roman"/>
          <w:sz w:val="14"/>
          <w:szCs w:val="14"/>
          <w:u w:val="single" w:color="auto"/>
          <w:color w:val="auto"/>
        </w:rPr>
        <w:t>Section 7.6</w:t>
      </w:r>
      <w:r>
        <w:rPr>
          <w:rFonts w:ascii="Times New Roman" w:cs="Times New Roman" w:eastAsia="Times New Roman" w:hAnsi="Times New Roman"/>
          <w:sz w:val="14"/>
          <w:szCs w:val="14"/>
          <w:color w:val="auto"/>
        </w:rPr>
        <w:t xml:space="preserve"> or otherwise shall be kept confidential in accordance with the terms of the Confidentiality Agreement. Notwithstanding any other provision set forth herein or in any other agreement between Mercury or SpinCo, on the one hand, and Gold, on the other hand (or their respective Affiliates), Gold agrees that Mercury and SpinCo may share information with respect to the businesses of Gold and the Gold Subsidiaries with the Lenders, and that Mercury, SpinCo and such Lenders may share such information with potential financing sources in connection with any marketing efforts for the Gold Financing;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recipients of such information and any other information contemplated to be provided by Mercury, SpinCo or any of their respective Subsidiaries pursuant to this </w:t>
      </w:r>
      <w:r>
        <w:rPr>
          <w:rFonts w:ascii="Times New Roman" w:cs="Times New Roman" w:eastAsia="Times New Roman" w:hAnsi="Times New Roman"/>
          <w:sz w:val="14"/>
          <w:szCs w:val="14"/>
          <w:u w:val="single" w:color="auto"/>
          <w:color w:val="auto"/>
        </w:rPr>
        <w:t>Section 7.6</w:t>
      </w:r>
      <w:r>
        <w:rPr>
          <w:rFonts w:ascii="Times New Roman" w:cs="Times New Roman" w:eastAsia="Times New Roman" w:hAnsi="Times New Roman"/>
          <w:sz w:val="14"/>
          <w:szCs w:val="14"/>
          <w:color w:val="auto"/>
        </w:rPr>
        <w:t>, agree to customary confidentiality arrangements, including “click through” confidentiality agreements and confidentiality provisions contained in customary bank books and offering memoranda, private placement memoranda and similar documents.</w:t>
      </w:r>
    </w:p>
    <w:p>
      <w:pPr>
        <w:spacing w:after="0" w:line="1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7.7 </w:t>
      </w:r>
      <w:r>
        <w:rPr>
          <w:rFonts w:ascii="Times New Roman" w:cs="Times New Roman" w:eastAsia="Times New Roman" w:hAnsi="Times New Roman"/>
          <w:sz w:val="14"/>
          <w:szCs w:val="14"/>
          <w:u w:val="single" w:color="auto"/>
          <w:color w:val="auto"/>
        </w:rPr>
        <w:t>Access to Information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38"/>
        <w:spacing w:after="0" w:line="267" w:lineRule="auto"/>
        <w:tabs>
          <w:tab w:leader="none" w:pos="1893" w:val="left"/>
        </w:tabs>
        <w:numPr>
          <w:ilvl w:val="0"/>
          <w:numId w:val="3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shall, and shall cause its Subsidiaries, on the one hand, and Gold shall, and shall cause the Gold Subsidiaries, on the other hand, to the extent permitted under applicable Law, afford to the other Party and to its respective Representatives, reasonable access, during normal business hours and subject to bona fide policies and procedures established by the other Party, during the Interim Period, in such manner as to not interfere with</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A-85</w:t>
      </w:r>
    </w:p>
    <w:p>
      <w:pPr>
        <w:sectPr>
          <w:pgSz w:w="11900" w:h="16838" w:orient="portrait"/>
          <w:cols w:equalWidth="0" w:num="1">
            <w:col w:w="10159"/>
          </w:cols>
          <w:pgMar w:left="300" w:top="385" w:right="1440"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 xml:space="preserve">Gold’s and its Subsidiaries’ or the SpinCo Business’s (as applicable) normal operations, the properties, the SpinCo Books and Records and appropriate senior-level employees of Gold and the Gold Subsidiaries or Mercury and its Subsidiaries (to the extent related to the SpinCo Business), including the members of the SpinCo Group (as applicable), as such Party and its Representatives may reasonably request solely for purposes of consummating the Transactions, integration planning and preparing for the operation of SpinCo and the Surviving Corporation post-Closing;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such investigation shall only be upon reasonable notice and at the sole cost and expense of the investigating Party; (b) no Party or its Representatives shall be permitted to perform any environmental testing or sampling, including sampling of soil, groundwater, surface water, building materials or air or wastewater emissions without the prior written consent of the other applicable Party; (c) no Party or its Representatives shall be entitled to access any employee-related or employee benefit-related files or records of another Party, including individual performance or evaluation records, medical histories, workers compensation records, drug testing results or other sensitive personal information; (d) no Party or its Representatives shall communicate with any of the employees of the other Party or its Subsidiaries without the prior written consent of such Party (which consent shall not be unreasonably withheld, conditioned or delayed) and except to the extent required to comply with the terms of the Employee Matters Agreement or other Transaction Documents or as otherwise expressly permitted by such Party; and (e) nothing in this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shall require any Party to permit any inspection or disclose any information to any other Party that (i) would unreasonably interfere with the conduct of such Party’s business or result in damage to property (other than immaterial damage), except with such other Party’s prior written consent (which may be withheld or denied at its sole discretion), (ii) would cause a violation of any Law, privacy policy or any confidentiality obligations and similar restrictions that may be applicable to such information, or (iii) would jeopardize the attorney-client privilege or other disclosure privilege or protection to such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Party that would otherwise be required to disclose information to the other shall take any and all reasonable action necessary to permit such disclosure without such loss of privilege or violation of agreement, policy, Law or other restriction, including through the use of commercially reasonable efforts to obtain any required consent or waiver to the disclosure of such information from any third party and through the implementation of appropriate and mutually agreeable “clean room” or other similar procedures designed to limit any such adverse effect of sharing such information by each Party). For the avoidance of doubt, no Party shall be required to provide any information that is not readily available to such Party and its Affiliates under their books and records or current reporting systems following the use of commercially reasonable efforts (or which creates an unreasonable burden on the employees of the providing Party or its Affiliates). All requests for such access to any Party shall be made to such Party or its designated Representative.</w:t>
      </w:r>
    </w:p>
    <w:p>
      <w:pPr>
        <w:spacing w:after="0" w:line="149" w:lineRule="exact"/>
        <w:rPr>
          <w:sz w:val="20"/>
          <w:szCs w:val="20"/>
          <w:color w:val="auto"/>
        </w:rPr>
      </w:pPr>
    </w:p>
    <w:p>
      <w:pPr>
        <w:ind w:left="1360" w:right="659" w:firstLine="338"/>
        <w:spacing w:after="0" w:line="283" w:lineRule="auto"/>
        <w:tabs>
          <w:tab w:leader="none" w:pos="1901"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Gold and Mercury may, as it deems advisable, reasonably designate any competitively sensitive information as “clean team” or “outside counsel only” material or with similar restrictions.</w:t>
      </w:r>
    </w:p>
    <w:p>
      <w:pPr>
        <w:spacing w:after="0" w:line="124" w:lineRule="exact"/>
        <w:rPr>
          <w:rFonts w:ascii="Times New Roman" w:cs="Times New Roman" w:eastAsia="Times New Roman" w:hAnsi="Times New Roman"/>
          <w:sz w:val="14"/>
          <w:szCs w:val="14"/>
          <w:color w:val="auto"/>
        </w:rPr>
      </w:pPr>
    </w:p>
    <w:p>
      <w:pPr>
        <w:ind w:left="1360" w:right="239" w:firstLine="338"/>
        <w:spacing w:after="0" w:line="267" w:lineRule="auto"/>
        <w:tabs>
          <w:tab w:leader="none" w:pos="1893"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in this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to the contrary, this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shall not require Mercury or SpinCo to provide access to, or make any disclosure with respect to, any information of or to the extent relating to Mercury, any of its Affiliates or any of their respective businesses, other than information to the extent relating to the SpinCo Business, the members of the SpinCo Group, the SpinCo Assets or the SpinCo Liabilities.</w:t>
      </w:r>
    </w:p>
    <w:p>
      <w:pPr>
        <w:spacing w:after="0" w:line="135" w:lineRule="exact"/>
        <w:rPr>
          <w:rFonts w:ascii="Times New Roman" w:cs="Times New Roman" w:eastAsia="Times New Roman" w:hAnsi="Times New Roman"/>
          <w:sz w:val="14"/>
          <w:szCs w:val="14"/>
          <w:color w:val="auto"/>
        </w:rPr>
      </w:pPr>
    </w:p>
    <w:p>
      <w:pPr>
        <w:ind w:left="1360" w:right="319" w:firstLine="338"/>
        <w:spacing w:after="0" w:line="267" w:lineRule="auto"/>
        <w:tabs>
          <w:tab w:leader="none" w:pos="1901" w:val="left"/>
        </w:tabs>
        <w:numPr>
          <w:ilvl w:val="0"/>
          <w:numId w:val="3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hereby agree that, notwithstanding anything in this </w:t>
      </w:r>
      <w:r>
        <w:rPr>
          <w:rFonts w:ascii="Times New Roman" w:cs="Times New Roman" w:eastAsia="Times New Roman" w:hAnsi="Times New Roman"/>
          <w:sz w:val="14"/>
          <w:szCs w:val="14"/>
          <w:u w:val="single" w:color="auto"/>
          <w:color w:val="auto"/>
        </w:rPr>
        <w:t>Section 7.7</w:t>
      </w:r>
      <w:r>
        <w:rPr>
          <w:rFonts w:ascii="Times New Roman" w:cs="Times New Roman" w:eastAsia="Times New Roman" w:hAnsi="Times New Roman"/>
          <w:sz w:val="14"/>
          <w:szCs w:val="14"/>
          <w:color w:val="auto"/>
        </w:rPr>
        <w:t xml:space="preserve"> to the contrary, the provisions of the Confidentiality Agreement shall apply to all information and material furnished by any Party or its Representatives thereunder and hereunder. The Confidentiality Agreement shall survive any termination of this Agreement.</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7.8 </w:t>
      </w:r>
      <w:r>
        <w:rPr>
          <w:rFonts w:ascii="Times New Roman" w:cs="Times New Roman" w:eastAsia="Times New Roman" w:hAnsi="Times New Roman"/>
          <w:sz w:val="14"/>
          <w:szCs w:val="14"/>
          <w:u w:val="single" w:color="auto"/>
          <w:color w:val="auto"/>
        </w:rPr>
        <w:t>D&amp;O Indemnification and Insurance.</w:t>
      </w:r>
    </w:p>
    <w:p>
      <w:pPr>
        <w:spacing w:after="0" w:line="175" w:lineRule="exact"/>
        <w:rPr>
          <w:sz w:val="20"/>
          <w:szCs w:val="20"/>
          <w:color w:val="auto"/>
        </w:rPr>
      </w:pPr>
    </w:p>
    <w:p>
      <w:pPr>
        <w:ind w:left="1360" w:right="439" w:firstLine="338"/>
        <w:spacing w:after="0" w:line="296" w:lineRule="auto"/>
        <w:tabs>
          <w:tab w:leader="none" w:pos="1893" w:val="left"/>
        </w:tabs>
        <w:numPr>
          <w:ilvl w:val="0"/>
          <w:numId w:val="3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six (6) years from and after the Effective Time, SpinCo agrees that it shall indemnify and hold harmless each present and former director, officer or employee of SpinCo and any other member of the SpinCo Group (the “</w:t>
      </w:r>
      <w:r>
        <w:rPr>
          <w:rFonts w:ascii="Times New Roman" w:cs="Times New Roman" w:eastAsia="Times New Roman" w:hAnsi="Times New Roman"/>
          <w:sz w:val="13"/>
          <w:szCs w:val="13"/>
          <w:u w:val="single" w:color="auto"/>
          <w:color w:val="auto"/>
        </w:rPr>
        <w:t>Indemnified Parties</w:t>
      </w:r>
      <w:r>
        <w:rPr>
          <w:rFonts w:ascii="Times New Roman" w:cs="Times New Roman" w:eastAsia="Times New Roman" w:hAnsi="Times New Roman"/>
          <w:sz w:val="13"/>
          <w:szCs w:val="13"/>
          <w:color w:val="auto"/>
        </w:rPr>
        <w:t>”) against any costs or expenses (including reasonable attorneys’ fees), judgments, fines, losses, claims, damages or liabilities incurred in connection with any claim, action, suit,</w:t>
      </w:r>
    </w:p>
    <w:p>
      <w:pPr>
        <w:spacing w:after="0" w:line="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A-86</w:t>
      </w:r>
    </w:p>
    <w:p>
      <w:pPr>
        <w:sectPr>
          <w:pgSz w:w="11900" w:h="16838" w:orient="portrait"/>
          <w:cols w:equalWidth="0" w:num="1">
            <w:col w:w="10159"/>
          </w:cols>
          <w:pgMar w:left="300" w:top="386" w:right="1440"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 xml:space="preserve">proceeding or investigation, whether civil, criminal, administrative or investigative, arising out of or pertaining to any matters existing or occurring at or prior to the Effective Time, whether asserted or claimed prior to, at or after the Effective Time, to the fullest extent that SpinCo would have been permitted under the Organizational Documents of SpinCo as in effect on the date hereof to indemnify such Person (including promptly advancing expenses as incurred to the fullest extent permitted under such Organizational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Person delivers an undertaking to SpinCo in advance agreeing to return any such funds to which a court of competent jurisdiction has determined in a final, nonappealable judgment that such Person is not entitled to indemnification). Without limiting the foregoing, SpinCo shall cause the members of the SpinCo Group (i) to maintain for a period of not less than six (6) years from the Effective Time provisions in their respective Organizational Documents concerning the indemnification and exculpation (including provisions relating to expense advancement) of the members of the SpinCo Group’s respective former and current officers, directors or employees that are no less favorable to those Persons than the provisions of the Organizational Documents of Mercury as of the date hereof and (ii) not to amend, repeal, waive or otherwise modify such provisions in any respect that would adversely affect the rights of those Persons thereunder, in each case, except as required by applicable Law.</w:t>
      </w:r>
    </w:p>
    <w:p>
      <w:pPr>
        <w:spacing w:after="0" w:line="144" w:lineRule="exact"/>
        <w:rPr>
          <w:sz w:val="20"/>
          <w:szCs w:val="20"/>
          <w:color w:val="auto"/>
        </w:rPr>
      </w:pPr>
    </w:p>
    <w:p>
      <w:pPr>
        <w:ind w:left="1360" w:right="259" w:firstLine="338"/>
        <w:spacing w:after="0" w:line="257" w:lineRule="auto"/>
        <w:tabs>
          <w:tab w:leader="none" w:pos="1901" w:val="left"/>
        </w:tabs>
        <w:numPr>
          <w:ilvl w:val="0"/>
          <w:numId w:val="3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SpinCo may, in consultation with Gold, procure a prepaid, non-cancelable six (6) year “tail” policy commencing on the Closing Date containing terms not less favorable to the Indemnified Parties than the terms of directors’ and officers’ and fiduciary liability insurance covering the Indemnified Parties with respect to matters existing or occurring at or prior to the Effective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premium thereof would exceed 300% of the last annual premium paid by Mercury prior to the date hereof, then SpinCo may only procure the maximum coverage available at an annual premium equal to such maximum amount. If any claim is asserted or made within such six (6) year period, then any insurance that is maintained under this </w:t>
      </w:r>
      <w:r>
        <w:rPr>
          <w:rFonts w:ascii="Times New Roman" w:cs="Times New Roman" w:eastAsia="Times New Roman" w:hAnsi="Times New Roman"/>
          <w:sz w:val="14"/>
          <w:szCs w:val="14"/>
          <w:u w:val="single" w:color="auto"/>
          <w:color w:val="auto"/>
        </w:rPr>
        <w:t>Section 7.8</w:t>
      </w:r>
      <w:r>
        <w:rPr>
          <w:rFonts w:ascii="Times New Roman" w:cs="Times New Roman" w:eastAsia="Times New Roman" w:hAnsi="Times New Roman"/>
          <w:sz w:val="14"/>
          <w:szCs w:val="14"/>
          <w:color w:val="auto"/>
        </w:rPr>
        <w:t xml:space="preserve"> shall be continued in respect of such claim until the final disposition thereof.</w:t>
      </w:r>
    </w:p>
    <w:p>
      <w:pPr>
        <w:spacing w:after="0" w:line="143" w:lineRule="exact"/>
        <w:rPr>
          <w:rFonts w:ascii="Times New Roman" w:cs="Times New Roman" w:eastAsia="Times New Roman" w:hAnsi="Times New Roman"/>
          <w:sz w:val="14"/>
          <w:szCs w:val="14"/>
          <w:color w:val="auto"/>
        </w:rPr>
      </w:pPr>
    </w:p>
    <w:p>
      <w:pPr>
        <w:ind w:left="1360" w:right="379" w:firstLine="338"/>
        <w:spacing w:after="0" w:line="280" w:lineRule="auto"/>
        <w:tabs>
          <w:tab w:leader="none" w:pos="1893" w:val="left"/>
        </w:tabs>
        <w:numPr>
          <w:ilvl w:val="0"/>
          <w:numId w:val="3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contained in this Agreement to the contrary, this </w:t>
      </w:r>
      <w:r>
        <w:rPr>
          <w:rFonts w:ascii="Times New Roman" w:cs="Times New Roman" w:eastAsia="Times New Roman" w:hAnsi="Times New Roman"/>
          <w:sz w:val="13"/>
          <w:szCs w:val="13"/>
          <w:u w:val="single" w:color="auto"/>
          <w:color w:val="auto"/>
        </w:rPr>
        <w:t>Section 7.8</w:t>
      </w:r>
      <w:r>
        <w:rPr>
          <w:rFonts w:ascii="Times New Roman" w:cs="Times New Roman" w:eastAsia="Times New Roman" w:hAnsi="Times New Roman"/>
          <w:sz w:val="13"/>
          <w:szCs w:val="13"/>
          <w:color w:val="auto"/>
        </w:rPr>
        <w:t xml:space="preserve"> shall survive the consummation of the transactions contemplated hereby and shall be binding on all successors and assigns of SpinCo and are intended to be for the benefit of, and will be enforceable by, each present and former director, officer and employee of any member of the SpinCo Group and his or her heirs and representatives. In the event that SpinCo or any of its respective successors or assigns consolidates with or merges into any other Person and shall not be the continuing or surviving corporation or entity of such consolidation or merger or transfers or conveys all or substantially all of its assets to any Person, then, and in each such case, proper provision shall be made so that the successors and assigns of SpinCo shall succeed to the obligations set forth in this </w:t>
      </w:r>
      <w:r>
        <w:rPr>
          <w:rFonts w:ascii="Times New Roman" w:cs="Times New Roman" w:eastAsia="Times New Roman" w:hAnsi="Times New Roman"/>
          <w:sz w:val="13"/>
          <w:szCs w:val="13"/>
          <w:u w:val="single" w:color="auto"/>
          <w:color w:val="auto"/>
        </w:rPr>
        <w:t>Section 7.8</w:t>
      </w:r>
      <w:r>
        <w:rPr>
          <w:rFonts w:ascii="Times New Roman" w:cs="Times New Roman" w:eastAsia="Times New Roman" w:hAnsi="Times New Roman"/>
          <w:sz w:val="13"/>
          <w:szCs w:val="13"/>
          <w:color w:val="auto"/>
        </w:rPr>
        <w:t>.</w:t>
      </w:r>
    </w:p>
    <w:p>
      <w:pPr>
        <w:spacing w:after="0" w:line="1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7.9 </w:t>
      </w: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3" w:lineRule="auto"/>
        <w:tabs>
          <w:tab w:leader="none" w:pos="1893" w:val="left"/>
        </w:tabs>
        <w:numPr>
          <w:ilvl w:val="0"/>
          <w:numId w:val="3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Gold shall immediately cease, and shall cause the Gold Subsidiaries to and shall direct and use reasonable best efforts to cause its and their respective Representatives to immediately cease, any discussions or negotiations with any Person (other than Mercury or its Affiliates) that may be ongoing with respect to a Competing Proposal, or any proposal that would reasonably be expected to lead to a Competing Proposal, and shall promptly (and, in any event, within twenty-four (24) hours) (x) request that all such Persons and their respective Representatives return or destroy reasonably promptly any confidential information that has been provided in any such discussions or negotiations and (y) terminate access to any physical or electronic data rooms relating to a possible Competing Proposal. From the date hereof until the earlier of the Effective Time or the termination of this Agreement in accordance with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Gold shall not (and shall cause the Gold Subsidiaries not to) nor shall Gold authorize or permit its or any Gold Subsidiaries respective directors, officers or employees to, and shall direct and use reasonable best efforts to cause the Representatives of the foregoing not to, directly or indirectly, (i) solicit, initiate, knowingly encourage or knowingly facilitate any Competing Proposal or any inquiry, proposal or offer which would reasonably be expected to lead to a Competing Proposal, or (ii) engage in, continue or otherwise participate in any discussions or negotiations regarding, or furnish to any Person any non-public information relating to Gold or any Gold Subsidiary relating to any Competing Proposal (or any inquiry, proposal or offer which would reasonably be expected to lead to a Competing Proposal);</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A-87</w:t>
      </w:r>
    </w:p>
    <w:p>
      <w:pPr>
        <w:sectPr>
          <w:pgSz w:w="11900" w:h="16838" w:orient="portrait"/>
          <w:cols w:equalWidth="0" w:num="1">
            <w:col w:w="10159"/>
          </w:cols>
          <w:pgMar w:left="300" w:top="386" w:right="1440"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59"/>
        <w:spacing w:after="0" w:line="272"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if, prior to obtaining the Gold Shareholder Approval and following the receipt of a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written Competing Proposal made after the date hereof that was not, directly or indirectly, solicited, initiated, knowingly encouraged or knowingly facilitated in breach of this </w:t>
      </w:r>
      <w:r>
        <w:rPr>
          <w:rFonts w:ascii="Times New Roman" w:cs="Times New Roman" w:eastAsia="Times New Roman" w:hAnsi="Times New Roman"/>
          <w:sz w:val="13"/>
          <w:szCs w:val="13"/>
          <w:u w:val="single" w:color="auto"/>
          <w:color w:val="auto"/>
        </w:rPr>
        <w:t>Section 7.9(a)</w:t>
      </w:r>
      <w:r>
        <w:rPr>
          <w:rFonts w:ascii="Times New Roman" w:cs="Times New Roman" w:eastAsia="Times New Roman" w:hAnsi="Times New Roman"/>
          <w:sz w:val="13"/>
          <w:szCs w:val="13"/>
          <w:color w:val="auto"/>
        </w:rPr>
        <w:t xml:space="preserve">, that the Gold Board determines in good faith (after receiving advice of its financial advisor and of its outside legal counsel) is or would reasonably be expected to lead to a Superior Proposal and that the Gold Board determines in good faith, after consultation with outside legal counsel, that a failure to take action under clause (A) or (B) below with respect to such Competing Proposal would be reasonably expected to be inconsistent with the fiduciary duties that the directors owe to Gold and its shareholders in their capacity as directors of Gold under applicable Law, Gold may, in response to such Competing Proposal and subject to </w:t>
      </w:r>
      <w:r>
        <w:rPr>
          <w:rFonts w:ascii="Times New Roman" w:cs="Times New Roman" w:eastAsia="Times New Roman" w:hAnsi="Times New Roman"/>
          <w:sz w:val="13"/>
          <w:szCs w:val="13"/>
          <w:u w:val="single" w:color="auto"/>
          <w:color w:val="auto"/>
        </w:rPr>
        <w:t>Section 7.9(d)</w:t>
      </w:r>
      <w:r>
        <w:rPr>
          <w:rFonts w:ascii="Times New Roman" w:cs="Times New Roman" w:eastAsia="Times New Roman" w:hAnsi="Times New Roman"/>
          <w:sz w:val="13"/>
          <w:szCs w:val="13"/>
          <w:color w:val="auto"/>
        </w:rPr>
        <w:t>, (A) furnish information with respect to Gold, the Gold Subsidiaries and Affiliates to the Person making such Competing Proposal pursuant to an Acceptable Confidentiality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Person making such Competing Proposal is a competitor of Gold, Gold shall not provide any commercially sensitive non-public information with respect to the competing business to such Person or their Representatives in connection with any actions permitted by this </w:t>
      </w:r>
      <w:r>
        <w:rPr>
          <w:rFonts w:ascii="Times New Roman" w:cs="Times New Roman" w:eastAsia="Times New Roman" w:hAnsi="Times New Roman"/>
          <w:sz w:val="13"/>
          <w:szCs w:val="13"/>
          <w:u w:val="single" w:color="auto"/>
          <w:color w:val="auto"/>
        </w:rPr>
        <w:t>Section 7.9(a)</w:t>
      </w:r>
      <w:r>
        <w:rPr>
          <w:rFonts w:ascii="Times New Roman" w:cs="Times New Roman" w:eastAsia="Times New Roman" w:hAnsi="Times New Roman"/>
          <w:sz w:val="13"/>
          <w:szCs w:val="13"/>
          <w:color w:val="auto"/>
        </w:rPr>
        <w:t xml:space="preserve"> other than in accordance with customary “clean room” or other similar procedures designed to limit the disclosure of competitively sensitive information);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Gold shall provide Mercury a non-redacted copy of each Acceptable Confidentiality Agreement that Gold executes in accordance with this </w:t>
      </w:r>
      <w:r>
        <w:rPr>
          <w:rFonts w:ascii="Times New Roman" w:cs="Times New Roman" w:eastAsia="Times New Roman" w:hAnsi="Times New Roman"/>
          <w:sz w:val="13"/>
          <w:szCs w:val="13"/>
          <w:u w:val="single" w:color="auto"/>
          <w:color w:val="auto"/>
        </w:rPr>
        <w:t>Section 7.9(a)</w:t>
      </w:r>
      <w:r>
        <w:rPr>
          <w:rFonts w:ascii="Times New Roman" w:cs="Times New Roman" w:eastAsia="Times New Roman" w:hAnsi="Times New Roman"/>
          <w:sz w:val="13"/>
          <w:szCs w:val="13"/>
          <w:color w:val="auto"/>
        </w:rPr>
        <w:t xml:space="preserve">, and (B) engage in discussions or negotiations with such Person regarding such Competing Proposal. Except as expressly permitted by this </w:t>
      </w:r>
      <w:r>
        <w:rPr>
          <w:rFonts w:ascii="Times New Roman" w:cs="Times New Roman" w:eastAsia="Times New Roman" w:hAnsi="Times New Roman"/>
          <w:sz w:val="13"/>
          <w:szCs w:val="13"/>
          <w:u w:val="single" w:color="auto"/>
          <w:color w:val="auto"/>
        </w:rPr>
        <w:t>Section 7.9</w:t>
      </w:r>
      <w:r>
        <w:rPr>
          <w:rFonts w:ascii="Times New Roman" w:cs="Times New Roman" w:eastAsia="Times New Roman" w:hAnsi="Times New Roman"/>
          <w:sz w:val="13"/>
          <w:szCs w:val="13"/>
          <w:color w:val="auto"/>
        </w:rPr>
        <w:t xml:space="preserve">. The Gold Board shall not, from and after the date of this Agreement until the earlier of the Effective Time or the date, if any, on which this Agreement is terminated in accordance with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xml:space="preserve">, (1) adopt, authorize, approve, endorse or recommend, or publicly propose to adopt, authorize, approve, endorse or recommend, any Competing Proposal, (2) withdraw, change, amend, modify or qualify, or publicly propose to withdraw, change, amend, modify or qualify, in a manner adverse to Mercury or SpinCo, the Gold Board Recommendation, (3) if a Competing Proposal that is structured as a tender offer or exchange offer for the outstanding shares of Gold Common Stock is commenced pursuant to Rule 14d-12 under the Exchange Act, fail to recommend against any such Competing Proposal within ten (10) Business Days after such commencement (or, if earlier, by the second (2nd) Business Day prior to the then-scheduled Gold Shareholders Meeting), (4) fail to include the Gold Board Recommendation in the Proxy Statement, (5) approve or authorize, or cause or permit Gold or any Gold Subsidiary to enter into, any merger agreement, acquisition agreement, reorganization agreement, joint venture agreement, partnership agreement, letter of intent, memorandum of understanding, agreement in principle, or similar agreement with respect to any Competing Proposal (other than an Acceptable Confidentiality Agreement), or (6) commit or agree to do any of the foregoing (any act described in </w:t>
      </w:r>
      <w:r>
        <w:rPr>
          <w:rFonts w:ascii="Times New Roman" w:cs="Times New Roman" w:eastAsia="Times New Roman" w:hAnsi="Times New Roman"/>
          <w:sz w:val="13"/>
          <w:szCs w:val="13"/>
          <w:u w:val="single" w:color="auto"/>
          <w:color w:val="auto"/>
        </w:rPr>
        <w:t>clauses (1)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(6)</w:t>
      </w:r>
      <w:r>
        <w:rPr>
          <w:rFonts w:ascii="Times New Roman" w:cs="Times New Roman" w:eastAsia="Times New Roman" w:hAnsi="Times New Roman"/>
          <w:sz w:val="13"/>
          <w:szCs w:val="13"/>
          <w:color w:val="auto"/>
        </w:rPr>
        <w:t xml:space="preserve"> (to the extent relating to </w:t>
      </w:r>
      <w:r>
        <w:rPr>
          <w:rFonts w:ascii="Times New Roman" w:cs="Times New Roman" w:eastAsia="Times New Roman" w:hAnsi="Times New Roman"/>
          <w:sz w:val="13"/>
          <w:szCs w:val="13"/>
          <w:u w:val="single" w:color="auto"/>
          <w:color w:val="auto"/>
        </w:rPr>
        <w:t>clauses (1)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(4)</w:t>
      </w:r>
      <w:r>
        <w:rPr>
          <w:rFonts w:ascii="Times New Roman" w:cs="Times New Roman" w:eastAsia="Times New Roman" w:hAnsi="Times New Roman"/>
          <w:sz w:val="13"/>
          <w:szCs w:val="13"/>
          <w:color w:val="auto"/>
        </w:rPr>
        <w:t>), a “</w:t>
      </w:r>
      <w:r>
        <w:rPr>
          <w:rFonts w:ascii="Times New Roman" w:cs="Times New Roman" w:eastAsia="Times New Roman" w:hAnsi="Times New Roman"/>
          <w:sz w:val="13"/>
          <w:szCs w:val="13"/>
          <w:u w:val="single" w:color="auto"/>
          <w:color w:val="auto"/>
        </w:rPr>
        <w:t>Gold Adverse Recommendation Change</w:t>
      </w:r>
      <w:r>
        <w:rPr>
          <w:rFonts w:ascii="Times New Roman" w:cs="Times New Roman" w:eastAsia="Times New Roman" w:hAnsi="Times New Roman"/>
          <w:sz w:val="13"/>
          <w:szCs w:val="13"/>
          <w:color w:val="auto"/>
        </w:rPr>
        <w:t>”).</w:t>
      </w:r>
    </w:p>
    <w:p>
      <w:pPr>
        <w:spacing w:after="0" w:line="310" w:lineRule="exact"/>
        <w:rPr>
          <w:sz w:val="20"/>
          <w:szCs w:val="20"/>
          <w:color w:val="auto"/>
        </w:rPr>
      </w:pPr>
    </w:p>
    <w:p>
      <w:pPr>
        <w:ind w:left="1360" w:right="239" w:firstLine="338"/>
        <w:spacing w:after="0" w:line="256" w:lineRule="auto"/>
        <w:tabs>
          <w:tab w:leader="none" w:pos="1901"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expressly permitted by this </w:t>
      </w:r>
      <w:r>
        <w:rPr>
          <w:rFonts w:ascii="Times New Roman" w:cs="Times New Roman" w:eastAsia="Times New Roman" w:hAnsi="Times New Roman"/>
          <w:sz w:val="14"/>
          <w:szCs w:val="14"/>
          <w:u w:val="single" w:color="auto"/>
          <w:color w:val="auto"/>
        </w:rPr>
        <w:t>Section 7.9</w:t>
      </w:r>
      <w:r>
        <w:rPr>
          <w:rFonts w:ascii="Times New Roman" w:cs="Times New Roman" w:eastAsia="Times New Roman" w:hAnsi="Times New Roman"/>
          <w:sz w:val="14"/>
          <w:szCs w:val="14"/>
          <w:color w:val="auto"/>
        </w:rPr>
        <w:t xml:space="preserve">, Gold shall not, and shall cause the Gold Subsidiaries not to, from and after the date of this Agreement until the earlier of the Effective Time or the date, if any, on which this Agreement is terminated in accordance with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(i) take any action to make the provisions of any takeover statute inapplicable to any transactions contemplated by a Competing Proposal; or (ii) terminate, amend in a manner adverse to Mercury, release, modify or grant any permission, waiver or release under, any “standstill” or similar agreement entered into by Gold or any of the Gold Subsidiaries in respect of or in contemplation of a Competing Proposal (other than if the Gold Board determines, in good faith after consultation with its outside legal counsel, that failure to take any of such actions under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would reasonably be expected to be inconsistent with the fiduciary duties that the directors owe to Gold and its shareholders in their capacity as directors of Gold under applicable Law).</w:t>
      </w:r>
    </w:p>
    <w:p>
      <w:pPr>
        <w:spacing w:after="0" w:line="143" w:lineRule="exact"/>
        <w:rPr>
          <w:rFonts w:ascii="Times New Roman" w:cs="Times New Roman" w:eastAsia="Times New Roman" w:hAnsi="Times New Roman"/>
          <w:sz w:val="14"/>
          <w:szCs w:val="14"/>
          <w:color w:val="auto"/>
        </w:rPr>
      </w:pPr>
    </w:p>
    <w:p>
      <w:pPr>
        <w:ind w:left="1360" w:right="279" w:firstLine="338"/>
        <w:spacing w:after="0" w:line="257" w:lineRule="auto"/>
        <w:tabs>
          <w:tab w:leader="none" w:pos="1893" w:val="left"/>
        </w:tabs>
        <w:numPr>
          <w:ilvl w:val="0"/>
          <w:numId w:val="3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provisions of </w:t>
      </w:r>
      <w:r>
        <w:rPr>
          <w:rFonts w:ascii="Times New Roman" w:cs="Times New Roman" w:eastAsia="Times New Roman" w:hAnsi="Times New Roman"/>
          <w:sz w:val="14"/>
          <w:szCs w:val="14"/>
          <w:u w:val="single" w:color="auto"/>
          <w:color w:val="auto"/>
        </w:rPr>
        <w:t>Section 7.9(a)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7.9(b)</w:t>
      </w:r>
      <w:r>
        <w:rPr>
          <w:rFonts w:ascii="Times New Roman" w:cs="Times New Roman" w:eastAsia="Times New Roman" w:hAnsi="Times New Roman"/>
          <w:sz w:val="14"/>
          <w:szCs w:val="14"/>
          <w:color w:val="auto"/>
        </w:rPr>
        <w:t xml:space="preserve">, prior to receipt of the Gold Shareholder Approval, the Gold Board may (i) in response to any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Competing Proposal received after the date hereof that was not, directly or indirectly, solicited, initiated or knowingly encouraged in breach of </w:t>
      </w:r>
      <w:r>
        <w:rPr>
          <w:rFonts w:ascii="Times New Roman" w:cs="Times New Roman" w:eastAsia="Times New Roman" w:hAnsi="Times New Roman"/>
          <w:sz w:val="14"/>
          <w:szCs w:val="14"/>
          <w:u w:val="single" w:color="auto"/>
          <w:color w:val="auto"/>
        </w:rPr>
        <w:t>Section 7.9(a)</w:t>
      </w:r>
      <w:r>
        <w:rPr>
          <w:rFonts w:ascii="Times New Roman" w:cs="Times New Roman" w:eastAsia="Times New Roman" w:hAnsi="Times New Roman"/>
          <w:sz w:val="14"/>
          <w:szCs w:val="14"/>
          <w:color w:val="auto"/>
        </w:rPr>
        <w:t xml:space="preserve">, effect a Gold Adverse Recommendation Change or (ii) in response to an Intervening Event, effect a Gold Adverse Recommendation Change, in the case of each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if and only if, (A) (1) in the case of a Competing Proposal, the Gold Board concludes in good faith, after consultation with Gold’s outside financial advisor and outside legal counsel, that such Competing Proposal constitutes a Superior Proposal or</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A-88</w:t>
      </w:r>
    </w:p>
    <w:p>
      <w:pPr>
        <w:sectPr>
          <w:pgSz w:w="11900" w:h="16838" w:orient="portrait"/>
          <w:cols w:equalWidth="0" w:num="1">
            <w:col w:w="10159"/>
          </w:cols>
          <w:pgMar w:left="300" w:top="386" w:right="1440"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hanging="5"/>
        <w:spacing w:after="0" w:line="252" w:lineRule="auto"/>
        <w:tabs>
          <w:tab w:leader="none" w:pos="1558" w:val="left"/>
        </w:tabs>
        <w:numPr>
          <w:ilvl w:val="0"/>
          <w:numId w:val="3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Intervening Event, if the Gold Board determines in good faith that an Intervening Event has occurred and is continuing; (B) the Gold Board determines in good faith, after consultation with Gold’s outside legal counsel, that the failure to take such action would reasonably be expected to be inconsistent with the fiduciary duties that the directors owe to Gold and its shareholders in their capacity as directors of Gold under applicable Law; (C) the Gold Board provides Mercury four (4) Business Days’ prior written notice of its intention to take such action (an “</w:t>
      </w:r>
      <w:r>
        <w:rPr>
          <w:rFonts w:ascii="Times New Roman" w:cs="Times New Roman" w:eastAsia="Times New Roman" w:hAnsi="Times New Roman"/>
          <w:sz w:val="14"/>
          <w:szCs w:val="14"/>
          <w:u w:val="single" w:color="auto"/>
          <w:color w:val="auto"/>
        </w:rPr>
        <w:t>Alternative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xml:space="preserve">”), which notice shall include the information with respect to such Competing Proposal that is specified in </w:t>
      </w:r>
      <w:r>
        <w:rPr>
          <w:rFonts w:ascii="Times New Roman" w:cs="Times New Roman" w:eastAsia="Times New Roman" w:hAnsi="Times New Roman"/>
          <w:sz w:val="14"/>
          <w:szCs w:val="14"/>
          <w:u w:val="single" w:color="auto"/>
          <w:color w:val="auto"/>
        </w:rPr>
        <w:t>Section 7.9(d)</w:t>
      </w:r>
      <w:r>
        <w:rPr>
          <w:rFonts w:ascii="Times New Roman" w:cs="Times New Roman" w:eastAsia="Times New Roman" w:hAnsi="Times New Roman"/>
          <w:sz w:val="14"/>
          <w:szCs w:val="14"/>
          <w:color w:val="auto"/>
        </w:rPr>
        <w:t xml:space="preserve"> as well as an unredacted copy of the acquisition agreement relating to such Competing Proposal (if any), or the material facts and circumstances relating to any such Intervening Event, as applicable; (D) during the four (4) Business Days following such written notice (the “</w:t>
      </w:r>
      <w:r>
        <w:rPr>
          <w:rFonts w:ascii="Times New Roman" w:cs="Times New Roman" w:eastAsia="Times New Roman" w:hAnsi="Times New Roman"/>
          <w:sz w:val="14"/>
          <w:szCs w:val="14"/>
          <w:u w:val="single" w:color="auto"/>
          <w:color w:val="auto"/>
        </w:rPr>
        <w:t>Negotiation Period</w:t>
      </w:r>
      <w:r>
        <w:rPr>
          <w:rFonts w:ascii="Times New Roman" w:cs="Times New Roman" w:eastAsia="Times New Roman" w:hAnsi="Times New Roman"/>
          <w:sz w:val="14"/>
          <w:szCs w:val="14"/>
          <w:color w:val="auto"/>
        </w:rPr>
        <w:t xml:space="preserve">”), if requested by Mercury, Gold shall and shall direct its Representatives to, negotiate in good faith with Mercury regarding any revisions to the terms of the Transactions, including those contemplated by this Agreement and the other Transaction Documents, proposed by Mercury in response to such Competing Proposal or Intervening Event; and (E) at the end of the four (4) Business Day period described in the foregoing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the Gold Board concludes in good faith,</w:t>
      </w:r>
    </w:p>
    <w:p>
      <w:pPr>
        <w:spacing w:after="0" w:line="6" w:lineRule="exact"/>
        <w:rPr>
          <w:rFonts w:ascii="Times New Roman" w:cs="Times New Roman" w:eastAsia="Times New Roman" w:hAnsi="Times New Roman"/>
          <w:sz w:val="14"/>
          <w:szCs w:val="14"/>
          <w:color w:val="auto"/>
        </w:rPr>
      </w:pPr>
    </w:p>
    <w:p>
      <w:pPr>
        <w:ind w:left="1360" w:right="239"/>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 xml:space="preserve">(x) after consultation with Gold’s outside legal counsel and financial advisor (and taking into account any adjustment or modification of the terms of this Agreement or the other Transaction Documents to which Mercury and SpinCo have agreed in writing), that such Competing Proposal continues to be a Superior Proposal and (y) after consultation with Gold’s outside legal counsel, that the failure to make a Gold Adverse Recommendation Change would reasonably be expected to be inconsistent with the fiduciary duties that the directors owe to Gold and its shareholders in their capacity as directors of Gold under applicable Law. Any material amendment or material modification to any Competing Proposal (including any amendment or modification to the amount, form or mix of consideration the shareholders of Gold would receive as a result of the Superior Proposal) or to the facts and circumstances relating to any Intervening Event shall require a new Alternative Notice and a new Negotiation Period commencing from the date of receipt of such new Alternative Notice;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with respect to each subsequent written notice related to a material amendment or modification, references to the four</w:t>
      </w:r>
    </w:p>
    <w:p>
      <w:pPr>
        <w:ind w:left="1560" w:hanging="205"/>
        <w:spacing w:after="0"/>
        <w:tabs>
          <w:tab w:leader="none" w:pos="1560" w:val="left"/>
        </w:tabs>
        <w:numPr>
          <w:ilvl w:val="0"/>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 period above shall be deemed to be references to three (3) Business Days.</w:t>
      </w:r>
    </w:p>
    <w:p>
      <w:pPr>
        <w:spacing w:after="0" w:line="160" w:lineRule="exact"/>
        <w:rPr>
          <w:rFonts w:ascii="Times New Roman" w:cs="Times New Roman" w:eastAsia="Times New Roman" w:hAnsi="Times New Roman"/>
          <w:sz w:val="14"/>
          <w:szCs w:val="14"/>
          <w:color w:val="auto"/>
        </w:rPr>
      </w:pPr>
    </w:p>
    <w:p>
      <w:pPr>
        <w:ind w:left="1360" w:right="219" w:firstLine="338"/>
        <w:spacing w:after="0" w:line="252" w:lineRule="auto"/>
        <w:tabs>
          <w:tab w:leader="none" w:pos="1901" w:val="left"/>
        </w:tabs>
        <w:numPr>
          <w:ilvl w:val="1"/>
          <w:numId w:val="3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obligations set forth in </w:t>
      </w:r>
      <w:r>
        <w:rPr>
          <w:rFonts w:ascii="Times New Roman" w:cs="Times New Roman" w:eastAsia="Times New Roman" w:hAnsi="Times New Roman"/>
          <w:sz w:val="14"/>
          <w:szCs w:val="14"/>
          <w:u w:val="single" w:color="auto"/>
          <w:color w:val="auto"/>
        </w:rPr>
        <w:t>Section 7.9(a)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7.9(c)</w:t>
      </w:r>
      <w:r>
        <w:rPr>
          <w:rFonts w:ascii="Times New Roman" w:cs="Times New Roman" w:eastAsia="Times New Roman" w:hAnsi="Times New Roman"/>
          <w:sz w:val="14"/>
          <w:szCs w:val="14"/>
          <w:color w:val="auto"/>
        </w:rPr>
        <w:t>, Gold shall as promptly as reasonably practicable, and in any event no later than forty-eight (48) hours, after it receives (i) any Competing Proposal or any proposals or inquiries that would reasonably be expected to lead to a Competing Proposal, (ii) any inquiry or request for non-public information relating to Gold or the Gold Subsidiaries relating to, or from any Person that has made, has indicated in writing that such Person is reasonably likely to make, or would reasonably be expected to make, a Competing Proposal or (iii) any inquiry or request for discussions or negotiations regarding any Competing Proposal or that would reasonably be expected to lead to a Competing Proposal, notify Mercury (which notice, if provided orally, shall be confirmed in writing) of any of the foregoing occurrences, the identity of the Person making such request, inquiry or Competing Proposal and a copy of such request, inquiry or Competing Proposal (or where no such copy is available, a reasonably detailed description of the material terms and conditions of, and facts surrounding any such request, inquiry or Competing Proposal), including any modification thereto. Gold shall keep Mercury reasonably informed on a reasonably prompt and current basis (and in any event no later than twenty-four (24) hours) after the occurrence of any material changes to such Competing Proposal (including any changes to the material terms and conditions thereof and of any other material modification thereto), and any other material developments, discussions and negotiations with respect thereto (which shall remain subject to the other obligations of Gold hereunder), including promptly furnishing unredacted copies of any written inquiries, proposals, material correspondence and draft material documentation and definitive agreements and written summaries of any other material oral inquiries or discussions, including those exchanged between Gold and such Person and/or their respective Representatives. Gold agrees that, it shall, prior to or substantially concurrent with the time it is provided to any third parties (and, in any event, within forty-eight (48) hours), provide to Mercury any non-public information concerning Gold or the Gold Subsidiaries that Gold (directly or indirectly) provides to any third party in connection with any Competing Proposal which was not previously provided to Mercury and SpinCo.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-2048510</wp:posOffset>
            </wp:positionV>
            <wp:extent cx="2222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A-89</w:t>
      </w:r>
    </w:p>
    <w:p>
      <w:pPr>
        <w:sectPr>
          <w:pgSz w:w="11900" w:h="16838" w:orient="portrait"/>
          <w:cols w:equalWidth="0" w:num="1">
            <w:col w:w="10159"/>
          </w:cols>
          <w:pgMar w:left="300" w:top="386" w:right="1440"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59" w:firstLine="338"/>
        <w:spacing w:after="0" w:line="258" w:lineRule="auto"/>
        <w:tabs>
          <w:tab w:leader="none" w:pos="1893"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Agreement shall prohibit Gold or the Gold Board from (i) disclosing to its shareholders a position pursuant to the Exchange Act or (ii) making any “stop, look and listen” communication pursuant to Rule 14d-9(f) or any similar statement in response to any publicly disclosed Competing Proposal, so long as such disclosure includes an express reaffirmation of the Gold Board Recommendation, without alternation, modification or qualification thereof. For the avoidance of doubt, this </w:t>
      </w:r>
      <w:r>
        <w:rPr>
          <w:rFonts w:ascii="Times New Roman" w:cs="Times New Roman" w:eastAsia="Times New Roman" w:hAnsi="Times New Roman"/>
          <w:sz w:val="14"/>
          <w:szCs w:val="14"/>
          <w:u w:val="single" w:color="auto"/>
          <w:color w:val="auto"/>
        </w:rPr>
        <w:t>Section 7.9(e)</w:t>
      </w:r>
      <w:r>
        <w:rPr>
          <w:rFonts w:ascii="Times New Roman" w:cs="Times New Roman" w:eastAsia="Times New Roman" w:hAnsi="Times New Roman"/>
          <w:sz w:val="14"/>
          <w:szCs w:val="14"/>
          <w:color w:val="auto"/>
        </w:rPr>
        <w:t xml:space="preserve"> shall not permit the Gold Board to make (or otherwise modify the definition of) a Gold Adverse Recommendation Change.</w:t>
      </w:r>
    </w:p>
    <w:p>
      <w:pPr>
        <w:spacing w:after="0" w:line="143" w:lineRule="exact"/>
        <w:rPr>
          <w:rFonts w:ascii="Times New Roman" w:cs="Times New Roman" w:eastAsia="Times New Roman" w:hAnsi="Times New Roman"/>
          <w:sz w:val="14"/>
          <w:szCs w:val="14"/>
          <w:color w:val="auto"/>
        </w:rPr>
      </w:pPr>
    </w:p>
    <w:p>
      <w:pPr>
        <w:ind w:left="1360" w:right="219" w:firstLine="338"/>
        <w:spacing w:after="0" w:line="283" w:lineRule="auto"/>
        <w:tabs>
          <w:tab w:leader="none" w:pos="1878"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failure of any of the Gold Subsidiaries or any Representative of Gold or any of the Gold Subsidiaries to comply with any provisions of this </w:t>
      </w:r>
      <w:r>
        <w:rPr>
          <w:rFonts w:ascii="Times New Roman" w:cs="Times New Roman" w:eastAsia="Times New Roman" w:hAnsi="Times New Roman"/>
          <w:sz w:val="14"/>
          <w:szCs w:val="14"/>
          <w:u w:val="single" w:color="auto"/>
          <w:color w:val="auto"/>
        </w:rPr>
        <w:t>Section 7.9</w:t>
      </w:r>
      <w:r>
        <w:rPr>
          <w:rFonts w:ascii="Times New Roman" w:cs="Times New Roman" w:eastAsia="Times New Roman" w:hAnsi="Times New Roman"/>
          <w:sz w:val="14"/>
          <w:szCs w:val="14"/>
          <w:color w:val="auto"/>
        </w:rPr>
        <w:t xml:space="preserve"> (as if such Subsidiaries or Representatives were directly subject to this </w:t>
      </w:r>
      <w:r>
        <w:rPr>
          <w:rFonts w:ascii="Times New Roman" w:cs="Times New Roman" w:eastAsia="Times New Roman" w:hAnsi="Times New Roman"/>
          <w:sz w:val="14"/>
          <w:szCs w:val="14"/>
          <w:u w:val="single" w:color="auto"/>
          <w:color w:val="auto"/>
        </w:rPr>
        <w:t>Section 7.9</w:t>
      </w:r>
      <w:r>
        <w:rPr>
          <w:rFonts w:ascii="Times New Roman" w:cs="Times New Roman" w:eastAsia="Times New Roman" w:hAnsi="Times New Roman"/>
          <w:sz w:val="14"/>
          <w:szCs w:val="14"/>
          <w:color w:val="auto"/>
        </w:rPr>
        <w:t xml:space="preserve">) shall be deemed a breach of this </w:t>
      </w:r>
      <w:r>
        <w:rPr>
          <w:rFonts w:ascii="Times New Roman" w:cs="Times New Roman" w:eastAsia="Times New Roman" w:hAnsi="Times New Roman"/>
          <w:sz w:val="14"/>
          <w:szCs w:val="14"/>
          <w:u w:val="single" w:color="auto"/>
          <w:color w:val="auto"/>
        </w:rPr>
        <w:t>Section 7.9</w:t>
      </w:r>
      <w:r>
        <w:rPr>
          <w:rFonts w:ascii="Times New Roman" w:cs="Times New Roman" w:eastAsia="Times New Roman" w:hAnsi="Times New Roman"/>
          <w:sz w:val="14"/>
          <w:szCs w:val="14"/>
          <w:color w:val="auto"/>
        </w:rPr>
        <w:t xml:space="preserve"> by Gold.</w:t>
      </w:r>
    </w:p>
    <w:p>
      <w:pPr>
        <w:spacing w:after="0" w:line="124"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w:t>
      </w:r>
    </w:p>
    <w:p>
      <w:pPr>
        <w:spacing w:after="0" w:line="91" w:lineRule="exact"/>
        <w:rPr>
          <w:rFonts w:ascii="Times New Roman" w:cs="Times New Roman" w:eastAsia="Times New Roman" w:hAnsi="Times New Roman"/>
          <w:sz w:val="14"/>
          <w:szCs w:val="14"/>
          <w:color w:val="auto"/>
        </w:rPr>
      </w:pPr>
    </w:p>
    <w:p>
      <w:pPr>
        <w:ind w:left="1700" w:right="259" w:firstLine="327"/>
        <w:spacing w:after="0" w:line="254" w:lineRule="auto"/>
        <w:tabs>
          <w:tab w:leader="none" w:pos="2197" w:val="left"/>
        </w:tabs>
        <w:numPr>
          <w:ilvl w:val="1"/>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Competing Proposal</w:t>
      </w:r>
      <w:r>
        <w:rPr>
          <w:rFonts w:ascii="Times New Roman" w:cs="Times New Roman" w:eastAsia="Times New Roman" w:hAnsi="Times New Roman"/>
          <w:sz w:val="14"/>
          <w:szCs w:val="14"/>
          <w:color w:val="auto"/>
        </w:rPr>
        <w:t>” means, other than the Transactions, any inquiry, proposal or offer from a third party relating to (A) a merger, scheme of arrangement, reorganization, sale of assets, share exchange, consolidation, business combination, recapitalization, dissolution, liquidation, joint venture, exclusive license, spin-off, share exchange or other similar transaction involving twenty percent (20%) or more of the issued and outstanding shares of Gold Common Stock or any other class or type of Interests, or consolidated assets of, Gold or any of the Gold Subsidiaries; (B) the acquisition (whether by merger, scheme of arrangement, consolidation, equity investment, joint venture or otherwise) by any Person of twenty percent (20%) or more of the consolidated assets (it being understood that consolidated assets include equity securities of Subsidiaries), net revenue or net income of Gold and the Gold Subsidiaries, as determined on a fair-market-value basis; (C) the purchase or acquisition after the date hereof, directly or indirectly, by any Person of twenty percent (20%) or more of the issued and outstanding shares of the Gold Common Stock or of any other class or type of Interests, in Gold; (D) any purchase, acquisition, tender offer or exchange offer that, if consummated, would result in any Person beneficially owning twenty percent (20%) or more of the shares of Gold Common Stock or of any other class or type of Interests of Gold or any of the Gold Subsidiaries; or (E) any combination of the foregoing.</w:t>
      </w:r>
    </w:p>
    <w:p>
      <w:pPr>
        <w:spacing w:after="0" w:line="58" w:lineRule="exact"/>
        <w:rPr>
          <w:rFonts w:ascii="Times New Roman" w:cs="Times New Roman" w:eastAsia="Times New Roman" w:hAnsi="Times New Roman"/>
          <w:sz w:val="14"/>
          <w:szCs w:val="14"/>
          <w:color w:val="auto"/>
        </w:rPr>
      </w:pPr>
    </w:p>
    <w:p>
      <w:pPr>
        <w:ind w:left="1700" w:right="259" w:firstLine="327"/>
        <w:spacing w:after="0" w:line="255" w:lineRule="auto"/>
        <w:tabs>
          <w:tab w:leader="none" w:pos="2235" w:val="left"/>
        </w:tabs>
        <w:numPr>
          <w:ilvl w:val="1"/>
          <w:numId w:val="3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Superior Proposal</w:t>
      </w:r>
      <w:r>
        <w:rPr>
          <w:rFonts w:ascii="Times New Roman" w:cs="Times New Roman" w:eastAsia="Times New Roman" w:hAnsi="Times New Roman"/>
          <w:sz w:val="14"/>
          <w:szCs w:val="14"/>
          <w:color w:val="auto"/>
        </w:rPr>
        <w:t xml:space="preserve">” means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Competing Proposal (except the references therein to “20%” shall be replaced by “50%”) made by a third party which was not solicited in violation of </w:t>
      </w:r>
      <w:r>
        <w:rPr>
          <w:rFonts w:ascii="Times New Roman" w:cs="Times New Roman" w:eastAsia="Times New Roman" w:hAnsi="Times New Roman"/>
          <w:sz w:val="14"/>
          <w:szCs w:val="14"/>
          <w:u w:val="single" w:color="auto"/>
          <w:color w:val="auto"/>
        </w:rPr>
        <w:t>Section 7.9(a)</w:t>
      </w:r>
      <w:r>
        <w:rPr>
          <w:rFonts w:ascii="Times New Roman" w:cs="Times New Roman" w:eastAsia="Times New Roman" w:hAnsi="Times New Roman"/>
          <w:sz w:val="14"/>
          <w:szCs w:val="14"/>
          <w:color w:val="auto"/>
        </w:rPr>
        <w:t xml:space="preserve"> and which, in the good faith judgment of the Gold Board after consultation with its financial advisor and outside legal counsel, taking into account the various legal, financial and regulatory aspects of the Competing Proposal, (A) if accepted, is reasonably likely to be consummated on the terms proposed, taking into account any legal, financial and regulatory requirements, and the identity of the Person or Persons making the proposal and (B) if consummated, would result in a transaction that is more favorable to Gold’s shareholders from a financial point of view than the Merger and the other transactions contemplated hereby (after giving effect to all adjustments or modifications to the terms thereof which may be agreed in writing to be made by Mercury and SpinCo pursuant to </w:t>
      </w:r>
      <w:r>
        <w:rPr>
          <w:rFonts w:ascii="Times New Roman" w:cs="Times New Roman" w:eastAsia="Times New Roman" w:hAnsi="Times New Roman"/>
          <w:sz w:val="14"/>
          <w:szCs w:val="14"/>
          <w:u w:val="single" w:color="auto"/>
          <w:color w:val="auto"/>
        </w:rPr>
        <w:t>Section 7.9(b)</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360" w:right="2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7.10 </w:t>
      </w:r>
      <w:r>
        <w:rPr>
          <w:rFonts w:ascii="Times New Roman" w:cs="Times New Roman" w:eastAsia="Times New Roman" w:hAnsi="Times New Roman"/>
          <w:sz w:val="14"/>
          <w:szCs w:val="14"/>
          <w:u w:val="single" w:color="auto"/>
          <w:color w:val="auto"/>
        </w:rPr>
        <w:t>Exclusivity</w:t>
      </w:r>
      <w:r>
        <w:rPr>
          <w:rFonts w:ascii="Times New Roman" w:cs="Times New Roman" w:eastAsia="Times New Roman" w:hAnsi="Times New Roman"/>
          <w:sz w:val="14"/>
          <w:szCs w:val="14"/>
          <w:color w:val="auto"/>
        </w:rPr>
        <w:t xml:space="preserve">. Mercury shall immediately cease, and shall cause its Subsidiaries to immediately cease, and shall direct and use reasonable best efforts to cause its Representatives, to immediately cease, any discussions or negotiations with any Person (other than Gold or its Affiliates) that may be ongoing with respect to a SpinCo Proposal and shall request to have returned or destroyed reasonably promptly any confidential information that has been provided in any such discussions or negotiations. From the date hereof until the earlier to occur of (a) termination of this Agreement pursuant to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and (b) the Closing, Mercury shall not, and shall cause its Subsidiaries and shall direct and use reasonable best efforts to cause its Representatives not to, directly or indirectly: (i) solicit, initiate, knowingly encourage or knowingly facilitate (including by way of furnishing information which has not been previously publicly disseminated) any proposal from a third party relating to the acquisition (whether by merger, purchase of stock, purchase of assets or otherwise), exclusive license, recapitalization, liquidation, dissolution or other transaction involving any portion of the business or assets of Mercury and its Subsidiaries that, individually or in the aggregate, constitutes 20% or more of the net revenues, net income or assets of the SpinCo Business (taken as a whole) (any of the foregoing, a “</w:t>
      </w:r>
      <w:r>
        <w:rPr>
          <w:rFonts w:ascii="Times New Roman" w:cs="Times New Roman" w:eastAsia="Times New Roman" w:hAnsi="Times New Roman"/>
          <w:sz w:val="14"/>
          <w:szCs w:val="14"/>
          <w:u w:val="single" w:color="auto"/>
          <w:color w:val="auto"/>
        </w:rPr>
        <w:t>SpinCo</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A-90</w:t>
      </w:r>
    </w:p>
    <w:p>
      <w:pPr>
        <w:sectPr>
          <w:pgSz w:w="11900" w:h="16838" w:orient="portrait"/>
          <w:cols w:equalWidth="0" w:num="1">
            <w:col w:w="10159"/>
          </w:cols>
          <w:pgMar w:left="300" w:top="385" w:right="1440"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54" w:lineRule="auto"/>
        <w:rPr>
          <w:sz w:val="20"/>
          <w:szCs w:val="20"/>
          <w:color w:val="auto"/>
        </w:rPr>
      </w:pPr>
      <w:r>
        <w:rPr>
          <w:rFonts w:ascii="Times New Roman" w:cs="Times New Roman" w:eastAsia="Times New Roman" w:hAnsi="Times New Roman"/>
          <w:sz w:val="14"/>
          <w:szCs w:val="14"/>
          <w:u w:val="single" w:color="auto"/>
          <w:color w:val="auto"/>
        </w:rPr>
        <w:t>Proposal</w:t>
      </w:r>
      <w:r>
        <w:rPr>
          <w:rFonts w:ascii="Times New Roman" w:cs="Times New Roman" w:eastAsia="Times New Roman" w:hAnsi="Times New Roman"/>
          <w:sz w:val="14"/>
          <w:szCs w:val="14"/>
          <w:color w:val="auto"/>
        </w:rPr>
        <w:t xml:space="preserve">”) or any inquiry, offer or proposal that would reasonably be expected to lead to a SpinCo Proposal, (ii) engage in any discussions or negotiations, or furnish to any Person any non-public information relating to the SpinCo Business, SpinCo Assets or the SpinCo Group in connection with any SpinCo Proposal or any inquiry, offer or proposal related to, or that would reasonably expected to lead to, a SpinCo Proposal, (iii) adopt, approve or recommend, or publicly propose to adopt, approve or recommend, any SpinCo Proposal or (iv) approve or authorize, or cause or permit Mercury or any of its Subsidiaries to enter into, any merger agreement, acquisition agreement, reorganization agreement, joint venture agreement, partnership agreement, letter of intent, memorandum of understanding, agreement in principle or similar agreement or document relating to, or providing for, any SpinCo Proposal;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in this </w:t>
      </w:r>
      <w:r>
        <w:rPr>
          <w:rFonts w:ascii="Times New Roman" w:cs="Times New Roman" w:eastAsia="Times New Roman" w:hAnsi="Times New Roman"/>
          <w:sz w:val="14"/>
          <w:szCs w:val="14"/>
          <w:u w:val="single" w:color="auto"/>
          <w:color w:val="auto"/>
        </w:rPr>
        <w:t>Section 7.10</w:t>
      </w:r>
      <w:r>
        <w:rPr>
          <w:rFonts w:ascii="Times New Roman" w:cs="Times New Roman" w:eastAsia="Times New Roman" w:hAnsi="Times New Roman"/>
          <w:sz w:val="14"/>
          <w:szCs w:val="14"/>
          <w:color w:val="auto"/>
        </w:rPr>
        <w:t xml:space="preserve"> shall limit Mercury’s ability to pursue or engage in any transaction relating to substantially all of the business of Mercury (as opposed to solely the SpinCo Business), so long as such transaction would not prevent or materially impair or materially delay Mercury’s ability to comply with its obligations hereunder and under the Separation Agreement and the other Transaction Documents, or to consummate the transactions contemplated hereby or thereby.</w:t>
      </w:r>
    </w:p>
    <w:p>
      <w:pPr>
        <w:spacing w:after="0" w:line="146"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u w:val="single" w:color="auto"/>
          <w:color w:val="auto"/>
        </w:rPr>
        <w:t>Public Announcements</w:t>
      </w:r>
      <w:r>
        <w:rPr>
          <w:rFonts w:ascii="Times New Roman" w:cs="Times New Roman" w:eastAsia="Times New Roman" w:hAnsi="Times New Roman"/>
          <w:sz w:val="14"/>
          <w:szCs w:val="14"/>
          <w:color w:val="auto"/>
        </w:rPr>
        <w:t xml:space="preserve">. Except (a) as otherwise expressly contemplated by this Agreement, (b) for the joint press release to be issued by the Parties in the forms agreed by the Parties (or any public statement or disclosure that contains or reflects only such information previously disclosed in press releases or other public disclosures made in accordance with this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 or (c) any communications regarding a Gold Adverse Recommendation Change in accordance with this Agreement, neither Gold nor Mercury will, and each of Gold and Mercury will cause its Subsidiaries not to, issue any press release or otherwise make any public statements or disclosure with respect to the transactions contemplated hereby or by the Transaction Documents without the prior written consent of the other Party. Notwithstanding the foregoing, to the extent such disclosure is required by applicable Law or obligations pursuant to any listing agreement with or the rules of any national securities exchange, the Party seeking to make such disclosure will promptly notify the other Party thereof and the Party making such statement will use efforts reasonable under the circumstances to</w:t>
      </w:r>
    </w:p>
    <w:p>
      <w:pPr>
        <w:spacing w:after="0" w:line="3" w:lineRule="exact"/>
        <w:rPr>
          <w:sz w:val="20"/>
          <w:szCs w:val="20"/>
          <w:color w:val="auto"/>
        </w:rPr>
      </w:pPr>
    </w:p>
    <w:p>
      <w:pPr>
        <w:ind w:left="1360" w:right="419" w:hanging="5"/>
        <w:spacing w:after="0" w:line="254" w:lineRule="auto"/>
        <w:tabs>
          <w:tab w:leader="none" w:pos="1558" w:val="left"/>
        </w:tabs>
        <w:numPr>
          <w:ilvl w:val="0"/>
          <w:numId w:val="3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consult in good faith with the other Party thereto and (y) provide meaningful opportunity for review and give due consideration to reasonable comments by the other Party prior to making such disclosure in order to allow a mutually agreeable release or announcement to be issued. Notwithstanding the foregoing, any Party may make statements that are consistent with previous public statements made by such Party in compliance with this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7.12 </w:t>
      </w:r>
      <w:r>
        <w:rPr>
          <w:rFonts w:ascii="Times New Roman" w:cs="Times New Roman" w:eastAsia="Times New Roman" w:hAnsi="Times New Roman"/>
          <w:sz w:val="14"/>
          <w:szCs w:val="14"/>
          <w:u w:val="single" w:color="auto"/>
          <w:color w:val="auto"/>
        </w:rPr>
        <w:t>Employee Non-Solicitation; Non-Competition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38"/>
        <w:spacing w:after="0" w:line="255" w:lineRule="auto"/>
        <w:tabs>
          <w:tab w:leader="none" w:pos="1893"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 period of two (2) years following the Closing Date, Mercury shall not, and shall cause its Subsidiaries not to, (i) directly or indirectly solicit for employment or hire (whether as an employee, consultant or otherwise) or induce or cause, or attempt to induce or cause, to leave the employ of Gold or any of its Affiliates any employee with a title of Manager or higher of the SpinCo Business as of the Closing Date or any employee set forth on </w:t>
      </w:r>
      <w:r>
        <w:rPr>
          <w:rFonts w:ascii="Times New Roman" w:cs="Times New Roman" w:eastAsia="Times New Roman" w:hAnsi="Times New Roman"/>
          <w:sz w:val="14"/>
          <w:szCs w:val="14"/>
          <w:u w:val="single" w:color="auto"/>
          <w:color w:val="auto"/>
        </w:rPr>
        <w:t>Section 7.12(a)(i)</w:t>
      </w:r>
      <w:r>
        <w:rPr>
          <w:rFonts w:ascii="Times New Roman" w:cs="Times New Roman" w:eastAsia="Times New Roman" w:hAnsi="Times New Roman"/>
          <w:sz w:val="14"/>
          <w:szCs w:val="14"/>
          <w:color w:val="auto"/>
        </w:rPr>
        <w:t xml:space="preserve"> of the SpinCo Disclosure Letter;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Section 7.12(a)</w:t>
      </w:r>
      <w:r>
        <w:rPr>
          <w:rFonts w:ascii="Times New Roman" w:cs="Times New Roman" w:eastAsia="Times New Roman" w:hAnsi="Times New Roman"/>
          <w:sz w:val="14"/>
          <w:szCs w:val="14"/>
          <w:color w:val="auto"/>
        </w:rPr>
        <w:t xml:space="preserve"> shall not restrict any (x) general solicitation for employees not specifically directed at such Persons or (y) solicitation or employment of any Person whose employment with Gold or its Affiliates was terminated by Gold or any of its Subsidiaries prior to any solicitation by Mercury or its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notwithstanding the foregoing, to the fullest extent permitted under applicable Law, neither Mercury nor its Subsidiaries may hire any employee set forth on </w:t>
      </w:r>
      <w:r>
        <w:rPr>
          <w:rFonts w:ascii="Times New Roman" w:cs="Times New Roman" w:eastAsia="Times New Roman" w:hAnsi="Times New Roman"/>
          <w:sz w:val="14"/>
          <w:szCs w:val="14"/>
          <w:u w:val="single" w:color="auto"/>
          <w:color w:val="auto"/>
        </w:rPr>
        <w:t>Section 7.12(a)(ii)</w:t>
      </w:r>
      <w:r>
        <w:rPr>
          <w:rFonts w:ascii="Times New Roman" w:cs="Times New Roman" w:eastAsia="Times New Roman" w:hAnsi="Times New Roman"/>
          <w:sz w:val="14"/>
          <w:szCs w:val="14"/>
          <w:color w:val="auto"/>
        </w:rPr>
        <w:t xml:space="preserve"> of the SpinCo Disclosure Letter during such two (2)-year period.</w:t>
      </w:r>
    </w:p>
    <w:p>
      <w:pPr>
        <w:spacing w:after="0" w:line="145" w:lineRule="exact"/>
        <w:rPr>
          <w:rFonts w:ascii="Times New Roman" w:cs="Times New Roman" w:eastAsia="Times New Roman" w:hAnsi="Times New Roman"/>
          <w:sz w:val="14"/>
          <w:szCs w:val="14"/>
          <w:color w:val="auto"/>
        </w:rPr>
      </w:pPr>
    </w:p>
    <w:p>
      <w:pPr>
        <w:ind w:left="1360" w:right="279" w:firstLine="338"/>
        <w:spacing w:after="0" w:line="256" w:lineRule="auto"/>
        <w:tabs>
          <w:tab w:leader="none" w:pos="1901" w:val="left"/>
        </w:tabs>
        <w:numPr>
          <w:ilvl w:val="0"/>
          <w:numId w:val="3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 period of two (2) years following the Closing Date, Gold shall not, and shall cause its Affiliates (including, following the Closing, the members of the SpinCo Group) not to, (i) directly or indirectly solicit for employment or hire (whether as an employee, consultant or otherwise) or induce or cause, or attempt to induce or cause, to leave the employ of Mercury or its Subsidiaries any employee with a title of Vice President or higher of Mercury or its Subsidiaries or any employee set forth on </w:t>
      </w:r>
      <w:r>
        <w:rPr>
          <w:rFonts w:ascii="Times New Roman" w:cs="Times New Roman" w:eastAsia="Times New Roman" w:hAnsi="Times New Roman"/>
          <w:sz w:val="14"/>
          <w:szCs w:val="14"/>
          <w:u w:val="single" w:color="auto"/>
          <w:color w:val="auto"/>
        </w:rPr>
        <w:t>Section 7.12(b)(i)</w:t>
      </w:r>
      <w:r>
        <w:rPr>
          <w:rFonts w:ascii="Times New Roman" w:cs="Times New Roman" w:eastAsia="Times New Roman" w:hAnsi="Times New Roman"/>
          <w:sz w:val="14"/>
          <w:szCs w:val="14"/>
          <w:color w:val="auto"/>
        </w:rPr>
        <w:t xml:space="preserve"> of the Gold Disclosure Letter;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Section 7.12(b)</w:t>
      </w:r>
      <w:r>
        <w:rPr>
          <w:rFonts w:ascii="Times New Roman" w:cs="Times New Roman" w:eastAsia="Times New Roman" w:hAnsi="Times New Roman"/>
          <w:sz w:val="14"/>
          <w:szCs w:val="14"/>
          <w:color w:val="auto"/>
        </w:rPr>
        <w:t xml:space="preserve"> shall not restrict any (x) general solicitation for employees not specifically directed at such Persons or (y) solicitation or employment of any Person whose employment with Mercury or its Subsidiaries was terminated by Mercury or any of its Subsidiaries prior to any solicitation by Gold or its Affiliates (including the SpinCo Group);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notwithstanding the foregoing, neither Gold nor</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A-91</w:t>
      </w:r>
    </w:p>
    <w:p>
      <w:pPr>
        <w:sectPr>
          <w:pgSz w:w="11900" w:h="16838" w:orient="portrait"/>
          <w:cols w:equalWidth="0" w:num="1">
            <w:col w:w="10159"/>
          </w:cols>
          <w:pgMar w:left="300" w:top="386" w:right="1440"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its Subsidiaries may hire any employee set forth on </w:t>
      </w:r>
      <w:r>
        <w:rPr>
          <w:rFonts w:ascii="Times New Roman" w:cs="Times New Roman" w:eastAsia="Times New Roman" w:hAnsi="Times New Roman"/>
          <w:sz w:val="14"/>
          <w:szCs w:val="14"/>
          <w:u w:val="single" w:color="auto"/>
          <w:color w:val="auto"/>
        </w:rPr>
        <w:t>Section 7.12(b)(ii)</w:t>
      </w:r>
      <w:r>
        <w:rPr>
          <w:rFonts w:ascii="Times New Roman" w:cs="Times New Roman" w:eastAsia="Times New Roman" w:hAnsi="Times New Roman"/>
          <w:sz w:val="14"/>
          <w:szCs w:val="14"/>
          <w:color w:val="auto"/>
        </w:rPr>
        <w:t xml:space="preserve"> of the Gold Disclosure Letter during such two (2)-year period.</w:t>
      </w:r>
    </w:p>
    <w:p>
      <w:pPr>
        <w:spacing w:after="0" w:line="175" w:lineRule="exact"/>
        <w:rPr>
          <w:sz w:val="20"/>
          <w:szCs w:val="20"/>
          <w:color w:val="auto"/>
        </w:rPr>
      </w:pPr>
    </w:p>
    <w:p>
      <w:pPr>
        <w:ind w:left="1360" w:right="239" w:firstLine="338"/>
        <w:spacing w:after="0" w:line="252" w:lineRule="auto"/>
        <w:tabs>
          <w:tab w:leader="none" w:pos="1893" w:val="left"/>
        </w:tabs>
        <w:numPr>
          <w:ilvl w:val="1"/>
          <w:numId w:val="3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furtherance of the Merger and the transactions contemplated hereby, Mercury covenants and agrees that, from and after the Effective Time until the date that is four (4) years after the Closing Date (the “</w:t>
      </w:r>
      <w:r>
        <w:rPr>
          <w:rFonts w:ascii="Times New Roman" w:cs="Times New Roman" w:eastAsia="Times New Roman" w:hAnsi="Times New Roman"/>
          <w:sz w:val="14"/>
          <w:szCs w:val="14"/>
          <w:u w:val="single" w:color="auto"/>
          <w:color w:val="auto"/>
        </w:rPr>
        <w:t>Restricted Period</w:t>
      </w:r>
      <w:r>
        <w:rPr>
          <w:rFonts w:ascii="Times New Roman" w:cs="Times New Roman" w:eastAsia="Times New Roman" w:hAnsi="Times New Roman"/>
          <w:sz w:val="14"/>
          <w:szCs w:val="14"/>
          <w:color w:val="auto"/>
        </w:rPr>
        <w:t xml:space="preserve">”) and except as otherwise expressly contemplated by Transaction Documents or as set forth on </w:t>
      </w:r>
      <w:r>
        <w:rPr>
          <w:rFonts w:ascii="Times New Roman" w:cs="Times New Roman" w:eastAsia="Times New Roman" w:hAnsi="Times New Roman"/>
          <w:sz w:val="14"/>
          <w:szCs w:val="14"/>
          <w:u w:val="single" w:color="auto"/>
          <w:color w:val="auto"/>
        </w:rPr>
        <w:t>Section 7.12(c)(i)</w:t>
      </w:r>
      <w:r>
        <w:rPr>
          <w:rFonts w:ascii="Times New Roman" w:cs="Times New Roman" w:eastAsia="Times New Roman" w:hAnsi="Times New Roman"/>
          <w:sz w:val="14"/>
          <w:szCs w:val="14"/>
          <w:color w:val="auto"/>
        </w:rPr>
        <w:t xml:space="preserve"> of the SpinCo Disclosure Letter, it shall not, and shall cause the members of the Mercury Group not to, directly or indirectly, engage in (or own any Interest in any Person that engages in) the SpinCo Business or any product set forth on </w:t>
      </w:r>
      <w:r>
        <w:rPr>
          <w:rFonts w:ascii="Times New Roman" w:cs="Times New Roman" w:eastAsia="Times New Roman" w:hAnsi="Times New Roman"/>
          <w:sz w:val="14"/>
          <w:szCs w:val="14"/>
          <w:u w:val="single" w:color="auto"/>
          <w:color w:val="auto"/>
        </w:rPr>
        <w:t>Section 7.12(c)(ii)</w:t>
      </w:r>
      <w:r>
        <w:rPr>
          <w:rFonts w:ascii="Times New Roman" w:cs="Times New Roman" w:eastAsia="Times New Roman" w:hAnsi="Times New Roman"/>
          <w:sz w:val="14"/>
          <w:szCs w:val="14"/>
          <w:color w:val="auto"/>
        </w:rPr>
        <w:t xml:space="preserve"> of the SpinCo Disclosure Letter (the “</w:t>
      </w:r>
      <w:r>
        <w:rPr>
          <w:rFonts w:ascii="Times New Roman" w:cs="Times New Roman" w:eastAsia="Times New Roman" w:hAnsi="Times New Roman"/>
          <w:sz w:val="14"/>
          <w:szCs w:val="14"/>
          <w:u w:val="single" w:color="auto"/>
          <w:color w:val="auto"/>
        </w:rPr>
        <w:t>Competitive Business</w:t>
      </w:r>
      <w:r>
        <w:rPr>
          <w:rFonts w:ascii="Times New Roman" w:cs="Times New Roman" w:eastAsia="Times New Roman" w:hAnsi="Times New Roman"/>
          <w:sz w:val="14"/>
          <w:szCs w:val="14"/>
          <w:color w:val="auto"/>
        </w:rPr>
        <w:t xml:space="preserve">”). Notwithstanding the foregoing, nothing in this </w:t>
      </w:r>
      <w:r>
        <w:rPr>
          <w:rFonts w:ascii="Times New Roman" w:cs="Times New Roman" w:eastAsia="Times New Roman" w:hAnsi="Times New Roman"/>
          <w:sz w:val="14"/>
          <w:szCs w:val="14"/>
          <w:u w:val="single" w:color="auto"/>
          <w:color w:val="auto"/>
        </w:rPr>
        <w:t>Section 7.12(c)</w:t>
      </w:r>
      <w:r>
        <w:rPr>
          <w:rFonts w:ascii="Times New Roman" w:cs="Times New Roman" w:eastAsia="Times New Roman" w:hAnsi="Times New Roman"/>
          <w:sz w:val="14"/>
          <w:szCs w:val="14"/>
          <w:color w:val="auto"/>
        </w:rPr>
        <w:t xml:space="preserve"> shall prohibit (i) any member of the Mercury Group from engaging in the businesses conducted by the Mercury Group (excluding the SpinCo Business) at the Effective Time, (ii) any member of the Mercury Group from directly or indirectly acquiring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any interest in a Person or business engaged in a Competitive Business, and operating and managing such Person or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such Competitive Business represents fifteen percent (15%) or more of the net revenues or net income of such acquired Person or business, as applicable, for such acquired business’s or Person’s most recently completed fiscal year, then the applicable member of the Mercury Group shall within eighteen (18) months after the consummation of Mercury’s or one or more Subsidiaries’ acquisition (whether by merger, business combination, stock purchase or otherwise) of such Person or business so long as the Restricted Period is still in effect, either (x) dispose of such Person or business or the relevant portion thereof that is engaged in the Competitive Business or</w:t>
      </w:r>
    </w:p>
    <w:p>
      <w:pPr>
        <w:spacing w:after="0" w:line="2" w:lineRule="exact"/>
        <w:rPr>
          <w:rFonts w:ascii="Times New Roman" w:cs="Times New Roman" w:eastAsia="Times New Roman" w:hAnsi="Times New Roman"/>
          <w:sz w:val="14"/>
          <w:szCs w:val="14"/>
          <w:color w:val="auto"/>
        </w:rPr>
      </w:pPr>
    </w:p>
    <w:p>
      <w:pPr>
        <w:ind w:left="1360" w:right="239" w:hanging="5"/>
        <w:spacing w:after="0" w:line="255" w:lineRule="auto"/>
        <w:tabs>
          <w:tab w:leader="none" w:pos="1558" w:val="left"/>
        </w:tabs>
        <w:numPr>
          <w:ilvl w:val="0"/>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discontinue the operation of such Competitive Business, (iii) the acquisition and ownership by Mercury or any of its Subsidiaries, directly or indirectly, of less than five percent (5%) in the aggregate of the equity interests of any Person engaged in a Competitive Business, (iv) any member of the Mercury Group from performing their obligations under this Agreement or the Transaction Documents, or (v) any Person who acquires fifty percent (50%) or more of the consolidated assets or issued and outstanding shares of Mercury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from engaging in a Competitive Business if such Person is engaging in such Competitive Business prior to such acquisition;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restrictions and obligations set forth in this </w:t>
      </w:r>
      <w:r>
        <w:rPr>
          <w:rFonts w:ascii="Times New Roman" w:cs="Times New Roman" w:eastAsia="Times New Roman" w:hAnsi="Times New Roman"/>
          <w:sz w:val="14"/>
          <w:szCs w:val="14"/>
          <w:u w:val="single" w:color="auto"/>
          <w:color w:val="auto"/>
        </w:rPr>
        <w:t>Section 7.12(c)</w:t>
      </w:r>
      <w:r>
        <w:rPr>
          <w:rFonts w:ascii="Times New Roman" w:cs="Times New Roman" w:eastAsia="Times New Roman" w:hAnsi="Times New Roman"/>
          <w:sz w:val="14"/>
          <w:szCs w:val="14"/>
          <w:color w:val="auto"/>
        </w:rPr>
        <w:t xml:space="preserve"> shall continue to apply to Mercury and its Subsidiaries (as of immediately prior to such acquisition) until the fourth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anniversary of the Closing Date.</w:t>
      </w:r>
    </w:p>
    <w:p>
      <w:pPr>
        <w:spacing w:after="0" w:line="45" w:lineRule="exact"/>
        <w:rPr>
          <w:rFonts w:ascii="Times New Roman" w:cs="Times New Roman" w:eastAsia="Times New Roman" w:hAnsi="Times New Roman"/>
          <w:sz w:val="14"/>
          <w:szCs w:val="14"/>
          <w:color w:val="auto"/>
        </w:rPr>
      </w:pPr>
    </w:p>
    <w:p>
      <w:pPr>
        <w:ind w:left="1360" w:right="219" w:firstLine="338"/>
        <w:spacing w:after="0" w:line="256" w:lineRule="auto"/>
        <w:tabs>
          <w:tab w:leader="none" w:pos="1901" w:val="left"/>
        </w:tabs>
        <w:numPr>
          <w:ilvl w:val="1"/>
          <w:numId w:val="3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acknowledge that the covenants set forth in this </w:t>
      </w:r>
      <w:r>
        <w:rPr>
          <w:rFonts w:ascii="Times New Roman" w:cs="Times New Roman" w:eastAsia="Times New Roman" w:hAnsi="Times New Roman"/>
          <w:sz w:val="14"/>
          <w:szCs w:val="14"/>
          <w:u w:val="single" w:color="auto"/>
          <w:color w:val="auto"/>
        </w:rPr>
        <w:t>Section 7.12</w:t>
      </w:r>
      <w:r>
        <w:rPr>
          <w:rFonts w:ascii="Times New Roman" w:cs="Times New Roman" w:eastAsia="Times New Roman" w:hAnsi="Times New Roman"/>
          <w:sz w:val="14"/>
          <w:szCs w:val="14"/>
          <w:color w:val="auto"/>
        </w:rPr>
        <w:t xml:space="preserve"> are reasonable in order to protect the value of the SpinCo Business and the business of Mercury and the other members of the Mercury Group. It is the intention of the Parties that if any restriction or covenant contained in this </w:t>
      </w:r>
      <w:r>
        <w:rPr>
          <w:rFonts w:ascii="Times New Roman" w:cs="Times New Roman" w:eastAsia="Times New Roman" w:hAnsi="Times New Roman"/>
          <w:sz w:val="14"/>
          <w:szCs w:val="14"/>
          <w:u w:val="single" w:color="auto"/>
          <w:color w:val="auto"/>
        </w:rPr>
        <w:t>Section 7.12</w:t>
      </w:r>
      <w:r>
        <w:rPr>
          <w:rFonts w:ascii="Times New Roman" w:cs="Times New Roman" w:eastAsia="Times New Roman" w:hAnsi="Times New Roman"/>
          <w:sz w:val="14"/>
          <w:szCs w:val="14"/>
          <w:color w:val="auto"/>
        </w:rPr>
        <w:t xml:space="preserve"> covers a geographic area, is for a length of time or is of a scope that is not permitted by applicable Law, or is in any way construed to be too broad or to any extent invalid, such restriction or covenant will not be construed to be null, void and of no effect, but will, to the extent such restriction or covenant would be valid or enforceable under applicable Law, be construed and interpreted to provide for a covenant having the maximum enforceable geographic area, time period and other provisions (not greater than those contained in this </w:t>
      </w:r>
      <w:r>
        <w:rPr>
          <w:rFonts w:ascii="Times New Roman" w:cs="Times New Roman" w:eastAsia="Times New Roman" w:hAnsi="Times New Roman"/>
          <w:sz w:val="14"/>
          <w:szCs w:val="14"/>
          <w:u w:val="single" w:color="auto"/>
          <w:color w:val="auto"/>
        </w:rPr>
        <w:t>Section 7.12</w:t>
      </w:r>
      <w:r>
        <w:rPr>
          <w:rFonts w:ascii="Times New Roman" w:cs="Times New Roman" w:eastAsia="Times New Roman" w:hAnsi="Times New Roman"/>
          <w:sz w:val="14"/>
          <w:szCs w:val="14"/>
          <w:color w:val="auto"/>
        </w:rPr>
        <w:t>) that would be valid and enforceable under such applicable Law.</w:t>
      </w:r>
    </w:p>
    <w:p>
      <w:pPr>
        <w:spacing w:after="0" w:line="144" w:lineRule="exact"/>
        <w:rPr>
          <w:sz w:val="20"/>
          <w:szCs w:val="20"/>
          <w:color w:val="auto"/>
        </w:rPr>
      </w:pPr>
    </w:p>
    <w:p>
      <w:pPr>
        <w:ind w:left="1360" w:right="319" w:firstLine="343"/>
        <w:spacing w:after="0" w:line="280" w:lineRule="auto"/>
        <w:rPr>
          <w:sz w:val="20"/>
          <w:szCs w:val="20"/>
          <w:color w:val="auto"/>
        </w:rPr>
      </w:pPr>
      <w:r>
        <w:rPr>
          <w:rFonts w:ascii="Times New Roman" w:cs="Times New Roman" w:eastAsia="Times New Roman" w:hAnsi="Times New Roman"/>
          <w:sz w:val="13"/>
          <w:szCs w:val="13"/>
          <w:color w:val="auto"/>
        </w:rPr>
        <w:t xml:space="preserve">Section 7.13 </w:t>
      </w:r>
      <w:r>
        <w:rPr>
          <w:rFonts w:ascii="Times New Roman" w:cs="Times New Roman" w:eastAsia="Times New Roman" w:hAnsi="Times New Roman"/>
          <w:sz w:val="13"/>
          <w:szCs w:val="13"/>
          <w:u w:val="single" w:color="auto"/>
          <w:color w:val="auto"/>
        </w:rPr>
        <w:t>Defense of Litigation</w:t>
      </w:r>
      <w:r>
        <w:rPr>
          <w:rFonts w:ascii="Times New Roman" w:cs="Times New Roman" w:eastAsia="Times New Roman" w:hAnsi="Times New Roman"/>
          <w:sz w:val="13"/>
          <w:szCs w:val="13"/>
          <w:color w:val="auto"/>
        </w:rPr>
        <w:t xml:space="preserve">. Gold and Mercury shall provide the other Party prompt notice in writing of any Action brought by any shareholder or purported shareholder or equityholder, as applicable, of such Party against it, any of its Subsidiaries or any of their respective directors and officers (including, with respect to Mercury, SpinCo) relating to the transactions contemplated by this Agreement or the Separation Agreement, including the Separation, the Merger, the Gold Charter Amendment and the Gold Share Issuance, and shall keep the other Party informed on a reasonably prompt basis with respect to the status thereof and consider any comments or suggestions made by the other Party in good faith with respect to the strategy therefor;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prior to the Effective Time, no Party shall compromise, settle, come to an arrangement regarding or agree to</w:t>
      </w:r>
    </w:p>
    <w:p>
      <w:pPr>
        <w:spacing w:after="0" w:line="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A-92</w:t>
      </w:r>
    </w:p>
    <w:p>
      <w:pPr>
        <w:sectPr>
          <w:pgSz w:w="11900" w:h="16838" w:orient="portrait"/>
          <w:cols w:equalWidth="0" w:num="1">
            <w:col w:w="10159"/>
          </w:cols>
          <w:pgMar w:left="300" w:top="385" w:right="1440"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compromise, settle or come to an arrangement regarding any Action arising or resulting from the transactions contemplated by this Agreement or consent to the same, without the prior written consent of the other Party (not to be unreasonably withheld, conditioned or delayed) to the extent (a) such Action includes the other Party or any of its Subsidiaries, directors or officers as named defendants or (b) such compromise, settlement or arrangement would reasonably be expected to prevent, materially impair, materially delay or otherwise have a material adverse effect on the ability of the Parties to perform their respective obligations hereunder, or to consummate the transactions contemplated hereby in a timely manner.</w:t>
      </w:r>
    </w:p>
    <w:p>
      <w:pPr>
        <w:spacing w:after="0" w:line="144" w:lineRule="exact"/>
        <w:rPr>
          <w:sz w:val="20"/>
          <w:szCs w:val="20"/>
          <w:color w:val="auto"/>
        </w:rPr>
      </w:pPr>
    </w:p>
    <w:p>
      <w:pPr>
        <w:ind w:left="1360" w:right="239" w:firstLine="343"/>
        <w:spacing w:after="0" w:line="280" w:lineRule="auto"/>
        <w:rPr>
          <w:sz w:val="20"/>
          <w:szCs w:val="20"/>
          <w:color w:val="auto"/>
        </w:rPr>
      </w:pPr>
      <w:r>
        <w:rPr>
          <w:rFonts w:ascii="Times New Roman" w:cs="Times New Roman" w:eastAsia="Times New Roman" w:hAnsi="Times New Roman"/>
          <w:sz w:val="13"/>
          <w:szCs w:val="13"/>
          <w:color w:val="auto"/>
        </w:rPr>
        <w:t xml:space="preserve">Section 7.14 </w:t>
      </w:r>
      <w:r>
        <w:rPr>
          <w:rFonts w:ascii="Times New Roman" w:cs="Times New Roman" w:eastAsia="Times New Roman" w:hAnsi="Times New Roman"/>
          <w:sz w:val="13"/>
          <w:szCs w:val="13"/>
          <w:u w:val="single" w:color="auto"/>
          <w:color w:val="auto"/>
        </w:rPr>
        <w:t>Section 16 Matters</w:t>
      </w:r>
      <w:r>
        <w:rPr>
          <w:rFonts w:ascii="Times New Roman" w:cs="Times New Roman" w:eastAsia="Times New Roman" w:hAnsi="Times New Roman"/>
          <w:sz w:val="13"/>
          <w:szCs w:val="13"/>
          <w:color w:val="auto"/>
        </w:rPr>
        <w:t>. Prior to the Effective Time, each of Gold, Mercury and SpinCo shall take all such steps as may be required (to the extent permitted by applicable Law) to cause any dispositions of SpinCo Common Stock (including derivative securities with respect to SpinCo Common Stock) or acquisitions of Gold Common Stock resulting from the transactions contemplated by this Agreement or any Transaction Document, including the Distribution, directly or indirectly, by each individual, if any, who is subject to the reporting requirements of Section 16(a) of the Exchange Act with respect to Gold or SpinCo, as applicable, as an officer or director thereof to be exempt under Rule 16b-3 promulgated under the Exchange Act, such steps to be taken in accordance with (and to the extent permitted by) applicable SEC rules and regulations and interpretations of the SEC staff.</w:t>
      </w:r>
    </w:p>
    <w:p>
      <w:pPr>
        <w:spacing w:after="0" w:line="131"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7.15 </w:t>
      </w:r>
      <w:r>
        <w:rPr>
          <w:rFonts w:ascii="Times New Roman" w:cs="Times New Roman" w:eastAsia="Times New Roman" w:hAnsi="Times New Roman"/>
          <w:sz w:val="14"/>
          <w:szCs w:val="14"/>
          <w:u w:val="single" w:color="auto"/>
          <w:color w:val="auto"/>
        </w:rPr>
        <w:t>Control of Other Party’s Business</w:t>
      </w:r>
      <w:r>
        <w:rPr>
          <w:rFonts w:ascii="Times New Roman" w:cs="Times New Roman" w:eastAsia="Times New Roman" w:hAnsi="Times New Roman"/>
          <w:sz w:val="14"/>
          <w:szCs w:val="14"/>
          <w:color w:val="auto"/>
        </w:rPr>
        <w:t>. Nothing contained in this Agreement shall give Mercury or SpinCo, directly or indirectly, the right to control or direct Gold’s operations prior to the Effective Time. Nothing contained in this Agreement shall give Gold, directly or indirectly, the right to control or direct the operations of Mercury or SpinCo, including the SpinCo Business, prior to the Effective Time. Prior to the Effective Time, each of Mercury, SpinCo and Gold shall exercise, consistent with the terms and conditions of this Agreement, complete control and supervision over its respective operations.</w:t>
      </w:r>
    </w:p>
    <w:p>
      <w:pPr>
        <w:spacing w:after="0" w:line="144"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7.16 </w:t>
      </w:r>
      <w:r>
        <w:rPr>
          <w:rFonts w:ascii="Times New Roman" w:cs="Times New Roman" w:eastAsia="Times New Roman" w:hAnsi="Times New Roman"/>
          <w:sz w:val="14"/>
          <w:szCs w:val="14"/>
          <w:u w:val="single" w:color="auto"/>
          <w:color w:val="auto"/>
        </w:rPr>
        <w:t>SpinCo Share Issuance</w:t>
      </w:r>
      <w:r>
        <w:rPr>
          <w:rFonts w:ascii="Times New Roman" w:cs="Times New Roman" w:eastAsia="Times New Roman" w:hAnsi="Times New Roman"/>
          <w:sz w:val="14"/>
          <w:szCs w:val="14"/>
          <w:color w:val="auto"/>
        </w:rPr>
        <w:t>. In connection with the Distribution, prior to the Distribution Time, SpinCo will take all actions necessary to authorize the issuance of a number of, or stock split of, shares of SpinCo Common Stock such that the total number of shares of SpinCo Common Stock outstanding immediately prior to the Effective Time will equal the number of shares of Mercury Common Stock entitled to receive the Distribution outstanding immediately prior to the Distribution Time in accordance with the terms of the Separation Agreement. SpinCo shall effect such amendments, filings or other actions with respect to its Organizational Documents as are necessary to effect the Distribution in accordance with the terms of this Agreement and the Separation Agreement.</w:t>
      </w:r>
    </w:p>
    <w:p>
      <w:pPr>
        <w:spacing w:after="0" w:line="143"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7.17 </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Gold shall, or shall cause the applicable Gold Subsidiaries to, execute and deliver to Mercury at or prior to the Closing each of the Transaction Documents to which it or any such Gold Subsidiary is or will be a party at the Effective Time that have not previously been executed. Mercury shall, or shall cause its applicable Subsidiaries to, execute and deliver to Gold at or prior to the Closing each of the Transaction Documents to which it or any such Subsidiary is or will be a party at the Effective Time that have not previously been executed.</w:t>
      </w:r>
    </w:p>
    <w:p>
      <w:pPr>
        <w:spacing w:after="0" w:line="141"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7.18 </w:t>
      </w:r>
      <w:r>
        <w:rPr>
          <w:rFonts w:ascii="Times New Roman" w:cs="Times New Roman" w:eastAsia="Times New Roman" w:hAnsi="Times New Roman"/>
          <w:sz w:val="14"/>
          <w:szCs w:val="14"/>
          <w:u w:val="single" w:color="auto"/>
          <w:color w:val="auto"/>
        </w:rPr>
        <w:t>Stock Exchange Listing</w:t>
      </w:r>
      <w:r>
        <w:rPr>
          <w:rFonts w:ascii="Times New Roman" w:cs="Times New Roman" w:eastAsia="Times New Roman" w:hAnsi="Times New Roman"/>
          <w:sz w:val="14"/>
          <w:szCs w:val="14"/>
          <w:color w:val="auto"/>
        </w:rPr>
        <w:t>. Gold shall use its reasonable best efforts to cause the shares of Gold Common Stock issuable pursuant to the Merger to be approved for listing on Nasdaq, subject to official notice of issuance, as promptly as practicable after the date of this Agreement, and in any event prior to the Effective Time.</w:t>
      </w:r>
    </w:p>
    <w:p>
      <w:pPr>
        <w:spacing w:after="0" w:line="136" w:lineRule="exact"/>
        <w:rPr>
          <w:sz w:val="20"/>
          <w:szCs w:val="20"/>
          <w:color w:val="auto"/>
        </w:rPr>
      </w:pPr>
    </w:p>
    <w:p>
      <w:pPr>
        <w:ind w:left="1360" w:right="5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7.19 </w:t>
      </w:r>
      <w:r>
        <w:rPr>
          <w:rFonts w:ascii="Times New Roman" w:cs="Times New Roman" w:eastAsia="Times New Roman" w:hAnsi="Times New Roman"/>
          <w:sz w:val="14"/>
          <w:szCs w:val="14"/>
          <w:u w:val="single" w:color="auto"/>
          <w:color w:val="auto"/>
        </w:rPr>
        <w:t>Takeover Statutes</w:t>
      </w:r>
      <w:r>
        <w:rPr>
          <w:rFonts w:ascii="Times New Roman" w:cs="Times New Roman" w:eastAsia="Times New Roman" w:hAnsi="Times New Roman"/>
          <w:sz w:val="14"/>
          <w:szCs w:val="14"/>
          <w:color w:val="auto"/>
        </w:rPr>
        <w:t>. If any “fair price,” “moratorium,” “control share acquisition,” “business combination” or other form of antitakeover Law shall become applicable to the transactions contemplated hereby, Gold and the Gold Board shall use all reasonable efforts to grant such approvals and take such actions as are reasonably necessary so that the transactions contemplated hereby may be consummated as promptly as practicable on the terms contemplated hereby and otherwise act to eliminate or minimize the effects of such statute or regulation on the transactions contemplated hereby.</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A-93</w:t>
      </w:r>
    </w:p>
    <w:p>
      <w:pPr>
        <w:sectPr>
          <w:pgSz w:w="11900" w:h="16838" w:orient="portrait"/>
          <w:cols w:equalWidth="0" w:num="1">
            <w:col w:w="10159"/>
          </w:cols>
          <w:pgMar w:left="300" w:top="386" w:right="1440"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7.20 </w:t>
      </w:r>
      <w:r>
        <w:rPr>
          <w:rFonts w:ascii="Times New Roman" w:cs="Times New Roman" w:eastAsia="Times New Roman" w:hAnsi="Times New Roman"/>
          <w:sz w:val="14"/>
          <w:szCs w:val="14"/>
          <w:u w:val="single" w:color="auto"/>
          <w:color w:val="auto"/>
        </w:rPr>
        <w:t>Works Council Matters</w:t>
      </w:r>
      <w:r>
        <w:rPr>
          <w:rFonts w:ascii="Times New Roman" w:cs="Times New Roman" w:eastAsia="Times New Roman" w:hAnsi="Times New Roman"/>
          <w:sz w:val="14"/>
          <w:szCs w:val="14"/>
          <w:color w:val="auto"/>
        </w:rPr>
        <w:t>. The Parties acknowledge and agree that they will satisfy all notification and consultation obligations in all material respects with respect to the Separation, the Distribution and the Merger. The Parties shall reasonably cooperate with each other in connection with such notification and consultation processes, and Gold shall be provided with a reasonable opportunity to review in advance any proposed communications in connection therewith, and any information to be provided related to the Transactions, including the SpinCo Financing, the Gold Financing and the expected consequences of the Transactions, shall be mutually agreed to by Gold and Mercury.</w:t>
      </w:r>
    </w:p>
    <w:p>
      <w:pPr>
        <w:spacing w:after="0" w:line="144"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7.21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xml:space="preserve">. Except as otherwise expressly provided in this Agreement, the Parties shall, and shall cause their respective Affiliates to, use their respective commercially reasonable efforts to take, or cause to be taken, all appropriate action to do, or cause to be done, and to assist and cooperate with the other Parties in doing, all things necessary, proper or advisable under this Agreement or applicable Law as may be required to carry out the provisions of this Agreement and to consummate and make effective the Merger and the other Transactions (other than with respect to the matters covered in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which shall be governed by the provisions of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and any consents required in connection with the Separation, which shall solely be governed by the Separation Agreement). In furtherance and not in limitation of the foregoing, each Party shall use commercially reasonable efforts to obtain all consents, approvals or waivers from third parties necessary in connection with the Merger and the other Transactions (other than with respect to the matters covered in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which shall be governed by the provisions of </w:t>
      </w:r>
      <w:r>
        <w:rPr>
          <w:rFonts w:ascii="Times New Roman" w:cs="Times New Roman" w:eastAsia="Times New Roman" w:hAnsi="Times New Roman"/>
          <w:sz w:val="14"/>
          <w:szCs w:val="14"/>
          <w:u w:val="single" w:color="auto"/>
          <w:color w:val="auto"/>
        </w:rPr>
        <w:t>Section 7.4</w:t>
      </w:r>
      <w:r>
        <w:rPr>
          <w:rFonts w:ascii="Times New Roman" w:cs="Times New Roman" w:eastAsia="Times New Roman" w:hAnsi="Times New Roman"/>
          <w:sz w:val="14"/>
          <w:szCs w:val="14"/>
          <w:color w:val="auto"/>
        </w:rPr>
        <w:t xml:space="preserve"> and any consents required in connection with the Separation, which shall solely be governed by the Separation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 Party or any of its Affiliates shall be required to commence any litigation or offer or pay any money or otherwise grant any accommodation (financial or otherwise) to any third party with respect to the foregoing. The failure to obtain any consents, approvals or waivers from third parties shall not in and of itself constitute a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-342265</wp:posOffset>
            </wp:positionV>
            <wp:extent cx="2222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30"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7.22 </w:t>
      </w:r>
      <w:r>
        <w:rPr>
          <w:rFonts w:ascii="Times New Roman" w:cs="Times New Roman" w:eastAsia="Times New Roman" w:hAnsi="Times New Roman"/>
          <w:sz w:val="14"/>
          <w:szCs w:val="14"/>
          <w:u w:val="single" w:color="auto"/>
          <w:color w:val="auto"/>
        </w:rPr>
        <w:t>Sole Stockholder Approvals</w:t>
      </w:r>
      <w:r>
        <w:rPr>
          <w:rFonts w:ascii="Times New Roman" w:cs="Times New Roman" w:eastAsia="Times New Roman" w:hAnsi="Times New Roman"/>
          <w:sz w:val="14"/>
          <w:szCs w:val="14"/>
          <w:color w:val="auto"/>
        </w:rPr>
        <w:t>. Immediately after the execution of this Agreement, (a) Mercury will deliver the SpinCo Stockholder Approval to Gold, and (b) Gold, as the sole shareholder of Merger Sub, acting by written consent, will adopt this Agreement and approve the consummation of the transactions contemplated hereby, upon the terms and subject to the conditions stated herein and in accordance with the applicable provisions of the DGCL (the “</w:t>
      </w:r>
      <w:r>
        <w:rPr>
          <w:rFonts w:ascii="Times New Roman" w:cs="Times New Roman" w:eastAsia="Times New Roman" w:hAnsi="Times New Roman"/>
          <w:sz w:val="14"/>
          <w:szCs w:val="14"/>
          <w:u w:val="single" w:color="auto"/>
          <w:color w:val="auto"/>
        </w:rPr>
        <w:t>Merger Sub Shareholder Approval</w:t>
      </w:r>
      <w:r>
        <w:rPr>
          <w:rFonts w:ascii="Times New Roman" w:cs="Times New Roman" w:eastAsia="Times New Roman" w:hAnsi="Times New Roman"/>
          <w:sz w:val="14"/>
          <w:szCs w:val="14"/>
          <w:color w:val="auto"/>
        </w:rPr>
        <w:t>”), and deliver a copy of the Merger Sub Shareholder Approval to Mercury.</w:t>
      </w:r>
    </w:p>
    <w:p>
      <w:pPr>
        <w:spacing w:after="0" w:line="141"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7.23 </w:t>
      </w:r>
      <w:r>
        <w:rPr>
          <w:rFonts w:ascii="Times New Roman" w:cs="Times New Roman" w:eastAsia="Times New Roman" w:hAnsi="Times New Roman"/>
          <w:sz w:val="14"/>
          <w:szCs w:val="14"/>
          <w:u w:val="single" w:color="auto"/>
          <w:color w:val="auto"/>
        </w:rPr>
        <w:t>Obligations of Merger Sub</w:t>
      </w:r>
      <w:r>
        <w:rPr>
          <w:rFonts w:ascii="Times New Roman" w:cs="Times New Roman" w:eastAsia="Times New Roman" w:hAnsi="Times New Roman"/>
          <w:sz w:val="14"/>
          <w:szCs w:val="14"/>
          <w:color w:val="auto"/>
        </w:rPr>
        <w:t>. Gold shall take all action necessary to cause Merger Sub to perform its obligations under this Agreement and to consummate the Transactions, including the Merger, upon the terms and subject to the conditions set forth in this Agreement.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7.24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3" w:lineRule="auto"/>
        <w:tabs>
          <w:tab w:leader="none" w:pos="1893" w:val="left"/>
        </w:tabs>
        <w:numPr>
          <w:ilvl w:val="0"/>
          <w:numId w:val="3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shall deliver to Gold, (x) as promptly as reasonably practicable after the date hereof, unaudited carve-out combined balance sheets as of, and related combined statements of operations and cash flows for, the nine (9)-month period ended December 31, 2025, together with an unaudited statement of operations for the nine (9)-month period ended December 31, 2025 and (y) as promptly as reasonably practicable after the end of any interim period ending after the date hereof, unaudited carve-out consolidated balance sheets and related consolidated statements of operations and cash flows as of and for each interim period ended sixty (60) days prior to the Closing Date, in each case, prepared on a GAAP basis for pro forma disclosure purposes and suitable for inclusion in an offering document or confidential offering memorandum for any Permanent SpinCo Financing (the “</w:t>
      </w:r>
      <w:r>
        <w:rPr>
          <w:rFonts w:ascii="Times New Roman" w:cs="Times New Roman" w:eastAsia="Times New Roman" w:hAnsi="Times New Roman"/>
          <w:sz w:val="14"/>
          <w:szCs w:val="14"/>
          <w:u w:val="single" w:color="auto"/>
          <w:color w:val="auto"/>
        </w:rPr>
        <w:t>SpinCo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Unaudited Nine-Month Financial Statements</w:t>
      </w:r>
      <w:r>
        <w:rPr>
          <w:rFonts w:ascii="Times New Roman" w:cs="Times New Roman" w:eastAsia="Times New Roman" w:hAnsi="Times New Roman"/>
          <w:sz w:val="14"/>
          <w:szCs w:val="14"/>
          <w:color w:val="auto"/>
        </w:rPr>
        <w:t>”). Mercury shall deliver to Gold, as promptly as reasonably practicable after the date hereof, the audited combined and consolidated financial statements of (i) the SpinCo Business and (ii) to the extent required by applicable Law, SpinCo (before giving effect to the Separation) (except that for SpinCo, only an opening balance sheet shall be required), including the combined and consolidated balance sheets of (1) the SpinCo Business and (2) to the extent required by applicable Law, SpinCo (before giving effect to the Separation) as of March 31, 2026, March 31, 2025 and March 31, 2024, and the combined and consolidated statements of income, comprehensive income and cash flows of (x) the SpinCo</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A-94</w:t>
      </w:r>
    </w:p>
    <w:p>
      <w:pPr>
        <w:sectPr>
          <w:pgSz w:w="11900" w:h="16838" w:orient="portrait"/>
          <w:cols w:equalWidth="0" w:num="1">
            <w:col w:w="10159"/>
          </w:cols>
          <w:pgMar w:left="300" w:top="386" w:right="1440"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Business and (y) to the extent required by applicable Law, SpinCo (before giving effect to the Separation) for the fiscal years ended March 31, 2026, March 31, 2025 and March 31, 2024, and the notes related thereto, prepared on a GAAP basis and together with an audit report, without qualification or exception thereto, on the financial statements from the independent accountants for the SpinCo Business and SpinCo (collectively, the “</w:t>
      </w:r>
      <w:r>
        <w:rPr>
          <w:rFonts w:ascii="Times New Roman" w:cs="Times New Roman" w:eastAsia="Times New Roman" w:hAnsi="Times New Roman"/>
          <w:sz w:val="14"/>
          <w:szCs w:val="14"/>
          <w:u w:val="single" w:color="auto"/>
          <w:color w:val="auto"/>
        </w:rPr>
        <w:t>SpinCo Audited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as well as consents of such independent accountants required to be filed with the Gold Registration Statement no later than the filing of the Gold Registration Statement.</w:t>
      </w:r>
    </w:p>
    <w:p>
      <w:pPr>
        <w:spacing w:after="0" w:line="144" w:lineRule="exact"/>
        <w:rPr>
          <w:sz w:val="20"/>
          <w:szCs w:val="20"/>
          <w:color w:val="auto"/>
        </w:rPr>
      </w:pPr>
    </w:p>
    <w:p>
      <w:pPr>
        <w:ind w:left="1360" w:right="239" w:firstLine="338"/>
        <w:spacing w:after="0" w:line="254" w:lineRule="auto"/>
        <w:tabs>
          <w:tab w:leader="none" w:pos="1901" w:val="left"/>
        </w:tabs>
        <w:numPr>
          <w:ilvl w:val="1"/>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shall, from the date hereof until the date on which Gold files a Current Report on Form 8-K in connection with the Closing, which shall be within four (4) Business Days of the Closing (or no later than seventy-one (71) thereafter if such Current Report on Form 8-K does not include all historical financial statements of SpinCo required pursuant Item 9.01 of Form 8-K), deliver to Gold, as promptly as reasonably practicable after the end of any fiscal quarter ending after the date hereof, copies of the unaudited combined balance sheet of the SpinCo Business as of the end of each fiscal quarter ending after December 31, 2025, the related unaudited combined statements of income, comprehensive income and cash flows of the SpinCo Business for each such fiscal quarter and the notes related thereto, together with comparable financial statements for the corresponding periods of the prior fiscal year, in each case, prepared on a GAAP basis, and in each case, to the extent required to be included or incorporated by reference in the Securities Filings or in connection with the SpinCo Financing, Permanent SpinCo Financing and Gold Financing (collectively, the “</w:t>
      </w:r>
      <w:r>
        <w:rPr>
          <w:rFonts w:ascii="Times New Roman" w:cs="Times New Roman" w:eastAsia="Times New Roman" w:hAnsi="Times New Roman"/>
          <w:sz w:val="14"/>
          <w:szCs w:val="14"/>
          <w:u w:val="single" w:color="auto"/>
          <w:color w:val="auto"/>
        </w:rPr>
        <w:t>SpinCo Subsequent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Unaudited Financial Statements</w:t>
      </w:r>
      <w:r>
        <w:rPr>
          <w:rFonts w:ascii="Times New Roman" w:cs="Times New Roman" w:eastAsia="Times New Roman" w:hAnsi="Times New Roman"/>
          <w:sz w:val="14"/>
          <w:szCs w:val="14"/>
          <w:color w:val="auto"/>
        </w:rPr>
        <w:t xml:space="preserve">”), which SpinCo Subsequent Unaudited Financial Statements shall have been reviewed by the independent accountant for SpinCo in accordance with the procedures specified by the Public Company Accounting Oversight Board in AS 4105, </w:t>
      </w:r>
      <w:r>
        <w:rPr>
          <w:rFonts w:ascii="Times New Roman" w:cs="Times New Roman" w:eastAsia="Times New Roman" w:hAnsi="Times New Roman"/>
          <w:sz w:val="14"/>
          <w:szCs w:val="14"/>
          <w:i w:val="1"/>
          <w:iCs w:val="1"/>
          <w:color w:val="auto"/>
        </w:rPr>
        <w:t>Reviews of Interim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w:t>
      </w:r>
    </w:p>
    <w:p>
      <w:pPr>
        <w:spacing w:after="0" w:line="144" w:lineRule="exact"/>
        <w:rPr>
          <w:rFonts w:ascii="Times New Roman" w:cs="Times New Roman" w:eastAsia="Times New Roman" w:hAnsi="Times New Roman"/>
          <w:sz w:val="14"/>
          <w:szCs w:val="14"/>
          <w:color w:val="auto"/>
        </w:rPr>
      </w:pPr>
    </w:p>
    <w:p>
      <w:pPr>
        <w:ind w:left="1360" w:right="359" w:firstLine="338"/>
        <w:spacing w:after="0" w:line="257" w:lineRule="auto"/>
        <w:tabs>
          <w:tab w:leader="none" w:pos="1893" w:val="left"/>
        </w:tabs>
        <w:numPr>
          <w:ilvl w:val="1"/>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filing of the Securities Filings, as well as the SpinCo Financing, Permanent SpinCo Financing and Gold Financing, as applicable, Mercury shall use its commercially reasonable efforts prior to and after the Closing to cooperate with Gold in connection with Gold’s preparation of pro forma financial statements that comply with the rules and regulations of the SEC, including the requirements of Regulation S-X, including, without limitation the pro forma financial statements that are required to be filed with the SEC by Gold as an exhibit to a Current Report on Form 8-K within four (4) Business Days of the Closing (or no later than seventy-one (71) days thereafter if such pro forma financial statements are not included in the Current Report on Form 8-K filed by Gold within four (4) Business Days of the Closing).</w:t>
      </w:r>
    </w:p>
    <w:p>
      <w:pPr>
        <w:spacing w:after="0" w:line="143" w:lineRule="exact"/>
        <w:rPr>
          <w:rFonts w:ascii="Times New Roman" w:cs="Times New Roman" w:eastAsia="Times New Roman" w:hAnsi="Times New Roman"/>
          <w:sz w:val="14"/>
          <w:szCs w:val="14"/>
          <w:color w:val="auto"/>
        </w:rPr>
      </w:pPr>
    </w:p>
    <w:p>
      <w:pPr>
        <w:ind w:left="1360" w:right="379" w:firstLine="338"/>
        <w:spacing w:after="0" w:line="283" w:lineRule="auto"/>
        <w:tabs>
          <w:tab w:leader="none" w:pos="1901" w:val="left"/>
        </w:tabs>
        <w:numPr>
          <w:ilvl w:val="1"/>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Closing, Gold shall use its commercially reasonable efforts to cooperate with Mercury in connection with Mercury’s preparation of financial statements that comply with the rules and regulations of the SEC, including the requirements of Regulation S-X.</w:t>
      </w:r>
    </w:p>
    <w:p>
      <w:pPr>
        <w:spacing w:after="0" w:line="124" w:lineRule="exact"/>
        <w:rPr>
          <w:rFonts w:ascii="Times New Roman" w:cs="Times New Roman" w:eastAsia="Times New Roman" w:hAnsi="Times New Roman"/>
          <w:sz w:val="14"/>
          <w:szCs w:val="14"/>
          <w:color w:val="auto"/>
        </w:rPr>
      </w:pPr>
    </w:p>
    <w:p>
      <w:pPr>
        <w:ind w:left="1360" w:right="259" w:firstLine="338"/>
        <w:spacing w:after="0" w:line="252" w:lineRule="auto"/>
        <w:tabs>
          <w:tab w:leader="none" w:pos="1893" w:val="left"/>
        </w:tabs>
        <w:numPr>
          <w:ilvl w:val="1"/>
          <w:numId w:val="3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of the foregoing or any other provision in this Agreement to the contrary, other than in the event of a termination by Gold pursuant to </w:t>
      </w:r>
      <w:r>
        <w:rPr>
          <w:rFonts w:ascii="Times New Roman" w:cs="Times New Roman" w:eastAsia="Times New Roman" w:hAnsi="Times New Roman"/>
          <w:sz w:val="14"/>
          <w:szCs w:val="14"/>
          <w:u w:val="single" w:color="auto"/>
          <w:color w:val="auto"/>
        </w:rPr>
        <w:t>Section 9.1(d</w:t>
      </w:r>
      <w:r>
        <w:rPr>
          <w:rFonts w:ascii="Times New Roman" w:cs="Times New Roman" w:eastAsia="Times New Roman" w:hAnsi="Times New Roman"/>
          <w:sz w:val="14"/>
          <w:szCs w:val="14"/>
          <w:color w:val="auto"/>
        </w:rPr>
        <w:t>) due to a material breach of a covenant on the part of Mercury or SpinCo, in which case Mercury shall be responsible for 100% of the Audit Reimbursement Obligations, in the event Mercury (i) delivers to Gold substantially complete drafts of the financial statements for fiscal year end March 31, 2025 and fiscal year end March 31, 2024 included in the SpinCo Audited Financial Statements on or before April 30, 2026, and (ii) delivers to Gold the final copies of such financial statements on or before May 8, 2026, Gold shall, and shall cause the Gold Subsidiaries to, pay to Mercury an amount of cash equal to 50% of the aggregate amount of the Audit Reimbursement Obligations (payment for any such Audit Reimbursement Obligations to be made promptly and in any event within ten (10) days following delivery to Gold by Mercury of a written request therefor accompanied by reasonable supporting documentation evidencing such Audit Reimbursement Obligations), but in no event shall Gold’s responsibility for its portion of the Audit Reimbursement Obligations exceed $4,000,000. For the avoidance of doubt, in the event the financial statements for fiscal year end March 31, 2025 and fiscal year end March 31, 2024 included in the SpinCo Audited Financial Statements are not</w:t>
      </w:r>
    </w:p>
    <w:p>
      <w:pPr>
        <w:spacing w:after="0" w:line="6" w:lineRule="exact"/>
        <w:rPr>
          <w:rFonts w:ascii="Times New Roman" w:cs="Times New Roman" w:eastAsia="Times New Roman" w:hAnsi="Times New Roman"/>
          <w:sz w:val="14"/>
          <w:szCs w:val="14"/>
          <w:color w:val="auto"/>
        </w:rPr>
      </w:pPr>
    </w:p>
    <w:p>
      <w:pPr>
        <w:ind w:left="1360" w:right="659" w:hanging="5"/>
        <w:spacing w:after="0" w:line="261" w:lineRule="auto"/>
        <w:tabs>
          <w:tab w:leader="none" w:pos="1527"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completed and delivered to Gold on or before April 30, 2026 and (ii) completed and delivered to Gold on or before May 8, 2026, Mercury shall be responsible for 100% of the Audit Reimbursement Obligations.</w:t>
      </w:r>
    </w:p>
    <w:p>
      <w:pPr>
        <w:spacing w:after="0" w:line="27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A-95</w:t>
      </w:r>
    </w:p>
    <w:p>
      <w:pPr>
        <w:sectPr>
          <w:pgSz w:w="11900" w:h="16838" w:orient="portrait"/>
          <w:cols w:equalWidth="0" w:num="1">
            <w:col w:w="10159"/>
          </w:cols>
          <w:pgMar w:left="300" w:top="385" w:right="1440"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7.25 </w:t>
      </w:r>
      <w:r>
        <w:rPr>
          <w:rFonts w:ascii="Times New Roman" w:cs="Times New Roman" w:eastAsia="Times New Roman" w:hAnsi="Times New Roman"/>
          <w:sz w:val="14"/>
          <w:szCs w:val="14"/>
          <w:u w:val="single" w:color="auto"/>
          <w:color w:val="auto"/>
        </w:rPr>
        <w:t>Notices of Certain Events</w:t>
      </w:r>
      <w:r>
        <w:rPr>
          <w:rFonts w:ascii="Times New Roman" w:cs="Times New Roman" w:eastAsia="Times New Roman" w:hAnsi="Times New Roman"/>
          <w:sz w:val="14"/>
          <w:szCs w:val="14"/>
          <w:color w:val="auto"/>
        </w:rPr>
        <w:t xml:space="preserve">. Subject to applicable Law and as otherwise required by any Governmental Authority, Mercury and Gold each shall keep the other reasonably apprised of the status of material matters relating to the consummation of the Transactions. Mercury and Gold each shall give reasonably prompt notice to the other of any change, event, development or effect that has had or would reasonably be expected to have a Mercury Material Adverse Effect, SpinCo Material Adverse Effect or a Gold Material Adverse Effect, as applicable, or of any failure of any condition to the other Party’s obligation to consummate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delivery of any notice pursuant to this </w:t>
      </w:r>
      <w:r>
        <w:rPr>
          <w:rFonts w:ascii="Times New Roman" w:cs="Times New Roman" w:eastAsia="Times New Roman" w:hAnsi="Times New Roman"/>
          <w:sz w:val="14"/>
          <w:szCs w:val="14"/>
          <w:u w:val="single" w:color="auto"/>
          <w:color w:val="auto"/>
        </w:rPr>
        <w:t>Section 7.25</w:t>
      </w:r>
      <w:r>
        <w:rPr>
          <w:rFonts w:ascii="Times New Roman" w:cs="Times New Roman" w:eastAsia="Times New Roman" w:hAnsi="Times New Roman"/>
          <w:sz w:val="14"/>
          <w:szCs w:val="14"/>
          <w:color w:val="auto"/>
        </w:rPr>
        <w:t xml:space="preserve"> shall not affect or be deemed to modify any representation, warranty, covenant, right, remedy or condition to any obligation of any Party or update the SpinCo Disclosure Letter or Gold Disclosure Letter,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any Party’s obligations, actions or inactions pursuant to this </w:t>
      </w:r>
      <w:r>
        <w:rPr>
          <w:rFonts w:ascii="Times New Roman" w:cs="Times New Roman" w:eastAsia="Times New Roman" w:hAnsi="Times New Roman"/>
          <w:sz w:val="14"/>
          <w:szCs w:val="14"/>
          <w:u w:val="single" w:color="auto"/>
          <w:color w:val="auto"/>
        </w:rPr>
        <w:t>Section 7.25</w:t>
      </w:r>
      <w:r>
        <w:rPr>
          <w:rFonts w:ascii="Times New Roman" w:cs="Times New Roman" w:eastAsia="Times New Roman" w:hAnsi="Times New Roman"/>
          <w:sz w:val="14"/>
          <w:szCs w:val="14"/>
          <w:color w:val="auto"/>
        </w:rPr>
        <w:t xml:space="preserve">, in each case, in and of themselves, shall be deemed excluded for purposes of determining whether the condition set forth in </w:t>
      </w:r>
      <w:r>
        <w:rPr>
          <w:rFonts w:ascii="Times New Roman" w:cs="Times New Roman" w:eastAsia="Times New Roman" w:hAnsi="Times New Roman"/>
          <w:sz w:val="14"/>
          <w:szCs w:val="14"/>
          <w:u w:val="single" w:color="auto"/>
          <w:color w:val="auto"/>
        </w:rPr>
        <w:t>Section 8.2(a)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as applicable, has been satisfied.</w:t>
      </w:r>
    </w:p>
    <w:p>
      <w:pPr>
        <w:spacing w:after="0" w:line="3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CONDITIONS TO THE MERGER</w:t>
      </w:r>
    </w:p>
    <w:p>
      <w:pPr>
        <w:spacing w:after="0" w:line="161"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Conditions to the Obligations of SpinCo, Mercury, Gold and Merger Sub to Effect the Merger</w:t>
      </w:r>
      <w:r>
        <w:rPr>
          <w:rFonts w:ascii="Times New Roman" w:cs="Times New Roman" w:eastAsia="Times New Roman" w:hAnsi="Times New Roman"/>
          <w:sz w:val="14"/>
          <w:szCs w:val="14"/>
          <w:color w:val="auto"/>
        </w:rPr>
        <w:t>. The respective obligations of each Party to consummate the Merger shall be subject to the fulfillment (or, to the extent permitted by applicable Law, waiver by Mercury and Gold) at or prior to the Closing of the following conditions:</w:t>
      </w:r>
    </w:p>
    <w:p>
      <w:pPr>
        <w:spacing w:after="0" w:line="136" w:lineRule="exact"/>
        <w:rPr>
          <w:sz w:val="20"/>
          <w:szCs w:val="20"/>
          <w:color w:val="auto"/>
        </w:rPr>
      </w:pPr>
    </w:p>
    <w:p>
      <w:pPr>
        <w:ind w:left="1360" w:right="419" w:firstLine="338"/>
        <w:spacing w:after="0" w:line="258" w:lineRule="auto"/>
        <w:tabs>
          <w:tab w:leader="none" w:pos="1893"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Any applicable waiting period under the HSR Act with respect to the Merger shall have expired or been terminated; and (ii) any required consents, authorizations, approvals, orders, filings and declarations required to be obtained prior to the consummation of the Merger from a Governmental Authority under a Law set forth on </w:t>
      </w:r>
      <w:r>
        <w:rPr>
          <w:rFonts w:ascii="Times New Roman" w:cs="Times New Roman" w:eastAsia="Times New Roman" w:hAnsi="Times New Roman"/>
          <w:sz w:val="14"/>
          <w:szCs w:val="14"/>
          <w:u w:val="single" w:color="auto"/>
          <w:color w:val="auto"/>
        </w:rPr>
        <w:t>Section 8.1(a)</w:t>
      </w:r>
      <w:r>
        <w:rPr>
          <w:rFonts w:ascii="Times New Roman" w:cs="Times New Roman" w:eastAsia="Times New Roman" w:hAnsi="Times New Roman"/>
          <w:sz w:val="14"/>
          <w:szCs w:val="14"/>
          <w:color w:val="auto"/>
        </w:rPr>
        <w:t xml:space="preserve"> of the Gold Disclosure Letter (each, a “</w:t>
      </w:r>
      <w:r>
        <w:rPr>
          <w:rFonts w:ascii="Times New Roman" w:cs="Times New Roman" w:eastAsia="Times New Roman" w:hAnsi="Times New Roman"/>
          <w:sz w:val="14"/>
          <w:szCs w:val="14"/>
          <w:u w:val="single" w:color="auto"/>
          <w:color w:val="auto"/>
        </w:rPr>
        <w:t>Requisite Regulatory Approval</w:t>
      </w:r>
      <w:r>
        <w:rPr>
          <w:rFonts w:ascii="Times New Roman" w:cs="Times New Roman" w:eastAsia="Times New Roman" w:hAnsi="Times New Roman"/>
          <w:sz w:val="14"/>
          <w:szCs w:val="14"/>
          <w:color w:val="auto"/>
        </w:rPr>
        <w:t>”) shall have been filed, occurred or been obtained (or any applicable waiting period thereunder shall have expired or been terminated), as applicable, without the imposition of any Burdensome Condition;</w:t>
      </w:r>
    </w:p>
    <w:p>
      <w:pPr>
        <w:spacing w:after="0" w:line="143"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Separation and the Distribution shall have been consummated in accordance with the terms of the Separation Agreement in all material</w:t>
      </w:r>
    </w:p>
    <w:p>
      <w:pPr>
        <w:spacing w:after="0" w:line="21" w:lineRule="exact"/>
        <w:rPr>
          <w:rFonts w:ascii="Times New Roman" w:cs="Times New Roman" w:eastAsia="Times New Roman" w:hAnsi="Times New Roman"/>
          <w:sz w:val="14"/>
          <w:szCs w:val="14"/>
          <w:color w:val="auto"/>
        </w:rPr>
      </w:pPr>
    </w:p>
    <w:p>
      <w:pPr>
        <w:ind w:left="1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respects;</w:t>
      </w:r>
    </w:p>
    <w:p>
      <w:pPr>
        <w:spacing w:after="0" w:line="160" w:lineRule="exact"/>
        <w:rPr>
          <w:rFonts w:ascii="Times New Roman" w:cs="Times New Roman" w:eastAsia="Times New Roman" w:hAnsi="Times New Roman"/>
          <w:sz w:val="14"/>
          <w:szCs w:val="14"/>
          <w:color w:val="auto"/>
        </w:rPr>
      </w:pPr>
    </w:p>
    <w:p>
      <w:pPr>
        <w:ind w:left="1360" w:right="299" w:firstLine="338"/>
        <w:spacing w:after="0" w:line="267" w:lineRule="auto"/>
        <w:tabs>
          <w:tab w:leader="none" w:pos="1893"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Gold Registration Statement and the SpinCo Registration Statement shall have become effective in accordance with the Securities Act or the Exchange Act, as applicable, and none shall be the subject of any stop order by the SEC or actual or threatened proceedings by a Governmental Authority seeking such a stop order;</w:t>
      </w:r>
    </w:p>
    <w:p>
      <w:pPr>
        <w:spacing w:after="0" w:line="135" w:lineRule="exact"/>
        <w:rPr>
          <w:rFonts w:ascii="Times New Roman" w:cs="Times New Roman" w:eastAsia="Times New Roman" w:hAnsi="Times New Roman"/>
          <w:sz w:val="14"/>
          <w:szCs w:val="14"/>
          <w:color w:val="auto"/>
        </w:rPr>
      </w:pPr>
    </w:p>
    <w:p>
      <w:pPr>
        <w:ind w:left="1360" w:right="299" w:firstLine="338"/>
        <w:spacing w:after="0" w:line="267" w:lineRule="auto"/>
        <w:tabs>
          <w:tab w:leader="none" w:pos="1901"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Governmental Authority of competent jurisdiction in any jurisdiction set forth in </w:t>
      </w:r>
      <w:r>
        <w:rPr>
          <w:rFonts w:ascii="Times New Roman" w:cs="Times New Roman" w:eastAsia="Times New Roman" w:hAnsi="Times New Roman"/>
          <w:sz w:val="14"/>
          <w:szCs w:val="14"/>
          <w:u w:val="single" w:color="auto"/>
          <w:color w:val="auto"/>
        </w:rPr>
        <w:t>Section 8.1(d</w:t>
      </w:r>
      <w:r>
        <w:rPr>
          <w:rFonts w:ascii="Times New Roman" w:cs="Times New Roman" w:eastAsia="Times New Roman" w:hAnsi="Times New Roman"/>
          <w:sz w:val="14"/>
          <w:szCs w:val="14"/>
          <w:color w:val="auto"/>
        </w:rPr>
        <w:t>) of the SpinCo Disclosure Letter shall have enacted, promulgated, issued or granted any Law or Order that remains in effect and that has the effect of restraining, enjoining or prohibiting the consummation of the Separation, the Distribution or the Merger (each, a “</w:t>
      </w:r>
      <w:r>
        <w:rPr>
          <w:rFonts w:ascii="Times New Roman" w:cs="Times New Roman" w:eastAsia="Times New Roman" w:hAnsi="Times New Roman"/>
          <w:sz w:val="14"/>
          <w:szCs w:val="14"/>
          <w:u w:val="single" w:color="auto"/>
          <w:color w:val="auto"/>
        </w:rPr>
        <w:t>Legal Restraint</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1880" w:hanging="182"/>
        <w:spacing w:after="0"/>
        <w:tabs>
          <w:tab w:leader="none" w:pos="1880"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Gold Shareholder Approval shall have been obtained; and</w:t>
      </w:r>
    </w:p>
    <w:p>
      <w:pPr>
        <w:spacing w:after="0" w:line="175" w:lineRule="exact"/>
        <w:rPr>
          <w:rFonts w:ascii="Times New Roman" w:cs="Times New Roman" w:eastAsia="Times New Roman" w:hAnsi="Times New Roman"/>
          <w:sz w:val="14"/>
          <w:szCs w:val="14"/>
          <w:color w:val="auto"/>
        </w:rPr>
      </w:pPr>
    </w:p>
    <w:p>
      <w:pPr>
        <w:ind w:left="1360" w:right="539" w:firstLine="338"/>
        <w:spacing w:after="0" w:line="283" w:lineRule="auto"/>
        <w:tabs>
          <w:tab w:leader="none" w:pos="1878" w:val="left"/>
        </w:tabs>
        <w:numPr>
          <w:ilvl w:val="0"/>
          <w:numId w:val="3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Gold Common Stock to be issued to the holders of shares of SpinCo Common Stock pursuant to the Merger shall have been approved for listing on the Nasdaq, subject to official notice of issuance.</w:t>
      </w:r>
    </w:p>
    <w:p>
      <w:pPr>
        <w:spacing w:after="0" w:line="125"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Additional Conditions to the Obligations of Mercury and SpinCo</w:t>
      </w:r>
      <w:r>
        <w:rPr>
          <w:rFonts w:ascii="Times New Roman" w:cs="Times New Roman" w:eastAsia="Times New Roman" w:hAnsi="Times New Roman"/>
          <w:sz w:val="14"/>
          <w:szCs w:val="14"/>
          <w:color w:val="auto"/>
        </w:rPr>
        <w:t>. The obligation of Mercury and SpinCo to consummate the Merger shall be subject to the fulfillment (or, to the extent permitted by applicable Law, waiver by Mercury) at or prior to the Closing of the following additional conditions:</w:t>
      </w:r>
    </w:p>
    <w:p>
      <w:pPr>
        <w:spacing w:after="0" w:line="136" w:lineRule="exact"/>
        <w:rPr>
          <w:sz w:val="20"/>
          <w:szCs w:val="20"/>
          <w:color w:val="auto"/>
        </w:rPr>
      </w:pPr>
    </w:p>
    <w:p>
      <w:pPr>
        <w:ind w:left="1360" w:right="579" w:firstLine="338"/>
        <w:spacing w:after="0" w:line="283" w:lineRule="auto"/>
        <w:tabs>
          <w:tab w:leader="none" w:pos="1893" w:val="left"/>
        </w:tabs>
        <w:numPr>
          <w:ilvl w:val="0"/>
          <w:numId w:val="3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Gold and Merger Sub shall have performed and complied in all material respects with the obligations, covenants and agreements required by this Agreement to be performed or complied with by it at or prior to the Effective Time;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A-96</w:t>
      </w:r>
    </w:p>
    <w:p>
      <w:pPr>
        <w:sectPr>
          <w:pgSz w:w="11900" w:h="16838" w:orient="portrait"/>
          <w:cols w:equalWidth="0" w:num="1">
            <w:col w:w="10159"/>
          </w:cols>
          <w:pgMar w:left="300" w:top="386" w:right="1440"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38"/>
        <w:spacing w:after="0" w:line="253" w:lineRule="auto"/>
        <w:tabs>
          <w:tab w:leader="none" w:pos="1901"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made by Gold and Merger Sub set forth in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(other than the first sentence of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6.12(b)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6.25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6.26</w:t>
      </w:r>
      <w:r>
        <w:rPr>
          <w:rFonts w:ascii="Times New Roman" w:cs="Times New Roman" w:eastAsia="Times New Roman" w:hAnsi="Times New Roman"/>
          <w:sz w:val="14"/>
          <w:szCs w:val="14"/>
          <w:color w:val="auto"/>
        </w:rPr>
        <w:t xml:space="preserve">), without giving effect to materiality, Gold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Gold Material Adverse Effect or similar qualifications) would not reasonably be expected to have, individually or in the aggregate, a Gold Material Adverse Effect. The representations and warranties made by Gold and Merger Sub set forth in the first sentence of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6.22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6.26</w:t>
      </w:r>
      <w:r>
        <w:rPr>
          <w:rFonts w:ascii="Times New Roman" w:cs="Times New Roman" w:eastAsia="Times New Roman" w:hAnsi="Times New Roman"/>
          <w:sz w:val="14"/>
          <w:szCs w:val="14"/>
          <w:color w:val="auto"/>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Gold and Merger Sub set forth in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6.12(b)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6.25</w:t>
      </w:r>
      <w:r>
        <w:rPr>
          <w:rFonts w:ascii="Times New Roman" w:cs="Times New Roman" w:eastAsia="Times New Roman" w:hAnsi="Times New Roman"/>
          <w:sz w:val="14"/>
          <w:szCs w:val="14"/>
          <w:color w:val="auto"/>
        </w:rPr>
        <w:t xml:space="preserve"> shall be true and correct in all respects at and as of the date hereof and as of the Closing Date as though such representations and warranties were made at and as of the Closing Date (other than for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in the case of the representations and warranties set forth in </w:t>
      </w:r>
      <w:r>
        <w:rPr>
          <w:rFonts w:ascii="Times New Roman" w:cs="Times New Roman" w:eastAsia="Times New Roman" w:hAnsi="Times New Roman"/>
          <w:sz w:val="14"/>
          <w:szCs w:val="14"/>
          <w:u w:val="single" w:color="auto"/>
          <w:color w:val="auto"/>
        </w:rPr>
        <w:t>Section 6.3(a)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6.25</w:t>
      </w:r>
      <w:r>
        <w:rPr>
          <w:rFonts w:ascii="Times New Roman" w:cs="Times New Roman" w:eastAsia="Times New Roman" w:hAnsi="Times New Roman"/>
          <w:sz w:val="14"/>
          <w:szCs w:val="14"/>
          <w:color w:val="auto"/>
        </w:rPr>
        <w:t>, and except in the case of any representation or warranty that by its terms addresses matters only as of another specified date, which shall be so true and correct only as of such specified date);</w:t>
      </w:r>
    </w:p>
    <w:p>
      <w:pPr>
        <w:spacing w:after="0" w:line="145" w:lineRule="exact"/>
        <w:rPr>
          <w:rFonts w:ascii="Times New Roman" w:cs="Times New Roman" w:eastAsia="Times New Roman" w:hAnsi="Times New Roman"/>
          <w:sz w:val="14"/>
          <w:szCs w:val="14"/>
          <w:color w:val="auto"/>
        </w:rPr>
      </w:pPr>
    </w:p>
    <w:p>
      <w:pPr>
        <w:ind w:left="1360" w:right="499" w:firstLine="338"/>
        <w:spacing w:after="0" w:line="283" w:lineRule="auto"/>
        <w:tabs>
          <w:tab w:leader="none" w:pos="1893"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Gold and Merger Sub shall have delivered to Mercury a certificate dated as of the Closing Date signed by an executive officer of Gold and Merger Sub to the effect that the conditions set forth in </w:t>
      </w:r>
      <w:r>
        <w:rPr>
          <w:rFonts w:ascii="Times New Roman" w:cs="Times New Roman" w:eastAsia="Times New Roman" w:hAnsi="Times New Roman"/>
          <w:sz w:val="14"/>
          <w:szCs w:val="14"/>
          <w:u w:val="single" w:color="auto"/>
          <w:color w:val="auto"/>
        </w:rPr>
        <w:t>Section 8.2(a)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8.2(b)</w:t>
      </w:r>
      <w:r>
        <w:rPr>
          <w:rFonts w:ascii="Times New Roman" w:cs="Times New Roman" w:eastAsia="Times New Roman" w:hAnsi="Times New Roman"/>
          <w:sz w:val="14"/>
          <w:szCs w:val="14"/>
          <w:color w:val="auto"/>
        </w:rPr>
        <w:t xml:space="preserve"> have been satisfied;</w:t>
      </w:r>
    </w:p>
    <w:p>
      <w:pPr>
        <w:spacing w:after="0" w:line="124"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shall have received the Mercury Merger Tax Opinion;</w:t>
      </w:r>
    </w:p>
    <w:p>
      <w:pPr>
        <w:spacing w:after="0" w:line="175" w:lineRule="exact"/>
        <w:rPr>
          <w:rFonts w:ascii="Times New Roman" w:cs="Times New Roman" w:eastAsia="Times New Roman" w:hAnsi="Times New Roman"/>
          <w:sz w:val="14"/>
          <w:szCs w:val="14"/>
          <w:color w:val="auto"/>
        </w:rPr>
      </w:pPr>
    </w:p>
    <w:p>
      <w:pPr>
        <w:ind w:left="1360" w:right="339" w:firstLine="338"/>
        <w:spacing w:after="0" w:line="283" w:lineRule="auto"/>
        <w:tabs>
          <w:tab w:leader="none" w:pos="1893"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Mercury shall have received (i) the IRS Ruling in form and substance reasonably satisfactory to Mercury, and such IRS Ruling shall continue to be valid and in full force and effect and (ii) the Distribution Tax Opinion in form and substance reasonably satisfactory to Mercury; and</w:t>
      </w:r>
    </w:p>
    <w:p>
      <w:pPr>
        <w:spacing w:after="0" w:line="124" w:lineRule="exact"/>
        <w:rPr>
          <w:rFonts w:ascii="Times New Roman" w:cs="Times New Roman" w:eastAsia="Times New Roman" w:hAnsi="Times New Roman"/>
          <w:sz w:val="14"/>
          <w:szCs w:val="14"/>
          <w:color w:val="auto"/>
        </w:rPr>
      </w:pPr>
    </w:p>
    <w:p>
      <w:pPr>
        <w:ind w:left="1880" w:hanging="182"/>
        <w:spacing w:after="0"/>
        <w:tabs>
          <w:tab w:leader="none" w:pos="1880" w:val="left"/>
        </w:tabs>
        <w:numPr>
          <w:ilvl w:val="0"/>
          <w:numId w:val="3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SpinCo Cash Distribution shall have occurred.</w:t>
      </w:r>
    </w:p>
    <w:p>
      <w:pPr>
        <w:spacing w:after="0" w:line="17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8.3 </w:t>
      </w:r>
      <w:r>
        <w:rPr>
          <w:rFonts w:ascii="Times New Roman" w:cs="Times New Roman" w:eastAsia="Times New Roman" w:hAnsi="Times New Roman"/>
          <w:sz w:val="14"/>
          <w:szCs w:val="14"/>
          <w:u w:val="single" w:color="auto"/>
          <w:color w:val="auto"/>
        </w:rPr>
        <w:t>Additional Conditions to the Obligations of Gold and Merger Sub</w:t>
      </w:r>
      <w:r>
        <w:rPr>
          <w:rFonts w:ascii="Times New Roman" w:cs="Times New Roman" w:eastAsia="Times New Roman" w:hAnsi="Times New Roman"/>
          <w:sz w:val="14"/>
          <w:szCs w:val="14"/>
          <w:color w:val="auto"/>
        </w:rPr>
        <w:t>. The obligation of Gold and Merger Sub to consummate the Merger shall be subject to the fulfillment (or, to the extent permitted by applicable Law, waiver by Gold) at or prior to the Closing of the following additional conditions:</w:t>
      </w:r>
    </w:p>
    <w:p>
      <w:pPr>
        <w:spacing w:after="0" w:line="136" w:lineRule="exact"/>
        <w:rPr>
          <w:sz w:val="20"/>
          <w:szCs w:val="20"/>
          <w:color w:val="auto"/>
        </w:rPr>
      </w:pPr>
    </w:p>
    <w:p>
      <w:pPr>
        <w:ind w:left="1360" w:right="639" w:firstLine="338"/>
        <w:spacing w:after="0" w:line="283" w:lineRule="auto"/>
        <w:tabs>
          <w:tab w:leader="none" w:pos="1893"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Mercury and SpinCo shall have performed and complied in all material respects with the obligations, covenants and agreements required by this Agreement to be performed or complied with by it at or prior to the Effective Time;</w:t>
      </w:r>
    </w:p>
    <w:p>
      <w:pPr>
        <w:spacing w:after="0" w:line="124" w:lineRule="exact"/>
        <w:rPr>
          <w:rFonts w:ascii="Times New Roman" w:cs="Times New Roman" w:eastAsia="Times New Roman" w:hAnsi="Times New Roman"/>
          <w:sz w:val="14"/>
          <w:szCs w:val="14"/>
          <w:color w:val="auto"/>
        </w:rPr>
      </w:pPr>
    </w:p>
    <w:p>
      <w:pPr>
        <w:ind w:left="1360" w:right="259" w:firstLine="338"/>
        <w:spacing w:after="0" w:line="254" w:lineRule="auto"/>
        <w:tabs>
          <w:tab w:leader="none" w:pos="1901" w:val="left"/>
        </w:tabs>
        <w:numPr>
          <w:ilvl w:val="0"/>
          <w:numId w:val="3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made by Mercury and SpinCo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(other than </w:t>
      </w:r>
      <w:r>
        <w:rPr>
          <w:rFonts w:ascii="Times New Roman" w:cs="Times New Roman" w:eastAsia="Times New Roman" w:hAnsi="Times New Roman"/>
          <w:sz w:val="14"/>
          <w:szCs w:val="14"/>
          <w:u w:val="single" w:color="auto"/>
          <w:color w:val="auto"/>
        </w:rPr>
        <w:t>Section 4.1, Section 4.2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the first sentence of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5.3(a)-(c)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5.6(b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5.21</w:t>
      </w:r>
      <w:r>
        <w:rPr>
          <w:rFonts w:ascii="Times New Roman" w:cs="Times New Roman" w:eastAsia="Times New Roman" w:hAnsi="Times New Roman"/>
          <w:sz w:val="14"/>
          <w:szCs w:val="14"/>
          <w:color w:val="auto"/>
        </w:rPr>
        <w:t>), without giving effect to materiality, “Mercury Material Adverse Effect”, “SpinCo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“Mercury Material Adverse Effect”, “SpinCo Material Adverse Effect” or similar qualifications) would not reasonably be expected to have, individually or in the aggregate, a SpinCo Material Adverse Effect or Mercury Material Adverse Effect. The representations and warranties made by Mercury and SpinCo set forth in</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A-97</w:t>
      </w:r>
    </w:p>
    <w:p>
      <w:pPr>
        <w:sectPr>
          <w:pgSz w:w="11900" w:h="16838" w:orient="portrait"/>
          <w:cols w:equalWidth="0" w:num="1">
            <w:col w:w="10159"/>
          </w:cols>
          <w:pgMar w:left="300" w:top="385" w:right="1440"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75" w:lineRule="auto"/>
        <w:rPr>
          <w:sz w:val="20"/>
          <w:szCs w:val="20"/>
          <w:color w:val="auto"/>
        </w:rPr>
      </w:pP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4.5</w:t>
      </w:r>
      <w:r>
        <w:rPr>
          <w:rFonts w:ascii="Times New Roman" w:cs="Times New Roman" w:eastAsia="Times New Roman" w:hAnsi="Times New Roman"/>
          <w:sz w:val="13"/>
          <w:szCs w:val="13"/>
          <w:color w:val="auto"/>
        </w:rPr>
        <w:t xml:space="preserve">, the first sentence of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5.21</w:t>
      </w:r>
      <w:r>
        <w:rPr>
          <w:rFonts w:ascii="Times New Roman" w:cs="Times New Roman" w:eastAsia="Times New Roman" w:hAnsi="Times New Roman"/>
          <w:sz w:val="13"/>
          <w:szCs w:val="13"/>
          <w:color w:val="auto"/>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Mercury and SpinCo set forth in </w:t>
      </w:r>
      <w:r>
        <w:rPr>
          <w:rFonts w:ascii="Times New Roman" w:cs="Times New Roman" w:eastAsia="Times New Roman" w:hAnsi="Times New Roman"/>
          <w:sz w:val="13"/>
          <w:szCs w:val="13"/>
          <w:u w:val="single" w:color="auto"/>
          <w:color w:val="auto"/>
        </w:rPr>
        <w:t>Section 5.3(a)-(c)</w:t>
      </w:r>
      <w:r>
        <w:rPr>
          <w:rFonts w:ascii="Times New Roman" w:cs="Times New Roman" w:eastAsia="Times New Roman" w:hAnsi="Times New Roman"/>
          <w:sz w:val="13"/>
          <w:szCs w:val="13"/>
          <w:color w:val="auto"/>
        </w:rPr>
        <w:t xml:space="preserve"> and</w:t>
      </w:r>
    </w:p>
    <w:p>
      <w:pPr>
        <w:spacing w:after="0" w:line="2"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u w:val="single" w:color="auto"/>
          <w:color w:val="auto"/>
        </w:rPr>
        <w:t>Section 5.6(b)</w:t>
      </w:r>
      <w:r>
        <w:rPr>
          <w:rFonts w:ascii="Times New Roman" w:cs="Times New Roman" w:eastAsia="Times New Roman" w:hAnsi="Times New Roman"/>
          <w:sz w:val="14"/>
          <w:szCs w:val="14"/>
          <w:color w:val="auto"/>
        </w:rPr>
        <w:t xml:space="preserve"> and shall be true and correct in all respects at and as of the date hereof and as of the Closing Date as though such representations and warranties were made at and as of the Closing Date (other than for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in the case of the representations and warranties set forth in </w:t>
      </w:r>
      <w:r>
        <w:rPr>
          <w:rFonts w:ascii="Times New Roman" w:cs="Times New Roman" w:eastAsia="Times New Roman" w:hAnsi="Times New Roman"/>
          <w:sz w:val="14"/>
          <w:szCs w:val="14"/>
          <w:u w:val="single" w:color="auto"/>
          <w:color w:val="auto"/>
        </w:rPr>
        <w:t>Section 5.3(a)-(c)</w:t>
      </w:r>
      <w:r>
        <w:rPr>
          <w:rFonts w:ascii="Times New Roman" w:cs="Times New Roman" w:eastAsia="Times New Roman" w:hAnsi="Times New Roman"/>
          <w:sz w:val="14"/>
          <w:szCs w:val="14"/>
          <w:color w:val="auto"/>
        </w:rPr>
        <w:t>, and except in the case of any representation or warranty that by its terms addresses matters only as of another specified date, which shall be so true and correct only as of such specified date);</w:t>
      </w:r>
    </w:p>
    <w:p>
      <w:pPr>
        <w:spacing w:after="0" w:line="145" w:lineRule="exact"/>
        <w:rPr>
          <w:sz w:val="20"/>
          <w:szCs w:val="20"/>
          <w:color w:val="auto"/>
        </w:rPr>
      </w:pPr>
    </w:p>
    <w:p>
      <w:pPr>
        <w:ind w:left="1360" w:right="239" w:firstLine="338"/>
        <w:spacing w:after="0" w:line="283" w:lineRule="auto"/>
        <w:tabs>
          <w:tab w:leader="none" w:pos="1893"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Mercury shall have delivered to Gold a certificate dated as of the Closing Date signed by an executive officer of Mercury to the effect that each of the conditions set forth in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8.3(b)</w:t>
      </w:r>
      <w:r>
        <w:rPr>
          <w:rFonts w:ascii="Times New Roman" w:cs="Times New Roman" w:eastAsia="Times New Roman" w:hAnsi="Times New Roman"/>
          <w:sz w:val="14"/>
          <w:szCs w:val="14"/>
          <w:color w:val="auto"/>
        </w:rPr>
        <w:t xml:space="preserve"> have been satisfied; and</w:t>
      </w:r>
    </w:p>
    <w:p>
      <w:pPr>
        <w:spacing w:after="0" w:line="124"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4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shall have received the Gold Merger Tax Opinion.</w:t>
      </w:r>
    </w:p>
    <w:p>
      <w:pPr>
        <w:spacing w:after="0" w:line="3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TERMINATION</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9.1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may be terminated and the transactions contemplated hereby may be abandoned at any time prior to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Effective Time:</w:t>
      </w:r>
    </w:p>
    <w:p>
      <w:pPr>
        <w:spacing w:after="0" w:line="161" w:lineRule="exact"/>
        <w:rPr>
          <w:sz w:val="20"/>
          <w:szCs w:val="20"/>
          <w:color w:val="auto"/>
        </w:rPr>
      </w:pPr>
    </w:p>
    <w:p>
      <w:pPr>
        <w:ind w:left="1880" w:hanging="182"/>
        <w:spacing w:after="0"/>
        <w:tabs>
          <w:tab w:leader="none" w:pos="1880"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agreement of Mercury and Gold;</w:t>
      </w:r>
    </w:p>
    <w:p>
      <w:pPr>
        <w:spacing w:after="0" w:line="175" w:lineRule="exact"/>
        <w:rPr>
          <w:rFonts w:ascii="Times New Roman" w:cs="Times New Roman" w:eastAsia="Times New Roman" w:hAnsi="Times New Roman"/>
          <w:sz w:val="14"/>
          <w:szCs w:val="14"/>
          <w:color w:val="auto"/>
        </w:rPr>
      </w:pPr>
    </w:p>
    <w:p>
      <w:pPr>
        <w:ind w:left="1360" w:right="259" w:firstLine="338"/>
        <w:spacing w:after="0" w:line="234" w:lineRule="auto"/>
        <w:tabs>
          <w:tab w:leader="none" w:pos="1901"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Mercury or Gold, if the Closing shall not have occurred on or prior to March 31, 2027 (the “</w:t>
      </w:r>
      <w:r>
        <w:rPr>
          <w:rFonts w:ascii="Times New Roman" w:cs="Times New Roman" w:eastAsia="Times New Roman" w:hAnsi="Times New Roman"/>
          <w:sz w:val="14"/>
          <w:szCs w:val="14"/>
          <w:u w:val="single" w:color="auto"/>
          <w:color w:val="auto"/>
        </w:rPr>
        <w:t>Outside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any of the conditions to the Closing set forth in </w:t>
      </w:r>
      <w:r>
        <w:rPr>
          <w:rFonts w:ascii="Times New Roman" w:cs="Times New Roman" w:eastAsia="Times New Roman" w:hAnsi="Times New Roman"/>
          <w:sz w:val="14"/>
          <w:szCs w:val="14"/>
          <w:u w:val="single" w:color="auto"/>
          <w:color w:val="auto"/>
        </w:rPr>
        <w:t>Section 8.1(a)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8.1(d)</w:t>
      </w:r>
      <w:r>
        <w:rPr>
          <w:rFonts w:ascii="Times New Roman" w:cs="Times New Roman" w:eastAsia="Times New Roman" w:hAnsi="Times New Roman"/>
          <w:sz w:val="14"/>
          <w:szCs w:val="14"/>
          <w:color w:val="auto"/>
        </w:rPr>
        <w:t xml:space="preserve"> (solely as it relates to any Antitrust Law or Foreign Investment Law) have not been satisfied or waived (to the extent permitted by applicable Law) on or prior to 5:00 p.m. Eastern Time on the fourth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Business Day prior to the Outside Date, but all other conditions to the Closing set forth in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have been satisfied or waived (to the extent permitted by applicable Law) (other than the conditions to the Closing set forth in </w:t>
      </w:r>
      <w:r>
        <w:rPr>
          <w:rFonts w:ascii="Times New Roman" w:cs="Times New Roman" w:eastAsia="Times New Roman" w:hAnsi="Times New Roman"/>
          <w:sz w:val="14"/>
          <w:szCs w:val="14"/>
          <w:u w:val="single" w:color="auto"/>
          <w:color w:val="auto"/>
        </w:rPr>
        <w:t>Section 8.1(c)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8.2(e)</w:t>
      </w:r>
      <w:r>
        <w:rPr>
          <w:rFonts w:ascii="Times New Roman" w:cs="Times New Roman" w:eastAsia="Times New Roman" w:hAnsi="Times New Roman"/>
          <w:sz w:val="14"/>
          <w:szCs w:val="14"/>
          <w:color w:val="auto"/>
        </w:rPr>
        <w:t xml:space="preserve"> and those conditions that by their nature are to be satisfied at the Closing (including the conditions to the Closing set forth in </w:t>
      </w:r>
      <w:r>
        <w:rPr>
          <w:rFonts w:ascii="Times New Roman" w:cs="Times New Roman" w:eastAsia="Times New Roman" w:hAnsi="Times New Roman"/>
          <w:sz w:val="14"/>
          <w:szCs w:val="14"/>
          <w:u w:val="single" w:color="auto"/>
          <w:color w:val="auto"/>
        </w:rPr>
        <w:t>Section 8.1(b)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8.2(c)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8.2(d)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8.2(f)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8.3(c)</w:t>
      </w:r>
      <w:r>
        <w:rPr>
          <w:rFonts w:ascii="Times New Roman" w:cs="Times New Roman" w:eastAsia="Times New Roman" w:hAnsi="Times New Roman"/>
          <w:sz w:val="14"/>
          <w:szCs w:val="14"/>
          <w:color w:val="auto"/>
        </w:rPr>
        <w:t xml:space="preserve"> and</w:t>
      </w:r>
    </w:p>
    <w:p>
      <w:pPr>
        <w:spacing w:after="0" w:line="3" w:lineRule="exact"/>
        <w:rPr>
          <w:rFonts w:ascii="Times New Roman" w:cs="Times New Roman" w:eastAsia="Times New Roman" w:hAnsi="Times New Roman"/>
          <w:sz w:val="14"/>
          <w:szCs w:val="14"/>
          <w:color w:val="auto"/>
        </w:rPr>
      </w:pPr>
    </w:p>
    <w:p>
      <w:pPr>
        <w:ind w:left="1360" w:right="25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8.3(d)</w:t>
      </w:r>
      <w:r>
        <w:rPr>
          <w:rFonts w:ascii="Times New Roman" w:cs="Times New Roman" w:eastAsia="Times New Roman" w:hAnsi="Times New Roman"/>
          <w:sz w:val="14"/>
          <w:szCs w:val="14"/>
          <w:color w:val="auto"/>
        </w:rPr>
        <w:t>, in each case, so long as such conditions are reasonably capable of being satisfied if the Closing were to occur on the Outside Date)), the Outside Date will be automatically extended, without any action on the part of any Party, to June 30, 2027 and, if so extended, such date shall be the “</w:t>
      </w:r>
      <w:r>
        <w:rPr>
          <w:rFonts w:ascii="Times New Roman" w:cs="Times New Roman" w:eastAsia="Times New Roman" w:hAnsi="Times New Roman"/>
          <w:sz w:val="14"/>
          <w:szCs w:val="14"/>
          <w:u w:val="single" w:color="auto"/>
          <w:color w:val="auto"/>
        </w:rPr>
        <w:t>Outside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9.1(b)</w:t>
      </w:r>
      <w:r>
        <w:rPr>
          <w:rFonts w:ascii="Times New Roman" w:cs="Times New Roman" w:eastAsia="Times New Roman" w:hAnsi="Times New Roman"/>
          <w:sz w:val="14"/>
          <w:szCs w:val="14"/>
          <w:color w:val="auto"/>
        </w:rPr>
        <w:t xml:space="preserve"> shall not be available to any Party whose action or failure to comply with its obligations under this Agreement or the Separation Agreement has been the primary cause of, or has primarily resulted in, the failure of the Closing to occur on or prior to such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notwithstanding the foregoing provisions of this </w:t>
      </w:r>
      <w:r>
        <w:rPr>
          <w:rFonts w:ascii="Times New Roman" w:cs="Times New Roman" w:eastAsia="Times New Roman" w:hAnsi="Times New Roman"/>
          <w:sz w:val="14"/>
          <w:szCs w:val="14"/>
          <w:u w:val="single" w:color="auto"/>
          <w:color w:val="auto"/>
        </w:rPr>
        <w:t>Section 9.1(b)</w:t>
      </w:r>
      <w:r>
        <w:rPr>
          <w:rFonts w:ascii="Times New Roman" w:cs="Times New Roman" w:eastAsia="Times New Roman" w:hAnsi="Times New Roman"/>
          <w:sz w:val="14"/>
          <w:szCs w:val="14"/>
          <w:color w:val="auto"/>
        </w:rPr>
        <w:t>, Mercury and Gold may mutually agree in writing to amend the Outside Date to any other date as they mutually agree;</w:t>
      </w:r>
    </w:p>
    <w:p>
      <w:pPr>
        <w:spacing w:after="0" w:line="148" w:lineRule="exact"/>
        <w:rPr>
          <w:rFonts w:ascii="Times New Roman" w:cs="Times New Roman" w:eastAsia="Times New Roman" w:hAnsi="Times New Roman"/>
          <w:sz w:val="14"/>
          <w:szCs w:val="14"/>
          <w:color w:val="auto"/>
        </w:rPr>
      </w:pPr>
    </w:p>
    <w:p>
      <w:pPr>
        <w:jc w:val="both"/>
        <w:ind w:left="1360" w:right="359" w:firstLine="338"/>
        <w:spacing w:after="0" w:line="261" w:lineRule="auto"/>
        <w:tabs>
          <w:tab w:leader="none" w:pos="1893"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Mercury or Gold, if any Legal Restraint permanently preventing or prohibiting consummation of the Merger or the Separation shall be in effect and shall have become final and non-appealable;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9.1(c)</w:t>
      </w:r>
      <w:r>
        <w:rPr>
          <w:rFonts w:ascii="Times New Roman" w:cs="Times New Roman" w:eastAsia="Times New Roman" w:hAnsi="Times New Roman"/>
          <w:sz w:val="14"/>
          <w:szCs w:val="14"/>
          <w:color w:val="auto"/>
        </w:rPr>
        <w:t xml:space="preserve"> shall not be available to any Party whose action or failure to perform any of its obligations under this Agreement or the Separation Agreement is the primary cause of, or primarily resulted in, the enactment or issuance of any such Legal Restraint;</w:t>
      </w:r>
    </w:p>
    <w:p>
      <w:pPr>
        <w:spacing w:after="0" w:line="140" w:lineRule="exact"/>
        <w:rPr>
          <w:rFonts w:ascii="Times New Roman" w:cs="Times New Roman" w:eastAsia="Times New Roman" w:hAnsi="Times New Roman"/>
          <w:sz w:val="14"/>
          <w:szCs w:val="14"/>
          <w:color w:val="auto"/>
        </w:rPr>
      </w:pPr>
    </w:p>
    <w:p>
      <w:pPr>
        <w:ind w:left="1360" w:right="619" w:firstLine="338"/>
        <w:spacing w:after="0" w:line="267" w:lineRule="auto"/>
        <w:tabs>
          <w:tab w:leader="none" w:pos="1901" w:val="left"/>
        </w:tabs>
        <w:numPr>
          <w:ilvl w:val="0"/>
          <w:numId w:val="4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Gold upon written notice to Mercury, in the event of a breach of any representation, warranty, covenant or agreement on the part of Mercury or SpinCo, such that the conditions specified in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8.3(b)</w:t>
      </w:r>
      <w:r>
        <w:rPr>
          <w:rFonts w:ascii="Times New Roman" w:cs="Times New Roman" w:eastAsia="Times New Roman" w:hAnsi="Times New Roman"/>
          <w:sz w:val="14"/>
          <w:szCs w:val="14"/>
          <w:color w:val="auto"/>
        </w:rPr>
        <w:t xml:space="preserve"> would not be satisfied at the Closing, and which, (i) with respect to any such breach that is capable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5522595</wp:posOffset>
            </wp:positionH>
            <wp:positionV relativeFrom="paragraph">
              <wp:posOffset>-2166620</wp:posOffset>
            </wp:positionV>
            <wp:extent cx="2222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22225" cy="698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-1312545</wp:posOffset>
            </wp:positionV>
            <wp:extent cx="22225"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A-98</w:t>
      </w:r>
    </w:p>
    <w:p>
      <w:pPr>
        <w:sectPr>
          <w:pgSz w:w="11900" w:h="16838" w:orient="portrait"/>
          <w:cols w:equalWidth="0" w:num="1">
            <w:col w:w="10159"/>
          </w:cols>
          <w:pgMar w:left="300" w:top="386" w:right="1440"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 xml:space="preserve">of being cured by the Outside Date, is not cured by Mercury or SpinCo by the earlier of: (x) sixty (60) days after receipt by Mercury of written notice thereof or (y) the Outside Date, or (ii) is incapable of being cured prior to the Outside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Gold shall not have the right to terminate this Agreement pursuant to this </w:t>
      </w:r>
      <w:r>
        <w:rPr>
          <w:rFonts w:ascii="Times New Roman" w:cs="Times New Roman" w:eastAsia="Times New Roman" w:hAnsi="Times New Roman"/>
          <w:sz w:val="14"/>
          <w:szCs w:val="14"/>
          <w:u w:val="single" w:color="auto"/>
          <w:color w:val="auto"/>
        </w:rPr>
        <w:t>Section 9.1(d)</w:t>
      </w:r>
      <w:r>
        <w:rPr>
          <w:rFonts w:ascii="Times New Roman" w:cs="Times New Roman" w:eastAsia="Times New Roman" w:hAnsi="Times New Roman"/>
          <w:sz w:val="14"/>
          <w:szCs w:val="14"/>
          <w:color w:val="auto"/>
        </w:rPr>
        <w:t xml:space="preserve"> if Gold or Merger Sub is then in breach of any of its representations, warranties, covenants or agreements set forth in this Agreement to the extent such breach or breaches would give rise to the failure of a condition set forth in </w:t>
      </w:r>
      <w:r>
        <w:rPr>
          <w:rFonts w:ascii="Times New Roman" w:cs="Times New Roman" w:eastAsia="Times New Roman" w:hAnsi="Times New Roman"/>
          <w:sz w:val="14"/>
          <w:szCs w:val="14"/>
          <w:u w:val="single" w:color="auto"/>
          <w:color w:val="auto"/>
        </w:rPr>
        <w:t>Section 8.2(a)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8.2(b)</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360" w:right="259" w:firstLine="338"/>
        <w:spacing w:after="0" w:line="256" w:lineRule="auto"/>
        <w:tabs>
          <w:tab w:leader="none" w:pos="1893"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Mercury upon written notice to Gold, in the event of a breach of any representation, warranty, covenant or agreement contained in this Agreement on the part of Gold or Merger Sub such that the conditions specified in </w:t>
      </w:r>
      <w:r>
        <w:rPr>
          <w:rFonts w:ascii="Times New Roman" w:cs="Times New Roman" w:eastAsia="Times New Roman" w:hAnsi="Times New Roman"/>
          <w:sz w:val="14"/>
          <w:szCs w:val="14"/>
          <w:u w:val="single" w:color="auto"/>
          <w:color w:val="auto"/>
        </w:rPr>
        <w:t>Section 8.2(a)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8.2(b)</w:t>
      </w:r>
      <w:r>
        <w:rPr>
          <w:rFonts w:ascii="Times New Roman" w:cs="Times New Roman" w:eastAsia="Times New Roman" w:hAnsi="Times New Roman"/>
          <w:sz w:val="14"/>
          <w:szCs w:val="14"/>
          <w:color w:val="auto"/>
        </w:rPr>
        <w:t xml:space="preserve"> would not be satisfied at the Closing, and which, (i) with respect to any such breach that is capable of being cured by the Outside Date, is not cured by Gold by the earlier of: (x) sixty (60) days after receipt by Gold of written notice thereof; or (y) the Outside Date, or (ii) is incapable of being cured prior to the Outside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Mercury shall not have the right to terminate this Agreement pursuant to this </w:t>
      </w:r>
      <w:r>
        <w:rPr>
          <w:rFonts w:ascii="Times New Roman" w:cs="Times New Roman" w:eastAsia="Times New Roman" w:hAnsi="Times New Roman"/>
          <w:sz w:val="14"/>
          <w:szCs w:val="14"/>
          <w:u w:val="single" w:color="auto"/>
          <w:color w:val="auto"/>
        </w:rPr>
        <w:t>Section 9.1(e)</w:t>
      </w:r>
      <w:r>
        <w:rPr>
          <w:rFonts w:ascii="Times New Roman" w:cs="Times New Roman" w:eastAsia="Times New Roman" w:hAnsi="Times New Roman"/>
          <w:sz w:val="14"/>
          <w:szCs w:val="14"/>
          <w:color w:val="auto"/>
        </w:rPr>
        <w:t xml:space="preserve"> if Mercury or SpinCo is then in breach of any of its representations, warranties, covenants or agreements set forth in this Agreement to the extent such breach or breaches would give rise to the failure of a condition set forth in </w:t>
      </w:r>
      <w:r>
        <w:rPr>
          <w:rFonts w:ascii="Times New Roman" w:cs="Times New Roman" w:eastAsia="Times New Roman" w:hAnsi="Times New Roman"/>
          <w:sz w:val="14"/>
          <w:szCs w:val="14"/>
          <w:u w:val="single" w:color="auto"/>
          <w:color w:val="auto"/>
        </w:rPr>
        <w:t>Section 8.3(a)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8.3(b)</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1360" w:right="339" w:firstLine="338"/>
        <w:spacing w:after="0" w:line="261" w:lineRule="auto"/>
        <w:tabs>
          <w:tab w:leader="none" w:pos="1878"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Mercury or Gold if the Gold Shareholder Approval shall not have been obtained upon a vote taken thereon at the Gold Shareholders Meeting, duly convened therefor, or at any adjournment or postponement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9.1(f)</w:t>
      </w:r>
      <w:r>
        <w:rPr>
          <w:rFonts w:ascii="Times New Roman" w:cs="Times New Roman" w:eastAsia="Times New Roman" w:hAnsi="Times New Roman"/>
          <w:sz w:val="14"/>
          <w:szCs w:val="14"/>
          <w:color w:val="auto"/>
        </w:rPr>
        <w:t xml:space="preserve"> shall not be available to any Party whose action or failure to perform any of its obligations under this Agreement is the primary cause of, or primarily resulted in, the failure to obtain such Gold Shareholder Approval; or</w:t>
      </w:r>
    </w:p>
    <w:p>
      <w:pPr>
        <w:spacing w:after="0" w:line="140" w:lineRule="exact"/>
        <w:rPr>
          <w:rFonts w:ascii="Times New Roman" w:cs="Times New Roman" w:eastAsia="Times New Roman" w:hAnsi="Times New Roman"/>
          <w:sz w:val="14"/>
          <w:szCs w:val="14"/>
          <w:color w:val="auto"/>
        </w:rPr>
      </w:pPr>
    </w:p>
    <w:p>
      <w:pPr>
        <w:ind w:left="1360" w:right="1059" w:firstLine="338"/>
        <w:spacing w:after="0" w:line="283" w:lineRule="auto"/>
        <w:tabs>
          <w:tab w:leader="none" w:pos="1901" w:val="left"/>
        </w:tabs>
        <w:numPr>
          <w:ilvl w:val="0"/>
          <w:numId w:val="4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Mercury, at any time prior to obtaining the Gold Shareholder Approval, if the Gold Board shall have effected a Gold Adverse Recommendation Change.</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9.2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In the event of termination of this Agreement in accordance with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this Agreement shall forthwith</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become null and void and have no effect, without any Liability on the part of any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termination shall relieve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-14605</wp:posOffset>
            </wp:positionV>
            <wp:extent cx="2222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4"/>
          <w:szCs w:val="14"/>
          <w:color w:val="auto"/>
        </w:rPr>
        <w:t xml:space="preserve">Party of any liability or damages resulting from Fraud or Willful Breach;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u w:val="single" w:color="auto"/>
          <w:color w:val="auto"/>
        </w:rPr>
        <w:t>Section 7.5(f)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7.5(h)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7.5(i)</w:t>
      </w:r>
      <w:r>
        <w:rPr>
          <w:rFonts w:ascii="Times New Roman" w:cs="Times New Roman" w:eastAsia="Times New Roman" w:hAnsi="Times New Roman"/>
          <w:sz w:val="14"/>
          <w:szCs w:val="14"/>
          <w:color w:val="auto"/>
        </w:rPr>
        <w: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Section 7.5(j)</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7.7(d)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7.24(e)</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hereof shall survive any termination of this Agreement.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Confidentiality Agreement shall not be affected by a termination of this Agreement.</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9.3 </w:t>
      </w:r>
      <w:r>
        <w:rPr>
          <w:rFonts w:ascii="Times New Roman" w:cs="Times New Roman" w:eastAsia="Times New Roman" w:hAnsi="Times New Roman"/>
          <w:sz w:val="14"/>
          <w:szCs w:val="14"/>
          <w:u w:val="single" w:color="auto"/>
          <w:color w:val="auto"/>
        </w:rPr>
        <w:t>Termination Fee; Other Fees and Expenses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19" w:firstLine="338"/>
        <w:spacing w:after="0" w:line="261" w:lineRule="auto"/>
        <w:tabs>
          <w:tab w:leader="none" w:pos="1893"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provided in the Separation Agreement or this Agreement, including this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7.4(d), Section 7.5(f)</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7.24(e)</w:t>
      </w:r>
      <w:r>
        <w:rPr>
          <w:rFonts w:ascii="Times New Roman" w:cs="Times New Roman" w:eastAsia="Times New Roman" w:hAnsi="Times New Roman"/>
          <w:sz w:val="14"/>
          <w:szCs w:val="14"/>
          <w:color w:val="auto"/>
        </w:rPr>
        <w:t xml:space="preserve">, all fees and expenses incurred by the Parties shall be borne solely by the Party that has incurred such fees and expenses, whether or not the Merger is consummated;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expenses in connection with printing and mailing the Gold Registration Statement, the Proxy Statement, the SpinCo Registration Statement and the Distribution Documents, shall be borne equally by Mercury and Gold.</w:t>
      </w:r>
    </w:p>
    <w:p>
      <w:pPr>
        <w:spacing w:after="0" w:line="140" w:lineRule="exact"/>
        <w:rPr>
          <w:rFonts w:ascii="Times New Roman" w:cs="Times New Roman" w:eastAsia="Times New Roman" w:hAnsi="Times New Roman"/>
          <w:sz w:val="14"/>
          <w:szCs w:val="14"/>
          <w:color w:val="auto"/>
        </w:rPr>
      </w:pPr>
    </w:p>
    <w:p>
      <w:pPr>
        <w:ind w:left="1360" w:right="319" w:firstLine="338"/>
        <w:spacing w:after="0" w:line="261" w:lineRule="auto"/>
        <w:tabs>
          <w:tab w:leader="none" w:pos="1901" w:val="left"/>
        </w:tabs>
        <w:numPr>
          <w:ilvl w:val="0"/>
          <w:numId w:val="4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this Agreement is terminated (i) pursuant to </w:t>
      </w:r>
      <w:r>
        <w:rPr>
          <w:rFonts w:ascii="Times New Roman" w:cs="Times New Roman" w:eastAsia="Times New Roman" w:hAnsi="Times New Roman"/>
          <w:sz w:val="14"/>
          <w:szCs w:val="14"/>
          <w:u w:val="single" w:color="auto"/>
          <w:color w:val="auto"/>
        </w:rPr>
        <w:t>Section 9.1(g)</w:t>
      </w:r>
      <w:r>
        <w:rPr>
          <w:rFonts w:ascii="Times New Roman" w:cs="Times New Roman" w:eastAsia="Times New Roman" w:hAnsi="Times New Roman"/>
          <w:sz w:val="14"/>
          <w:szCs w:val="14"/>
          <w:color w:val="auto"/>
        </w:rPr>
        <w:t xml:space="preserve"> (or pursuant to any other provision of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when Mercury had the right to terminate this Agreement pursuant to </w:t>
      </w:r>
      <w:r>
        <w:rPr>
          <w:rFonts w:ascii="Times New Roman" w:cs="Times New Roman" w:eastAsia="Times New Roman" w:hAnsi="Times New Roman"/>
          <w:sz w:val="14"/>
          <w:szCs w:val="14"/>
          <w:u w:val="single" w:color="auto"/>
          <w:color w:val="auto"/>
        </w:rPr>
        <w:t>Section 9.1(g)</w:t>
      </w:r>
      <w:r>
        <w:rPr>
          <w:rFonts w:ascii="Times New Roman" w:cs="Times New Roman" w:eastAsia="Times New Roman" w:hAnsi="Times New Roman"/>
          <w:sz w:val="14"/>
          <w:szCs w:val="14"/>
          <w:color w:val="auto"/>
        </w:rPr>
        <w:t xml:space="preserve">) or (ii) (A) pursuant to </w:t>
      </w:r>
      <w:r>
        <w:rPr>
          <w:rFonts w:ascii="Times New Roman" w:cs="Times New Roman" w:eastAsia="Times New Roman" w:hAnsi="Times New Roman"/>
          <w:sz w:val="14"/>
          <w:szCs w:val="14"/>
          <w:u w:val="single" w:color="auto"/>
          <w:color w:val="auto"/>
        </w:rPr>
        <w:t>Section 9.1(e)</w:t>
      </w:r>
      <w:r>
        <w:rPr>
          <w:rFonts w:ascii="Times New Roman" w:cs="Times New Roman" w:eastAsia="Times New Roman" w:hAnsi="Times New Roman"/>
          <w:sz w:val="14"/>
          <w:szCs w:val="14"/>
          <w:color w:val="auto"/>
        </w:rPr>
        <w:t xml:space="preserve">, (B) pursuant to </w:t>
      </w:r>
      <w:r>
        <w:rPr>
          <w:rFonts w:ascii="Times New Roman" w:cs="Times New Roman" w:eastAsia="Times New Roman" w:hAnsi="Times New Roman"/>
          <w:sz w:val="14"/>
          <w:szCs w:val="14"/>
          <w:u w:val="single" w:color="auto"/>
          <w:color w:val="auto"/>
        </w:rPr>
        <w:t>Section 9.1(b)</w:t>
      </w:r>
      <w:r>
        <w:rPr>
          <w:rFonts w:ascii="Times New Roman" w:cs="Times New Roman" w:eastAsia="Times New Roman" w:hAnsi="Times New Roman"/>
          <w:sz w:val="14"/>
          <w:szCs w:val="14"/>
          <w:color w:val="auto"/>
        </w:rPr>
        <w:t>, or (C) pursuant to</w:t>
      </w:r>
    </w:p>
    <w:p>
      <w:pPr>
        <w:ind w:left="1360" w:right="23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9.1(f)</w:t>
      </w:r>
      <w:r>
        <w:rPr>
          <w:rFonts w:ascii="Times New Roman" w:cs="Times New Roman" w:eastAsia="Times New Roman" w:hAnsi="Times New Roman"/>
          <w:sz w:val="14"/>
          <w:szCs w:val="14"/>
          <w:color w:val="auto"/>
        </w:rPr>
        <w:t xml:space="preserve"> and, in the case of each of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(and with respect to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prior to such termination), a Competing Proposal shall have been publicly announced or disclosed (or otherwise communicated to the Gold Board) at any time after the date of this Agreement and (if made or communicated publicly) not publicly withdrawn at least five (5) Business Days prior to the date of termination or, with respect to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prior to the Gold Shareholders Meeting, and within twelve (12) months after the date of such termination, a transaction in respect of a Competing Proposal is consummated or Gold enters into a definitive agreement in respect of a Competing</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A-99</w:t>
      </w:r>
    </w:p>
    <w:p>
      <w:pPr>
        <w:sectPr>
          <w:pgSz w:w="11900" w:h="16838" w:orient="portrait"/>
          <w:cols w:equalWidth="0" w:num="1">
            <w:col w:w="10159"/>
          </w:cols>
          <w:pgMar w:left="300" w:top="386" w:right="1440"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78" w:lineRule="auto"/>
        <w:rPr>
          <w:sz w:val="20"/>
          <w:szCs w:val="20"/>
          <w:color w:val="auto"/>
        </w:rPr>
      </w:pPr>
      <w:r>
        <w:rPr>
          <w:rFonts w:ascii="Times New Roman" w:cs="Times New Roman" w:eastAsia="Times New Roman" w:hAnsi="Times New Roman"/>
          <w:sz w:val="13"/>
          <w:szCs w:val="13"/>
          <w:color w:val="auto"/>
        </w:rPr>
        <w:t>Proposal (which, in each case, need not be the same Competing Proposal that was made, disclosed or communicated prior to the termination hereof, and regardless of when such Competing Proposal was made or the counterparty thereto), then Gold shall pay, or cause to be paid, to Mercury $45,000,000 (the “</w:t>
      </w:r>
      <w:r>
        <w:rPr>
          <w:rFonts w:ascii="Times New Roman" w:cs="Times New Roman" w:eastAsia="Times New Roman" w:hAnsi="Times New Roman"/>
          <w:sz w:val="13"/>
          <w:szCs w:val="13"/>
          <w:u w:val="single" w:color="auto"/>
          <w:color w:val="auto"/>
        </w:rPr>
        <w:t>Gold Termination Fee</w:t>
      </w:r>
      <w:r>
        <w:rPr>
          <w:rFonts w:ascii="Times New Roman" w:cs="Times New Roman" w:eastAsia="Times New Roman" w:hAnsi="Times New Roman"/>
          <w:sz w:val="13"/>
          <w:szCs w:val="13"/>
          <w:color w:val="auto"/>
        </w:rPr>
        <w:t xml:space="preserve">”), by wire transfer of immediately available funds to an account or accounts specified by Mercury on the second Business Day following termination of this Agreement (with respect to </w:t>
      </w:r>
      <w:r>
        <w:rPr>
          <w:rFonts w:ascii="Times New Roman" w:cs="Times New Roman" w:eastAsia="Times New Roman" w:hAnsi="Times New Roman"/>
          <w:sz w:val="13"/>
          <w:szCs w:val="13"/>
          <w:u w:val="single" w:color="auto"/>
          <w:color w:val="auto"/>
        </w:rPr>
        <w:t>clause (i)</w:t>
      </w:r>
      <w:r>
        <w:rPr>
          <w:rFonts w:ascii="Times New Roman" w:cs="Times New Roman" w:eastAsia="Times New Roman" w:hAnsi="Times New Roman"/>
          <w:sz w:val="13"/>
          <w:szCs w:val="13"/>
          <w:color w:val="auto"/>
        </w:rPr>
        <w:t xml:space="preserve">) or the second Business Day following the earlier of the date Gold enters into a definitive agreement in respect of and the date Gold consummates the applicable transaction (with respect to </w:t>
      </w:r>
      <w:r>
        <w:rPr>
          <w:rFonts w:ascii="Times New Roman" w:cs="Times New Roman" w:eastAsia="Times New Roman" w:hAnsi="Times New Roman"/>
          <w:sz w:val="13"/>
          <w:szCs w:val="13"/>
          <w:u w:val="single" w:color="auto"/>
          <w:color w:val="auto"/>
        </w:rPr>
        <w:t>clause (ii)</w:t>
      </w:r>
      <w:r>
        <w:rPr>
          <w:rFonts w:ascii="Times New Roman" w:cs="Times New Roman" w:eastAsia="Times New Roman" w:hAnsi="Times New Roman"/>
          <w:sz w:val="13"/>
          <w:szCs w:val="13"/>
          <w:color w:val="auto"/>
        </w:rPr>
        <w:t xml:space="preserve">), as applicable;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solely for purposes of this </w:t>
      </w:r>
      <w:r>
        <w:rPr>
          <w:rFonts w:ascii="Times New Roman" w:cs="Times New Roman" w:eastAsia="Times New Roman" w:hAnsi="Times New Roman"/>
          <w:sz w:val="13"/>
          <w:szCs w:val="13"/>
          <w:u w:val="single" w:color="auto"/>
          <w:color w:val="auto"/>
        </w:rPr>
        <w:t>Section 9.3(b</w:t>
      </w:r>
      <w:r>
        <w:rPr>
          <w:rFonts w:ascii="Times New Roman" w:cs="Times New Roman" w:eastAsia="Times New Roman" w:hAnsi="Times New Roman"/>
          <w:sz w:val="13"/>
          <w:szCs w:val="13"/>
          <w:color w:val="auto"/>
        </w:rPr>
        <w:t xml:space="preserve">), the term “Competing Proposal” shall have the meaning set forth in </w:t>
      </w:r>
      <w:r>
        <w:rPr>
          <w:rFonts w:ascii="Times New Roman" w:cs="Times New Roman" w:eastAsia="Times New Roman" w:hAnsi="Times New Roman"/>
          <w:sz w:val="13"/>
          <w:szCs w:val="13"/>
          <w:u w:val="single" w:color="auto"/>
          <w:color w:val="auto"/>
        </w:rPr>
        <w:t>Section 7.9(g)</w:t>
      </w:r>
      <w:r>
        <w:rPr>
          <w:rFonts w:ascii="Times New Roman" w:cs="Times New Roman" w:eastAsia="Times New Roman" w:hAnsi="Times New Roman"/>
          <w:sz w:val="13"/>
          <w:szCs w:val="13"/>
          <w:color w:val="auto"/>
        </w:rPr>
        <w:t>, except that all references to 20% shall instead refer to 50%. In no event shall Gold be required to pay the Gold Termination Fee on more than one occasion.</w:t>
      </w:r>
    </w:p>
    <w:p>
      <w:pPr>
        <w:spacing w:after="0" w:line="133" w:lineRule="exact"/>
        <w:rPr>
          <w:sz w:val="20"/>
          <w:szCs w:val="20"/>
          <w:color w:val="auto"/>
        </w:rPr>
      </w:pPr>
    </w:p>
    <w:p>
      <w:pPr>
        <w:ind w:left="1360" w:right="239" w:firstLine="338"/>
        <w:spacing w:after="0" w:line="252" w:lineRule="auto"/>
        <w:tabs>
          <w:tab w:leader="none" w:pos="1893" w:val="left"/>
        </w:tabs>
        <w:numPr>
          <w:ilvl w:val="0"/>
          <w:numId w:val="4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payment of the Gold Termination Fee shall be compensation and liquidated damages for the loss suffered by Mercury as a result of the failure of the Merger to be consummated and to avoid the difficulty of determining damages under the circumstances. Each of the Parties acknowledges that the Gold Termination Fee is not intended to be a penalty, but rather represents liquidated damages in a reasonable amount that will compensate Mercury in the circumstances in which such Gold Termination Fee is due and payable, for the efforts and resources expended and opportunities foregone while negotiating this Agreement and in reliance on this Agreement and on the expectation of the consummation of the transactions contemplated by this Agreement, which amount would otherwise be impossible to calculate with precision. Each Party further agrees that the agreements contained in this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are an integral part of the transactions contemplated by this Agreement, and that, without these agreements, the Parties would not enter into this Agreement. Accordingly, if Gold fails to pay any amounts due under this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and, in order to obtain such payment, Mercury commences a suit that results in a judgment against Gold for such amounts, Gold shall pay interest on such amounts from the date payment of such amounts was due to the date of actual payment at the rate equal to the prime rate published in the </w:t>
      </w:r>
      <w:r>
        <w:rPr>
          <w:rFonts w:ascii="Times New Roman" w:cs="Times New Roman" w:eastAsia="Times New Roman" w:hAnsi="Times New Roman"/>
          <w:sz w:val="14"/>
          <w:szCs w:val="14"/>
          <w:i w:val="1"/>
          <w:iCs w:val="1"/>
          <w:color w:val="auto"/>
        </w:rPr>
        <w:t>Wall Street Journal</w:t>
      </w:r>
      <w:r>
        <w:rPr>
          <w:rFonts w:ascii="Times New Roman" w:cs="Times New Roman" w:eastAsia="Times New Roman" w:hAnsi="Times New Roman"/>
          <w:sz w:val="14"/>
          <w:szCs w:val="14"/>
          <w:color w:val="auto"/>
        </w:rPr>
        <w:t xml:space="preserve"> for the relevant period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two percent (2%), together with the costs and expenses of Mercury (including reasonable legal fees and expenses) in connection with such suit. Subject to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payment by Gold of the Gold Termination Fee shall be the sole and exclusive remedy of Mercury and SpinCo against Gold, Merger Sub and their respective Subsidiaries in circumstances where the Gold Termination Fee is payable hereunder. Notwithstanding anything to the contrary, nothing in this Agreement, including this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shall in any way limit the provisions of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xml:space="preserve"> and Mercury shall be entitled to pursue both a grant of specific performance in addition to payment of the Gold Termination Fee (but shall not be entitled to receive both a grant of specific performance that results in the Closing and payment of the Gold Termination Fee).</w:t>
      </w:r>
    </w:p>
    <w:p>
      <w:pPr>
        <w:spacing w:after="0" w:line="3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6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Non-Survival of Representations, Warranties and Agreements</w:t>
      </w:r>
      <w:r>
        <w:rPr>
          <w:rFonts w:ascii="Times New Roman" w:cs="Times New Roman" w:eastAsia="Times New Roman" w:hAnsi="Times New Roman"/>
          <w:sz w:val="14"/>
          <w:szCs w:val="14"/>
          <w:color w:val="auto"/>
        </w:rPr>
        <w:t>. The obligations, covenants and agreements that by their terms are to be performed following the Closing pursuant to any Transaction Document, including the Separation Agreement, or this Agreement shall survive the Effective Time in accordance with their terms and all other obligations, covenants and agreements herein and therein shall terminate and shall not survive the Closing. None of the representations or warranties in this Agreement or in any certificate or instrument delivered pursuant to this Agreement shall survive the Effective Time. The Confidentiality Agreement shall survive the execution and delivery of this Agreement and any termination of this Agreement, and the provisions of the Confidentiality Agreement shall apply to all information and material furnished by any Party or its Representatives thereunder or hereunder.</w:t>
      </w:r>
    </w:p>
    <w:p>
      <w:pPr>
        <w:spacing w:after="0" w:line="144" w:lineRule="exact"/>
        <w:rPr>
          <w:sz w:val="20"/>
          <w:szCs w:val="20"/>
          <w:color w:val="auto"/>
        </w:rPr>
      </w:pPr>
    </w:p>
    <w:p>
      <w:pPr>
        <w:ind w:left="1360" w:right="3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 Jurisdiction</w:t>
      </w:r>
      <w:r>
        <w:rPr>
          <w:rFonts w:ascii="Times New Roman" w:cs="Times New Roman" w:eastAsia="Times New Roman" w:hAnsi="Times New Roman"/>
          <w:sz w:val="14"/>
          <w:szCs w:val="14"/>
          <w:color w:val="auto"/>
        </w:rPr>
        <w:t>. This Agreement, and all claims, disputes, controversies or causes of action (whether in contract, tort, equity or otherwise) that may be based upon, arise out of or relate to this Agreement (including any schedule or exhibit hereto) or the negotiation, execution or performance of this Agreement (including any claim, dispute, controversy or cause of action based upon, arising out of or related to any representation or warranty made in or in connection with this Agreement or as an inducement to enter into</w:t>
      </w:r>
    </w:p>
    <w:p>
      <w:pPr>
        <w:spacing w:after="0" w:line="8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A-100</w:t>
      </w:r>
    </w:p>
    <w:p>
      <w:pPr>
        <w:sectPr>
          <w:pgSz w:w="11900" w:h="16838" w:orient="portrait"/>
          <w:cols w:equalWidth="0" w:num="1">
            <w:col w:w="10159"/>
          </w:cols>
          <w:pgMar w:left="300" w:top="386" w:right="1440"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74" w:lineRule="auto"/>
        <w:rPr>
          <w:sz w:val="20"/>
          <w:szCs w:val="20"/>
          <w:color w:val="auto"/>
        </w:rPr>
      </w:pPr>
      <w:r>
        <w:rPr>
          <w:rFonts w:ascii="Times New Roman" w:cs="Times New Roman" w:eastAsia="Times New Roman" w:hAnsi="Times New Roman"/>
          <w:sz w:val="13"/>
          <w:szCs w:val="13"/>
          <w:color w:val="auto"/>
        </w:rPr>
        <w:t>this Agreement), shall be governed by and construed in accordance with the Laws of the State of Delaware, without regard to any choice or conflict of law provision or rule (whether of the State of Delaware or any other jurisdiction) that would cause the application of the Laws of any jurisdiction other than the State of Delaware. Each of the Parties agrees that any Action related to this agreement shall be brought exclusively in the Court of Chancery of the State of Delaware or, if under applicable Law, exclusive jurisdiction over such matter is vested in the federal courts, any federal court in the State of Delaware and any appellate court from any thereof (the “</w:t>
      </w:r>
      <w:r>
        <w:rPr>
          <w:rFonts w:ascii="Times New Roman" w:cs="Times New Roman" w:eastAsia="Times New Roman" w:hAnsi="Times New Roman"/>
          <w:sz w:val="13"/>
          <w:szCs w:val="13"/>
          <w:u w:val="single" w:color="auto"/>
          <w:color w:val="auto"/>
        </w:rPr>
        <w:t>Chosen Courts</w:t>
      </w:r>
      <w:r>
        <w:rPr>
          <w:rFonts w:ascii="Times New Roman" w:cs="Times New Roman" w:eastAsia="Times New Roman" w:hAnsi="Times New Roman"/>
          <w:sz w:val="13"/>
          <w:szCs w:val="13"/>
          <w:color w:val="auto"/>
        </w:rPr>
        <w:t>”). By executing and delivering this Agreement, each of the Parties irrevocably:</w:t>
      </w:r>
    </w:p>
    <w:p>
      <w:pPr>
        <w:spacing w:after="0" w:line="2" w:lineRule="exact"/>
        <w:rPr>
          <w:sz w:val="20"/>
          <w:szCs w:val="20"/>
          <w:color w:val="auto"/>
        </w:rPr>
      </w:pPr>
    </w:p>
    <w:p>
      <w:pPr>
        <w:ind w:left="1360" w:right="259" w:hanging="5"/>
        <w:spacing w:after="0" w:line="251" w:lineRule="auto"/>
        <w:tabs>
          <w:tab w:leader="none" w:pos="1550" w:val="left"/>
        </w:tabs>
        <w:numPr>
          <w:ilvl w:val="0"/>
          <w:numId w:val="4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accepts generally and unconditionally submits to the exclusive jurisdiction of the Chosen Courts for any Action relating to this Agreement, including any Action brought for any remedy contemplated by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xml:space="preserve">; (b) waives any objections which such Party may now or hereafter have to the laying of venue of any such Action contemplated by this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and hereby further irrevocably waives and agrees not to plead or claim that any such Action has been brought in an inconvenient forum; (c) agrees that it will not attempt to deny or defeat the personal jurisdiction of the Chosen Courts by motion or other request for leave from any such court; (d) agrees that it will not bring any Action contemplated by this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in any court other than the Chosen Courts; (e) agrees that service of all process, including the summons and complaint, in any Action may be made by registered or certified mail, return receipt requested, to such Party at their respective addresses provided in accordance with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or in any other manner permitted by Law; and (f) agrees that service as provided in the preceding clause (e) is sufficient to confer personal jurisdiction over such Party in the Action, and otherwise constitutes effective and binding service in every respect. Each of the Parties hereto agrees that a final judgment in any Action in a Chosen Court as provided above may be enforced in other jurisdictions by suit on the judgment or in any other manner provided by Law, and each Party further agrees to the non-exclusive jurisdiction of the Chosen Courts for the enforcement or execution of any such judgment.</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among the Parties shall be in writing and shall be deemed to have been duly given</w:t>
      </w:r>
    </w:p>
    <w:p>
      <w:pPr>
        <w:spacing w:after="0" w:line="22" w:lineRule="exact"/>
        <w:rPr>
          <w:sz w:val="20"/>
          <w:szCs w:val="20"/>
          <w:color w:val="auto"/>
        </w:rPr>
      </w:pPr>
    </w:p>
    <w:p>
      <w:pPr>
        <w:jc w:val="both"/>
        <w:ind w:left="1360" w:right="279" w:hanging="5"/>
        <w:spacing w:after="0" w:line="254" w:lineRule="auto"/>
        <w:tabs>
          <w:tab w:leader="none" w:pos="1550" w:val="left"/>
        </w:tabs>
        <w:numPr>
          <w:ilvl w:val="0"/>
          <w:numId w:val="4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delivered in person, (b) when delivered after posting in the national mail having been sent registered or certified mail return receipt requested, postage prepaid, (c) when delivered by FedEx or other internationally recognized overnight delivery service or (d) when delivered by email (so long as the sender of such email does not receive an automatic reply, “bounceback” or notice of nondelivery from the recipient’s email server indicating that the recipient did not receive such email), addressed as follows:</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Mercury or SpinCo,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Modine Manufacturing Company</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1500 De Koven Ave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Racine, Wisconsin 53403</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200 Park Avenue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New York, NY 10166</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Andrew Kaplan</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Gold or Merger Sub,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Gentherm Incorporated</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28875 Cabot Drive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Novi, MI 48377</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Wayne Kauffman; Jon Douyard</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[redacted]; [redacted]</w:t>
      </w:r>
    </w:p>
    <w:p>
      <w:pPr>
        <w:spacing w:after="0" w:line="10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A-101</w:t>
      </w:r>
    </w:p>
    <w:p>
      <w:pPr>
        <w:sectPr>
          <w:pgSz w:w="11900" w:h="16838" w:orient="portrait"/>
          <w:cols w:equalWidth="0" w:num="1">
            <w:col w:w="10159"/>
          </w:cols>
          <w:pgMar w:left="300" w:top="385" w:right="1440"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330 N Wabash Ave, Suite 2800</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Chicago, IL 60611</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Bradley C. Faris; Jason Morelli</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[redacted]; [redacted]</w:t>
      </w:r>
    </w:p>
    <w:p>
      <w:pPr>
        <w:spacing w:after="0" w:line="7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and</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Honigman LLP</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2290 First National Building</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660 Woodward Avenue</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Detroit, MI 48226</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Attention:       Michael S. Ben; Matt VanWasshnova</w:t>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Email:            [redacted]; [redacted]</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or to such other address or addresses as the Parties may from time to time designate in writing by like notice.</w:t>
      </w:r>
    </w:p>
    <w:p>
      <w:pPr>
        <w:spacing w:after="0" w:line="175"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contained in this Agreement are inserted for convenience only and shall not be considered in interpreting or construing any of the provisions contained in this Agreement.</w:t>
      </w:r>
    </w:p>
    <w:p>
      <w:pPr>
        <w:spacing w:after="0" w:line="125"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10.5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xml:space="preserve">. This Agreement (including the Exhibits and Schedules hereto), the Confidentiality Agreement and the other Transaction Documents constitute the entire agreement between the Parties with respect to the subject matter hereof and supersede all prior agreements and understandings between the Parties with respect to such subject matter;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for the sake of clarity, it is understood that this Agreement shall not supersede the terms and provisions of the Confidentiality Agreement, which shall survive and remain in effect until expiration or termination thereof in accordance with its respective terms (subject to the last sentence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Notwithstanding the foregoing or any other provision of this Agreement to the contrary, the SpinCo Disclosure Letter and Gold Disclosure Letter are “facts ascertainable” as that term is used in Section 251(b) of the DGCL, and do not form part of this Agreement but instead operate upon the terms of this Agreement as provided herein.</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10.6 </w:t>
      </w: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38"/>
        <w:spacing w:after="0" w:line="256" w:lineRule="auto"/>
        <w:tabs>
          <w:tab w:leader="none" w:pos="1893"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Party may, at any time prior to the Closing, by action taken by its board of directors, or officers thereunto duly authorized, waive any of the terms or conditions of this Agreement or (without limiting </w:t>
      </w:r>
      <w:r>
        <w:rPr>
          <w:rFonts w:ascii="Times New Roman" w:cs="Times New Roman" w:eastAsia="Times New Roman" w:hAnsi="Times New Roman"/>
          <w:sz w:val="14"/>
          <w:szCs w:val="14"/>
          <w:u w:val="single" w:color="auto"/>
          <w:color w:val="auto"/>
        </w:rPr>
        <w:t>Section 10.6(b)</w:t>
      </w:r>
      <w:r>
        <w:rPr>
          <w:rFonts w:ascii="Times New Roman" w:cs="Times New Roman" w:eastAsia="Times New Roman" w:hAnsi="Times New Roman"/>
          <w:sz w:val="14"/>
          <w:szCs w:val="14"/>
          <w:color w:val="auto"/>
        </w:rPr>
        <w:t xml:space="preserve">) agree to an amendment or modification to this Agreement by a duly executed agreement in writing;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after the Gold Shareholder Approval has been obtained, no amendment or waiver shall be made that pursuant to applicable Law requires further approval or adoption by the shareholders of Gold without such further approval or adoption. No waiver by any of the Parties of any breach hereunder shall be deemed to extend to any prior or subsequent breach hereunder or affect in any way any rights arising by virtue of any prior or subsequent such occurrence. No waiver by any of the Parties of any of the provisions hereof shall be effective unless explicitly set forth in writing and executed by the Party sought to be charged with such waiver.</w:t>
      </w:r>
    </w:p>
    <w:p>
      <w:pPr>
        <w:spacing w:after="0" w:line="143" w:lineRule="exact"/>
        <w:rPr>
          <w:rFonts w:ascii="Times New Roman" w:cs="Times New Roman" w:eastAsia="Times New Roman" w:hAnsi="Times New Roman"/>
          <w:sz w:val="14"/>
          <w:szCs w:val="14"/>
          <w:color w:val="auto"/>
        </w:rPr>
      </w:pPr>
    </w:p>
    <w:p>
      <w:pPr>
        <w:jc w:val="both"/>
        <w:ind w:left="1360" w:right="299" w:firstLine="338"/>
        <w:spacing w:after="0" w:line="258" w:lineRule="auto"/>
        <w:tabs>
          <w:tab w:leader="none" w:pos="1901" w:val="left"/>
        </w:tabs>
        <w:numPr>
          <w:ilvl w:val="0"/>
          <w:numId w:val="4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Agreement may be amended or modified, in whole or in part, only by a duly authorized agreement in writing executed by the Parties which makes reference to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amendments or modifications of this </w:t>
      </w:r>
      <w:r>
        <w:rPr>
          <w:rFonts w:ascii="Times New Roman" w:cs="Times New Roman" w:eastAsia="Times New Roman" w:hAnsi="Times New Roman"/>
          <w:sz w:val="14"/>
          <w:szCs w:val="14"/>
          <w:u w:val="single" w:color="auto"/>
          <w:color w:val="auto"/>
        </w:rPr>
        <w:t>Section 10.6(b)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10.12</w:t>
      </w:r>
      <w:r>
        <w:rPr>
          <w:rFonts w:ascii="Times New Roman" w:cs="Times New Roman" w:eastAsia="Times New Roman" w:hAnsi="Times New Roman"/>
          <w:sz w:val="14"/>
          <w:szCs w:val="14"/>
          <w:color w:val="auto"/>
        </w:rPr>
        <w:t xml:space="preserve"> (including the definitions of “Lenders”, “Lender Parties” and any other provisions of this Agreement to the extent a modification thereof would affect the substance of the foregoing definitions and/or Section 10.12) to the extent materially adversely affecting any of the Lenders, may not be entered into without the prior written consent of each of the Lenders (such consent not to be unreasonably withheld, conditioned or delayed).</w:t>
      </w:r>
    </w:p>
    <w:p>
      <w:pPr>
        <w:spacing w:after="0" w:line="9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A-102</w:t>
      </w:r>
    </w:p>
    <w:p>
      <w:pPr>
        <w:sectPr>
          <w:pgSz w:w="11900" w:h="16838" w:orient="portrait"/>
          <w:cols w:equalWidth="0" w:num="1">
            <w:col w:w="10159"/>
          </w:cols>
          <w:pgMar w:left="300" w:top="385" w:right="1440"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10.7 </w:t>
      </w:r>
      <w:r>
        <w:rPr>
          <w:rFonts w:ascii="Times New Roman" w:cs="Times New Roman" w:eastAsia="Times New Roman" w:hAnsi="Times New Roman"/>
          <w:sz w:val="14"/>
          <w:szCs w:val="14"/>
          <w:u w:val="single" w:color="auto"/>
          <w:color w:val="auto"/>
        </w:rPr>
        <w:t>Assignment; Parties in Interest; Non-Parties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58" w:lineRule="auto"/>
        <w:tabs>
          <w:tab w:leader="none" w:pos="1893"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Party may assign its rights or delegate its duties under this Agreement without the prior written consent of the other Parties. Any attempted assignment or delegation in breach of this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 except as provided in </w:t>
      </w:r>
      <w:r>
        <w:rPr>
          <w:rFonts w:ascii="Times New Roman" w:cs="Times New Roman" w:eastAsia="Times New Roman" w:hAnsi="Times New Roman"/>
          <w:sz w:val="14"/>
          <w:szCs w:val="14"/>
          <w:u w:val="single" w:color="auto"/>
          <w:color w:val="auto"/>
        </w:rPr>
        <w:t>Section 7.8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10.7(b)</w:t>
      </w:r>
      <w:r>
        <w:rPr>
          <w:rFonts w:ascii="Times New Roman" w:cs="Times New Roman" w:eastAsia="Times New Roman" w:hAnsi="Times New Roman"/>
          <w:sz w:val="14"/>
          <w:szCs w:val="14"/>
          <w:color w:val="auto"/>
        </w:rPr>
        <w:t xml:space="preserve"> (which is intended to be for the benefit of the Persons covered thereby and may be enforced by such Persons).</w:t>
      </w:r>
    </w:p>
    <w:p>
      <w:pPr>
        <w:spacing w:after="0" w:line="143" w:lineRule="exact"/>
        <w:rPr>
          <w:rFonts w:ascii="Times New Roman" w:cs="Times New Roman" w:eastAsia="Times New Roman" w:hAnsi="Times New Roman"/>
          <w:sz w:val="14"/>
          <w:szCs w:val="14"/>
          <w:color w:val="auto"/>
        </w:rPr>
      </w:pPr>
    </w:p>
    <w:p>
      <w:pPr>
        <w:ind w:left="1360" w:right="239" w:firstLine="338"/>
        <w:spacing w:after="0" w:line="255" w:lineRule="auto"/>
        <w:tabs>
          <w:tab w:leader="none" w:pos="1901" w:val="left"/>
        </w:tabs>
        <w:numPr>
          <w:ilvl w:val="0"/>
          <w:numId w:val="4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Agreement, it is hereby agreed and acknowledged that this Agreement may only be enforced against, and any claims of action that may be based upon, arise out of or relate to this Agreement or the negotiation, execution or performance of this Agreement may only be made against, the Parties hereto, and no former, current or future Affiliates, officers, directors, managers, employees, equityholders, lenders, financing sources, managers, members, partners, agents or representatives of any Party, in each case, who is not a Party to this Agreement, shall have any liability for any obligations of the Parties hereto or for any claim based on, in respect of, or by reason of, the transactions contemplated hereby. Such Persons who are not Parties hereto are third party beneficiaries of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10.6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10.9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10.12</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Section 10.7(b)</w:t>
      </w:r>
      <w:r>
        <w:rPr>
          <w:rFonts w:ascii="Times New Roman" w:cs="Times New Roman" w:eastAsia="Times New Roman" w:hAnsi="Times New Roman"/>
          <w:sz w:val="14"/>
          <w:szCs w:val="14"/>
          <w:color w:val="auto"/>
        </w:rPr>
        <w:t xml:space="preserve">. For the avoidance of doubt, this </w:t>
      </w:r>
      <w:r>
        <w:rPr>
          <w:rFonts w:ascii="Times New Roman" w:cs="Times New Roman" w:eastAsia="Times New Roman" w:hAnsi="Times New Roman"/>
          <w:sz w:val="14"/>
          <w:szCs w:val="14"/>
          <w:u w:val="single" w:color="auto"/>
          <w:color w:val="auto"/>
        </w:rPr>
        <w:t>Section 10.7(b)</w:t>
      </w:r>
      <w:r>
        <w:rPr>
          <w:rFonts w:ascii="Times New Roman" w:cs="Times New Roman" w:eastAsia="Times New Roman" w:hAnsi="Times New Roman"/>
          <w:sz w:val="14"/>
          <w:szCs w:val="14"/>
          <w:color w:val="auto"/>
        </w:rPr>
        <w:t xml:space="preserve"> shall not affect (a) the rights of the Persons party to the Commitment Letter to enforce the Commitment Letter in accordance with its terms; or (b) the rights and obligations of the Parties hereto set forth in </w:t>
      </w:r>
      <w:r>
        <w:rPr>
          <w:rFonts w:ascii="Times New Roman" w:cs="Times New Roman" w:eastAsia="Times New Roman" w:hAnsi="Times New Roman"/>
          <w:sz w:val="14"/>
          <w:szCs w:val="14"/>
          <w:u w:val="single" w:color="auto"/>
          <w:color w:val="auto"/>
        </w:rPr>
        <w:t>Section 7.5</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Section 10.8 </w:t>
      </w: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38"/>
        <w:spacing w:after="0" w:line="278" w:lineRule="auto"/>
        <w:tabs>
          <w:tab w:leader="none" w:pos="1893" w:val="left"/>
        </w:tabs>
        <w:numPr>
          <w:ilvl w:val="1"/>
          <w:numId w:val="4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Parties agree and acknowledge that the failure to perform under this Agreement will cause an actual, immediate and irreparable harm and injury and that the Parties would not have any adequate remedy at law in the event that any of the provisions of this Agreement were not performed in accordance with their specific terms or were otherwise breached. Accordingly, it is agreed that, (i) each of the Parties shall be entitled to an injunction or injunctions to prevent breaches or threatened breaches of this Agreement by any other Party and to specifically enforce the terms and provisions of this Agreement, and (ii) prior to the earlier of the Closing or any termination of this Agreement in accordance with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damages shall be awarded only in a case where a court of competent jurisdiction shall have determined that, notwithstanding the Parties’ intention for specific performance to be the applicable remedy prior to termination or the Closing, such specific performance is not available or otherwise will not be granted as a remedy.</w:t>
      </w:r>
    </w:p>
    <w:p>
      <w:pPr>
        <w:spacing w:after="0" w:line="133" w:lineRule="exact"/>
        <w:rPr>
          <w:rFonts w:ascii="Times New Roman" w:cs="Times New Roman" w:eastAsia="Times New Roman" w:hAnsi="Times New Roman"/>
          <w:sz w:val="13"/>
          <w:szCs w:val="13"/>
          <w:color w:val="auto"/>
        </w:rPr>
      </w:pPr>
    </w:p>
    <w:p>
      <w:pPr>
        <w:ind w:left="1360" w:right="459" w:firstLine="338"/>
        <w:spacing w:after="0" w:line="261" w:lineRule="auto"/>
        <w:tabs>
          <w:tab w:leader="none" w:pos="1901" w:val="left"/>
        </w:tabs>
        <w:numPr>
          <w:ilvl w:val="1"/>
          <w:numId w:val="4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further agree that (i) by seeking the remedies provided for in this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a Party shall not in any respect waive its right to seek any other form of relief that may be available to a party under this Agreement, including monetary damages, subject to the terms hereof,</w:t>
      </w:r>
    </w:p>
    <w:p>
      <w:pPr>
        <w:ind w:left="1360" w:right="299" w:hanging="5"/>
        <w:spacing w:after="0" w:line="252" w:lineRule="auto"/>
        <w:tabs>
          <w:tab w:leader="none" w:pos="1566" w:val="left"/>
        </w:tabs>
        <w:numPr>
          <w:ilvl w:val="0"/>
          <w:numId w:val="4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xml:space="preserve"> shall require any Party to institute any proceeding for (or limit any Party’s right to institute any proceeding for) specific performance under this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xml:space="preserve"> before exercising any termination right under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(and pursuing damages after such termination), nor shall the commencement of any Action pursuant to this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xml:space="preserve"> or anything contained in this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xml:space="preserve"> restrict or limit any Party’s right to terminate this Agreement in accordance with the terms of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or to pursue any other remedies under this Agreement that may be available then or thereafter and (iii) no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and each Party irrevocably waives any right it may have to require the obtaining, furnishing or posting of any such bond or similar instrument.</w:t>
      </w:r>
    </w:p>
    <w:p>
      <w:pPr>
        <w:spacing w:after="0" w:line="148" w:lineRule="exact"/>
        <w:rPr>
          <w:sz w:val="20"/>
          <w:szCs w:val="20"/>
          <w:color w:val="auto"/>
        </w:rPr>
      </w:pPr>
    </w:p>
    <w:p>
      <w:pPr>
        <w:ind w:left="1360" w:right="439" w:firstLine="343"/>
        <w:spacing w:after="0" w:line="296" w:lineRule="auto"/>
        <w:rPr>
          <w:sz w:val="20"/>
          <w:szCs w:val="20"/>
          <w:color w:val="auto"/>
        </w:rPr>
      </w:pPr>
      <w:r>
        <w:rPr>
          <w:rFonts w:ascii="Times New Roman" w:cs="Times New Roman" w:eastAsia="Times New Roman" w:hAnsi="Times New Roman"/>
          <w:sz w:val="13"/>
          <w:szCs w:val="13"/>
          <w:color w:val="auto"/>
        </w:rPr>
        <w:t xml:space="preserve">Section 10.9 </w:t>
      </w:r>
      <w:r>
        <w:rPr>
          <w:rFonts w:ascii="Times New Roman" w:cs="Times New Roman" w:eastAsia="Times New Roman" w:hAnsi="Times New Roman"/>
          <w:sz w:val="13"/>
          <w:szCs w:val="13"/>
          <w:u w:val="single" w:color="auto"/>
          <w:color w:val="auto"/>
        </w:rPr>
        <w:t>WAIVER OF JURY TRIAL</w:t>
      </w:r>
      <w:r>
        <w:rPr>
          <w:rFonts w:ascii="Times New Roman" w:cs="Times New Roman" w:eastAsia="Times New Roman" w:hAnsi="Times New Roman"/>
          <w:sz w:val="13"/>
          <w:szCs w:val="13"/>
          <w:color w:val="auto"/>
        </w:rPr>
        <w:t>. EACH PARTY ACKNOWLEDGES AND AGREES THAT ANY CONTROVERSY WHICH MAY ARISE UNDER THIS AGREEMENT IS LIKELY TO INVOLVE COMPLICATED AND DIFFICULT ISSUES, AND THEREFORE IT HEREBY UNCONDITIONALLY AND IRREVOCABLY WAIVES THEIR RIGHT TO TRIAL BY JURY IN ANY JUDICIAL PROCEEDING IN</w:t>
      </w:r>
    </w:p>
    <w:p>
      <w:pPr>
        <w:spacing w:after="0" w:line="6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A-103</w:t>
      </w:r>
    </w:p>
    <w:p>
      <w:pPr>
        <w:sectPr>
          <w:pgSz w:w="11900" w:h="16838" w:orient="portrait"/>
          <w:cols w:equalWidth="0" w:num="1">
            <w:col w:w="10159"/>
          </w:cols>
          <w:pgMar w:left="300" w:top="385" w:right="1440"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 xml:space="preserve">ANY COURT RELATING TO ANY DISPUTE, CONTROVERSY OR CLAIM ARISING OUT OF, RELATING TO OR IN CONNECTION WITH THIS AGREEMENT OR ANY OTHER TRANSACTION DOCUMENT (INCLUDING ANY SCHEDULE OR EXHIBIT HERETO AND THERETO) OR THE BREACH, TERMINATION OR VALIDITY OF 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w:t>
      </w:r>
      <w:r>
        <w:rPr>
          <w:rFonts w:ascii="Times New Roman" w:cs="Times New Roman" w:eastAsia="Times New Roman" w:hAnsi="Times New Roman"/>
          <w:sz w:val="14"/>
          <w:szCs w:val="14"/>
          <w:u w:val="single" w:color="auto"/>
          <w:color w:val="auto"/>
        </w:rPr>
        <w:t>SECTION 10.9</w:t>
      </w:r>
      <w:r>
        <w:rPr>
          <w:rFonts w:ascii="Times New Roman" w:cs="Times New Roman" w:eastAsia="Times New Roman" w:hAnsi="Times New Roman"/>
          <w:sz w:val="14"/>
          <w:szCs w:val="14"/>
          <w:color w:val="auto"/>
        </w:rPr>
        <w:t xml:space="preserve">. NO PARTY HAS IN ANY WAY AGREED WITH OR REPRESENTED TO ANY OTHER PARTY THAT THE PROVISIONS OF THIS </w:t>
      </w:r>
      <w:r>
        <w:rPr>
          <w:rFonts w:ascii="Times New Roman" w:cs="Times New Roman" w:eastAsia="Times New Roman" w:hAnsi="Times New Roman"/>
          <w:sz w:val="14"/>
          <w:szCs w:val="14"/>
          <w:u w:val="single" w:color="auto"/>
          <w:color w:val="auto"/>
        </w:rPr>
        <w:t>Section 10.9</w:t>
      </w:r>
      <w:r>
        <w:rPr>
          <w:rFonts w:ascii="Times New Roman" w:cs="Times New Roman" w:eastAsia="Times New Roman" w:hAnsi="Times New Roman"/>
          <w:sz w:val="14"/>
          <w:szCs w:val="14"/>
          <w:color w:val="auto"/>
        </w:rPr>
        <w:t xml:space="preserve"> WILL NOT BE FULLY ENFORCED IN ALL INSTANCES.</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10.10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or the application of any such provision to any Person or circumstance, shall be held invalid, illegal or unenforceable in any respect by a court of competent jurisdiction,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43"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10.11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two or more counterparts (including by electronic or.pdf transmission), each of which shall be deemed an original, but all of which together shall constitute one and the same instrument. Delivery of any signature page by facsimile, electronic or.pdf transmission shall be binding to the same extent as an original signature page.</w:t>
      </w:r>
    </w:p>
    <w:p>
      <w:pPr>
        <w:spacing w:after="0" w:line="136"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10.12 </w:t>
      </w:r>
      <w:r>
        <w:rPr>
          <w:rFonts w:ascii="Times New Roman" w:cs="Times New Roman" w:eastAsia="Times New Roman" w:hAnsi="Times New Roman"/>
          <w:sz w:val="14"/>
          <w:szCs w:val="14"/>
          <w:u w:val="single" w:color="auto"/>
          <w:color w:val="auto"/>
        </w:rPr>
        <w:t>Certain Financing Provisions</w:t>
      </w:r>
      <w:r>
        <w:rPr>
          <w:rFonts w:ascii="Times New Roman" w:cs="Times New Roman" w:eastAsia="Times New Roman" w:hAnsi="Times New Roman"/>
          <w:sz w:val="14"/>
          <w:szCs w:val="14"/>
          <w:color w:val="auto"/>
        </w:rPr>
        <w:t>. Notwithstanding anything in this Agreement to the contrary, each of Mercury, SpinCo and Gold on behalf of itself and its respective Subsidiaries, Affiliates and Representatives:</w:t>
      </w:r>
    </w:p>
    <w:p>
      <w:pPr>
        <w:spacing w:after="0" w:line="125" w:lineRule="exact"/>
        <w:rPr>
          <w:sz w:val="20"/>
          <w:szCs w:val="20"/>
          <w:color w:val="auto"/>
        </w:rPr>
      </w:pPr>
    </w:p>
    <w:p>
      <w:pPr>
        <w:ind w:left="1360" w:right="239" w:firstLine="338"/>
        <w:spacing w:after="0" w:line="256" w:lineRule="auto"/>
        <w:tabs>
          <w:tab w:leader="none" w:pos="1893"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any proceeding, whether in law or in equity, whether in contract or in tort or otherwise, involving the Lender Parties, arising out of or relating to, this Agreement, the SpinCo Financing, the Permanent SpinCo Financing, the Gold Financing or any of the agreements (including the Commitment Letter) entered into in connection with the SpinCo Financing, the Permanent SpinCo Financing, the Gold Financing or any of the transactions contemplated by this Agreement or the agreements entered into in connection with the SpinCo Financing, the Permanent SpinCo Financing, the Gold Financing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w:t>
      </w:r>
    </w:p>
    <w:p>
      <w:pPr>
        <w:spacing w:after="0" w:line="143" w:lineRule="exact"/>
        <w:rPr>
          <w:rFonts w:ascii="Times New Roman" w:cs="Times New Roman" w:eastAsia="Times New Roman" w:hAnsi="Times New Roman"/>
          <w:sz w:val="14"/>
          <w:szCs w:val="14"/>
          <w:color w:val="auto"/>
        </w:rPr>
      </w:pPr>
    </w:p>
    <w:p>
      <w:pPr>
        <w:ind w:left="1360" w:right="399" w:firstLine="338"/>
        <w:spacing w:after="0" w:line="267" w:lineRule="auto"/>
        <w:tabs>
          <w:tab w:leader="none" w:pos="1901"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any such proceeding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SpinCo Financing, the Permanent SpinCo Financing and the Gold Financing;</w:t>
      </w:r>
    </w:p>
    <w:p>
      <w:pPr>
        <w:spacing w:after="0" w:line="135" w:lineRule="exact"/>
        <w:rPr>
          <w:rFonts w:ascii="Times New Roman" w:cs="Times New Roman" w:eastAsia="Times New Roman" w:hAnsi="Times New Roman"/>
          <w:sz w:val="14"/>
          <w:szCs w:val="14"/>
          <w:color w:val="auto"/>
        </w:rPr>
      </w:pPr>
    </w:p>
    <w:p>
      <w:pPr>
        <w:ind w:left="1360" w:right="839" w:firstLine="338"/>
        <w:spacing w:after="0" w:line="283" w:lineRule="auto"/>
        <w:tabs>
          <w:tab w:leader="none" w:pos="1893" w:val="left"/>
        </w:tabs>
        <w:numPr>
          <w:ilvl w:val="0"/>
          <w:numId w:val="4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not to bring or support any proceeding of any kind or description, whether in law or in equity, whether in contract or in tort or otherwise, against any Lender Party in any way arising out of or relating to, this</w:t>
      </w:r>
    </w:p>
    <w:p>
      <w:pPr>
        <w:spacing w:after="0" w:line="7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A-104</w:t>
      </w:r>
    </w:p>
    <w:p>
      <w:pPr>
        <w:sectPr>
          <w:pgSz w:w="11900" w:h="16838" w:orient="portrait"/>
          <w:cols w:equalWidth="0" w:num="1">
            <w:col w:w="10159"/>
          </w:cols>
          <w:pgMar w:left="300" w:top="386" w:right="1440"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Agreement, the SpinCo Financing, the Permanent SpinCo Financing, the Gold Financing, the Commitment Letter or any of the transactions contemplated by this Agreement or the Commitment Letter or the performance of any services under the Commitment Letter in any forum other than any federal or state court in the Borough of Manhattan, New York, New York;</w:t>
      </w:r>
    </w:p>
    <w:p>
      <w:pPr>
        <w:spacing w:after="0" w:line="136" w:lineRule="exact"/>
        <w:rPr>
          <w:sz w:val="20"/>
          <w:szCs w:val="20"/>
          <w:color w:val="auto"/>
        </w:rPr>
      </w:pPr>
    </w:p>
    <w:p>
      <w:pPr>
        <w:ind w:left="1360" w:right="279" w:firstLine="338"/>
        <w:spacing w:after="0" w:line="283" w:lineRule="auto"/>
        <w:tabs>
          <w:tab w:leader="none" w:pos="1901"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agrees that service of process upon Mercury, SpinCo, their respective Subsidiaries, Gold or the Gold Subsidiaries in any such proceeding shall be effective if notice is given in accordance with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1360" w:right="759" w:firstLine="338"/>
        <w:spacing w:after="0" w:line="283" w:lineRule="auto"/>
        <w:tabs>
          <w:tab w:leader="none" w:pos="1893"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irrevocably waives, to the fullest extent that it may effectively do so, the defense of an inconvenient forum to the maintenance of such proceeding in any such court;</w:t>
      </w:r>
    </w:p>
    <w:p>
      <w:pPr>
        <w:spacing w:after="0" w:line="124" w:lineRule="exact"/>
        <w:rPr>
          <w:rFonts w:ascii="Times New Roman" w:cs="Times New Roman" w:eastAsia="Times New Roman" w:hAnsi="Times New Roman"/>
          <w:sz w:val="14"/>
          <w:szCs w:val="14"/>
          <w:color w:val="auto"/>
        </w:rPr>
      </w:pPr>
    </w:p>
    <w:p>
      <w:pPr>
        <w:ind w:left="1360" w:right="259" w:firstLine="338"/>
        <w:spacing w:after="0" w:line="261" w:lineRule="auto"/>
        <w:tabs>
          <w:tab w:leader="none" w:pos="1878"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knowingly, intentionally and voluntarily waives to the fullest extent permitted by applicable law trial by jury in any proceeding brought against any Lender Party in any way arising out of or relating to, this Agreement, the SpinCo Financing, the Permanent SpinCo Financing, the Gold Financing, the Commitment Letter or any of the transactions contemplated by this Agreement or the Commitment Letter or the performance of any services under the Commitment Letter;</w:t>
      </w:r>
    </w:p>
    <w:p>
      <w:pPr>
        <w:spacing w:after="0" w:line="140" w:lineRule="exact"/>
        <w:rPr>
          <w:rFonts w:ascii="Times New Roman" w:cs="Times New Roman" w:eastAsia="Times New Roman" w:hAnsi="Times New Roman"/>
          <w:sz w:val="14"/>
          <w:szCs w:val="14"/>
          <w:color w:val="auto"/>
        </w:rPr>
      </w:pPr>
    </w:p>
    <w:p>
      <w:pPr>
        <w:ind w:left="1360" w:right="319" w:firstLine="338"/>
        <w:spacing w:after="0" w:line="258" w:lineRule="auto"/>
        <w:tabs>
          <w:tab w:leader="none" w:pos="1901"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none of the Lender Parties will have any liability to Mercury, SpinCo, Gold or any of their respective Subsidiaries or any of their respective Affiliates or Representatives (other than, following the Closing Date, Gold, SpinCo and their respective Subsidiaries in accordance with the terms of the SpinCo Financing, the Permanent SpinCo Financing, the Gold Financing or the Commitment Letter) solely relating to or arising out of this Agreement or any of the transactions contemplated by this Agreement, whether in law or in equity, whether in contract or in tort or otherwise and not related to the SpinCo Financing, the Permanent SpinCo Financing, the Gold Financing or the Commitment Letter in any way; and</w:t>
      </w:r>
    </w:p>
    <w:p>
      <w:pPr>
        <w:spacing w:after="0" w:line="143" w:lineRule="exact"/>
        <w:rPr>
          <w:rFonts w:ascii="Times New Roman" w:cs="Times New Roman" w:eastAsia="Times New Roman" w:hAnsi="Times New Roman"/>
          <w:sz w:val="14"/>
          <w:szCs w:val="14"/>
          <w:color w:val="auto"/>
        </w:rPr>
      </w:pPr>
    </w:p>
    <w:p>
      <w:pPr>
        <w:ind w:left="1360" w:right="279" w:firstLine="338"/>
        <w:spacing w:after="0" w:line="258" w:lineRule="auto"/>
        <w:tabs>
          <w:tab w:leader="none" w:pos="1901" w:val="left"/>
        </w:tabs>
        <w:numPr>
          <w:ilvl w:val="0"/>
          <w:numId w:val="4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hereby waives any and all claims and causes of action against the Lender Parties in their capacity as Lender Parties relating to or arising out of this Agreement, the SpinCo Financing, the Permanent SpinCo Financing, the Gold Financing, the Commitment Letter or any of the transactions contemplated by this Agreement or the Commitment Letter or the performance of any services under the Commitment Letter (other than, following the Closing Date, with respect to the SpinCo Financing, the Permanent SpinCo Financing and/or the Gold Financing), whether in law or in equity, whether in contract or in tort or otherwise.</w:t>
      </w:r>
    </w:p>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A-105</w:t>
      </w:r>
    </w:p>
    <w:p>
      <w:pPr>
        <w:sectPr>
          <w:pgSz w:w="11900" w:h="16838" w:orient="portrait"/>
          <w:cols w:equalWidth="0" w:num="1">
            <w:col w:w="10159"/>
          </w:cols>
          <w:pgMar w:left="300" w:top="386" w:right="1440"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by their respective authorized officers as of the day and year first above written.</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MODINE MANUFACTURING COMPANY</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Erin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Erin Roth</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Vice President, General Counsel and Chief</w:t>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color w:val="auto"/>
        </w:rPr>
        <w:t>Compliance Officer</w:t>
      </w:r>
    </w:p>
    <w:p>
      <w:pPr>
        <w:spacing w:after="0" w:line="15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PLATINUM SPINCO INC.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Michael Rathburn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Michael Rathburn</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Vice President</w:t>
      </w:r>
    </w:p>
    <w:p>
      <w:pPr>
        <w:spacing w:after="0" w:line="15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GENTHERM INCORPORATED</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William Presley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William Presley</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 and Chief Executive Officer</w:t>
      </w:r>
    </w:p>
    <w:p>
      <w:pPr>
        <w:spacing w:after="0" w:line="15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PLATINUM GOLD MERGER SUB INC.</w:t>
      </w:r>
    </w:p>
    <w:p>
      <w:pPr>
        <w:spacing w:after="0" w:line="177"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Thomas Stocker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13970</wp:posOffset>
            </wp:positionV>
            <wp:extent cx="188912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188912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Thomas Stocker</w:t>
      </w:r>
    </w:p>
    <w:p>
      <w:pPr>
        <w:spacing w:after="0" w:line="22"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15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Agreement and Plan of Merger</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Annex B</w:t>
      </w:r>
    </w:p>
    <w:p>
      <w:pPr>
        <w:spacing w:after="0" w:line="17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7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SEPARATION AGREEMENT</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BY AND AMONG</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MODINE MANUFACTURING COMPANY,</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GENTHERM INCORPORATED</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AND</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color w:val="auto"/>
        </w:rPr>
        <w:t>DATED AS OF JANUARY 29, 2026</w:t>
      </w:r>
    </w:p>
    <w:p>
      <w:pPr>
        <w:sectPr>
          <w:pgSz w:w="11900" w:h="16838" w:orient="portrait"/>
          <w:cols w:equalWidth="0" w:num="1">
            <w:col w:w="10159"/>
          </w:cols>
          <w:pgMar w:left="300" w:top="385" w:right="1440"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680" w:type="dxa"/>
            <w:vAlign w:val="bottom"/>
          </w:tcPr>
          <w:p>
            <w:pPr>
              <w:spacing w:after="0"/>
              <w:rPr>
                <w:sz w:val="15"/>
                <w:szCs w:val="15"/>
                <w:color w:val="auto"/>
              </w:rPr>
            </w:pPr>
          </w:p>
        </w:tc>
        <w:tc>
          <w:tcPr>
            <w:tcW w:w="7540" w:type="dxa"/>
            <w:vAlign w:val="bottom"/>
          </w:tcPr>
          <w:p>
            <w:pPr>
              <w:ind w:left="2900"/>
              <w:spacing w:after="0"/>
              <w:rPr>
                <w:sz w:val="20"/>
                <w:szCs w:val="20"/>
                <w:color w:val="auto"/>
              </w:rPr>
            </w:pPr>
            <w:r>
              <w:rPr>
                <w:rFonts w:ascii="Times New Roman" w:cs="Times New Roman" w:eastAsia="Times New Roman" w:hAnsi="Times New Roman"/>
                <w:sz w:val="14"/>
                <w:szCs w:val="14"/>
                <w:color w:val="auto"/>
              </w:rPr>
              <w:t>TABLE OF CONTENTS</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ARTICLE I DEFINITIONS</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73"/>
        </w:trPr>
        <w:tc>
          <w:tcPr>
            <w:tcW w:w="8220" w:type="dxa"/>
            <w:vAlign w:val="bottom"/>
            <w:gridSpan w:val="2"/>
            <w:vMerge w:val="continue"/>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B-2</w:t>
            </w:r>
          </w:p>
        </w:tc>
        <w:tc>
          <w:tcPr>
            <w:tcW w:w="0" w:type="dxa"/>
            <w:vAlign w:val="bottom"/>
          </w:tcPr>
          <w:p>
            <w:pPr>
              <w:spacing w:after="0"/>
              <w:rPr>
                <w:sz w:val="1"/>
                <w:szCs w:val="1"/>
                <w:color w:val="auto"/>
              </w:rPr>
            </w:pPr>
          </w:p>
        </w:tc>
      </w:tr>
      <w:tr>
        <w:trPr>
          <w:trHeight w:val="238"/>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THE SEPARATION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B-16</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Transfer of Assets and Assumption of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B-16</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2.2</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SpinCo Assets; Company Assets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B-18</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2.3</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SpinCo Liabilities; Company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B-21</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2.4</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Approvals and Notifications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B-22</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2.5</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Novation of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B-26</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2.6</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Release of Support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B-28</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2.7</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Wrong Pockets; Mail and Other Communications; 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B-30</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2.8</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Termination of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B-30</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2.9</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Treatment of Shared Contracts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B-31</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2.10</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Treatment of Shared Services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B-32</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2.11</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Certain Adjustments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B-33</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2.12</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Bank Accounts; Cash Balances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B-38</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2.13</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Transaction Documents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B-38</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2.14</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Disclaimer of Representations and Warranties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B-38</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2.15</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SpinCo Financing</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B-39</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2.16</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Information Certifications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B-39</w:t>
            </w:r>
          </w:p>
        </w:tc>
        <w:tc>
          <w:tcPr>
            <w:tcW w:w="0" w:type="dxa"/>
            <w:vAlign w:val="bottom"/>
          </w:tcPr>
          <w:p>
            <w:pPr>
              <w:spacing w:after="0"/>
              <w:rPr>
                <w:sz w:val="1"/>
                <w:szCs w:val="1"/>
                <w:color w:val="auto"/>
              </w:rPr>
            </w:pPr>
          </w:p>
        </w:tc>
      </w:tr>
      <w:tr>
        <w:trPr>
          <w:trHeight w:val="252"/>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THE DISTRIBUTION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B-40</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Actions Prior to the Distribution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B-40</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3.2</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Conditions to the Distribution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B-41</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3.3</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Distribution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B-42</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3.4</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SpinCo Common Stock Issued to Company Subsidiaries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B-43</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3.5</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Authorization of SpinCo Common Stock to Accomplish the Distribution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B-43</w:t>
            </w:r>
          </w:p>
        </w:tc>
        <w:tc>
          <w:tcPr>
            <w:tcW w:w="0" w:type="dxa"/>
            <w:vAlign w:val="bottom"/>
          </w:tcPr>
          <w:p>
            <w:pPr>
              <w:spacing w:after="0"/>
              <w:rPr>
                <w:sz w:val="1"/>
                <w:szCs w:val="1"/>
                <w:color w:val="auto"/>
              </w:rPr>
            </w:pPr>
          </w:p>
        </w:tc>
      </w:tr>
      <w:tr>
        <w:trPr>
          <w:trHeight w:val="252"/>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MUTUAL RELEASES; INDEMNIFICATION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B-43</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Release of Pre-Distribution Claims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B-43</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4.2</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Indemnification by SpinCo</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B-46</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4.3</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Indemnification by Company</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B-46</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4.4</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Indemnification Obligations Net of Insurance Proceeds and Other Amounts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B-47</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4.5</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Procedures for Indemnification of Third-Party Claims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B-48</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4.6</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Additional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B-49</w:t>
            </w:r>
          </w:p>
        </w:tc>
        <w:tc>
          <w:tcPr>
            <w:tcW w:w="0" w:type="dxa"/>
            <w:vAlign w:val="bottom"/>
          </w:tcPr>
          <w:p>
            <w:pPr>
              <w:spacing w:after="0"/>
              <w:rPr>
                <w:sz w:val="1"/>
                <w:szCs w:val="1"/>
                <w:color w:val="auto"/>
              </w:rPr>
            </w:pP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4.7</w:t>
            </w:r>
          </w:p>
        </w:tc>
        <w:tc>
          <w:tcPr>
            <w:tcW w:w="7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Right of Contribution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B-50</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754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B-i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5" w:right="1440"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335"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4.8</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Covenant Not to Sue</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B-51</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4.9</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Survival of Indemnities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B-51</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4.10</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Exclusive Remedy</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B-51</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4.11</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Management of Actions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B-52</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4.12</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Settlement of Actions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B-53</w:t>
            </w:r>
          </w:p>
        </w:tc>
      </w:tr>
      <w:tr>
        <w:trPr>
          <w:trHeight w:val="252"/>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CERTAIN OTHER MATTERS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B-54</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5.1</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Insurance Matters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B-54</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5.2</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Late Payments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B-56</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5.3</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Treatment of Payments for Tax Purposes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B-56</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5.4</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Inducement</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B-56</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5.5</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Post-Distribution Time Conduct</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B-56</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5.6</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SpinCo Group Employee Roster</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B-57</w:t>
            </w:r>
          </w:p>
        </w:tc>
      </w:tr>
      <w:tr>
        <w:trPr>
          <w:trHeight w:val="252"/>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EXCHANGE OF INFORMATION; CONFIDENTIALITY</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B-57</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6.1</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Agreement for Exchange of Information</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B-57</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6.2</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Ownership of Information</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B-58</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6.3</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 for Providing Information</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B-58</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6.4</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Record Retention</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B-58</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6.5</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Limitations of Liability</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B-59</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6.6</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Agreements Providing for Exchange of Information</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B-59</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6.7</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Production of Witnesses; Records; Cooperation</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B-59</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6.8</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Privileged Matters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B-60</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6.9</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Confidentiality</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B-62</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6.10</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Protective Arrangements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B-63</w:t>
            </w:r>
          </w:p>
        </w:tc>
      </w:tr>
      <w:tr>
        <w:trPr>
          <w:trHeight w:val="252"/>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FURTHER ASSURANCES AND ADDITIONAL COVENANTS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B-64</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Further Assurances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B-64</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7.2</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Use of the House Marks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B-65</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7.3</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Separation Planning</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B-65</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7.4</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Ancillary Agreements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B-67</w:t>
            </w:r>
          </w:p>
        </w:tc>
      </w:tr>
      <w:tr>
        <w:trPr>
          <w:trHeight w:val="252"/>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TERMINATION</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B-67</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8.1</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Termination</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B-67</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8.2</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Effect of Termination</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B-68</w:t>
            </w:r>
          </w:p>
        </w:tc>
      </w:tr>
      <w:tr>
        <w:trPr>
          <w:trHeight w:val="252"/>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MISCELLANEOUS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B-68</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9.1</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Counterparts; Entire Agreement; Corporate Power</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B-68</w:t>
            </w:r>
          </w:p>
        </w:tc>
      </w:tr>
      <w:tr>
        <w:trPr>
          <w:trHeight w:val="252"/>
        </w:trPr>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9.2</w:t>
            </w:r>
          </w:p>
        </w:tc>
        <w:tc>
          <w:tcPr>
            <w:tcW w:w="5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Survival of Covenants</w:t>
            </w:r>
          </w:p>
        </w:tc>
        <w:tc>
          <w:tcPr>
            <w:tcW w:w="2140" w:type="dxa"/>
            <w:vAlign w:val="bottom"/>
          </w:tcPr>
          <w:p>
            <w:pPr>
              <w:ind w:left="1860"/>
              <w:spacing w:after="0"/>
              <w:rPr>
                <w:sz w:val="20"/>
                <w:szCs w:val="20"/>
                <w:color w:val="auto"/>
              </w:rPr>
            </w:pPr>
            <w:r>
              <w:rPr>
                <w:rFonts w:ascii="Times New Roman" w:cs="Times New Roman" w:eastAsia="Times New Roman" w:hAnsi="Times New Roman"/>
                <w:sz w:val="14"/>
                <w:szCs w:val="14"/>
                <w:color w:val="auto"/>
                <w:w w:val="92"/>
              </w:rPr>
              <w:t>B-69</w:t>
            </w:r>
          </w:p>
        </w:tc>
      </w:tr>
      <w:tr>
        <w:trPr>
          <w:trHeight w:val="284"/>
        </w:trPr>
        <w:tc>
          <w:tcPr>
            <w:tcW w:w="680" w:type="dxa"/>
            <w:vAlign w:val="bottom"/>
          </w:tcPr>
          <w:p>
            <w:pPr>
              <w:spacing w:after="0"/>
              <w:rPr>
                <w:sz w:val="24"/>
                <w:szCs w:val="24"/>
                <w:color w:val="auto"/>
              </w:rPr>
            </w:pPr>
          </w:p>
        </w:tc>
        <w:tc>
          <w:tcPr>
            <w:tcW w:w="572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B-ii</w:t>
            </w:r>
          </w:p>
        </w:tc>
        <w:tc>
          <w:tcPr>
            <w:tcW w:w="214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335" w:lineRule="exact"/>
        <w:rPr>
          <w:sz w:val="20"/>
          <w:szCs w:val="20"/>
          <w:color w:val="auto"/>
        </w:rPr>
      </w:pPr>
    </w:p>
    <w:tbl>
      <w:tblPr>
        <w:tblLayout w:type="fixed"/>
        <w:tblInd w:w="1640" w:type="dxa"/>
        <w:tblCellMar>
          <w:top w:w="0" w:type="dxa"/>
          <w:left w:w="0" w:type="dxa"/>
          <w:bottom w:w="0" w:type="dxa"/>
          <w:right w:w="0" w:type="dxa"/>
        </w:tblCellMar>
      </w:tblPr>
      <w:tr>
        <w:trPr>
          <w:trHeight w:val="183"/>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9.3</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Governing Law; Submission to Jurisdiction; Waiver of Jury Trial</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B-69</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9.4</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Assignability.</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B-69</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9.5</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Third-Party Beneficiaries</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B-69</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9.6</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Notices</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B-70</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9.7</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Severability</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B-71</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9.8</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Set-Off</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B-71</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9.9</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Headings</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B-71</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9.10</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Waivers of Default</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B-71</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9.11</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Specific Performance</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B-71</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9.12</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Amendments</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B-71</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9.13</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Interpretation</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B-71</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9.14</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Negotiation</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B-72</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9.15</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Limitation on Liability</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B-72</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9.16</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Performance</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B-73</w:t>
            </w:r>
          </w:p>
        </w:tc>
      </w:tr>
      <w:tr>
        <w:trPr>
          <w:trHeight w:val="25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9.17</w:t>
            </w:r>
          </w:p>
        </w:tc>
        <w:tc>
          <w:tcPr>
            <w:tcW w:w="5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Mutual Drafting; Precedence</w:t>
            </w:r>
          </w:p>
        </w:tc>
        <w:tc>
          <w:tcPr>
            <w:tcW w:w="2180" w:type="dxa"/>
            <w:vAlign w:val="bottom"/>
          </w:tcPr>
          <w:p>
            <w:pPr>
              <w:ind w:left="1900"/>
              <w:spacing w:after="0"/>
              <w:rPr>
                <w:sz w:val="20"/>
                <w:szCs w:val="20"/>
                <w:color w:val="auto"/>
              </w:rPr>
            </w:pPr>
            <w:r>
              <w:rPr>
                <w:rFonts w:ascii="Times New Roman" w:cs="Times New Roman" w:eastAsia="Times New Roman" w:hAnsi="Times New Roman"/>
                <w:sz w:val="14"/>
                <w:szCs w:val="14"/>
                <w:color w:val="auto"/>
                <w:w w:val="92"/>
              </w:rPr>
              <w:t>B-73</w:t>
            </w:r>
          </w:p>
        </w:tc>
      </w:tr>
      <w:tr>
        <w:trPr>
          <w:trHeight w:val="284"/>
        </w:trPr>
        <w:tc>
          <w:tcPr>
            <w:tcW w:w="400" w:type="dxa"/>
            <w:vAlign w:val="bottom"/>
          </w:tcPr>
          <w:p>
            <w:pPr>
              <w:spacing w:after="0"/>
              <w:rPr>
                <w:sz w:val="24"/>
                <w:szCs w:val="24"/>
                <w:color w:val="auto"/>
              </w:rPr>
            </w:pPr>
          </w:p>
        </w:tc>
        <w:tc>
          <w:tcPr>
            <w:tcW w:w="568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B-iii</w:t>
            </w:r>
          </w:p>
        </w:tc>
        <w:tc>
          <w:tcPr>
            <w:tcW w:w="2180" w:type="dxa"/>
            <w:vAlign w:val="bottom"/>
          </w:tcPr>
          <w:p>
            <w:pPr>
              <w:spacing w:after="0"/>
              <w:rPr>
                <w:sz w:val="24"/>
                <w:szCs w:val="24"/>
                <w:color w:val="auto"/>
              </w:rPr>
            </w:pPr>
          </w:p>
        </w:tc>
      </w:tr>
    </w:tbl>
    <w:p>
      <w:pPr>
        <w:sectPr>
          <w:pgSz w:w="11900" w:h="16838" w:orient="portrait"/>
          <w:cols w:equalWidth="0" w:num="1">
            <w:col w:w="10159"/>
          </w:cols>
          <w:pgMar w:left="300" w:top="385" w:right="1440"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SCHEDULES</w:t>
      </w:r>
    </w:p>
    <w:p>
      <w:pPr>
        <w:sectPr>
          <w:pgSz w:w="11900" w:h="16838" w:orient="portrait"/>
          <w:cols w:equalWidth="0" w:num="1">
            <w:col w:w="10159"/>
          </w:cols>
          <w:pgMar w:left="300" w:top="386" w:right="1440" w:bottom="1440" w:gutter="0" w:footer="0" w:header="0"/>
        </w:sectPr>
      </w:pP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1.2</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1.3</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1.3(a)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1.4</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1.5</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1.6(a)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1.6(b)</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1.8(a)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1.8(b)</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1.9</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2.1(a)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2.1(d)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2.2(b)(iv)</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2.2(b)(v)</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2.3(a)(xii)</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2.3(b)(v)</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2.8(b)</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2.9(a)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Schedule 2.11(a)(viii)</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2.11(a)(ix)</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2.12(a)</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4.11(b)</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5.6</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 7.4(a)</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Principles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Excess Foreign Cash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Shared 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SpinCo Business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SpinCo Contracts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SpinCo Intellectual Property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SpinCo Owned Real Property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SpinCo Owned Real Property Leases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SpinCo Transferred Leased Property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SpinCo Transferred Leased Property Leases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Transferred Entities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Reorganization Step Plan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Reorganization Committee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Assets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Intellectual Property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SpinCo Liabilities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Liabilities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Termination of Agreements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Exclusions from Shared Contracts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SpinCo Indebtedness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Target Net Working Capital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Bank Accounts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of Company-Controlled Actions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SpinCo Group Employee Roster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Ancillary Agreements</w:t>
      </w:r>
    </w:p>
    <w:p>
      <w:pPr>
        <w:spacing w:after="0" w:line="108" w:lineRule="exact"/>
        <w:rPr>
          <w:sz w:val="20"/>
          <w:szCs w:val="20"/>
          <w:color w:val="auto"/>
        </w:rPr>
      </w:pPr>
    </w:p>
    <w:p>
      <w:pPr>
        <w:sectPr>
          <w:pgSz w:w="11900" w:h="16838" w:orient="portrait"/>
          <w:cols w:equalWidth="0" w:num="2">
            <w:col w:w="4580" w:space="720"/>
            <w:col w:w="4859"/>
          </w:cols>
          <w:pgMar w:left="300" w:top="386" w:right="1440"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3"/>
          <w:szCs w:val="13"/>
          <w:color w:val="auto"/>
        </w:rPr>
        <w:t>B-iv</w:t>
      </w:r>
    </w:p>
    <w:p>
      <w:pPr>
        <w:sectPr>
          <w:pgSz w:w="11900" w:h="16838" w:orient="portrait"/>
          <w:cols w:equalWidth="0" w:num="1">
            <w:col w:w="10159"/>
          </w:cols>
          <w:pgMar w:left="300" w:top="386" w:right="1440" w:bottom="1440" w:gutter="0" w:footer="0" w:header="0"/>
          <w:type w:val="continuous"/>
        </w:sectPr>
      </w:pPr>
    </w:p>
    <w:bookmarkStart w:id="394" w:name="page395"/>
    <w:bookmarkEnd w:id="3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SEPARATION AGREEMENT</w:t>
      </w:r>
    </w:p>
    <w:p>
      <w:pPr>
        <w:spacing w:after="0" w:line="173" w:lineRule="exact"/>
        <w:rPr>
          <w:sz w:val="20"/>
          <w:szCs w:val="20"/>
          <w:color w:val="auto"/>
        </w:rPr>
      </w:pPr>
    </w:p>
    <w:p>
      <w:pPr>
        <w:ind w:left="1360" w:right="279" w:firstLine="343"/>
        <w:spacing w:after="0" w:line="268" w:lineRule="auto"/>
        <w:rPr>
          <w:sz w:val="20"/>
          <w:szCs w:val="20"/>
          <w:color w:val="auto"/>
        </w:rPr>
      </w:pPr>
      <w:r>
        <w:rPr>
          <w:rFonts w:ascii="Times New Roman" w:cs="Times New Roman" w:eastAsia="Times New Roman" w:hAnsi="Times New Roman"/>
          <w:sz w:val="14"/>
          <w:szCs w:val="14"/>
          <w:color w:val="auto"/>
        </w:rPr>
        <w:t>This SEPARATION AGREEMENT, dated as of January 29, 2026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by and among Modine Manufacturing Company, a Wisconsin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Gentherm Incorporated, a Michigan corporation (“</w:t>
      </w:r>
      <w:r>
        <w:rPr>
          <w:rFonts w:ascii="Times New Roman" w:cs="Times New Roman" w:eastAsia="Times New Roman" w:hAnsi="Times New Roman"/>
          <w:sz w:val="14"/>
          <w:szCs w:val="14"/>
          <w:b w:val="1"/>
          <w:bCs w:val="1"/>
          <w:color w:val="auto"/>
        </w:rPr>
        <w:t>Gold</w:t>
      </w:r>
      <w:r>
        <w:rPr>
          <w:rFonts w:ascii="Times New Roman" w:cs="Times New Roman" w:eastAsia="Times New Roman" w:hAnsi="Times New Roman"/>
          <w:sz w:val="14"/>
          <w:szCs w:val="14"/>
          <w:color w:val="auto"/>
        </w:rPr>
        <w:t>”), and Platinum SpinCo Inc., a Delaware corporation (“</w:t>
      </w:r>
      <w:r>
        <w:rPr>
          <w:rFonts w:ascii="Times New Roman" w:cs="Times New Roman" w:eastAsia="Times New Roman" w:hAnsi="Times New Roman"/>
          <w:sz w:val="14"/>
          <w:szCs w:val="14"/>
          <w:b w:val="1"/>
          <w:bCs w:val="1"/>
          <w:color w:val="auto"/>
        </w:rPr>
        <w:t>SpinCo</w:t>
      </w:r>
      <w:r>
        <w:rPr>
          <w:rFonts w:ascii="Times New Roman" w:cs="Times New Roman" w:eastAsia="Times New Roman" w:hAnsi="Times New Roman"/>
          <w:sz w:val="14"/>
          <w:szCs w:val="14"/>
          <w:color w:val="auto"/>
        </w:rPr>
        <w:t>”).</w:t>
      </w:r>
    </w:p>
    <w:p>
      <w:pPr>
        <w:spacing w:after="0" w:line="30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R E C I T A L 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WHEREAS, the Company, acting through itself and its direct and indirect Subsidiaries, currently conducts the SpinCo Business;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WHEREAS, SpinCo is a newly formed, wholly owned Subsidiary of the Company;</w:t>
      </w:r>
    </w:p>
    <w:p>
      <w:pPr>
        <w:spacing w:after="0" w:line="175"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WHEREAS, the Company intends to separate the SpinCo Business from the Company Business and to cause the SpinCo Assets to be transferred to SpinCo and the other members of the SpinCo Group and to cause the SpinCo Liabilities to be assumed by SpinCo and other members of the SpinCo Group, upon the terms and subject to the conditions set forth in this Agreement;</w:t>
      </w:r>
    </w:p>
    <w:p>
      <w:pPr>
        <w:spacing w:after="0" w:line="134" w:lineRule="exact"/>
        <w:rPr>
          <w:sz w:val="20"/>
          <w:szCs w:val="20"/>
          <w:color w:val="auto"/>
        </w:rPr>
      </w:pPr>
    </w:p>
    <w:p>
      <w:pPr>
        <w:ind w:left="1360" w:right="419" w:firstLine="343"/>
        <w:spacing w:after="0" w:line="286" w:lineRule="auto"/>
        <w:rPr>
          <w:sz w:val="20"/>
          <w:szCs w:val="20"/>
          <w:color w:val="auto"/>
        </w:rPr>
      </w:pPr>
      <w:r>
        <w:rPr>
          <w:rFonts w:ascii="Times New Roman" w:cs="Times New Roman" w:eastAsia="Times New Roman" w:hAnsi="Times New Roman"/>
          <w:sz w:val="14"/>
          <w:szCs w:val="14"/>
          <w:color w:val="auto"/>
        </w:rPr>
        <w:t>WHEREAS, the Company will distribute all the issued and outstanding shares of the common stock, $0.001 par value, of SpinCo (the “</w:t>
      </w:r>
      <w:r>
        <w:rPr>
          <w:rFonts w:ascii="Times New Roman" w:cs="Times New Roman" w:eastAsia="Times New Roman" w:hAnsi="Times New Roman"/>
          <w:sz w:val="14"/>
          <w:szCs w:val="14"/>
          <w:b w:val="1"/>
          <w:bCs w:val="1"/>
          <w:color w:val="auto"/>
        </w:rPr>
        <w:t>SpinCo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to the Company’s stockholders without consideration on a pro rata basis on the Distribution Date (the “</w:t>
      </w:r>
      <w:r>
        <w:rPr>
          <w:rFonts w:ascii="Times New Roman" w:cs="Times New Roman" w:eastAsia="Times New Roman" w:hAnsi="Times New Roman"/>
          <w:sz w:val="14"/>
          <w:szCs w:val="14"/>
          <w:b w:val="1"/>
          <w:bCs w:val="1"/>
          <w:color w:val="auto"/>
        </w:rPr>
        <w:t>Spin-Off</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WHEREAS, the disposition by the Company of 100% of the SpinCo Common Stock by way of a Spin-Off is referred to as the “</w:t>
      </w:r>
      <w:r>
        <w:rPr>
          <w:rFonts w:ascii="Times New Roman" w:cs="Times New Roman" w:eastAsia="Times New Roman" w:hAnsi="Times New Roman"/>
          <w:sz w:val="14"/>
          <w:szCs w:val="14"/>
          <w:b w:val="1"/>
          <w:bCs w:val="1"/>
          <w:color w:val="auto"/>
        </w:rPr>
        <w:t>Distribution</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WHEREAS, for U.S. federal income tax purposes, it is intended that (i) the Contribution (as defined herein) and the Distribution, taken together, shall qualify as a “reorganization” within the meaning of Sections 355(a) and 368(a)(1)(D) of the Code; (ii) the Merger (as defined herein) shall qualify as a “reorganization” within the meaning of Section 368(a) of the Code; and (iii) this Agreement and the other Transaction Documents constitute, and are hereby adopted as, a “plan of reorganization” with respect to the Contribution and Distribution (taken together) within the meaning of Treasury Regulations Sections 1.368-2(g) and 1.368-3(a) and for purposes of Sections 354, 361 and 368 of the Code;</w:t>
      </w:r>
    </w:p>
    <w:p>
      <w:pPr>
        <w:spacing w:after="0" w:line="142" w:lineRule="exact"/>
        <w:rPr>
          <w:sz w:val="20"/>
          <w:szCs w:val="20"/>
          <w:color w:val="auto"/>
        </w:rPr>
      </w:pPr>
    </w:p>
    <w:p>
      <w:pPr>
        <w:ind w:left="1360" w:right="379" w:firstLine="343"/>
        <w:spacing w:after="0" w:line="259" w:lineRule="auto"/>
        <w:rPr>
          <w:sz w:val="20"/>
          <w:szCs w:val="20"/>
          <w:color w:val="auto"/>
        </w:rPr>
      </w:pPr>
      <w:r>
        <w:rPr>
          <w:rFonts w:ascii="Times New Roman" w:cs="Times New Roman" w:eastAsia="Times New Roman" w:hAnsi="Times New Roman"/>
          <w:sz w:val="14"/>
          <w:szCs w:val="14"/>
          <w:color w:val="auto"/>
        </w:rPr>
        <w:t>WHEREAS, pursuant to that certain Agreement and Plan of Merger, dated as of the date hereof (the “</w:t>
      </w:r>
      <w:r>
        <w:rPr>
          <w:rFonts w:ascii="Times New Roman" w:cs="Times New Roman" w:eastAsia="Times New Roman" w:hAnsi="Times New Roman"/>
          <w:sz w:val="14"/>
          <w:szCs w:val="14"/>
          <w:b w:val="1"/>
          <w:bCs w:val="1"/>
          <w:color w:val="auto"/>
        </w:rPr>
        <w:t>Merger Agreement</w:t>
      </w:r>
      <w:r>
        <w:rPr>
          <w:rFonts w:ascii="Times New Roman" w:cs="Times New Roman" w:eastAsia="Times New Roman" w:hAnsi="Times New Roman"/>
          <w:sz w:val="14"/>
          <w:szCs w:val="14"/>
          <w:color w:val="auto"/>
        </w:rPr>
        <w:t>”), by and among the Company, SpinCo, Gold and Platinum Gold Merger Sub Inc., a Delaware corporation and wholly owned subsidiary of Gold (“</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immediately following the Distribution, Merger Sub will merge with and into SpinCo with SpinCo as the surviving entity (the “</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whereupon each share of SpinCo Common Stock will be converted into the right to receive shares of common stock, no par value per share, of Gold, all upon the terms and subject to the conditions set forth in the Merger Agreement;</w:t>
      </w:r>
    </w:p>
    <w:p>
      <w:pPr>
        <w:spacing w:after="0" w:line="141" w:lineRule="exact"/>
        <w:rPr>
          <w:sz w:val="20"/>
          <w:szCs w:val="20"/>
          <w:color w:val="auto"/>
        </w:rPr>
      </w:pPr>
    </w:p>
    <w:p>
      <w:pPr>
        <w:ind w:left="1360" w:right="319" w:firstLine="343"/>
        <w:spacing w:after="0" w:line="259" w:lineRule="auto"/>
        <w:rPr>
          <w:sz w:val="20"/>
          <w:szCs w:val="20"/>
          <w:color w:val="auto"/>
        </w:rPr>
      </w:pPr>
      <w:r>
        <w:rPr>
          <w:rFonts w:ascii="Times New Roman" w:cs="Times New Roman" w:eastAsia="Times New Roman" w:hAnsi="Times New Roman"/>
          <w:sz w:val="14"/>
          <w:szCs w:val="14"/>
          <w:color w:val="auto"/>
        </w:rPr>
        <w:t>WHEREAS, the Board of Directors of the Company (the “</w:t>
      </w:r>
      <w:r>
        <w:rPr>
          <w:rFonts w:ascii="Times New Roman" w:cs="Times New Roman" w:eastAsia="Times New Roman" w:hAnsi="Times New Roman"/>
          <w:sz w:val="14"/>
          <w:szCs w:val="14"/>
          <w:b w:val="1"/>
          <w:bCs w:val="1"/>
          <w:color w:val="auto"/>
        </w:rPr>
        <w:t>Company Board</w:t>
      </w:r>
      <w:r>
        <w:rPr>
          <w:rFonts w:ascii="Times New Roman" w:cs="Times New Roman" w:eastAsia="Times New Roman" w:hAnsi="Times New Roman"/>
          <w:sz w:val="14"/>
          <w:szCs w:val="14"/>
          <w:color w:val="auto"/>
        </w:rPr>
        <w:t>”) and the Board of Directors of SpinCo have approved and declared advisable this Agreement and the transactions contemplated hereby, including the Reorganization and the Distribution, subject to such further action of the Company Board required to establish the Record Date and the Distribution Date, and the effectiveness of the declaration of the Distribution by the Company Board (which will be subject to the satisfaction or, to the extent permitted by applicable Law, waiver of the conditions set forth in this Agreement);</w:t>
      </w:r>
    </w:p>
    <w:p>
      <w:pPr>
        <w:spacing w:after="0" w:line="143"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WHEREAS, each of the Company and SpinCo has determined that it is appropriate and desirable to set forth the principal corporate transactions required to effect the Reorganization and the Distribution and certain other agreements that will govern certain matters relating to the Reorganization and the Distribution and the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B-1</w:t>
      </w:r>
    </w:p>
    <w:p>
      <w:pPr>
        <w:sectPr>
          <w:pgSz w:w="11900" w:h="16838" w:orient="portrait"/>
          <w:cols w:equalWidth="0" w:num="1">
            <w:col w:w="10159"/>
          </w:cols>
          <w:pgMar w:left="300" w:top="386" w:right="1440"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relationship of the Company, SpinCo, Gold and the members of their respective Groups following the Distribution; and</w:t>
      </w:r>
    </w:p>
    <w:p>
      <w:pPr>
        <w:spacing w:after="0" w:line="175" w:lineRule="exact"/>
        <w:rPr>
          <w:sz w:val="20"/>
          <w:szCs w:val="20"/>
          <w:color w:val="auto"/>
        </w:rPr>
      </w:pPr>
    </w:p>
    <w:p>
      <w:pPr>
        <w:jc w:val="both"/>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WHEREAS, the Parties acknowledge that this Agreement, the Merger Agreement and the other Transaction Documents represent the integrated agreement of the Company, SpinCo and Gold relating to the Reorganization and the Distribution, are being entered into together, and would not have been entered into independently.</w:t>
      </w:r>
    </w:p>
    <w:p>
      <w:pPr>
        <w:spacing w:after="0" w:line="136"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the purpose of this Agreement, the following terms shall have the following meanings:</w:t>
      </w:r>
    </w:p>
    <w:p>
      <w:pPr>
        <w:spacing w:after="0" w:line="17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Accounting Principles</w:t>
      </w:r>
      <w:r>
        <w:rPr>
          <w:rFonts w:ascii="Times New Roman" w:cs="Times New Roman" w:eastAsia="Times New Roman" w:hAnsi="Times New Roman"/>
          <w:sz w:val="14"/>
          <w:szCs w:val="14"/>
          <w:color w:val="auto"/>
        </w:rPr>
        <w:t xml:space="preserve">” shall have the meaning set forth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Action</w:t>
      </w:r>
      <w:r>
        <w:rPr>
          <w:rFonts w:ascii="Times New Roman" w:cs="Times New Roman" w:eastAsia="Times New Roman" w:hAnsi="Times New Roman"/>
          <w:sz w:val="14"/>
          <w:szCs w:val="14"/>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Readiness Requirements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7.3(c)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Requirements Costs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7.3(d)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79" w:firstLine="34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shall mean, when used with respect to a specified Person (at any point of time or with respect to a period of time, as applicable), a Person that, directly or indirectly, through one (1)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 It is expressly agreed that, from and after the Distribution Time, for purposes of this Agreement, the Merger Agreement, the Transfer Documents and the other Transaction Documents, (a) no member of the SpinCo Group or the Gold Group shall be deemed to be an Affiliate of any member of the Company Group and (b) no member of the Company Group shall be deemed to be an Affiliate of any member of the SpinCo Group or Gold Group.</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shall have the meaning set forth in the Preamble.</w:t>
      </w:r>
    </w:p>
    <w:p>
      <w:pPr>
        <w:spacing w:after="0" w:line="175" w:lineRule="exact"/>
        <w:rPr>
          <w:sz w:val="20"/>
          <w:szCs w:val="20"/>
          <w:color w:val="auto"/>
        </w:rPr>
      </w:pPr>
    </w:p>
    <w:p>
      <w:pPr>
        <w:ind w:left="1360" w:right="25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Approvals or Notifications</w:t>
      </w:r>
      <w:r>
        <w:rPr>
          <w:rFonts w:ascii="Times New Roman" w:cs="Times New Roman" w:eastAsia="Times New Roman" w:hAnsi="Times New Roman"/>
          <w:sz w:val="14"/>
          <w:szCs w:val="14"/>
          <w:color w:val="auto"/>
        </w:rPr>
        <w:t>” shall mean any consents, waivers, approvals, permits or authorizations to be obtained from, notices, registrations or reports to be submitted to, or other filings to be made with, any Third Party, including any Governmental Authority.</w:t>
      </w:r>
    </w:p>
    <w:p>
      <w:pPr>
        <w:spacing w:after="0" w:line="121"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4"/>
          <w:szCs w:val="14"/>
          <w:color w:val="auto"/>
        </w:rPr>
        <w:t>” shall mean, 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rights and benefits pursuant to any Contract, license, Permit, mortgage, concession, franchise, undertaking or other arrangement.</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 Reimbursement Obligations</w:t>
      </w:r>
      <w:r>
        <w:rPr>
          <w:rFonts w:ascii="Times New Roman" w:cs="Times New Roman" w:eastAsia="Times New Roman" w:hAnsi="Times New Roman"/>
          <w:sz w:val="14"/>
          <w:szCs w:val="14"/>
          <w:color w:val="auto"/>
        </w:rPr>
        <w:t>” shall have the meaning set forth in the Merger Agreement.</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B-2</w:t>
      </w:r>
    </w:p>
    <w:p>
      <w:pPr>
        <w:sectPr>
          <w:pgSz w:w="11900" w:h="16838" w:orient="portrait"/>
          <w:cols w:equalWidth="0" w:num="1">
            <w:col w:w="10159"/>
          </w:cols>
          <w:pgMar w:left="300" w:top="386" w:right="1440"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Audited Party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6.1(c)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Base Level Separation Plan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Benefit Plan</w:t>
      </w:r>
      <w:r>
        <w:rPr>
          <w:rFonts w:ascii="Times New Roman" w:cs="Times New Roman" w:eastAsia="Times New Roman" w:hAnsi="Times New Roman"/>
          <w:sz w:val="14"/>
          <w:szCs w:val="14"/>
          <w:color w:val="auto"/>
        </w:rPr>
        <w:t>” shall have the meaning set forth in the Employee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360" w:right="45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Transfer</w:t>
      </w:r>
      <w:r>
        <w:rPr>
          <w:rFonts w:ascii="Times New Roman" w:cs="Times New Roman" w:eastAsia="Times New Roman" w:hAnsi="Times New Roman"/>
          <w:sz w:val="14"/>
          <w:szCs w:val="14"/>
          <w:color w:val="auto"/>
        </w:rPr>
        <w:t>” shall mean (a) if the Cash Transfer Amount is a positive number, a cash payment from SpinCo to the Company in an amount equal to the Cash Transfer Amount and (b) if the Cash Transfer Amount is a negative number, a cash payment from the Company to SpinCo in an amount equal to the absolute value of the Cash Transfer Amount.</w:t>
      </w:r>
    </w:p>
    <w:p>
      <w:pPr>
        <w:spacing w:after="0" w:line="1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Transfer Amount</w:t>
      </w:r>
      <w:r>
        <w:rPr>
          <w:rFonts w:ascii="Times New Roman" w:cs="Times New Roman" w:eastAsia="Times New Roman" w:hAnsi="Times New Roman"/>
          <w:sz w:val="14"/>
          <w:szCs w:val="14"/>
          <w:color w:val="auto"/>
        </w:rPr>
        <w:t xml:space="preserve">” shall mean the sum of (a) the Estimated Net Working Capital Adjustment (which may be positive or negative), </w:t>
      </w:r>
      <w:r>
        <w:rPr>
          <w:rFonts w:ascii="Times New Roman" w:cs="Times New Roman" w:eastAsia="Times New Roman" w:hAnsi="Times New Roman"/>
          <w:sz w:val="14"/>
          <w:szCs w:val="14"/>
          <w:u w:val="single" w:color="auto"/>
          <w:color w:val="auto"/>
        </w:rPr>
        <w:t>plus</w:t>
      </w:r>
    </w:p>
    <w:p>
      <w:pPr>
        <w:spacing w:after="0" w:line="24" w:lineRule="exact"/>
        <w:rPr>
          <w:sz w:val="20"/>
          <w:szCs w:val="20"/>
          <w:color w:val="auto"/>
        </w:rPr>
      </w:pPr>
    </w:p>
    <w:p>
      <w:pPr>
        <w:ind w:left="1700" w:right="1219" w:hanging="345"/>
        <w:spacing w:after="0" w:line="489" w:lineRule="auto"/>
        <w:tabs>
          <w:tab w:leader="none" w:pos="1555" w:val="left"/>
        </w:tabs>
        <w:numPr>
          <w:ilvl w:val="0"/>
          <w:numId w:val="4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Estimated SpinCo Cash,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(c) the Estimated SpinCo Indebtedness,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(d) the Estimated SpinCo Expense Reimbursement. “</w:t>
      </w:r>
      <w:r>
        <w:rPr>
          <w:rFonts w:ascii="Times New Roman" w:cs="Times New Roman" w:eastAsia="Times New Roman" w:hAnsi="Times New Roman"/>
          <w:sz w:val="14"/>
          <w:szCs w:val="14"/>
          <w:b w:val="1"/>
          <w:bCs w:val="1"/>
          <w:color w:val="auto"/>
        </w:rPr>
        <w:t>Chosen Courts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9.3(b)</w:t>
      </w:r>
      <w:r>
        <w:rPr>
          <w:rFonts w:ascii="Times New Roman" w:cs="Times New Roman" w:eastAsia="Times New Roman" w:hAnsi="Times New Roman"/>
          <w:sz w:val="14"/>
          <w:szCs w:val="14"/>
          <w:color w:val="auto"/>
        </w:rPr>
        <w:t>.</w:t>
      </w: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shall have the meaning set forth in the Merger Agreement.</w:t>
      </w:r>
    </w:p>
    <w:p>
      <w:pPr>
        <w:spacing w:after="0" w:line="175" w:lineRule="exact"/>
        <w:rPr>
          <w:rFonts w:ascii="Times New Roman" w:cs="Times New Roman" w:eastAsia="Times New Roman" w:hAnsi="Times New Roman"/>
          <w:sz w:val="14"/>
          <w:szCs w:val="14"/>
          <w:color w:val="auto"/>
        </w:rPr>
      </w:pPr>
    </w:p>
    <w:p>
      <w:pPr>
        <w:ind w:left="1700" w:right="4259"/>
        <w:spacing w:after="0" w:line="50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shall have the meaning set forth in the Merger Agreement.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shall mean the Internal Revenue Code of 1986, as amended.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shall have the meaning set forth in the Preamble.</w:t>
      </w:r>
    </w:p>
    <w:p>
      <w:pPr>
        <w:spacing w:after="0" w:line="1"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Accounts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2.12(a)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Assets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2.2(b)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Board</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Books and Records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2.2(a)(xi)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3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Business</w:t>
      </w:r>
      <w:r>
        <w:rPr>
          <w:rFonts w:ascii="Times New Roman" w:cs="Times New Roman" w:eastAsia="Times New Roman" w:hAnsi="Times New Roman"/>
          <w:sz w:val="14"/>
          <w:szCs w:val="14"/>
          <w:color w:val="auto"/>
        </w:rPr>
        <w:t>” shall mean all businesses, operations and activities (whether or not such businesses, operations or activities are or have been terminated, divested or discontinued) conducted at any time prior to the Distribution Time by either the Company or SpinCo or any member of its Group (other than the SpinCo Business).</w:t>
      </w:r>
    </w:p>
    <w:p>
      <w:pPr>
        <w:spacing w:after="0" w:line="1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Company-Controlled Actions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5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Group</w:t>
      </w:r>
      <w:r>
        <w:rPr>
          <w:rFonts w:ascii="Times New Roman" w:cs="Times New Roman" w:eastAsia="Times New Roman" w:hAnsi="Times New Roman"/>
          <w:sz w:val="14"/>
          <w:szCs w:val="14"/>
          <w:color w:val="auto"/>
        </w:rPr>
        <w:t>” shall mean the Company and each Person that is a Subsidiary of the Company (other than SpinCo and any other member of the SpinCo Group).</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Indemnitees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Liabilities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2.3(b)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43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Support Obligations</w:t>
      </w:r>
      <w:r>
        <w:rPr>
          <w:rFonts w:ascii="Times New Roman" w:cs="Times New Roman" w:eastAsia="Times New Roman" w:hAnsi="Times New Roman"/>
          <w:sz w:val="14"/>
          <w:szCs w:val="14"/>
          <w:color w:val="auto"/>
        </w:rPr>
        <w:t>” shall mean all guarantees, letters of credit, comfort letters, bonds, sureties and other credit support or assurances made or issued by or on behalf of the Company or any of its Subsidiaries (other than the members of the SpinCo Group) in support of any obligation of any member of the SpinCo Group.</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B-3</w:t>
      </w:r>
    </w:p>
    <w:p>
      <w:pPr>
        <w:sectPr>
          <w:pgSz w:w="11900" w:h="16838" w:orient="portrait"/>
          <w:cols w:equalWidth="0" w:num="1">
            <w:col w:w="10159"/>
          </w:cols>
          <w:pgMar w:left="300" w:top="386" w:right="1440"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Confidentiality Agreement</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Contract</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360" w:right="239" w:firstLine="34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Contribution</w:t>
      </w:r>
      <w:r>
        <w:rPr>
          <w:rFonts w:ascii="Times New Roman" w:cs="Times New Roman" w:eastAsia="Times New Roman" w:hAnsi="Times New Roman"/>
          <w:sz w:val="14"/>
          <w:szCs w:val="14"/>
          <w:color w:val="auto"/>
        </w:rPr>
        <w:t>” shall mean the contribution (as part of the Reorganization and immediately prior to, or otherwise in connection with and in anticipation of, the Distribution) by the Company of (a) the SpinCo Assets and (b) the Cash Transfer (if the Cash Transfer Amount is a negative number) to SpinCo in exchange for (w) the assumption of the SpinCo Liabilities by SpinCo, (x) the actual or deemed issuance by SpinCo to the Company of shares of SpinCo Common Stock, (y) the payment by SpinCo to the Company of the SpinCo Cash Distribution and (z) the payment by SpinCo to the Company of the Cash Transfer (if the Cash Transfer Amount is a positive number).</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Covered Policies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Cut-Off Time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2.11(a)(v)</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Day-One Base Level Readiness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Delayed Company Asset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2.4(h)</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Delayed Company Liability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2.4(h)</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Delayed SpinCo Asset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Delayed SpinCo Liability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1360" w:right="379" w:firstLine="34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Disclosure Document</w:t>
      </w:r>
      <w:r>
        <w:rPr>
          <w:rFonts w:ascii="Times New Roman" w:cs="Times New Roman" w:eastAsia="Times New Roman" w:hAnsi="Times New Roman"/>
          <w:sz w:val="14"/>
          <w:szCs w:val="14"/>
          <w:color w:val="auto"/>
        </w:rPr>
        <w:t>” shall mean (a) the registration statement on Form 10 to be filed by or on behalf of SpinCo or a member of the SpinCo Group with the SEC or any other registration statement to be filed by or on behalf of SpinCo or a member of the SpinCo Group with the SEC to effect the registration of shares of SpinCo Common Stock in connection with the Distribution, and also includes any amendment or supplement thereto, and</w:t>
      </w:r>
    </w:p>
    <w:p>
      <w:pPr>
        <w:ind w:left="1360" w:right="239" w:hanging="5"/>
        <w:spacing w:after="0" w:line="254" w:lineRule="auto"/>
        <w:tabs>
          <w:tab w:leader="none" w:pos="1558" w:val="left"/>
        </w:tabs>
        <w:numPr>
          <w:ilvl w:val="0"/>
          <w:numId w:val="4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information statement, prospectus, offering memorandum, offering circular, current or periodic report or similar disclosure document, whether or not filed with or furnished to the SEC or any other Governmental Authority by SpinCo or the Company or any member of their respective Groups, in connection with the Distribution, in each case, which describes the Reorganization or the SpinCo Group or primarily relates to the transactions contemplated by this Agreement, the Merger Agreement or any of the other Transaction Documents.</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Dispute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9.14</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Disputed Items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ind w:left="1360" w:right="71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 Agent</w:t>
      </w:r>
      <w:r>
        <w:rPr>
          <w:rFonts w:ascii="Times New Roman" w:cs="Times New Roman" w:eastAsia="Times New Roman" w:hAnsi="Times New Roman"/>
          <w:sz w:val="14"/>
          <w:szCs w:val="14"/>
          <w:color w:val="auto"/>
        </w:rPr>
        <w:t>” shall mean the trust company or bank duly appointed by the Company, and reasonably acceptable to Gold, to act as distribution agent, transfer agent and registrar for the SpinCo Common Stock in connection with the Distribution.</w:t>
      </w:r>
    </w:p>
    <w:p>
      <w:pPr>
        <w:spacing w:after="0" w:line="121" w:lineRule="exact"/>
        <w:rPr>
          <w:sz w:val="20"/>
          <w:szCs w:val="20"/>
          <w:color w:val="auto"/>
        </w:rPr>
      </w:pPr>
    </w:p>
    <w:p>
      <w:pPr>
        <w:ind w:left="1360" w:right="31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 Date</w:t>
      </w:r>
      <w:r>
        <w:rPr>
          <w:rFonts w:ascii="Times New Roman" w:cs="Times New Roman" w:eastAsia="Times New Roman" w:hAnsi="Times New Roman"/>
          <w:sz w:val="14"/>
          <w:szCs w:val="14"/>
          <w:color w:val="auto"/>
        </w:rPr>
        <w:t>” shall mean the date on which the Company distributes all of the issued and outstanding shares of SpinCo Common Stock to the Record Holders.</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 Tax Opinion</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360" w:right="63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 Time</w:t>
      </w:r>
      <w:r>
        <w:rPr>
          <w:rFonts w:ascii="Times New Roman" w:cs="Times New Roman" w:eastAsia="Times New Roman" w:hAnsi="Times New Roman"/>
          <w:sz w:val="14"/>
          <w:szCs w:val="14"/>
          <w:color w:val="auto"/>
        </w:rPr>
        <w:t>” shall mean the time at which the Distribution occurs on the Distribution Date, which for accounting purposes shall be deemed to be 12:01 a.m., New York City time, unless another time is selected by the Parties.</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B-4</w:t>
      </w:r>
    </w:p>
    <w:p>
      <w:pPr>
        <w:sectPr>
          <w:pgSz w:w="11900" w:h="16838" w:orient="portrait"/>
          <w:cols w:equalWidth="0" w:num="1">
            <w:col w:w="10159"/>
          </w:cols>
          <w:pgMar w:left="300" w:top="385" w:right="1440"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Employee</w:t>
      </w:r>
      <w:r>
        <w:rPr>
          <w:rFonts w:ascii="Times New Roman" w:cs="Times New Roman" w:eastAsia="Times New Roman" w:hAnsi="Times New Roman"/>
          <w:sz w:val="14"/>
          <w:szCs w:val="14"/>
          <w:color w:val="auto"/>
        </w:rPr>
        <w:t>” shall have the meaning set forth in the Employee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Employee Matters Agreement</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jc w:val="both"/>
        <w:ind w:left="1360" w:right="31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Law</w:t>
      </w:r>
      <w:r>
        <w:rPr>
          <w:rFonts w:ascii="Times New Roman" w:cs="Times New Roman" w:eastAsia="Times New Roman" w:hAnsi="Times New Roman"/>
          <w:sz w:val="14"/>
          <w:szCs w:val="14"/>
          <w:color w:val="auto"/>
        </w:rPr>
        <w:t>” shall mean any Law relating to pollution, protection or restoration of or prevention of harm to the environment or natural resources, including the use, handling, transportation, treatment, storage, disposal, Release or discharge of, or exposure to, Hazardous Materials, or the protection of or prevention of harm to human health and safety.</w:t>
      </w:r>
    </w:p>
    <w:p>
      <w:pPr>
        <w:spacing w:after="0" w:line="133" w:lineRule="exact"/>
        <w:rPr>
          <w:sz w:val="20"/>
          <w:szCs w:val="20"/>
          <w:color w:val="auto"/>
        </w:rPr>
      </w:pPr>
    </w:p>
    <w:p>
      <w:pPr>
        <w:ind w:left="1360" w:right="359" w:firstLine="34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Liabilities</w:t>
      </w:r>
      <w:r>
        <w:rPr>
          <w:rFonts w:ascii="Times New Roman" w:cs="Times New Roman" w:eastAsia="Times New Roman" w:hAnsi="Times New Roman"/>
          <w:sz w:val="14"/>
          <w:szCs w:val="14"/>
          <w:color w:val="auto"/>
        </w:rPr>
        <w:t>” shall mean all Liabilities relating to, arising out of or resulting from any Hazardous Materials, Environmental Law or Contract relating to environmental, health or safety matters (including all removal, remediation or cleanup costs, investigatory or monitoring costs, corrective action or response costs, natural resources damages, property damages, personal injury damages or with any settlement, judgment or other determination of Liability and indemnity, contribution or similar obligations) and all costs and expenses, interest, fines, penalties or other monetary sanctions in connection therewith.</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Interests</w:t>
      </w:r>
      <w:r>
        <w:rPr>
          <w:rFonts w:ascii="Times New Roman" w:cs="Times New Roman" w:eastAsia="Times New Roman" w:hAnsi="Times New Roman"/>
          <w:sz w:val="14"/>
          <w:szCs w:val="14"/>
          <w:color w:val="auto"/>
        </w:rPr>
        <w:t>” means: (a) the shares of capital stock of a corporation; (b) the general or limited partnership interests of any partnership;</w:t>
      </w:r>
    </w:p>
    <w:p>
      <w:pPr>
        <w:spacing w:after="0" w:line="24" w:lineRule="exact"/>
        <w:rPr>
          <w:sz w:val="20"/>
          <w:szCs w:val="20"/>
          <w:color w:val="auto"/>
        </w:rPr>
      </w:pPr>
    </w:p>
    <w:p>
      <w:pPr>
        <w:ind w:left="1360" w:right="259" w:hanging="5"/>
        <w:spacing w:after="0" w:line="254" w:lineRule="auto"/>
        <w:tabs>
          <w:tab w:leader="none" w:pos="1550" w:val="left"/>
        </w:tabs>
        <w:numPr>
          <w:ilvl w:val="0"/>
          <w:numId w:val="4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membership or other ownership interest of any limited liability company; (d) the equity securities or other ownership interests of any kind of any other legal entity; or (e) any option, warrant or other right to convert into or otherwise receive any of the foregoing or any other similar Contract pursuant to which such corporation, partnership, limited liability company or other legal entity is or may become obligated to issue any of the foregoing, in any such case of any of clauses (a) through (e) of this definition, whether owned or held beneficially, of record or legally.</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Estimated Net Working Capital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Estimated Net Working Capital Adjustment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Estimated SpinCo Cash</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2.11(a)(ii)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Estimated SpinCo Expense Reimbursement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2.11(a)(iii)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Estimated SpinCo Indebtedness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2.11(a)(iv)</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Excess Foreign Cash</w:t>
      </w:r>
      <w:r>
        <w:rPr>
          <w:rFonts w:ascii="Times New Roman" w:cs="Times New Roman" w:eastAsia="Times New Roman" w:hAnsi="Times New Roman"/>
          <w:sz w:val="14"/>
          <w:szCs w:val="14"/>
          <w:color w:val="auto"/>
        </w:rPr>
        <w:t xml:space="preserve">” shall have the meaning set forth on </w:t>
      </w:r>
      <w:r>
        <w:rPr>
          <w:rFonts w:ascii="Times New Roman" w:cs="Times New Roman" w:eastAsia="Times New Roman" w:hAnsi="Times New Roman"/>
          <w:sz w:val="14"/>
          <w:szCs w:val="14"/>
          <w:u w:val="single" w:color="auto"/>
          <w:color w:val="auto"/>
        </w:rPr>
        <w:t>Schedule 1.2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shall mean the U.S. Securities Exchange Act of 1934.</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Cash</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2.2(a)(xiv)</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Adjustment Statement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Cash Transfer Amount</w:t>
      </w:r>
      <w:r>
        <w:rPr>
          <w:rFonts w:ascii="Times New Roman" w:cs="Times New Roman" w:eastAsia="Times New Roman" w:hAnsi="Times New Roman"/>
          <w:sz w:val="14"/>
          <w:szCs w:val="14"/>
          <w:color w:val="auto"/>
        </w:rPr>
        <w:t xml:space="preserve">” shall mean an amount equal to the sum of (a) the Final Net Working Capital Adjustment (which may be positive or negative),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(b) the Final SpinCo Cash,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(c) the Final SpinCo Indebtedness,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(d) the Final SpinCo Expense Reimbursement.</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Net Working Capital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2.11(j)</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Net Working Capital Adjustment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2.11(a)(iv)</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Separation Plan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7.3(b)</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B-5</w:t>
      </w:r>
    </w:p>
    <w:p>
      <w:pPr>
        <w:sectPr>
          <w:pgSz w:w="11900" w:h="16838" w:orient="portrait"/>
          <w:cols w:equalWidth="0" w:num="1">
            <w:col w:w="10159"/>
          </w:cols>
          <w:pgMar w:left="300" w:top="386" w:right="1440"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SpinCo Cash</w:t>
      </w:r>
      <w:r>
        <w:rPr>
          <w:rFonts w:ascii="Times New Roman" w:cs="Times New Roman" w:eastAsia="Times New Roman" w:hAnsi="Times New Roman"/>
          <w:sz w:val="14"/>
          <w:szCs w:val="14"/>
          <w:color w:val="auto"/>
        </w:rPr>
        <w:t xml:space="preserve">” shall mean the SpinCo Cash as of the Cut-Off Time as determined pursuant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SpinCo Expense Reimbursement</w:t>
      </w:r>
      <w:r>
        <w:rPr>
          <w:rFonts w:ascii="Times New Roman" w:cs="Times New Roman" w:eastAsia="Times New Roman" w:hAnsi="Times New Roman"/>
          <w:sz w:val="14"/>
          <w:szCs w:val="14"/>
          <w:color w:val="auto"/>
        </w:rPr>
        <w:t xml:space="preserve">” shall mean the SpinCo Expense Reimbursement as determined pursuant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SpinCo Indebtedness</w:t>
      </w:r>
      <w:r>
        <w:rPr>
          <w:rFonts w:ascii="Times New Roman" w:cs="Times New Roman" w:eastAsia="Times New Roman" w:hAnsi="Times New Roman"/>
          <w:sz w:val="14"/>
          <w:szCs w:val="14"/>
          <w:color w:val="auto"/>
        </w:rPr>
        <w:t xml:space="preserve">” shall mean the SpinCo Indebtedness as of the Cut-Off Time as determined pursuant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Financing Reimbursement Obligations</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Former Employee</w:t>
      </w:r>
      <w:r>
        <w:rPr>
          <w:rFonts w:ascii="Times New Roman" w:cs="Times New Roman" w:eastAsia="Times New Roman" w:hAnsi="Times New Roman"/>
          <w:sz w:val="14"/>
          <w:szCs w:val="14"/>
          <w:color w:val="auto"/>
        </w:rPr>
        <w:t>” shall have the meaning set forth in the Employee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shall mean United States generally accepted accounting principles.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Gold</w:t>
      </w:r>
      <w:r>
        <w:rPr>
          <w:rFonts w:ascii="Times New Roman" w:cs="Times New Roman" w:eastAsia="Times New Roman" w:hAnsi="Times New Roman"/>
          <w:sz w:val="14"/>
          <w:szCs w:val="14"/>
          <w:color w:val="auto"/>
        </w:rPr>
        <w:t>” shall have the meaning set forth in the Preamble.</w:t>
      </w:r>
    </w:p>
    <w:p>
      <w:pPr>
        <w:spacing w:after="0" w:line="175" w:lineRule="exact"/>
        <w:rPr>
          <w:sz w:val="20"/>
          <w:szCs w:val="20"/>
          <w:color w:val="auto"/>
        </w:rPr>
      </w:pPr>
    </w:p>
    <w:p>
      <w:pPr>
        <w:ind w:left="1360" w:right="51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Gold Group</w:t>
      </w:r>
      <w:r>
        <w:rPr>
          <w:rFonts w:ascii="Times New Roman" w:cs="Times New Roman" w:eastAsia="Times New Roman" w:hAnsi="Times New Roman"/>
          <w:sz w:val="14"/>
          <w:szCs w:val="14"/>
          <w:color w:val="auto"/>
        </w:rPr>
        <w:t>” shall mean Gold and each Person that is or becomes a Subsidiary of Gold (including, after the Effective Time, SpinCo and the members of the SpinCo Group).</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Approvals</w:t>
      </w:r>
      <w:r>
        <w:rPr>
          <w:rFonts w:ascii="Times New Roman" w:cs="Times New Roman" w:eastAsia="Times New Roman" w:hAnsi="Times New Roman"/>
          <w:sz w:val="14"/>
          <w:szCs w:val="14"/>
          <w:color w:val="auto"/>
        </w:rPr>
        <w:t>” shall mean any Approvals or Notifications to be made to, or obtained from, any Governmental Authority.</w:t>
      </w:r>
    </w:p>
    <w:p>
      <w:pPr>
        <w:spacing w:after="0" w:line="175" w:lineRule="exact"/>
        <w:rPr>
          <w:sz w:val="20"/>
          <w:szCs w:val="20"/>
          <w:color w:val="auto"/>
        </w:rPr>
      </w:pPr>
    </w:p>
    <w:p>
      <w:pPr>
        <w:ind w:left="1360" w:right="41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shall mean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w:t>
      </w:r>
    </w:p>
    <w:p>
      <w:pPr>
        <w:spacing w:after="0" w:line="13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Group</w:t>
      </w:r>
      <w:r>
        <w:rPr>
          <w:rFonts w:ascii="Times New Roman" w:cs="Times New Roman" w:eastAsia="Times New Roman" w:hAnsi="Times New Roman"/>
          <w:sz w:val="14"/>
          <w:szCs w:val="14"/>
          <w:color w:val="auto"/>
        </w:rPr>
        <w:t>” shall mean either the SpinCo Group or the Company Group, as the context requires.</w:t>
      </w:r>
    </w:p>
    <w:p>
      <w:pPr>
        <w:spacing w:after="0" w:line="175" w:lineRule="exact"/>
        <w:rPr>
          <w:sz w:val="20"/>
          <w:szCs w:val="20"/>
          <w:color w:val="auto"/>
        </w:rPr>
      </w:pPr>
    </w:p>
    <w:p>
      <w:pPr>
        <w:ind w:left="1360" w:right="219" w:firstLine="34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Hazardous Materials</w:t>
      </w:r>
      <w:r>
        <w:rPr>
          <w:rFonts w:ascii="Times New Roman" w:cs="Times New Roman" w:eastAsia="Times New Roman" w:hAnsi="Times New Roman"/>
          <w:sz w:val="14"/>
          <w:szCs w:val="14"/>
          <w:color w:val="auto"/>
        </w:rPr>
        <w:t>” shall mean any chemical, material, substance, waste, pollutant or contaminant that could result in Liability or that is prohibited, limited or regulated by or pursuant to, any Environmental Law, and any substance that could cause harm to human health or the environment, including petroleum, petroleum products and byproducts, asbestos and asbestos-containing materials, urea formaldehyde foam insulation, electronic, medical or infectious wastes, polychlorinated biphenyls, per- and polyfluoroalkyl substances, radon gas, radioactive substances, chlorofluorocarbons and all other ozone-depleting substances.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House Marks</w:t>
      </w:r>
      <w:r>
        <w:rPr>
          <w:rFonts w:ascii="Times New Roman" w:cs="Times New Roman" w:eastAsia="Times New Roman" w:hAnsi="Times New Roman"/>
          <w:sz w:val="14"/>
          <w:szCs w:val="14"/>
          <w:color w:val="auto"/>
        </w:rPr>
        <w:t>” shall mean the “modine” Trademark.</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Indemnifying Party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4.4(a)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Indemnitee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4.4(a)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Indemnity Payment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4.4(a)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Independent Accounting Firm</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Information Technology</w:t>
      </w:r>
      <w:r>
        <w:rPr>
          <w:rFonts w:ascii="Times New Roman" w:cs="Times New Roman" w:eastAsia="Times New Roman" w:hAnsi="Times New Roman"/>
          <w:sz w:val="14"/>
          <w:szCs w:val="14"/>
          <w:color w:val="auto"/>
        </w:rPr>
        <w:t>” shall mean all computer systems (including hardware, Software, computers, servers, workstations, routers, hubs, switches, and data communication lines), network and telecommunications equipment, Internet-related information technology infrastructure, and other information technology equipment, and all associated documentation.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B-6</w:t>
      </w:r>
    </w:p>
    <w:p>
      <w:pPr>
        <w:sectPr>
          <w:pgSz w:w="11900" w:h="16838" w:orient="portrait"/>
          <w:cols w:equalWidth="0" w:num="1">
            <w:col w:w="10159"/>
          </w:cols>
          <w:pgMar w:left="300" w:top="385" w:right="1440"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Adjustment Statement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Insurance Proceeds</w:t>
      </w:r>
      <w:r>
        <w:rPr>
          <w:rFonts w:ascii="Times New Roman" w:cs="Times New Roman" w:eastAsia="Times New Roman" w:hAnsi="Times New Roman"/>
          <w:sz w:val="14"/>
          <w:szCs w:val="14"/>
          <w:color w:val="auto"/>
        </w:rPr>
        <w:t>” shall mean those monies:</w:t>
      </w:r>
    </w:p>
    <w:p>
      <w:pPr>
        <w:spacing w:after="0" w:line="93" w:lineRule="exact"/>
        <w:rPr>
          <w:sz w:val="20"/>
          <w:szCs w:val="20"/>
          <w:color w:val="auto"/>
        </w:rPr>
      </w:pPr>
    </w:p>
    <w:p>
      <w:pPr>
        <w:ind w:left="2660" w:hanging="190"/>
        <w:spacing w:after="0"/>
        <w:tabs>
          <w:tab w:leader="none" w:pos="2660" w:val="left"/>
        </w:tabs>
        <w:numPr>
          <w:ilvl w:val="0"/>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by an insured from an insurance carrier; or</w:t>
      </w:r>
    </w:p>
    <w:p>
      <w:pPr>
        <w:spacing w:after="0" w:line="91" w:lineRule="exact"/>
        <w:rPr>
          <w:rFonts w:ascii="Times New Roman" w:cs="Times New Roman" w:eastAsia="Times New Roman" w:hAnsi="Times New Roman"/>
          <w:sz w:val="14"/>
          <w:szCs w:val="14"/>
          <w:color w:val="auto"/>
        </w:rPr>
      </w:pPr>
    </w:p>
    <w:p>
      <w:pPr>
        <w:ind w:left="2660" w:hanging="190"/>
        <w:spacing w:after="0"/>
        <w:tabs>
          <w:tab w:leader="none" w:pos="2660" w:val="left"/>
        </w:tabs>
        <w:numPr>
          <w:ilvl w:val="0"/>
          <w:numId w:val="4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paid by an insurance carrier on behalf of the insured;</w:t>
      </w:r>
    </w:p>
    <w:p>
      <w:pPr>
        <w:spacing w:after="0" w:line="17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in any such case net of any applicable premium adjustments (including reserves and retrospectively rated premium adjustments) and net of any costs or expenses (including any applicable self-insurance) incurred in the collection thereof.</w:t>
      </w:r>
    </w:p>
    <w:p>
      <w:pPr>
        <w:spacing w:after="0" w:line="1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Intellectual Property</w:t>
      </w:r>
      <w:r>
        <w:rPr>
          <w:rFonts w:ascii="Times New Roman" w:cs="Times New Roman" w:eastAsia="Times New Roman" w:hAnsi="Times New Roman"/>
          <w:sz w:val="14"/>
          <w:szCs w:val="14"/>
          <w:color w:val="auto"/>
        </w:rPr>
        <w:t>” shall mean any and all common law and statutory intellectual property rights anywhere in the world arising under or</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associated with the following: (a) patents, patent applications, utility models, statutory invention registrations, certificates of invention, registered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designs, utility models and similar or equivalent rights in inventions and designs, and all rights therein provided by international treaties or conventions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Patents</w:t>
      </w:r>
      <w:r>
        <w:rPr>
          <w:rFonts w:ascii="Times New Roman" w:cs="Times New Roman" w:eastAsia="Times New Roman" w:hAnsi="Times New Roman"/>
          <w:sz w:val="14"/>
          <w:szCs w:val="14"/>
          <w:color w:val="auto"/>
        </w:rPr>
        <w:t>”); (b) trademarks, service marks, trade names, service names, trade dress, logos, corporate names, business names and other designations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origin, including any registrations and applications for registration of any of the foregoing and the goodwill associated with the foregoing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Trademarks</w:t>
      </w:r>
      <w:r>
        <w:rPr>
          <w:rFonts w:ascii="Times New Roman" w:cs="Times New Roman" w:eastAsia="Times New Roman" w:hAnsi="Times New Roman"/>
          <w:sz w:val="14"/>
          <w:szCs w:val="14"/>
          <w:color w:val="auto"/>
        </w:rPr>
        <w:t>”); (c) rights associated with Internet domain names, social media accounts or “handles” with Facebook, LinkedIn, X (formerly known 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Twitter) and similar social media platforms, and other names, identifiers, and locators associated with Internet addresses, sites, and services (“</w:t>
      </w:r>
      <w:r>
        <w:rPr>
          <w:rFonts w:ascii="Times New Roman" w:cs="Times New Roman" w:eastAsia="Times New Roman" w:hAnsi="Times New Roman"/>
          <w:sz w:val="14"/>
          <w:szCs w:val="14"/>
          <w:b w:val="1"/>
          <w:bCs w:val="1"/>
          <w:color w:val="auto"/>
        </w:rPr>
        <w:t>Internet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Properties</w:t>
      </w:r>
      <w:r>
        <w:rPr>
          <w:rFonts w:ascii="Times New Roman" w:cs="Times New Roman" w:eastAsia="Times New Roman" w:hAnsi="Times New Roman"/>
          <w:sz w:val="14"/>
          <w:szCs w:val="14"/>
          <w:color w:val="auto"/>
        </w:rPr>
        <w:t>”); (d) copyrights and any other equivalent rights in works of authorship (including rights in Software or databases as a work of authorship)</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and any other related rights of authors, and all registrations and applications for registration of any of the foregoing (“</w:t>
      </w:r>
      <w:r>
        <w:rPr>
          <w:rFonts w:ascii="Times New Roman" w:cs="Times New Roman" w:eastAsia="Times New Roman" w:hAnsi="Times New Roman"/>
          <w:sz w:val="13"/>
          <w:szCs w:val="13"/>
          <w:b w:val="1"/>
          <w:bCs w:val="1"/>
          <w:color w:val="auto"/>
        </w:rPr>
        <w:t>Copyrights</w:t>
      </w:r>
      <w:r>
        <w:rPr>
          <w:rFonts w:ascii="Times New Roman" w:cs="Times New Roman" w:eastAsia="Times New Roman" w:hAnsi="Times New Roman"/>
          <w:sz w:val="13"/>
          <w:szCs w:val="13"/>
          <w:color w:val="auto"/>
        </w:rPr>
        <w:t>”); (e) trade secrets and</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industrial secret rights and rights in know-how, inventions (whether patentable or unpatentable and whether or not reduced to practice), data (including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biological, chemical, pharmacological, toxicological, pharmaceutical, physical and analytical, safety, quality control, manufacturing and preclinical and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clinical data), technical, scientific, regulatory and other information, designs, ideas, research and development, discoveries, results, creations,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improvements, techniques, algorithms, procedures, plans, processes, practices, methods, instructions, formulae, formulations, compositions,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specifications, and confidential or proprietary marketing, pricing, distribution, cost and sales information, and any other confidential or proprietary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business or technical information, in each case, that derive independent economic value, whether actual or potential, from not being known to others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Trade Secrets</w:t>
      </w:r>
      <w:r>
        <w:rPr>
          <w:rFonts w:ascii="Times New Roman" w:cs="Times New Roman" w:eastAsia="Times New Roman" w:hAnsi="Times New Roman"/>
          <w:sz w:val="14"/>
          <w:szCs w:val="14"/>
          <w:color w:val="auto"/>
        </w:rPr>
        <w:t>”); and (f) all other similar or equivalent intellectual property or proprietary rights anywhere in the world, whether registered or not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registered, together with the right to apply for the registration of any such rights, and all rights or forms of protection having equivalent or similar effect,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any jurisdiction.</w:t>
      </w:r>
    </w:p>
    <w:p>
      <w:pPr>
        <w:spacing w:after="0" w:line="1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Intellectual Property Matters Agreement</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Interim Period</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360" w:right="81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Inventory</w:t>
      </w:r>
      <w:r>
        <w:rPr>
          <w:rFonts w:ascii="Times New Roman" w:cs="Times New Roman" w:eastAsia="Times New Roman" w:hAnsi="Times New Roman"/>
          <w:sz w:val="14"/>
          <w:szCs w:val="14"/>
          <w:color w:val="auto"/>
        </w:rPr>
        <w:t>” shall mean all raw materials, parts, components, supplies, goods, materials, works-in-process, finished goods and products, inventory, packaging and stock in trade.</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IRS Ruling</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360" w:right="61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 shall mean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B-7</w:t>
      </w:r>
    </w:p>
    <w:p>
      <w:pPr>
        <w:sectPr>
          <w:pgSz w:w="11900" w:h="16838" w:orient="portrait"/>
          <w:cols w:equalWidth="0" w:num="1">
            <w:col w:w="10159"/>
          </w:cols>
          <w:pgMar w:left="300" w:top="386" w:right="1440"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Liabilities</w:t>
      </w:r>
      <w:r>
        <w:rPr>
          <w:rFonts w:ascii="Times New Roman" w:cs="Times New Roman" w:eastAsia="Times New Roman" w:hAnsi="Times New Roman"/>
          <w:sz w:val="14"/>
          <w:szCs w:val="14"/>
          <w:color w:val="auto"/>
        </w:rPr>
        <w:t>” shall mean all debts, guarantees, assurances, commitments, liabilities, responsibilities, Losses, remediation,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release or warranty, or any fines, damages or equitable relief that is imposed in connection therewith, in each case, including all costs and expenses relating thereto.</w:t>
      </w:r>
    </w:p>
    <w:p>
      <w:pPr>
        <w:spacing w:after="0" w:line="144" w:lineRule="exact"/>
        <w:rPr>
          <w:sz w:val="20"/>
          <w:szCs w:val="20"/>
          <w:color w:val="auto"/>
        </w:rPr>
      </w:pPr>
    </w:p>
    <w:p>
      <w:pPr>
        <w:ind w:left="1360" w:right="47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Losses</w:t>
      </w:r>
      <w:r>
        <w:rPr>
          <w:rFonts w:ascii="Times New Roman" w:cs="Times New Roman" w:eastAsia="Times New Roman" w:hAnsi="Times New Roman"/>
          <w:sz w:val="14"/>
          <w:szCs w:val="14"/>
          <w:color w:val="auto"/>
        </w:rPr>
        <w:t>” shall mean actual losses (including any diminution in value), costs, damages, penalties and expenses (including legal and accounting fees and expenses and costs of investigation and litigation), whether or not involving a Third-Party Claim.</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Mercury Common Stock</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 Agreement</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Mixed Action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4.11(d)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Negotiation Request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9.14</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Working Capital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2.11(a)(v)</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Disagreement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NYSE</w:t>
      </w:r>
      <w:r>
        <w:rPr>
          <w:rFonts w:ascii="Times New Roman" w:cs="Times New Roman" w:eastAsia="Times New Roman" w:hAnsi="Times New Roman"/>
          <w:sz w:val="14"/>
          <w:szCs w:val="14"/>
          <w:color w:val="auto"/>
        </w:rPr>
        <w:t>” shall mean the New York Stock Exchange.</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Other Party’s Auditors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6.1(c)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Outside Date</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shall mean the parties to this Agreement, as appropriate.</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Permits</w:t>
      </w:r>
      <w:r>
        <w:rPr>
          <w:rFonts w:ascii="Times New Roman" w:cs="Times New Roman" w:eastAsia="Times New Roman" w:hAnsi="Times New Roman"/>
          <w:sz w:val="14"/>
          <w:szCs w:val="14"/>
          <w:color w:val="auto"/>
        </w:rPr>
        <w:t>” shall mean permits, approvals, authorizations, consents, licenses or certificates issued by any Governmental Authority.</w:t>
      </w:r>
    </w:p>
    <w:p>
      <w:pPr>
        <w:spacing w:after="0" w:line="175" w:lineRule="exact"/>
        <w:rPr>
          <w:sz w:val="20"/>
          <w:szCs w:val="20"/>
          <w:color w:val="auto"/>
        </w:rPr>
      </w:pPr>
    </w:p>
    <w:p>
      <w:pPr>
        <w:ind w:left="1360" w:right="61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shall mean an individual, a general or limited partnership, a corporation, a trust, a joint venture, an unincorporated organization, a limited liability entity, any other entity and any Governmental Authority.</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Personal Information</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Preliminary Adjustment Statement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53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Privileged Information</w:t>
      </w:r>
      <w:r>
        <w:rPr>
          <w:rFonts w:ascii="Times New Roman" w:cs="Times New Roman" w:eastAsia="Times New Roman" w:hAnsi="Times New Roman"/>
          <w:sz w:val="14"/>
          <w:szCs w:val="14"/>
          <w:color w:val="auto"/>
        </w:rPr>
        <w:t>” shall mean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any member of its Group would be entitled to assert or have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B-8</w:t>
      </w:r>
    </w:p>
    <w:p>
      <w:pPr>
        <w:sectPr>
          <w:pgSz w:w="11900" w:h="16838" w:orient="portrait"/>
          <w:cols w:equalWidth="0" w:num="1">
            <w:col w:w="10159"/>
          </w:cols>
          <w:pgMar w:left="300" w:top="386" w:right="1440"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asserted a legal privilege or other legal protection, including the attorney-client privilege, attorney work product privilege, and confidentiality privileges applying to federally authorized tax practitioners under Section 7525 of the Code (or any similar provision of state, local, foreign or other tax law).</w:t>
      </w:r>
    </w:p>
    <w:p>
      <w:pPr>
        <w:spacing w:after="0" w:line="1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Procedure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1360" w:right="339" w:firstLine="343"/>
        <w:spacing w:after="0" w:line="32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Record Date</w:t>
      </w:r>
      <w:r>
        <w:rPr>
          <w:rFonts w:ascii="Times New Roman" w:cs="Times New Roman" w:eastAsia="Times New Roman" w:hAnsi="Times New Roman"/>
          <w:sz w:val="13"/>
          <w:szCs w:val="13"/>
          <w:color w:val="auto"/>
        </w:rPr>
        <w:t>” shall mean the close of business, on the date to be determined by the Company Board (or a committee thereof) as the record date for the determination of holders of record of shares of Mercury Common Stock entitled to receive SpinCo Common Stock pursuant to the Distribution.</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Record Holders</w:t>
      </w:r>
      <w:r>
        <w:rPr>
          <w:rFonts w:ascii="Times New Roman" w:cs="Times New Roman" w:eastAsia="Times New Roman" w:hAnsi="Times New Roman"/>
          <w:sz w:val="14"/>
          <w:szCs w:val="14"/>
          <w:color w:val="auto"/>
        </w:rPr>
        <w:t>” shall mean the holders of record of shares of Mercury Common Stock as of the Record Date.</w:t>
      </w:r>
    </w:p>
    <w:p>
      <w:pPr>
        <w:spacing w:after="0" w:line="175" w:lineRule="exact"/>
        <w:rPr>
          <w:sz w:val="20"/>
          <w:szCs w:val="20"/>
          <w:color w:val="auto"/>
        </w:rPr>
      </w:pPr>
    </w:p>
    <w:p>
      <w:pPr>
        <w:ind w:left="1360" w:right="75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Registered IP</w:t>
      </w:r>
      <w:r>
        <w:rPr>
          <w:rFonts w:ascii="Times New Roman" w:cs="Times New Roman" w:eastAsia="Times New Roman" w:hAnsi="Times New Roman"/>
          <w:sz w:val="14"/>
          <w:szCs w:val="14"/>
          <w:color w:val="auto"/>
        </w:rPr>
        <w:t>” shall mean all United States, international or foreign (a) Patents and Patent applications, (b) registered Trademarks and applications to register Trademarks, (c) registered Copyrights and applications for Copyright registration, and (d) registered Internet Properties.</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Reimbursement Obligations</w:t>
      </w:r>
      <w:r>
        <w:rPr>
          <w:rFonts w:ascii="Times New Roman" w:cs="Times New Roman" w:eastAsia="Times New Roman" w:hAnsi="Times New Roman"/>
          <w:sz w:val="14"/>
          <w:szCs w:val="14"/>
          <w:color w:val="auto"/>
        </w:rPr>
        <w:t>” shall mean the Audit Reimbursement Obligations and the Financing Reimbursement Obligations.</w:t>
      </w:r>
    </w:p>
    <w:p>
      <w:pPr>
        <w:spacing w:after="0" w:line="175" w:lineRule="exact"/>
        <w:rPr>
          <w:sz w:val="20"/>
          <w:szCs w:val="20"/>
          <w:color w:val="auto"/>
        </w:rPr>
      </w:pPr>
    </w:p>
    <w:p>
      <w:pPr>
        <w:ind w:left="1360" w:right="63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Release</w:t>
      </w:r>
      <w:r>
        <w:rPr>
          <w:rFonts w:ascii="Times New Roman" w:cs="Times New Roman" w:eastAsia="Times New Roman" w:hAnsi="Times New Roman"/>
          <w:sz w:val="14"/>
          <w:szCs w:val="14"/>
          <w:color w:val="auto"/>
        </w:rPr>
        <w:t>” shall mean any release, spill, emission, discharge, leaking, pumping, pouring, dumping, emptying, escaping, injection, deposit, disposal, dispersal, leaching or migration of Hazardous Materials into or through the environment (including indoor or ambient air, surface water, groundwater and surface or subsurface strata).</w:t>
      </w:r>
    </w:p>
    <w:p>
      <w:pPr>
        <w:spacing w:after="0" w:line="133" w:lineRule="exact"/>
        <w:rPr>
          <w:sz w:val="20"/>
          <w:szCs w:val="20"/>
          <w:color w:val="auto"/>
        </w:rPr>
      </w:pPr>
    </w:p>
    <w:p>
      <w:pPr>
        <w:ind w:left="1360" w:right="21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Reorganization</w:t>
      </w:r>
      <w:r>
        <w:rPr>
          <w:rFonts w:ascii="Times New Roman" w:cs="Times New Roman" w:eastAsia="Times New Roman" w:hAnsi="Times New Roman"/>
          <w:sz w:val="14"/>
          <w:szCs w:val="14"/>
          <w:color w:val="auto"/>
        </w:rPr>
        <w:t>” shall mean the steps taken to effect the separation of the SpinCo Business from the Company Business, as set forth in this Agreement, the Merger Agreement and the other applicable Transaction Documents, including the steps set forth in the Reorganization Step Plan and the Contribution.</w:t>
      </w:r>
    </w:p>
    <w:p>
      <w:pPr>
        <w:spacing w:after="0" w:line="1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Reorganization Committee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Reorganization Step Plan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57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shall mean, with respect to any Person, any of such Person’s directors, officers, employees, agents, consultants, advisors, accountants, attorneys or other representatives.</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Resolution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Restricted Cash</w:t>
      </w:r>
      <w:r>
        <w:rPr>
          <w:rFonts w:ascii="Times New Roman" w:cs="Times New Roman" w:eastAsia="Times New Roman" w:hAnsi="Times New Roman"/>
          <w:sz w:val="14"/>
          <w:szCs w:val="14"/>
          <w:color w:val="auto"/>
        </w:rPr>
        <w:t xml:space="preserve">” shall mean any cash and cash equivalents of any member of the SpinCo Group as of the Cut-Off Time that is (a) committed, held in escrow or held as collateral in respect of any obligation, or (b) subject to any legal restriction on the ability to freely transfer or use such cash for any lawful purpose, in each case, calculated in a manner that is consistent with the Company’s historical classification of Restricted Cash;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Restricted Cash shall not include any Excess Foreign Cash.</w:t>
      </w:r>
    </w:p>
    <w:p>
      <w:pPr>
        <w:spacing w:after="0" w:line="13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Review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shall mean the U.S. Securities and Exchange Commission.</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Filings</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360" w:right="49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 Interest</w:t>
      </w:r>
      <w:r>
        <w:rPr>
          <w:rFonts w:ascii="Times New Roman" w:cs="Times New Roman" w:eastAsia="Times New Roman" w:hAnsi="Times New Roman"/>
          <w:sz w:val="14"/>
          <w:szCs w:val="14"/>
          <w:color w:val="auto"/>
        </w:rPr>
        <w:t>” shall mean any mortgage, security interest, pledge, lien, charge, claim, option, right to acquire, voting or other restriction, right-of-way, covenant, condition, easement, encroachment, restriction on transfer, or other encumbrance of any nature whatsoever.</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B-9</w:t>
      </w:r>
    </w:p>
    <w:p>
      <w:pPr>
        <w:sectPr>
          <w:pgSz w:w="11900" w:h="16838" w:orient="portrait"/>
          <w:cols w:equalWidth="0" w:num="1">
            <w:col w:w="10159"/>
          </w:cols>
          <w:pgMar w:left="300" w:top="385" w:right="1440"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Separate Action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4.11(c)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Shared Contract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2.9(a)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Shared Services</w:t>
      </w:r>
      <w:r>
        <w:rPr>
          <w:rFonts w:ascii="Times New Roman" w:cs="Times New Roman" w:eastAsia="Times New Roman" w:hAnsi="Times New Roman"/>
          <w:sz w:val="14"/>
          <w:szCs w:val="14"/>
          <w:color w:val="auto"/>
        </w:rPr>
        <w:t xml:space="preserve">” shall mean the ancillary, proprietary or corporate shared services or processes that are provided to, or used in, both the SpinCo Business and the Company Business, including the services and processes described in </w:t>
      </w:r>
      <w:r>
        <w:rPr>
          <w:rFonts w:ascii="Times New Roman" w:cs="Times New Roman" w:eastAsia="Times New Roman" w:hAnsi="Times New Roman"/>
          <w:sz w:val="14"/>
          <w:szCs w:val="14"/>
          <w:u w:val="single" w:color="auto"/>
          <w:color w:val="auto"/>
        </w:rPr>
        <w:t>Schedule 1.3</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Software</w:t>
      </w:r>
      <w:r>
        <w:rPr>
          <w:rFonts w:ascii="Times New Roman" w:cs="Times New Roman" w:eastAsia="Times New Roman" w:hAnsi="Times New Roman"/>
          <w:sz w:val="14"/>
          <w:szCs w:val="14"/>
          <w:color w:val="auto"/>
        </w:rPr>
        <w:t>” shall mean any and all (a) software and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w:t>
      </w:r>
    </w:p>
    <w:p>
      <w:pPr>
        <w:spacing w:after="0" w:line="141"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Solvent</w:t>
      </w:r>
      <w:r>
        <w:rPr>
          <w:rFonts w:ascii="Times New Roman" w:cs="Times New Roman" w:eastAsia="Times New Roman" w:hAnsi="Times New Roman"/>
          <w:sz w:val="14"/>
          <w:szCs w:val="14"/>
          <w:color w:val="auto"/>
        </w:rPr>
        <w:t>” when used with respect to any Person, shall mean that, as of any date of determination, (a) the fair value of the assets of such Person and its Subsidiaries on a consolidated basis, at a fair valuation, will exceed the debts and liabilities, direct, subordinated, contingent or otherwise, of such Person and its Subsidiaries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w:t>
      </w:r>
    </w:p>
    <w:p>
      <w:pPr>
        <w:spacing w:after="0" w:line="2" w:lineRule="exact"/>
        <w:rPr>
          <w:sz w:val="20"/>
          <w:szCs w:val="20"/>
          <w:color w:val="auto"/>
        </w:rPr>
      </w:pPr>
    </w:p>
    <w:p>
      <w:pPr>
        <w:ind w:left="1360" w:right="239" w:hanging="5"/>
        <w:spacing w:after="0" w:line="254" w:lineRule="auto"/>
        <w:tabs>
          <w:tab w:leader="none" w:pos="1550" w:val="left"/>
        </w:tabs>
        <w:numPr>
          <w:ilvl w:val="0"/>
          <w:numId w:val="4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now conducted and are proposed to be conducted following the Closing Date.</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Specified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9.17(b)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Specified Company Employee Roster</w:t>
      </w:r>
      <w:r>
        <w:rPr>
          <w:rFonts w:ascii="Times New Roman" w:cs="Times New Roman" w:eastAsia="Times New Roman" w:hAnsi="Times New Roman"/>
          <w:sz w:val="14"/>
          <w:szCs w:val="14"/>
          <w:color w:val="auto"/>
        </w:rPr>
        <w:t>” shall have the meaning set forth in the Employee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Spin-Off</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w:t>
      </w:r>
      <w:r>
        <w:rPr>
          <w:rFonts w:ascii="Times New Roman" w:cs="Times New Roman" w:eastAsia="Times New Roman" w:hAnsi="Times New Roman"/>
          <w:sz w:val="14"/>
          <w:szCs w:val="14"/>
          <w:color w:val="auto"/>
        </w:rPr>
        <w:t>” shall have the meaning set forth in the Preamble.</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Accounts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2.12(a)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Assets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2.2(a)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Books and Records</w:t>
      </w:r>
      <w:r>
        <w:rPr>
          <w:rFonts w:ascii="Times New Roman" w:cs="Times New Roman" w:eastAsia="Times New Roman" w:hAnsi="Times New Roman"/>
          <w:sz w:val="14"/>
          <w:szCs w:val="14"/>
          <w:color w:val="auto"/>
        </w:rPr>
        <w:t>” shall mean all books, records and Technology to the extent related to, used in or necessary, as of immediately prior to the Distribution Time, for the operation of the SpinCo Business, including financial, employee (including confidentiality, non-disclosure or intellectual property assignment agreements entered into by any SpinCo Group Employee and any hiring, performance or compliance records pertaining to SpinCo Group Employees, in each case as set forth in, and subject to the terms of, the Employee Matters Agreement), litigation, files relating to the prosecution or maintenance of any SpinCo Intellectual Property, all accounting and other books and general business operating documents, manuals, instruments, papers, surveys, specifications, drawings, analyses, books, books of account, records, reports, process files and files and data related thereto (including regulatory dossiers, correspondence and related documentation, as well as cost information, sales and pricing data, customer and supplier lists, records, data and correspondence</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B-10</w:t>
      </w:r>
    </w:p>
    <w:p>
      <w:pPr>
        <w:sectPr>
          <w:pgSz w:w="11900" w:h="16838" w:orient="portrait"/>
          <w:cols w:equalWidth="0" w:num="1">
            <w:col w:w="10159"/>
          </w:cols>
          <w:pgMar w:left="300" w:top="386" w:right="1440"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(whether historical, current or prospective), formulations and specifications, technical, quality, maintenance and manufacturing information and materials prepared by Third Parties), and including, with respect to each member of the SpinCo Group, organizational and operating documents, qualifications to do business as a foreign corporation, arrangements with registered agents relating to foreign qualification, taxpayer and other identification numbers, seals, minute books, stock transfer books, blank stock certificates and other documents relating to the organization, maintenance and existence of each such member, in each case, whether in paper, microfilm, microfiche, computer tape or disc, magnetic tape, electronic or any other form.</w:t>
      </w:r>
    </w:p>
    <w:p>
      <w:pPr>
        <w:spacing w:after="0" w:line="141"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Business</w:t>
      </w:r>
      <w:r>
        <w:rPr>
          <w:rFonts w:ascii="Times New Roman" w:cs="Times New Roman" w:eastAsia="Times New Roman" w:hAnsi="Times New Roman"/>
          <w:sz w:val="14"/>
          <w:szCs w:val="14"/>
          <w:color w:val="auto"/>
        </w:rPr>
        <w:t xml:space="preserve">” shall mean (a) the business, operations and activities that constitute the Performance Technologies business segment of the Company as narratively described in the Form 10-K of the Company for the period ending March 31, 2025 (and the portions of the business currently included in the Performance Technologies segment that may have been otherwise classified in the past), (i) as such business, operations and activities have been conducted since the date that is five (5) years prior to the date hereof and (ii) as such business, operations and activities are conducted from the date hereof until immediately prior to the Distribution Date by any member of the Company Group or the SpinCo Group (or any of their respective predecessors), (b) together with the (i) other businesses, operations and activities that were terminated or discontinued during the periods described in clauses (a)(i) and (ii) (and with respect to clause (a)(ii), solely to the extent such termination or discontinuation is permitted under Section 7.1 of the Merger Agreement) that, at the time of termination or discontinuation, were primarily related to the business, operations or activities described in clause (a), and (ii) divested businesses set forth on </w:t>
      </w:r>
      <w:r>
        <w:rPr>
          <w:rFonts w:ascii="Times New Roman" w:cs="Times New Roman" w:eastAsia="Times New Roman" w:hAnsi="Times New Roman"/>
          <w:sz w:val="14"/>
          <w:szCs w:val="14"/>
          <w:u w:val="single" w:color="auto"/>
          <w:color w:val="auto"/>
        </w:rPr>
        <w:t>Schedule 1.3(a)</w:t>
      </w:r>
      <w:r>
        <w:rPr>
          <w:rFonts w:ascii="Times New Roman" w:cs="Times New Roman" w:eastAsia="Times New Roman" w:hAnsi="Times New Roman"/>
          <w:sz w:val="14"/>
          <w:szCs w:val="14"/>
          <w:color w:val="auto"/>
        </w:rPr>
        <w:t xml:space="preserve">, but (c) excluding the business, operations and activities that constitute the Company’s Climate Solutions segment;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SpinCo Business shall not include the Company Assets or the Company Business.</w:t>
      </w:r>
    </w:p>
    <w:p>
      <w:pPr>
        <w:spacing w:after="0" w:line="1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Cash</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2.11(a)(vii)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49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Cash Distribution</w:t>
      </w:r>
      <w:r>
        <w:rPr>
          <w:rFonts w:ascii="Times New Roman" w:cs="Times New Roman" w:eastAsia="Times New Roman" w:hAnsi="Times New Roman"/>
          <w:sz w:val="14"/>
          <w:szCs w:val="14"/>
          <w:color w:val="auto"/>
        </w:rPr>
        <w:t>” shall mean a cash distribution by SpinCo to the Company occurring immediately prior to the Distribution in the amount equal to the SpinCo Cash Distribution Amount, subject to adjustment as set forth in Section 3.1(c)(ii) of the Merger Agreement.</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Cash Distribution Amount</w:t>
      </w:r>
      <w:r>
        <w:rPr>
          <w:rFonts w:ascii="Times New Roman" w:cs="Times New Roman" w:eastAsia="Times New Roman" w:hAnsi="Times New Roman"/>
          <w:sz w:val="14"/>
          <w:szCs w:val="14"/>
          <w:color w:val="auto"/>
        </w:rPr>
        <w:t>” means $210,000,000.</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Common Stock</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jc w:val="both"/>
        <w:ind w:left="1360" w:right="45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Contracts</w:t>
      </w:r>
      <w:r>
        <w:rPr>
          <w:rFonts w:ascii="Times New Roman" w:cs="Times New Roman" w:eastAsia="Times New Roman" w:hAnsi="Times New Roman"/>
          <w:sz w:val="14"/>
          <w:szCs w:val="14"/>
          <w:color w:val="auto"/>
        </w:rPr>
        <w:t>” shall mean the following Contracts to which either the Company, SpinCo or any member of their respective Groups is a party or by which it or any member of their respective Groups or any of their respective Assets is bound, whether or not in writing, in effect as of the Distribution Time:</w:t>
      </w:r>
    </w:p>
    <w:p>
      <w:pPr>
        <w:spacing w:after="0" w:line="135" w:lineRule="exact"/>
        <w:rPr>
          <w:sz w:val="20"/>
          <w:szCs w:val="20"/>
          <w:color w:val="auto"/>
        </w:rPr>
      </w:pPr>
    </w:p>
    <w:p>
      <w:pPr>
        <w:ind w:left="1360" w:right="319" w:firstLine="767"/>
        <w:spacing w:after="0" w:line="261" w:lineRule="auto"/>
        <w:tabs>
          <w:tab w:leader="none" w:pos="2322"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the vendor Contracts pursuant to which a Third Party provides Software to either the Company, SpinCo or any member of their respective Groups which are exclusively used in the SpinCo Business and (ii) subject to </w:t>
      </w:r>
      <w:r>
        <w:rPr>
          <w:rFonts w:ascii="Times New Roman" w:cs="Times New Roman" w:eastAsia="Times New Roman" w:hAnsi="Times New Roman"/>
          <w:sz w:val="14"/>
          <w:szCs w:val="14"/>
          <w:u w:val="single" w:color="auto"/>
          <w:color w:val="auto"/>
        </w:rPr>
        <w:t>Section 2.9(a)</w:t>
      </w:r>
      <w:r>
        <w:rPr>
          <w:rFonts w:ascii="Times New Roman" w:cs="Times New Roman" w:eastAsia="Times New Roman" w:hAnsi="Times New Roman"/>
          <w:sz w:val="14"/>
          <w:szCs w:val="14"/>
          <w:color w:val="auto"/>
        </w:rPr>
        <w:t>, with respect to any vendor Contract pursuant to which a Third Party provides Software that is used in the SpinCo Business but is not exclusively used in the SpinCo Business, that portion of such vendor Contract that relates to the SpinCo Business;</w:t>
      </w:r>
    </w:p>
    <w:p>
      <w:pPr>
        <w:spacing w:after="0" w:line="140" w:lineRule="exact"/>
        <w:rPr>
          <w:rFonts w:ascii="Times New Roman" w:cs="Times New Roman" w:eastAsia="Times New Roman" w:hAnsi="Times New Roman"/>
          <w:sz w:val="14"/>
          <w:szCs w:val="14"/>
          <w:color w:val="auto"/>
        </w:rPr>
      </w:pPr>
    </w:p>
    <w:p>
      <w:pPr>
        <w:ind w:left="1360" w:right="279" w:firstLine="767"/>
        <w:spacing w:after="0" w:line="256" w:lineRule="auto"/>
        <w:tabs>
          <w:tab w:leader="none" w:pos="2330" w:val="left"/>
        </w:tabs>
        <w:numPr>
          <w:ilvl w:val="0"/>
          <w:numId w:val="4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than (i) any vendor Contracts of a type addressed in clause (a) above and (ii) any vendor Contracts with a Third Party pursuant to which such Third Party provides Information Technology to either the Company, SpinCo or any member of their respective Groups, subject to </w:t>
      </w:r>
      <w:r>
        <w:rPr>
          <w:rFonts w:ascii="Times New Roman" w:cs="Times New Roman" w:eastAsia="Times New Roman" w:hAnsi="Times New Roman"/>
          <w:sz w:val="14"/>
          <w:szCs w:val="14"/>
          <w:u w:val="single" w:color="auto"/>
          <w:color w:val="auto"/>
        </w:rPr>
        <w:t>Section 2.9(a)</w:t>
      </w:r>
      <w:r>
        <w:rPr>
          <w:rFonts w:ascii="Times New Roman" w:cs="Times New Roman" w:eastAsia="Times New Roman" w:hAnsi="Times New Roman"/>
          <w:sz w:val="14"/>
          <w:szCs w:val="14"/>
          <w:color w:val="auto"/>
        </w:rPr>
        <w:t>, with respect to any customer, sales, distribution, purchase, rebate, retail, partnership, promotion, quality, regulatory, services, purchase order, statement of work, supply, vendor or other Contract, in each case, with a Third Party pursuant to which a Third Party sells, supplies or is required to sell or supply any product or provides or is required to provide services to the SpinCo Business that was entered into prior to the Distribution Time, the portion of such Contract that relates to the SpinCo Business or, if such Contract is exclusively related to the SpinCo Business, the entirety of such Contract;</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B-11</w:t>
      </w:r>
    </w:p>
    <w:p>
      <w:pPr>
        <w:sectPr>
          <w:pgSz w:w="11900" w:h="16838" w:orient="portrait"/>
          <w:cols w:equalWidth="0" w:num="1">
            <w:col w:w="10159"/>
          </w:cols>
          <w:pgMar w:left="300" w:top="385" w:right="1440"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767"/>
        <w:spacing w:after="0" w:line="257" w:lineRule="auto"/>
        <w:tabs>
          <w:tab w:leader="none" w:pos="2322"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than (i) any vendor Contracts of a type addressed in clause (a) above and (ii) any vendor Contracts with a Third Party pursuant to which such Third Party provides Information Technology to either the Company, SpinCo or any member of their respective Groups, subject to </w:t>
      </w:r>
      <w:r>
        <w:rPr>
          <w:rFonts w:ascii="Times New Roman" w:cs="Times New Roman" w:eastAsia="Times New Roman" w:hAnsi="Times New Roman"/>
          <w:sz w:val="14"/>
          <w:szCs w:val="14"/>
          <w:u w:val="single" w:color="auto"/>
          <w:color w:val="auto"/>
        </w:rPr>
        <w:t>Section 2.9(a)</w:t>
      </w:r>
      <w:r>
        <w:rPr>
          <w:rFonts w:ascii="Times New Roman" w:cs="Times New Roman" w:eastAsia="Times New Roman" w:hAnsi="Times New Roman"/>
          <w:sz w:val="14"/>
          <w:szCs w:val="14"/>
          <w:color w:val="auto"/>
        </w:rPr>
        <w:t>, with respect to any customer, sales, distribution, purchase, rebate, retail, partnership, promotion, quality, regulatory, services, purchase order, statement of work, supply, vendor or other Contract, in each case, with a Third Party pursuant to which the SpinCo Business sells or is required to sell any product or provides or is required to provide any service to a Third Party that was entered into prior to the Distribution Time, the portion of such Contract that relates to the SpinCo Business or, if such Contract is exclusively related to the SpinCo Business, the entirety of such Contract;</w:t>
      </w:r>
    </w:p>
    <w:p>
      <w:pPr>
        <w:spacing w:after="0" w:line="143" w:lineRule="exact"/>
        <w:rPr>
          <w:rFonts w:ascii="Times New Roman" w:cs="Times New Roman" w:eastAsia="Times New Roman" w:hAnsi="Times New Roman"/>
          <w:sz w:val="14"/>
          <w:szCs w:val="14"/>
          <w:color w:val="auto"/>
        </w:rPr>
      </w:pPr>
    </w:p>
    <w:p>
      <w:pPr>
        <w:ind w:left="1360" w:right="279" w:firstLine="767"/>
        <w:spacing w:after="0" w:line="258" w:lineRule="auto"/>
        <w:tabs>
          <w:tab w:leader="none" w:pos="233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than (i) any vendor Contracts of a type addressed in clause (a) above and (ii) any vendor Contracts with a Third Party pursuant to which such Third Party provides Information Technology to either the Company, SpinCo or any member of their respective Groups, (x) any Intellectual Property license agreement entered into prior to the Distribution Time exclusively related to the SpinCo Business and (y) subject to </w:t>
      </w:r>
      <w:r>
        <w:rPr>
          <w:rFonts w:ascii="Times New Roman" w:cs="Times New Roman" w:eastAsia="Times New Roman" w:hAnsi="Times New Roman"/>
          <w:sz w:val="14"/>
          <w:szCs w:val="14"/>
          <w:u w:val="single" w:color="auto"/>
          <w:color w:val="auto"/>
        </w:rPr>
        <w:t>Section 2.9(a)</w:t>
      </w:r>
      <w:r>
        <w:rPr>
          <w:rFonts w:ascii="Times New Roman" w:cs="Times New Roman" w:eastAsia="Times New Roman" w:hAnsi="Times New Roman"/>
          <w:sz w:val="14"/>
          <w:szCs w:val="14"/>
          <w:color w:val="auto"/>
        </w:rPr>
        <w:t>, with respect to any Intellectual Property license agreement entered into prior to the Distribution Time that relates to the SpinCo Business but is not exclusively related to the SpinCo Business, that portion of any such license agreement that relates to the SpinCo Business;</w:t>
      </w:r>
    </w:p>
    <w:p>
      <w:pPr>
        <w:spacing w:after="0" w:line="143" w:lineRule="exact"/>
        <w:rPr>
          <w:rFonts w:ascii="Times New Roman" w:cs="Times New Roman" w:eastAsia="Times New Roman" w:hAnsi="Times New Roman"/>
          <w:sz w:val="14"/>
          <w:szCs w:val="14"/>
          <w:color w:val="auto"/>
        </w:rPr>
      </w:pPr>
    </w:p>
    <w:p>
      <w:pPr>
        <w:ind w:left="1360" w:right="479" w:firstLine="767"/>
        <w:spacing w:after="0" w:line="283" w:lineRule="auto"/>
        <w:tabs>
          <w:tab w:leader="none" w:pos="2322"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any vendor Contracts of a type addressed in clause (a) above, any vendor Contracts with a Third Party pursuant to which such Third Party provides SpinCo Information Technology;</w:t>
      </w:r>
    </w:p>
    <w:p>
      <w:pPr>
        <w:spacing w:after="0" w:line="124" w:lineRule="exact"/>
        <w:rPr>
          <w:rFonts w:ascii="Times New Roman" w:cs="Times New Roman" w:eastAsia="Times New Roman" w:hAnsi="Times New Roman"/>
          <w:sz w:val="14"/>
          <w:szCs w:val="14"/>
          <w:color w:val="auto"/>
        </w:rPr>
      </w:pPr>
    </w:p>
    <w:p>
      <w:pPr>
        <w:ind w:left="1360" w:right="339" w:firstLine="767"/>
        <w:spacing w:after="0" w:line="283" w:lineRule="auto"/>
        <w:tabs>
          <w:tab w:leader="none" w:pos="2307"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guarantee, indemnity, representation, covenant, warranty or other Liability of either the Company, SpinCo or any member of their respective Groups to the extent in respect of any other SpinCo Contract, any SpinCo Liability or the SpinCo Business;</w:t>
      </w:r>
    </w:p>
    <w:p>
      <w:pPr>
        <w:spacing w:after="0" w:line="124" w:lineRule="exact"/>
        <w:rPr>
          <w:rFonts w:ascii="Times New Roman" w:cs="Times New Roman" w:eastAsia="Times New Roman" w:hAnsi="Times New Roman"/>
          <w:sz w:val="14"/>
          <w:szCs w:val="14"/>
          <w:color w:val="auto"/>
        </w:rPr>
      </w:pPr>
    </w:p>
    <w:p>
      <w:pPr>
        <w:ind w:left="1360" w:right="219" w:firstLine="767"/>
        <w:spacing w:after="0" w:line="283" w:lineRule="auto"/>
        <w:tabs>
          <w:tab w:leader="none" w:pos="233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is expressly contemplated by this Agreement, the Merger Agreement or any of the other Transaction Documents to be assigned to SpinCo or any member of the SpinCo Group;</w:t>
      </w:r>
    </w:p>
    <w:p>
      <w:pPr>
        <w:spacing w:after="0" w:line="124" w:lineRule="exact"/>
        <w:rPr>
          <w:rFonts w:ascii="Times New Roman" w:cs="Times New Roman" w:eastAsia="Times New Roman" w:hAnsi="Times New Roman"/>
          <w:sz w:val="14"/>
          <w:szCs w:val="14"/>
          <w:color w:val="auto"/>
        </w:rPr>
      </w:pPr>
    </w:p>
    <w:p>
      <w:pPr>
        <w:ind w:left="1360" w:right="499" w:firstLine="767"/>
        <w:spacing w:after="0" w:line="283" w:lineRule="auto"/>
        <w:tabs>
          <w:tab w:leader="none" w:pos="233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credit agreement, indenture, note or other financing agreement or instrument entered into by SpinCo and/or any member of the SpinCo Group in connection with the Distribution, including the SpinCo Financing;</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83" w:lineRule="auto"/>
        <w:tabs>
          <w:tab w:leader="none" w:pos="2299"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employment, change of control, retention, consulting, indemnification, termination, severance or other similar agreements with any SpinCo Group Employee or consultants of the SpinCo Group that are in effect as of the Distribution Time;</w:t>
      </w:r>
    </w:p>
    <w:p>
      <w:pPr>
        <w:spacing w:after="0" w:line="124" w:lineRule="exact"/>
        <w:rPr>
          <w:rFonts w:ascii="Times New Roman" w:cs="Times New Roman" w:eastAsia="Times New Roman" w:hAnsi="Times New Roman"/>
          <w:sz w:val="14"/>
          <w:szCs w:val="14"/>
          <w:color w:val="auto"/>
        </w:rPr>
      </w:pPr>
    </w:p>
    <w:p>
      <w:pPr>
        <w:ind w:left="1360" w:right="459" w:firstLine="767"/>
        <w:spacing w:after="0" w:line="283" w:lineRule="auto"/>
        <w:tabs>
          <w:tab w:leader="none" w:pos="2299"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2.2(b)(iv)</w:t>
      </w:r>
      <w:r>
        <w:rPr>
          <w:rFonts w:ascii="Times New Roman" w:cs="Times New Roman" w:eastAsia="Times New Roman" w:hAnsi="Times New Roman"/>
          <w:sz w:val="14"/>
          <w:szCs w:val="14"/>
          <w:color w:val="auto"/>
        </w:rPr>
        <w:t>, the portion of any confidentiality agreements with prospective purchasers of the SpinCo Business (or a portion thereof) that restricts the use or disclosure of information of the SpinCo Business or any SpinCo Asset;</w:t>
      </w:r>
    </w:p>
    <w:p>
      <w:pPr>
        <w:spacing w:after="0" w:line="124" w:lineRule="exact"/>
        <w:rPr>
          <w:rFonts w:ascii="Times New Roman" w:cs="Times New Roman" w:eastAsia="Times New Roman" w:hAnsi="Times New Roman"/>
          <w:sz w:val="14"/>
          <w:szCs w:val="14"/>
          <w:color w:val="auto"/>
        </w:rPr>
      </w:pPr>
    </w:p>
    <w:p>
      <w:pPr>
        <w:ind w:left="1360" w:right="419" w:firstLine="767"/>
        <w:spacing w:after="0" w:line="283" w:lineRule="auto"/>
        <w:tabs>
          <w:tab w:leader="none" w:pos="233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settlements that are primarily related to the SpinCo Business, including those settlements set forth on </w:t>
      </w:r>
      <w:r>
        <w:rPr>
          <w:rFonts w:ascii="Times New Roman" w:cs="Times New Roman" w:eastAsia="Times New Roman" w:hAnsi="Times New Roman"/>
          <w:sz w:val="14"/>
          <w:szCs w:val="14"/>
          <w:u w:val="single" w:color="auto"/>
          <w:color w:val="auto"/>
        </w:rPr>
        <w:t>Schedule 1.4(k)</w:t>
      </w:r>
      <w:r>
        <w:rPr>
          <w:rFonts w:ascii="Times New Roman" w:cs="Times New Roman" w:eastAsia="Times New Roman" w:hAnsi="Times New Roman"/>
          <w:sz w:val="14"/>
          <w:szCs w:val="14"/>
          <w:color w:val="auto"/>
        </w:rPr>
        <w:t>, including the right to recover any amounts under such settlements;</w:t>
      </w:r>
    </w:p>
    <w:p>
      <w:pPr>
        <w:spacing w:after="0" w:line="124" w:lineRule="exact"/>
        <w:rPr>
          <w:rFonts w:ascii="Times New Roman" w:cs="Times New Roman" w:eastAsia="Times New Roman" w:hAnsi="Times New Roman"/>
          <w:sz w:val="14"/>
          <w:szCs w:val="14"/>
          <w:color w:val="auto"/>
        </w:rPr>
      </w:pPr>
    </w:p>
    <w:p>
      <w:pPr>
        <w:ind w:left="1360" w:right="359" w:firstLine="767"/>
        <w:spacing w:after="0" w:line="283" w:lineRule="auto"/>
        <w:tabs>
          <w:tab w:leader="none" w:pos="2299"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joint ventures or partnership Contract or agreement that are primarily related to the SpinCo Business, including contracts set forth on </w:t>
      </w:r>
      <w:r>
        <w:rPr>
          <w:rFonts w:ascii="Times New Roman" w:cs="Times New Roman" w:eastAsia="Times New Roman" w:hAnsi="Times New Roman"/>
          <w:sz w:val="14"/>
          <w:szCs w:val="14"/>
          <w:u w:val="single" w:color="auto"/>
          <w:color w:val="auto"/>
        </w:rPr>
        <w:t>Schedule 1.4(l)</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1360" w:right="619" w:firstLine="767"/>
        <w:spacing w:after="0" w:line="283" w:lineRule="auto"/>
        <w:tabs>
          <w:tab w:leader="none" w:pos="2369"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rate, currency, commodity or other swap, collar, cap or other hedging or similar agreements or arrangements related exclusively to the SpinCo Business or entered into by or on behalf of any division, business unit or member of the SpinCo Group; and</w:t>
      </w:r>
    </w:p>
    <w:p>
      <w:pPr>
        <w:spacing w:after="0" w:line="124" w:lineRule="exact"/>
        <w:rPr>
          <w:rFonts w:ascii="Times New Roman" w:cs="Times New Roman" w:eastAsia="Times New Roman" w:hAnsi="Times New Roman"/>
          <w:sz w:val="14"/>
          <w:szCs w:val="14"/>
          <w:color w:val="auto"/>
        </w:rPr>
      </w:pPr>
    </w:p>
    <w:p>
      <w:pPr>
        <w:ind w:left="1360" w:right="599" w:firstLine="767"/>
        <w:spacing w:after="0" w:line="283" w:lineRule="auto"/>
        <w:tabs>
          <w:tab w:leader="none" w:pos="2330" w:val="left"/>
        </w:tabs>
        <w:numPr>
          <w:ilvl w:val="0"/>
          <w:numId w:val="4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other Contract exclusively related to the SpinCo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intention of this clause (n) is only to rectify any omission of any Contracts that, had the Parties given specific consideration to</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B-12</w:t>
      </w:r>
    </w:p>
    <w:p>
      <w:pPr>
        <w:sectPr>
          <w:pgSz w:w="11900" w:h="16838" w:orient="portrait"/>
          <w:cols w:equalWidth="0" w:num="1">
            <w:col w:w="10159"/>
          </w:cols>
          <w:pgMar w:left="300" w:top="386" w:right="1440"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such Contract as of the date of this Agreement, would have been classified as a SpinCo Contract (and no Contract will be deemed to be a SpinCo Contract solely as a result of this clause (n) if it is within any category of Contracts addressed by any of clauses (a)-(m) above).</w:t>
      </w:r>
    </w:p>
    <w:p>
      <w:pPr>
        <w:spacing w:after="0" w:line="125" w:lineRule="exact"/>
        <w:rPr>
          <w:sz w:val="20"/>
          <w:szCs w:val="20"/>
          <w:color w:val="auto"/>
        </w:rPr>
      </w:pPr>
    </w:p>
    <w:p>
      <w:pPr>
        <w:jc w:val="both"/>
        <w:ind w:left="1360" w:right="699" w:firstLine="343"/>
        <w:spacing w:after="0" w:line="267" w:lineRule="auto"/>
        <w:rPr>
          <w:sz w:val="20"/>
          <w:szCs w:val="20"/>
          <w:color w:val="auto"/>
        </w:rPr>
      </w:pPr>
      <w:r>
        <w:rPr>
          <w:rFonts w:ascii="Times New Roman" w:cs="Times New Roman" w:eastAsia="Times New Roman" w:hAnsi="Times New Roman"/>
          <w:sz w:val="14"/>
          <w:szCs w:val="14"/>
          <w:color w:val="auto"/>
        </w:rPr>
        <w:t xml:space="preserve">Notwithstanding the foregoing, (x) SpinCo Contracts shall not in any event include any Contract that is contemplated to be retained by the Company or any member of the Company Group from and after the Distribution Time pursuant to any provision of this Agreement, the Merger Agreement or any of the other Transaction Documents and (y) Shared Contracts shall be subject to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SpinCo-Controlled Actions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4.11(a)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39" w:firstLine="343"/>
        <w:spacing w:after="0" w:line="28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SpinCo Designated Transaction Expenses</w:t>
      </w:r>
      <w:r>
        <w:rPr>
          <w:rFonts w:ascii="Times New Roman" w:cs="Times New Roman" w:eastAsia="Times New Roman" w:hAnsi="Times New Roman"/>
          <w:sz w:val="13"/>
          <w:szCs w:val="13"/>
          <w:color w:val="auto"/>
        </w:rPr>
        <w:t>” shall mean (a) fifty percent (50%) of the out of pocket cost of the premium or premiums actually incurred by any member of the Company or the SpinCo Group or on its or their respective behalf or for which it or they are liable, in each case, with respect to obtaining the prepaid directors’ and officers’ liability insurance policy or policies contemplated by the Merger Agreement, and (b) all Reimbursement Obligations to the extent any such amounts have not been reimbursed by Gold or SpinCo to the Company as of or prior to the Closing.</w:t>
      </w:r>
    </w:p>
    <w:p>
      <w:pPr>
        <w:spacing w:after="0" w:line="123" w:lineRule="exact"/>
        <w:rPr>
          <w:sz w:val="20"/>
          <w:szCs w:val="20"/>
          <w:color w:val="auto"/>
        </w:rPr>
      </w:pPr>
    </w:p>
    <w:p>
      <w:pPr>
        <w:jc w:val="both"/>
        <w:ind w:left="1360" w:right="27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Designees</w:t>
      </w:r>
      <w:r>
        <w:rPr>
          <w:rFonts w:ascii="Times New Roman" w:cs="Times New Roman" w:eastAsia="Times New Roman" w:hAnsi="Times New Roman"/>
          <w:sz w:val="14"/>
          <w:szCs w:val="14"/>
          <w:color w:val="auto"/>
        </w:rPr>
        <w:t>” shall mean any and all entities (including corporations, general or limited partnerships, trusts, joint ventures, unincorporated organizations, limited liability entities or other entities) designated by the Company that will be members of the SpinCo Group as of immediately prior to the Distribution Time.</w:t>
      </w:r>
    </w:p>
    <w:p>
      <w:pPr>
        <w:spacing w:after="0" w:line="133"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Expense Reimbursement</w:t>
      </w:r>
      <w:r>
        <w:rPr>
          <w:rFonts w:ascii="Times New Roman" w:cs="Times New Roman" w:eastAsia="Times New Roman" w:hAnsi="Times New Roman"/>
          <w:sz w:val="14"/>
          <w:szCs w:val="14"/>
          <w:color w:val="auto"/>
        </w:rPr>
        <w:t>” shall mean all SpinCo Designated Transaction Expenses either incurred, paid or payable by any member of the Company Group or paid by any member of the SpinCo Group prior to Closing.</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Financing</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SpinCo Group</w:t>
      </w:r>
      <w:r>
        <w:rPr>
          <w:rFonts w:ascii="Times New Roman" w:cs="Times New Roman" w:eastAsia="Times New Roman" w:hAnsi="Times New Roman"/>
          <w:sz w:val="13"/>
          <w:szCs w:val="13"/>
          <w:color w:val="auto"/>
        </w:rPr>
        <w:t>” shall mean (a) prior to the Distribution Time, SpinCo and each Person that will be a Subsidiary of SpinCo as of immediately after the Distribution Time, including the Transferred Entities, even if, prior to the Distribution Time, such Person is not a Subsidiary of SpinCo; and</w:t>
      </w:r>
    </w:p>
    <w:p>
      <w:pPr>
        <w:spacing w:after="0" w:line="1" w:lineRule="exact"/>
        <w:rPr>
          <w:sz w:val="20"/>
          <w:szCs w:val="20"/>
          <w:color w:val="auto"/>
        </w:rPr>
      </w:pPr>
    </w:p>
    <w:p>
      <w:pPr>
        <w:ind w:left="1360" w:right="379" w:hanging="5"/>
        <w:spacing w:after="0" w:line="261" w:lineRule="auto"/>
        <w:tabs>
          <w:tab w:leader="none" w:pos="1558" w:val="left"/>
        </w:tabs>
        <w:numPr>
          <w:ilvl w:val="0"/>
          <w:numId w:val="4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and after the Distribution Time, SpinCo and each Person that is a Subsidiary of SpinCo immediately after the Distribution Time, and each other Person that becomes a Subsidiary of SpinCo.</w:t>
      </w:r>
    </w:p>
    <w:p>
      <w:pPr>
        <w:spacing w:after="0" w:line="13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Group Employee</w:t>
      </w:r>
      <w:r>
        <w:rPr>
          <w:rFonts w:ascii="Times New Roman" w:cs="Times New Roman" w:eastAsia="Times New Roman" w:hAnsi="Times New Roman"/>
          <w:sz w:val="14"/>
          <w:szCs w:val="14"/>
          <w:color w:val="auto"/>
        </w:rPr>
        <w:t>” shall have the meaning set forth in the Employee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Group Employee Roster</w:t>
      </w:r>
      <w:r>
        <w:rPr>
          <w:rFonts w:ascii="Times New Roman" w:cs="Times New Roman" w:eastAsia="Times New Roman" w:hAnsi="Times New Roman"/>
          <w:sz w:val="14"/>
          <w:szCs w:val="14"/>
          <w:color w:val="auto"/>
        </w:rPr>
        <w:t>” shall have the meaning set forth in the Employee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Indebtedness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2.11(a)(viii)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Indemnitees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Information Technology</w:t>
      </w:r>
      <w:r>
        <w:rPr>
          <w:rFonts w:ascii="Times New Roman" w:cs="Times New Roman" w:eastAsia="Times New Roman" w:hAnsi="Times New Roman"/>
          <w:sz w:val="14"/>
          <w:szCs w:val="14"/>
          <w:color w:val="auto"/>
        </w:rPr>
        <w:t>” shall mean all Information Technology owned, used or held for use by the Company, SpinCo or members of their respective Groups as of immediately prior to the Distribution Time that is (a) located, installed or contained in or on the SpinCo Owned Real Property or SpinCo Transferred Leased Property, except to the extent such Information Technology is exclusively used or exclusively held for use by the Company Business or (b) exclusively used or exclusively held for use by the SpinCo Business.</w:t>
      </w:r>
    </w:p>
    <w:p>
      <w:pPr>
        <w:spacing w:after="0" w:line="138" w:lineRule="exact"/>
        <w:rPr>
          <w:sz w:val="20"/>
          <w:szCs w:val="20"/>
          <w:color w:val="auto"/>
        </w:rPr>
      </w:pPr>
    </w:p>
    <w:p>
      <w:pPr>
        <w:ind w:left="1360" w:right="23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Intellectual Property</w:t>
      </w:r>
      <w:r>
        <w:rPr>
          <w:rFonts w:ascii="Times New Roman" w:cs="Times New Roman" w:eastAsia="Times New Roman" w:hAnsi="Times New Roman"/>
          <w:sz w:val="14"/>
          <w:szCs w:val="14"/>
          <w:color w:val="auto"/>
        </w:rPr>
        <w:t xml:space="preserve">” shall mean (a) the Patents, Trademarks, Internet Properties and other Registered IP that are owned by the Company, SpinCo or any of the members of their respective Groups as of immediately prior to the Distribution Time that are primarily used or primarily held for use by the SpinCo Business, including those set forth on </w:t>
      </w:r>
      <w:r>
        <w:rPr>
          <w:rFonts w:ascii="Times New Roman" w:cs="Times New Roman" w:eastAsia="Times New Roman" w:hAnsi="Times New Roman"/>
          <w:sz w:val="14"/>
          <w:szCs w:val="14"/>
          <w:u w:val="single" w:color="auto"/>
          <w:color w:val="auto"/>
        </w:rPr>
        <w:t>Schedule 1.5</w:t>
      </w:r>
      <w:r>
        <w:rPr>
          <w:rFonts w:ascii="Times New Roman" w:cs="Times New Roman" w:eastAsia="Times New Roman" w:hAnsi="Times New Roman"/>
          <w:sz w:val="14"/>
          <w:szCs w:val="14"/>
          <w:color w:val="auto"/>
        </w:rPr>
        <w:t>, (b) all Intellectual Property (other than Patents, Trademarks,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B-13</w:t>
      </w:r>
    </w:p>
    <w:p>
      <w:pPr>
        <w:sectPr>
          <w:pgSz w:w="11900" w:h="16838" w:orient="portrait"/>
          <w:cols w:equalWidth="0" w:num="1">
            <w:col w:w="10159"/>
          </w:cols>
          <w:pgMar w:left="300" w:top="386" w:right="1440"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75" w:lineRule="auto"/>
        <w:rPr>
          <w:sz w:val="20"/>
          <w:szCs w:val="20"/>
          <w:color w:val="auto"/>
        </w:rPr>
      </w:pPr>
      <w:r>
        <w:rPr>
          <w:rFonts w:ascii="Times New Roman" w:cs="Times New Roman" w:eastAsia="Times New Roman" w:hAnsi="Times New Roman"/>
          <w:sz w:val="13"/>
          <w:szCs w:val="13"/>
          <w:color w:val="auto"/>
        </w:rPr>
        <w:t>Internet Properties and other Registered IP) that are owned by the Company, SpinCo or any of the members of their respective Groups as of immediately prior to the Distribution Time that are primarily used or primarily held for use by the SpinCo Business, (c) common law rights and rights of priority with respect to the same, and (d) in each case of (a) through (c), (i) rights to collect royalties, income and proceeds in connection therewith, (ii) rights to sue and recover for past, present and future infringement, misappropriation, dilution or other violation of such Intellectual Property against any Persons,</w:t>
      </w:r>
    </w:p>
    <w:p>
      <w:pPr>
        <w:spacing w:after="0" w:line="2" w:lineRule="exact"/>
        <w:rPr>
          <w:sz w:val="20"/>
          <w:szCs w:val="20"/>
          <w:color w:val="auto"/>
        </w:rPr>
      </w:pPr>
    </w:p>
    <w:p>
      <w:pPr>
        <w:ind w:left="1360" w:right="459" w:hanging="5"/>
        <w:spacing w:after="0" w:line="254" w:lineRule="auto"/>
        <w:tabs>
          <w:tab w:leader="none" w:pos="1605" w:val="left"/>
        </w:tabs>
        <w:numPr>
          <w:ilvl w:val="0"/>
          <w:numId w:val="4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seek, recover and retain all remedies (including damages, royalties, fees, income payments and other proceeds due from and after the Distribution Time), including for the past or future infringement, misappropriation or violation of any of the foregoing, (iv) any and all goodwill associated therewith, and (v) equivalent rights that, now or hereafter, may be secured under the Laws of any jurisdiction, including all registrations, renewals, extensions, combinations and applications for any of such Intellectual Property.</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Inventory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2.2(a)(v)</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Liabilities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2.3(a)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7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Owned Real Property</w:t>
      </w:r>
      <w:r>
        <w:rPr>
          <w:rFonts w:ascii="Times New Roman" w:cs="Times New Roman" w:eastAsia="Times New Roman" w:hAnsi="Times New Roman"/>
          <w:sz w:val="14"/>
          <w:szCs w:val="14"/>
          <w:color w:val="auto"/>
        </w:rPr>
        <w:t xml:space="preserve">” shall mean the owned real property listed on </w:t>
      </w:r>
      <w:r>
        <w:rPr>
          <w:rFonts w:ascii="Times New Roman" w:cs="Times New Roman" w:eastAsia="Times New Roman" w:hAnsi="Times New Roman"/>
          <w:sz w:val="14"/>
          <w:szCs w:val="14"/>
          <w:u w:val="single" w:color="auto"/>
          <w:color w:val="auto"/>
        </w:rPr>
        <w:t>Schedule 1.6(a)</w:t>
      </w:r>
      <w:r>
        <w:rPr>
          <w:rFonts w:ascii="Times New Roman" w:cs="Times New Roman" w:eastAsia="Times New Roman" w:hAnsi="Times New Roman"/>
          <w:sz w:val="14"/>
          <w:szCs w:val="14"/>
          <w:color w:val="auto"/>
        </w:rPr>
        <w:t>, together with all improvements, fixtures and all appurtenances thereto and rights in respect thereof.</w:t>
      </w:r>
    </w:p>
    <w:p>
      <w:pPr>
        <w:spacing w:after="0" w:line="121" w:lineRule="exact"/>
        <w:rPr>
          <w:sz w:val="20"/>
          <w:szCs w:val="20"/>
          <w:color w:val="auto"/>
        </w:rPr>
      </w:pPr>
    </w:p>
    <w:p>
      <w:pPr>
        <w:jc w:val="both"/>
        <w:ind w:left="1360" w:right="25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Owned Real Property Leases</w:t>
      </w:r>
      <w:r>
        <w:rPr>
          <w:rFonts w:ascii="Times New Roman" w:cs="Times New Roman" w:eastAsia="Times New Roman" w:hAnsi="Times New Roman"/>
          <w:sz w:val="14"/>
          <w:szCs w:val="14"/>
          <w:color w:val="auto"/>
        </w:rPr>
        <w:t xml:space="preserve">” shall mean the leases, subleases, licenses, sublicenses or other agreements between the Company or any Subsidiary of the Company, as landlord, sublandlord, licensor or sublicensor, and any third Person with respect to any SpinCo Owned Real Property, as tenant, subtenant, licensee or sublicensee as of the date of this Agreement listed in </w:t>
      </w:r>
      <w:r>
        <w:rPr>
          <w:rFonts w:ascii="Times New Roman" w:cs="Times New Roman" w:eastAsia="Times New Roman" w:hAnsi="Times New Roman"/>
          <w:sz w:val="14"/>
          <w:szCs w:val="14"/>
          <w:u w:val="single" w:color="auto"/>
          <w:color w:val="auto"/>
        </w:rPr>
        <w:t>Schedule 1.6(b)</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Permits</w:t>
      </w:r>
      <w:r>
        <w:rPr>
          <w:rFonts w:ascii="Times New Roman" w:cs="Times New Roman" w:eastAsia="Times New Roman" w:hAnsi="Times New Roman"/>
          <w:sz w:val="14"/>
          <w:szCs w:val="14"/>
          <w:color w:val="auto"/>
        </w:rPr>
        <w:t>” shall mean all Permits owned or licensed by either the Company, SpinCo or any member of their respective Groups primarily used or primarily held for use in the SpinCo Business as of the Distribution Time.</w:t>
      </w:r>
    </w:p>
    <w:p>
      <w:pPr>
        <w:spacing w:after="0" w:line="121" w:lineRule="exact"/>
        <w:rPr>
          <w:sz w:val="20"/>
          <w:szCs w:val="20"/>
          <w:color w:val="auto"/>
        </w:rPr>
      </w:pPr>
    </w:p>
    <w:p>
      <w:pPr>
        <w:ind w:left="1360" w:right="31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Support Obligations</w:t>
      </w:r>
      <w:r>
        <w:rPr>
          <w:rFonts w:ascii="Times New Roman" w:cs="Times New Roman" w:eastAsia="Times New Roman" w:hAnsi="Times New Roman"/>
          <w:sz w:val="14"/>
          <w:szCs w:val="14"/>
          <w:color w:val="auto"/>
        </w:rPr>
        <w:t>” shall mean all guarantees, letters of credit, comfort letters, bonds, sureties and other credit support or assurances made or issued by or on behalf of SpinCo or any member of the SpinCo Group in support of any obligation of the Company or any member of the Company Group.</w:t>
      </w:r>
    </w:p>
    <w:p>
      <w:pPr>
        <w:spacing w:after="0" w:line="1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Transferred Leased Property</w:t>
      </w:r>
      <w:r>
        <w:rPr>
          <w:rFonts w:ascii="Times New Roman" w:cs="Times New Roman" w:eastAsia="Times New Roman" w:hAnsi="Times New Roman"/>
          <w:sz w:val="14"/>
          <w:szCs w:val="14"/>
          <w:color w:val="auto"/>
        </w:rPr>
        <w:t xml:space="preserve">” shall mean the leased real property listed on </w:t>
      </w:r>
      <w:r>
        <w:rPr>
          <w:rFonts w:ascii="Times New Roman" w:cs="Times New Roman" w:eastAsia="Times New Roman" w:hAnsi="Times New Roman"/>
          <w:sz w:val="14"/>
          <w:szCs w:val="14"/>
          <w:u w:val="single" w:color="auto"/>
          <w:color w:val="auto"/>
        </w:rPr>
        <w:t>Schedule 1.8(a)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1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Transferred Leased Property Leases</w:t>
      </w:r>
      <w:r>
        <w:rPr>
          <w:rFonts w:ascii="Times New Roman" w:cs="Times New Roman" w:eastAsia="Times New Roman" w:hAnsi="Times New Roman"/>
          <w:sz w:val="14"/>
          <w:szCs w:val="14"/>
          <w:color w:val="auto"/>
        </w:rPr>
        <w:t xml:space="preserve">” shall mean the leases, subleases, licenses, sublicenses or other agreements between the Company or any Subsidiary of the Company, as tenant, subtenant, licensee or sublicensee, and any third Person with respect to any SpinCo Transferred Leased Property, as landlord, sublandlord, licensor or sublicensor as of the date of this Agreement, listed in </w:t>
      </w:r>
      <w:r>
        <w:rPr>
          <w:rFonts w:ascii="Times New Roman" w:cs="Times New Roman" w:eastAsia="Times New Roman" w:hAnsi="Times New Roman"/>
          <w:sz w:val="14"/>
          <w:szCs w:val="14"/>
          <w:u w:val="single" w:color="auto"/>
          <w:color w:val="auto"/>
        </w:rPr>
        <w:t>Schedule 1.8(b)</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Straddle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2.16</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shall mean, with respect to any Person, any corporation, limited liability company, joint venture or partnership of which such Person</w:t>
      </w:r>
    </w:p>
    <w:p>
      <w:pPr>
        <w:spacing w:after="0" w:line="35" w:lineRule="exact"/>
        <w:rPr>
          <w:sz w:val="20"/>
          <w:szCs w:val="20"/>
          <w:color w:val="auto"/>
        </w:rPr>
      </w:pPr>
    </w:p>
    <w:p>
      <w:pPr>
        <w:ind w:left="1540" w:hanging="185"/>
        <w:spacing w:after="0"/>
        <w:tabs>
          <w:tab w:leader="none" w:pos="1540" w:val="left"/>
        </w:tabs>
        <w:numPr>
          <w:ilvl w:val="0"/>
          <w:numId w:val="4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beneficially owns, either directly or indirectly, more than fifty percent (50%) of (i) the total combined voting power of all classes of voting securities,</w:t>
      </w:r>
    </w:p>
    <w:p>
      <w:pPr>
        <w:spacing w:after="0" w:line="7" w:lineRule="exact"/>
        <w:rPr>
          <w:rFonts w:ascii="Times New Roman" w:cs="Times New Roman" w:eastAsia="Times New Roman" w:hAnsi="Times New Roman"/>
          <w:sz w:val="14"/>
          <w:szCs w:val="14"/>
          <w:color w:val="auto"/>
        </w:rPr>
      </w:pPr>
    </w:p>
    <w:p>
      <w:pPr>
        <w:ind w:left="1360" w:right="259" w:hanging="5"/>
        <w:spacing w:after="0" w:line="261" w:lineRule="auto"/>
        <w:tabs>
          <w:tab w:leader="none" w:pos="1566" w:val="left"/>
        </w:tabs>
        <w:numPr>
          <w:ilvl w:val="0"/>
          <w:numId w:val="4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combined economic interests, or (iii) the capital or profit interests, in the case of a partnership; or (b) otherwise has the power to vote, either directly or indirectly, sufficient securities to elect a majority of the board of directors or similar governing body.</w:t>
      </w:r>
    </w:p>
    <w:p>
      <w:pPr>
        <w:spacing w:after="0" w:line="13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Tangible Information</w:t>
      </w:r>
      <w:r>
        <w:rPr>
          <w:rFonts w:ascii="Times New Roman" w:cs="Times New Roman" w:eastAsia="Times New Roman" w:hAnsi="Times New Roman"/>
          <w:sz w:val="14"/>
          <w:szCs w:val="14"/>
          <w:color w:val="auto"/>
        </w:rPr>
        <w:t>” shall mean information that is contained in written, electronic or other tangible forms.</w:t>
      </w:r>
    </w:p>
    <w:p>
      <w:pPr>
        <w:spacing w:after="0" w:line="175"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Tangible Personal Property</w:t>
      </w:r>
      <w:r>
        <w:rPr>
          <w:rFonts w:ascii="Times New Roman" w:cs="Times New Roman" w:eastAsia="Times New Roman" w:hAnsi="Times New Roman"/>
          <w:sz w:val="14"/>
          <w:szCs w:val="14"/>
          <w:color w:val="auto"/>
        </w:rPr>
        <w:t>” means all tangible personal property owned by the Company or SpinCo or any of the members of its Group as of the Distribution Time, including machinery, equipment (including</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B-14</w:t>
      </w:r>
    </w:p>
    <w:p>
      <w:pPr>
        <w:sectPr>
          <w:pgSz w:w="11900" w:h="16838" w:orient="portrait"/>
          <w:cols w:equalWidth="0" w:num="1">
            <w:col w:w="10159"/>
          </w:cols>
          <w:pgMar w:left="300" w:top="386" w:right="1440"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 xml:space="preserve">marketing and transportation systems and related facilities), hardware, furniture, furnishings, fixtures, tools, test devices, prototypes, models, spare parts, supplies and apparatus;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t>
      </w:r>
      <w:r>
        <w:rPr>
          <w:rFonts w:ascii="Times New Roman" w:cs="Times New Roman" w:eastAsia="Times New Roman" w:hAnsi="Times New Roman"/>
          <w:sz w:val="14"/>
          <w:szCs w:val="14"/>
          <w:b w:val="1"/>
          <w:bCs w:val="1"/>
          <w:color w:val="auto"/>
        </w:rPr>
        <w:t>Tangible Personal Property</w:t>
      </w:r>
      <w:r>
        <w:rPr>
          <w:rFonts w:ascii="Times New Roman" w:cs="Times New Roman" w:eastAsia="Times New Roman" w:hAnsi="Times New Roman"/>
          <w:sz w:val="14"/>
          <w:szCs w:val="14"/>
          <w:color w:val="auto"/>
        </w:rPr>
        <w:t>” shall not include any Information Technology, Technology, Intellectual Property, Inventory or books and records.</w:t>
      </w:r>
    </w:p>
    <w:p>
      <w:pPr>
        <w:spacing w:after="0" w:line="1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Target Net Working Capital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2.11(a)(ix)</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w:t>
      </w:r>
      <w:r>
        <w:rPr>
          <w:rFonts w:ascii="Times New Roman" w:cs="Times New Roman" w:eastAsia="Times New Roman" w:hAnsi="Times New Roman"/>
          <w:sz w:val="14"/>
          <w:szCs w:val="14"/>
          <w:color w:val="auto"/>
        </w:rPr>
        <w:t>” shall have the meaning set forth in the Tax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Counsel</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Matters Agreement</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Return</w:t>
      </w:r>
      <w:r>
        <w:rPr>
          <w:rFonts w:ascii="Times New Roman" w:cs="Times New Roman" w:eastAsia="Times New Roman" w:hAnsi="Times New Roman"/>
          <w:sz w:val="14"/>
          <w:szCs w:val="14"/>
          <w:color w:val="auto"/>
        </w:rPr>
        <w:t>” shall have the meaning set forth in the Tax Matters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Technical Services Agreements</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360" w:right="499" w:firstLine="34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Technology</w:t>
      </w:r>
      <w:r>
        <w:rPr>
          <w:rFonts w:ascii="Times New Roman" w:cs="Times New Roman" w:eastAsia="Times New Roman" w:hAnsi="Times New Roman"/>
          <w:sz w:val="14"/>
          <w:szCs w:val="14"/>
          <w:color w:val="auto"/>
        </w:rPr>
        <w:t xml:space="preserve">” shall mean tangible embodiments (whether in written, electronic or other form) of Intellectual Property, including blueprints, designs, design protocols, documentation, specifications for materials, specifications for parts and devices, and design tools, materials, manuals, recordings, graphs, drawings, reports, analyses and other writings, data, databases, Software, works of authorship in any media and know-how or knowledge of employees, relating to, embodying, or describing products, articles, apparatus, devices, processes, methods, formulae, recipes or other technical information;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t>
      </w:r>
      <w:r>
        <w:rPr>
          <w:rFonts w:ascii="Times New Roman" w:cs="Times New Roman" w:eastAsia="Times New Roman" w:hAnsi="Times New Roman"/>
          <w:sz w:val="14"/>
          <w:szCs w:val="14"/>
          <w:b w:val="1"/>
          <w:bCs w:val="1"/>
          <w:color w:val="auto"/>
        </w:rPr>
        <w:t>Technology</w:t>
      </w:r>
      <w:r>
        <w:rPr>
          <w:rFonts w:ascii="Times New Roman" w:cs="Times New Roman" w:eastAsia="Times New Roman" w:hAnsi="Times New Roman"/>
          <w:sz w:val="14"/>
          <w:szCs w:val="14"/>
          <w:color w:val="auto"/>
        </w:rPr>
        <w:t>” shall not include Information Technology.</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 Party</w:t>
      </w:r>
      <w:r>
        <w:rPr>
          <w:rFonts w:ascii="Times New Roman" w:cs="Times New Roman" w:eastAsia="Times New Roman" w:hAnsi="Times New Roman"/>
          <w:sz w:val="14"/>
          <w:szCs w:val="14"/>
          <w:color w:val="auto"/>
        </w:rPr>
        <w:t>” shall mean any Person other than the Parties or any members of their respective Groups.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Third-Party Claim</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Trademark Matters Agreement</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Transferred Entities</w:t>
      </w:r>
      <w:r>
        <w:rPr>
          <w:rFonts w:ascii="Times New Roman" w:cs="Times New Roman" w:eastAsia="Times New Roman" w:hAnsi="Times New Roman"/>
          <w:sz w:val="14"/>
          <w:szCs w:val="14"/>
          <w:color w:val="auto"/>
        </w:rPr>
        <w:t xml:space="preserve">” shall mean the entities set forth on </w:t>
      </w:r>
      <w:r>
        <w:rPr>
          <w:rFonts w:ascii="Times New Roman" w:cs="Times New Roman" w:eastAsia="Times New Roman" w:hAnsi="Times New Roman"/>
          <w:sz w:val="14"/>
          <w:szCs w:val="14"/>
          <w:u w:val="single" w:color="auto"/>
          <w:color w:val="auto"/>
        </w:rPr>
        <w:t>Schedule 1.9</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Transition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Transition Services Agreement</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Unreleased Company Liability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2.5(b)(ii)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Unreleased SpinCo Liability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2.5(a)(ii)</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B-15</w:t>
      </w:r>
    </w:p>
    <w:p>
      <w:pPr>
        <w:sectPr>
          <w:pgSz w:w="11900" w:h="16838" w:orient="portrait"/>
          <w:cols w:equalWidth="0" w:num="1">
            <w:col w:w="10159"/>
          </w:cols>
          <w:pgMar w:left="300" w:top="385" w:right="1440"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THE SEPARATION</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Transfer of Assets and Assumption of Liabilities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79" w:firstLine="767"/>
        <w:spacing w:after="0" w:line="283" w:lineRule="auto"/>
        <w:tabs>
          <w:tab w:leader="none" w:pos="2322" w:val="left"/>
        </w:tabs>
        <w:numPr>
          <w:ilvl w:val="0"/>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on or prior to the Distribution Time and prior to the Distribution, in accordance with the plan and structure set forth on </w:t>
      </w:r>
      <w:r>
        <w:rPr>
          <w:rFonts w:ascii="Times New Roman" w:cs="Times New Roman" w:eastAsia="Times New Roman" w:hAnsi="Times New Roman"/>
          <w:sz w:val="14"/>
          <w:szCs w:val="14"/>
          <w:u w:val="single" w:color="auto"/>
          <w:color w:val="auto"/>
        </w:rPr>
        <w:t>Schedule 2.1(a)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Reorganization Step Plan</w:t>
      </w:r>
      <w:r>
        <w:rPr>
          <w:rFonts w:ascii="Times New Roman" w:cs="Times New Roman" w:eastAsia="Times New Roman" w:hAnsi="Times New Roman"/>
          <w:sz w:val="14"/>
          <w:szCs w:val="14"/>
          <w:color w:val="auto"/>
        </w:rPr>
        <w:t>”):</w:t>
      </w:r>
    </w:p>
    <w:p>
      <w:pPr>
        <w:spacing w:after="0" w:line="38" w:lineRule="exact"/>
        <w:rPr>
          <w:rFonts w:ascii="Times New Roman" w:cs="Times New Roman" w:eastAsia="Times New Roman" w:hAnsi="Times New Roman"/>
          <w:sz w:val="14"/>
          <w:szCs w:val="14"/>
          <w:color w:val="auto"/>
        </w:rPr>
      </w:pPr>
    </w:p>
    <w:p>
      <w:pPr>
        <w:ind w:left="1700" w:right="239" w:firstLine="739"/>
        <w:spacing w:after="0" w:line="256" w:lineRule="auto"/>
        <w:tabs>
          <w:tab w:leader="none" w:pos="2608" w:val="left"/>
        </w:tabs>
        <w:numPr>
          <w:ilvl w:val="1"/>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Transfer and Assignment of SpinCo Assets. </w:t>
      </w:r>
      <w:r>
        <w:rPr>
          <w:rFonts w:ascii="Times New Roman" w:cs="Times New Roman" w:eastAsia="Times New Roman" w:hAnsi="Times New Roman"/>
          <w:sz w:val="14"/>
          <w:szCs w:val="14"/>
          <w:color w:val="auto"/>
        </w:rPr>
        <w:t>The Company shall, and shall cause the applicable members of its Group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contribute, assign, transfer, convey and deliver to SpinCo, or the applicable SpinCo Designees, and SpinCo or such SpinCo Designees shall accept from the Company and the applicable members of the Company Group, all of the Company’s and such Company Group members’ respective direct or indirect right, title and interest in and to all of the SpinCo Assets (it being understood that if any SpinCo Asset shall be held by a Transferred Entity or a wholly owned Subsidiary of a Transferred Entity, such SpinCo Asset shall be deemed assigned, transferred, conveyed and delivered to SpinCo as a result of the transfer of all of the Equity Interests in such Transferred Entity from the Company or the applicable members of the Company Group to SpinCo or the applicable SpinCo Designee);</w:t>
      </w:r>
    </w:p>
    <w:p>
      <w:pPr>
        <w:spacing w:after="0" w:line="59" w:lineRule="exact"/>
        <w:rPr>
          <w:rFonts w:ascii="Times New Roman" w:cs="Times New Roman" w:eastAsia="Times New Roman" w:hAnsi="Times New Roman"/>
          <w:sz w:val="14"/>
          <w:szCs w:val="14"/>
          <w:color w:val="auto"/>
        </w:rPr>
      </w:pPr>
    </w:p>
    <w:p>
      <w:pPr>
        <w:ind w:left="1700" w:right="219" w:firstLine="739"/>
        <w:spacing w:after="0" w:line="254" w:lineRule="auto"/>
        <w:tabs>
          <w:tab w:leader="none" w:pos="2647" w:val="left"/>
        </w:tabs>
        <w:numPr>
          <w:ilvl w:val="1"/>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Acceptance and Assumption of SpinCo Liabilities. </w:t>
      </w:r>
      <w:r>
        <w:rPr>
          <w:rFonts w:ascii="Times New Roman" w:cs="Times New Roman" w:eastAsia="Times New Roman" w:hAnsi="Times New Roman"/>
          <w:sz w:val="14"/>
          <w:szCs w:val="14"/>
          <w:color w:val="auto"/>
        </w:rPr>
        <w:t>SpinCo and the applicable SpinCo Designees shall accept, assume and agree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faithfully to perform, discharge and fulfill all of the SpinCo Liabilities in accordance with their respective terms. SpinCo and such SpinCo Designees shall be responsible for all SpinCo Liabilities, regardless of when or where such SpinCo Liabilities arose or arise, or the legal entity that incurred or holds the SpinCo Liability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nothing contained in this Agreement or the other Transaction Documents shall preclude, restrict or otherwise inhibit SpinCo or one or more of the applicable SpinCo Designees from asserting against Third Parties any defenses available to the legal entity that incurred or holds such SpinCo Liability), or whether the facts on which they are based occurred prior to, at or subsequent to the Distribution Time, regardless of where or against whom such SpinCo Liabilities are asserted or determined (including any SpinCo Liabilities arising out of claims made by the Company’s or SpinCo’s respective directors, officers,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agents, Subsidiaries or Affiliates;</w:t>
      </w:r>
    </w:p>
    <w:p>
      <w:pPr>
        <w:spacing w:after="0" w:line="60" w:lineRule="exact"/>
        <w:rPr>
          <w:rFonts w:ascii="Times New Roman" w:cs="Times New Roman" w:eastAsia="Times New Roman" w:hAnsi="Times New Roman"/>
          <w:sz w:val="14"/>
          <w:szCs w:val="14"/>
          <w:color w:val="auto"/>
        </w:rPr>
      </w:pPr>
    </w:p>
    <w:p>
      <w:pPr>
        <w:ind w:left="1700" w:right="219" w:firstLine="739"/>
        <w:spacing w:after="0" w:line="259" w:lineRule="auto"/>
        <w:tabs>
          <w:tab w:leader="none" w:pos="2686" w:val="left"/>
        </w:tabs>
        <w:numPr>
          <w:ilvl w:val="1"/>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Transfer and Assignment of Company Assets. </w:t>
      </w:r>
      <w:r>
        <w:rPr>
          <w:rFonts w:ascii="Times New Roman" w:cs="Times New Roman" w:eastAsia="Times New Roman" w:hAnsi="Times New Roman"/>
          <w:sz w:val="14"/>
          <w:szCs w:val="14"/>
          <w:color w:val="auto"/>
        </w:rPr>
        <w:t>The Company and SpinCo shall cause SpinCo and the applicable members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SpinCo Group (including the SpinCo Designees) to contribute, assign, transfer, convey and deliver to the Company or certain members of the Company Group designated by the Company, and the Company or such other members of the Company Group shall accept from SpinCo and such members of the SpinCo Group, all of SpinCo’s and such members of the SpinCo Group’s respective direct or indirect right, title and interest in and to all Company Assets held by SpinCo or such member of the SpinCo Group; and</w:t>
      </w:r>
    </w:p>
    <w:p>
      <w:pPr>
        <w:spacing w:after="0" w:line="56" w:lineRule="exact"/>
        <w:rPr>
          <w:rFonts w:ascii="Times New Roman" w:cs="Times New Roman" w:eastAsia="Times New Roman" w:hAnsi="Times New Roman"/>
          <w:sz w:val="14"/>
          <w:szCs w:val="14"/>
          <w:color w:val="auto"/>
        </w:rPr>
      </w:pPr>
    </w:p>
    <w:p>
      <w:pPr>
        <w:ind w:left="1700" w:right="239" w:firstLine="739"/>
        <w:spacing w:after="0" w:line="255" w:lineRule="auto"/>
        <w:tabs>
          <w:tab w:leader="none" w:pos="2678" w:val="left"/>
        </w:tabs>
        <w:numPr>
          <w:ilvl w:val="1"/>
          <w:numId w:val="4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Acceptance and Assumption of Company Liabilities. </w:t>
      </w:r>
      <w:r>
        <w:rPr>
          <w:rFonts w:ascii="Times New Roman" w:cs="Times New Roman" w:eastAsia="Times New Roman" w:hAnsi="Times New Roman"/>
          <w:sz w:val="14"/>
          <w:szCs w:val="14"/>
          <w:color w:val="auto"/>
        </w:rPr>
        <w:t>The Company and certain members of the Company Group designated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Company shall accept and assume and agree faithfully to perform, discharge and fulfill all of the Company Liabilities held by SpinCo or the applicable members of the SpinCo Group (including the SpinCo Designees) and the Company and the applicable members of the Company Group shall be responsible for all Company Liabilities in accordance with their respective terms, regardless of when or where such Company Liabilities arose or arise, or the legal entity that incurred or holds the Company Liability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nothing contained in this Agreement or the other Transaction Documents shall preclude, restrict or otherwise inhibit the Company or one or more of the applicable members of the Company Group designated by the Company from asserting against Third Parties any defenses available to the legal entity that incurred or holds such Company Liability), or whether the facts on which they are based occurred prior to, at or subsequent to the Distribution Time, regardless of where or against whom such Company Liabilities are asserted or determined (including any such Company Liabilities arising out of</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B-16</w:t>
      </w:r>
    </w:p>
    <w:p>
      <w:pPr>
        <w:sectPr>
          <w:pgSz w:w="11900" w:h="16838" w:orient="portrait"/>
          <w:cols w:equalWidth="0" w:num="1">
            <w:col w:w="10159"/>
          </w:cols>
          <w:pgMar w:left="300" w:top="385" w:right="1440"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99"/>
        <w:spacing w:after="0" w:line="261" w:lineRule="auto"/>
        <w:rPr>
          <w:sz w:val="20"/>
          <w:szCs w:val="20"/>
          <w:color w:val="auto"/>
        </w:rPr>
      </w:pPr>
      <w:r>
        <w:rPr>
          <w:rFonts w:ascii="Times New Roman" w:cs="Times New Roman" w:eastAsia="Times New Roman" w:hAnsi="Times New Roman"/>
          <w:sz w:val="14"/>
          <w:szCs w:val="14"/>
          <w:color w:val="auto"/>
        </w:rPr>
        <w:t>claims made by the Company’s or SpinCo’s respective directors, officers,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agents, Subsidiaries or Affiliates.</w:t>
      </w:r>
    </w:p>
    <w:p>
      <w:pPr>
        <w:spacing w:after="0" w:line="139" w:lineRule="exact"/>
        <w:rPr>
          <w:sz w:val="20"/>
          <w:szCs w:val="20"/>
          <w:color w:val="auto"/>
        </w:rPr>
      </w:pPr>
    </w:p>
    <w:p>
      <w:pPr>
        <w:ind w:left="1360" w:right="219" w:firstLine="767"/>
        <w:spacing w:after="0" w:line="252" w:lineRule="auto"/>
        <w:tabs>
          <w:tab w:leader="none" w:pos="2330"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Transfer Documents. </w:t>
      </w:r>
      <w:r>
        <w:rPr>
          <w:rFonts w:ascii="Times New Roman" w:cs="Times New Roman" w:eastAsia="Times New Roman" w:hAnsi="Times New Roman"/>
          <w:sz w:val="14"/>
          <w:szCs w:val="14"/>
          <w:color w:val="auto"/>
        </w:rPr>
        <w:t>In furtherance of the contribution, assignment, transfer, conveyance and delivery of the Assets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assumption of the Liabilities in accordance with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and without prejudice to any actions taken to implement, or documents entered into between or among the Company, SpinCo or members of their respective Groups to implement, or in furtherance of, the Reorganization Step Plan prior to the date hereof, (i) each of the Company and SpinCo shall execute and deliver, and shall cause the applicable members of its Group to execute and deliver, to the other Party,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its Group’s right, title and interest in and to such Assets to the other Party and the applicable members of its Group in accordance with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(ii) each of the Company and SpinCo shall execute and deliver, and shall cause the applicable members of its Group to execute and deliver, to the other Party, such assumptions of contracts and other instruments of assumption as and to the extent necessary to evidence the valid and effective assumption of the Liabilities by such Party and the applicable members of its Group in accordance with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and (iii) each of the Company and SpinCo will take, and will cause each member of its respective Group to take, such actions as are reasonably necessary to consummate the transactions contemplated by the Reorganization Step Plan (whether prior to, at or after the Distribution Time). The Company may make changes to the Reorganization Step Plan in its reasonable discretion;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prior written consent of Gold (which consent shall not be unreasonably withheld, conditioned or delayed) shall be required (i) with respect to any change to the Reorganization Step Plan which has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financial cost for Gold that will exist after the Distribution Date (other than, for the avoidance of doubt, any cost which is fully reimbursed to Gold or SpinCo Group or otherwise fully borne by the Company), or (ii) to the extent such changes would be reasonably expected to materially impair, materially delay or otherwise have a material adverse effect on, in each case individually or in the aggregate, the ability of the Company to perform its obligations hereunder or to consummate the transactions contemplated hereby. All of the foregoing documents contemplated by this </w:t>
      </w:r>
      <w:r>
        <w:rPr>
          <w:rFonts w:ascii="Times New Roman" w:cs="Times New Roman" w:eastAsia="Times New Roman" w:hAnsi="Times New Roman"/>
          <w:sz w:val="14"/>
          <w:szCs w:val="14"/>
          <w:u w:val="single" w:color="auto"/>
          <w:color w:val="auto"/>
        </w:rPr>
        <w:t>Section 2.1(b)(i)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(including any documents entered into between or among any of the Parties or members of their respective Groups to implement, in furtherance of or in connection with the Reorganization Step Plan prior to the date hereof but excluding, for the avoidance of doubt, the IRS Ruling) shall be referred to collectively herein as the “</w:t>
      </w:r>
      <w:r>
        <w:rPr>
          <w:rFonts w:ascii="Times New Roman" w:cs="Times New Roman" w:eastAsia="Times New Roman" w:hAnsi="Times New Roman"/>
          <w:sz w:val="14"/>
          <w:szCs w:val="14"/>
          <w:b w:val="1"/>
          <w:bCs w:val="1"/>
          <w:color w:val="auto"/>
        </w:rPr>
        <w:t>Transfer Documents</w:t>
      </w:r>
      <w:r>
        <w:rPr>
          <w:rFonts w:ascii="Times New Roman" w:cs="Times New Roman" w:eastAsia="Times New Roman" w:hAnsi="Times New Roman"/>
          <w:sz w:val="14"/>
          <w:szCs w:val="14"/>
          <w:color w:val="auto"/>
        </w:rPr>
        <w:t xml:space="preserve">”. The Company (or, prior to the Distribution Date, SpinCo) will afford Gold a reasonable opportunity to, and Gold shall promptly, review any Transfer Documents prior to execution, and the Company (or, prior to the Distribution Date, SpinCo) shall give due and good faith consideration to Gold’s reasonable comments thereon. The Company (or, prior to the Distribution Date, SpinCo) shall, to the extent reasonably practicable, reasonably promptly notify Gold upon the receipt of, and provide Gold with copies of, any comments to the Transfer Documents from a Third Party, and give due and good faith consideration to Gold’s reasonable comments thereon. The Company shall keep Gold reasonably informed of, and furnish Gold with reasonably requested information relating to, the transfers and/or assumptions, as applicable (including any related Approvals or Notifications addressed in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of the SpinCo Assets to be transferred to, and SpinCo Liabilities to be assumed by, the SpinCo Group under any Transaction Document.</w:t>
      </w:r>
    </w:p>
    <w:p>
      <w:pPr>
        <w:spacing w:after="0" w:line="144" w:lineRule="exact"/>
        <w:rPr>
          <w:rFonts w:ascii="Times New Roman" w:cs="Times New Roman" w:eastAsia="Times New Roman" w:hAnsi="Times New Roman"/>
          <w:sz w:val="14"/>
          <w:szCs w:val="14"/>
          <w:color w:val="auto"/>
        </w:rPr>
      </w:pPr>
    </w:p>
    <w:p>
      <w:pPr>
        <w:ind w:left="1360" w:right="439" w:firstLine="767"/>
        <w:spacing w:after="0" w:line="259" w:lineRule="auto"/>
        <w:tabs>
          <w:tab w:leader="none" w:pos="2322" w:val="left"/>
        </w:tabs>
        <w:numPr>
          <w:ilvl w:val="0"/>
          <w:numId w:val="4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Reorganization Committee</w:t>
      </w:r>
      <w:r>
        <w:rPr>
          <w:rFonts w:ascii="Times New Roman" w:cs="Times New Roman" w:eastAsia="Times New Roman" w:hAnsi="Times New Roman"/>
          <w:sz w:val="14"/>
          <w:szCs w:val="14"/>
          <w:color w:val="auto"/>
        </w:rPr>
        <w:t>. As promptly as reasonably practicable after date hereof, the Parties shall establish and hold the first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meeting of a reorganization and transition committee (the “</w:t>
      </w:r>
      <w:r>
        <w:rPr>
          <w:rFonts w:ascii="Times New Roman" w:cs="Times New Roman" w:eastAsia="Times New Roman" w:hAnsi="Times New Roman"/>
          <w:sz w:val="14"/>
          <w:szCs w:val="14"/>
          <w:b w:val="1"/>
          <w:bCs w:val="1"/>
          <w:color w:val="auto"/>
        </w:rPr>
        <w:t>Reorganization Committee</w:t>
      </w:r>
      <w:r>
        <w:rPr>
          <w:rFonts w:ascii="Times New Roman" w:cs="Times New Roman" w:eastAsia="Times New Roman" w:hAnsi="Times New Roman"/>
          <w:sz w:val="14"/>
          <w:szCs w:val="14"/>
          <w:color w:val="auto"/>
        </w:rPr>
        <w:t>”), the purpose of which shall be, subject to and solely to the extent consistent with applicable Laws and the Confidentiality Agreement, discussing and providing information relating to the status of the implementation and completion of the Reorganization, the Distribution and the Merger (including any delays known or any other legal or operational issues with respect to the SpinCo Group or SpinCo Business, and any</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B-17</w:t>
      </w:r>
    </w:p>
    <w:p>
      <w:pPr>
        <w:sectPr>
          <w:pgSz w:w="11900" w:h="16838" w:orient="portrait"/>
          <w:cols w:equalWidth="0" w:num="1">
            <w:col w:w="10159"/>
          </w:cols>
          <w:pgMar w:left="300" w:top="385" w:right="1440"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 xml:space="preserve">steps reasonably necessary to remediate such delays or other issues). The number of designees and the members of the Reorganization Committee shall be determined by mutual agreement of Gold and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initial members of the Reorganization Committee are set forth on </w:t>
      </w:r>
      <w:r>
        <w:rPr>
          <w:rFonts w:ascii="Times New Roman" w:cs="Times New Roman" w:eastAsia="Times New Roman" w:hAnsi="Times New Roman"/>
          <w:sz w:val="14"/>
          <w:szCs w:val="14"/>
          <w:u w:val="single" w:color="auto"/>
          <w:color w:val="auto"/>
        </w:rPr>
        <w:t>Schedule 2.1(d)</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360" w:right="279" w:firstLine="767"/>
        <w:spacing w:after="0" w:line="257" w:lineRule="auto"/>
        <w:tabs>
          <w:tab w:leader="none" w:pos="2330" w:val="left"/>
        </w:tabs>
        <w:numPr>
          <w:ilvl w:val="0"/>
          <w:numId w:val="4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Waiver of Bulk-Sale and Bulk-Transfer Laws</w:t>
      </w:r>
      <w:r>
        <w:rPr>
          <w:rFonts w:ascii="Times New Roman" w:cs="Times New Roman" w:eastAsia="Times New Roman" w:hAnsi="Times New Roman"/>
          <w:sz w:val="14"/>
          <w:szCs w:val="14"/>
          <w:color w:val="auto"/>
        </w:rPr>
        <w:t>. To the extent permissible under applicable Law, SpinCo hereby waives compliance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each and every member of the Company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the Company hereby waives compliance by each and every member of the SpinCo Group with the requirements and provisions of any “bulk-sale” or “bulk-transfer” Laws of any jurisdiction that may otherwise be applicable with respect to the transfer or sale of any or all of the Company Assets to any member of the Company Group.</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SpinCo Assets; Company Assets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1360" w:right="319" w:firstLine="767"/>
        <w:spacing w:after="0" w:line="286" w:lineRule="auto"/>
        <w:tabs>
          <w:tab w:leader="none" w:pos="2322" w:val="left"/>
        </w:tabs>
        <w:numPr>
          <w:ilvl w:val="0"/>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SpinCo Assets. </w:t>
      </w:r>
      <w:r>
        <w:rPr>
          <w:rFonts w:ascii="Times New Roman" w:cs="Times New Roman" w:eastAsia="Times New Roman" w:hAnsi="Times New Roman"/>
          <w:sz w:val="14"/>
          <w:szCs w:val="14"/>
          <w:color w:val="auto"/>
        </w:rPr>
        <w:t>For purposes of this Agreement, “</w:t>
      </w:r>
      <w:r>
        <w:rPr>
          <w:rFonts w:ascii="Times New Roman" w:cs="Times New Roman" w:eastAsia="Times New Roman" w:hAnsi="Times New Roman"/>
          <w:sz w:val="14"/>
          <w:szCs w:val="14"/>
          <w:b w:val="1"/>
          <w:bCs w:val="1"/>
          <w:color w:val="auto"/>
        </w:rPr>
        <w:t>SpinCo Assets</w:t>
      </w:r>
      <w:r>
        <w:rPr>
          <w:rFonts w:ascii="Times New Roman" w:cs="Times New Roman" w:eastAsia="Times New Roman" w:hAnsi="Times New Roman"/>
          <w:sz w:val="14"/>
          <w:szCs w:val="14"/>
          <w:color w:val="auto"/>
        </w:rPr>
        <w:t>” shall mean all of the Company’s and its Subsidiaries’ right, title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in, to and under the following Assets:</w:t>
      </w:r>
    </w:p>
    <w:p>
      <w:pPr>
        <w:spacing w:after="0" w:line="38" w:lineRule="exact"/>
        <w:rPr>
          <w:rFonts w:ascii="Times New Roman" w:cs="Times New Roman" w:eastAsia="Times New Roman" w:hAnsi="Times New Roman"/>
          <w:sz w:val="14"/>
          <w:szCs w:val="14"/>
          <w:color w:val="auto"/>
        </w:rPr>
      </w:pPr>
    </w:p>
    <w:p>
      <w:pPr>
        <w:ind w:left="1700" w:right="379" w:firstLine="739"/>
        <w:spacing w:after="0" w:line="261" w:lineRule="auto"/>
        <w:tabs>
          <w:tab w:leader="none" w:pos="2608"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 issued and outstanding capital stock or other Equity Interests of the Transferred Entities that are owned by either the Company or SpinCo or any members of its Group as of the Distribution Time and (B) other investments in Equity Interests or other securities in joint ventures, minority investments, partnerships or similar Persons owned by SpinCo or any members of its Group as of the Distribution Time primarily related to the SpinCo Business;</w:t>
      </w:r>
    </w:p>
    <w:p>
      <w:pPr>
        <w:spacing w:after="0" w:line="56" w:lineRule="exact"/>
        <w:rPr>
          <w:rFonts w:ascii="Times New Roman" w:cs="Times New Roman" w:eastAsia="Times New Roman" w:hAnsi="Times New Roman"/>
          <w:sz w:val="14"/>
          <w:szCs w:val="14"/>
          <w:color w:val="auto"/>
        </w:rPr>
      </w:pPr>
    </w:p>
    <w:p>
      <w:pPr>
        <w:ind w:left="1700" w:right="439" w:firstLine="739"/>
        <w:spacing w:after="0" w:line="267" w:lineRule="auto"/>
        <w:tabs>
          <w:tab w:leader="none" w:pos="2647"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all cash, cash equivalents or marketable securities paid to SpinCo by the Company in respect of the Cash Transfer, if any,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(B) SpinCo Cash,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(C) all Restricted Cash;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nothing in any of the Transaction Documents shall restrict or limit SpinCo’s ability to dividend or distribute SpinCo Cash or Restricted Cash to the Company between the date hereof and the Cut-Off Time;</w:t>
      </w:r>
    </w:p>
    <w:p>
      <w:pPr>
        <w:spacing w:after="0" w:line="51" w:lineRule="exact"/>
        <w:rPr>
          <w:rFonts w:ascii="Times New Roman" w:cs="Times New Roman" w:eastAsia="Times New Roman" w:hAnsi="Times New Roman"/>
          <w:sz w:val="14"/>
          <w:szCs w:val="14"/>
          <w:color w:val="auto"/>
        </w:rPr>
      </w:pPr>
    </w:p>
    <w:p>
      <w:pPr>
        <w:ind w:left="1700" w:right="239" w:firstLine="739"/>
        <w:spacing w:after="0" w:line="267" w:lineRule="auto"/>
        <w:tabs>
          <w:tab w:leader="none" w:pos="2686"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Assets of either the Company or SpinCo or any of the members of its Group as of the Distribution Time that are expressly provided by this Agreement, the Merger Agreement or any of the other Transaction Documents (or the Schedules hereto or thereto) as Assets to be transferred to SpinCo or any other member of the SpinCo Group;</w:t>
      </w:r>
    </w:p>
    <w:p>
      <w:pPr>
        <w:spacing w:after="0" w:line="51" w:lineRule="exact"/>
        <w:rPr>
          <w:rFonts w:ascii="Times New Roman" w:cs="Times New Roman" w:eastAsia="Times New Roman" w:hAnsi="Times New Roman"/>
          <w:sz w:val="14"/>
          <w:szCs w:val="14"/>
          <w:color w:val="auto"/>
        </w:rPr>
      </w:pPr>
    </w:p>
    <w:p>
      <w:pPr>
        <w:ind w:left="1700" w:right="399" w:firstLine="739"/>
        <w:spacing w:after="0" w:line="261" w:lineRule="auto"/>
        <w:tabs>
          <w:tab w:leader="none" w:pos="2678"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SpinCo Owned Real Property, SpinCo Owned Real Property Leases and SpinCo Transferred Leased Property Leases, together with (i) any Tangible Personal Property located thereon, (ii) any SpinCo Inventory located thereon, and (iii) any prepaid rent, security deposits and options to renew or purchase related thereto and any and all related interests, including easements, whether as owner, mortgagee or holder of a Security Interest in real property, lessor, sublessor, lessee, sublessee or otherwise;</w:t>
      </w:r>
    </w:p>
    <w:p>
      <w:pPr>
        <w:spacing w:after="0" w:line="56" w:lineRule="exact"/>
        <w:rPr>
          <w:rFonts w:ascii="Times New Roman" w:cs="Times New Roman" w:eastAsia="Times New Roman" w:hAnsi="Times New Roman"/>
          <w:sz w:val="14"/>
          <w:szCs w:val="14"/>
          <w:color w:val="auto"/>
        </w:rPr>
      </w:pPr>
    </w:p>
    <w:p>
      <w:pPr>
        <w:ind w:left="1700" w:right="399" w:firstLine="739"/>
        <w:spacing w:after="0" w:line="283" w:lineRule="auto"/>
        <w:tabs>
          <w:tab w:leader="none" w:pos="2639"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Inventory of either the Company or SpinCo or any of the members of their respective Groups as of the Distribution Time to the extent primarily related to, primarily used in or primarily held for use for the SpinCo Business (the “</w:t>
      </w:r>
      <w:r>
        <w:rPr>
          <w:rFonts w:ascii="Times New Roman" w:cs="Times New Roman" w:eastAsia="Times New Roman" w:hAnsi="Times New Roman"/>
          <w:sz w:val="14"/>
          <w:szCs w:val="14"/>
          <w:b w:val="1"/>
          <w:bCs w:val="1"/>
          <w:color w:val="auto"/>
        </w:rPr>
        <w:t>SpinCo Inventory</w:t>
      </w:r>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ind w:left="1700" w:right="259" w:firstLine="739"/>
        <w:spacing w:after="0" w:line="267" w:lineRule="auto"/>
        <w:tabs>
          <w:tab w:leader="none" w:pos="2678"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SpinCo Contracts as of the Distribution Time and all rights, interests or claims of either the Company or SpinCo or any of the members of its Group thereunder (including all prepaid expenses, trade accounts and other accounts and notes receivable thereunder) as of the Distribution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doubt, all Shared Contracts shall be governed by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1700" w:right="499" w:firstLine="739"/>
        <w:spacing w:after="0" w:line="283" w:lineRule="auto"/>
        <w:tabs>
          <w:tab w:leader="none" w:pos="2717"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SpinCo Intellectual Property as of the Distribution Time, including Trademarks containing the House Marks and Internet Properties containing the House Marks;</w:t>
      </w:r>
    </w:p>
    <w:p>
      <w:pPr>
        <w:spacing w:after="0" w:line="40" w:lineRule="exact"/>
        <w:rPr>
          <w:rFonts w:ascii="Times New Roman" w:cs="Times New Roman" w:eastAsia="Times New Roman" w:hAnsi="Times New Roman"/>
          <w:sz w:val="14"/>
          <w:szCs w:val="14"/>
          <w:color w:val="auto"/>
        </w:rPr>
      </w:pPr>
    </w:p>
    <w:p>
      <w:pPr>
        <w:ind w:left="2760" w:hanging="321"/>
        <w:spacing w:after="0"/>
        <w:tabs>
          <w:tab w:leader="none" w:pos="2760"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SpinCo Information Technology as of the Distribution Time;</w:t>
      </w:r>
    </w:p>
    <w:p>
      <w:pPr>
        <w:spacing w:after="0" w:line="91" w:lineRule="exact"/>
        <w:rPr>
          <w:rFonts w:ascii="Times New Roman" w:cs="Times New Roman" w:eastAsia="Times New Roman" w:hAnsi="Times New Roman"/>
          <w:sz w:val="14"/>
          <w:szCs w:val="14"/>
          <w:color w:val="auto"/>
        </w:rPr>
      </w:pPr>
    </w:p>
    <w:p>
      <w:pPr>
        <w:ind w:left="1700" w:right="379" w:firstLine="739"/>
        <w:spacing w:after="0" w:line="283" w:lineRule="auto"/>
        <w:tabs>
          <w:tab w:leader="none" w:pos="2678" w:val="left"/>
        </w:tabs>
        <w:numPr>
          <w:ilvl w:val="1"/>
          <w:numId w:val="4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SpinCo Permits as of the Distribution Time and all rights, interests or claims of either the Company or SpinCo or any of the members of its Group thereunder as of the Distribution Time;</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B-18</w:t>
      </w:r>
    </w:p>
    <w:p>
      <w:pPr>
        <w:sectPr>
          <w:pgSz w:w="11900" w:h="16838" w:orient="portrait"/>
          <w:cols w:equalWidth="0" w:num="1">
            <w:col w:w="10159"/>
          </w:cols>
          <w:pgMar w:left="300" w:top="386" w:right="1440"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right="359" w:firstLine="739"/>
        <w:spacing w:after="0" w:line="254" w:lineRule="auto"/>
        <w:tabs>
          <w:tab w:leader="none" w:pos="2639"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copies of any and all SpinCo Books and Records in the possession of either the Company or SpinCo as of immediately prior to the Distribution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be permitted to retain copies of, and continue to use (in the case of clauses (A) through (C)), subject to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(A) any SpinCo Books and Records that are used in or necessary for the operation or conduct of the Company Business as of the Distribution Time, (B) any SpinCo Books and Records that the Company is required by Law to retain (and if copies are not provided to SpinCo, then, to the extent permitted by Law, such copies will be made available to SpinCo upon SpinCo’s reasonable request), (C) one (1) copy of any SpinCo Books and Records to the extent required to demonstrate compliance with applicable Law or pursuant to internal compliance procedures or related to any Company Assets or the Company’s and/or its Affiliates’ obligations under this Agreement, the Merger Agreement or any of the other Transaction Documents and (D) “back-up” electronic tapes of such SpinCo Books and Records maintained by the Company in the ordinary course of business (such material in clauses (A) through (D), the “</w:t>
      </w:r>
      <w:r>
        <w:rPr>
          <w:rFonts w:ascii="Times New Roman" w:cs="Times New Roman" w:eastAsia="Times New Roman" w:hAnsi="Times New Roman"/>
          <w:sz w:val="14"/>
          <w:szCs w:val="14"/>
          <w:b w:val="1"/>
          <w:bCs w:val="1"/>
          <w:color w:val="auto"/>
        </w:rPr>
        <w:t>Company Books and Records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without limiting the Company’s obligations under any other Transaction Document, the foregoing restrictions in (A) through (D) shall not apply to Technology which is used or held for use in the Company Business ;</w:t>
      </w:r>
    </w:p>
    <w:p>
      <w:pPr>
        <w:spacing w:after="0" w:line="60" w:lineRule="exact"/>
        <w:rPr>
          <w:rFonts w:ascii="Times New Roman" w:cs="Times New Roman" w:eastAsia="Times New Roman" w:hAnsi="Times New Roman"/>
          <w:sz w:val="14"/>
          <w:szCs w:val="14"/>
          <w:color w:val="auto"/>
        </w:rPr>
      </w:pPr>
    </w:p>
    <w:p>
      <w:pPr>
        <w:ind w:left="1700" w:right="479" w:firstLine="739"/>
        <w:spacing w:after="0" w:line="283" w:lineRule="auto"/>
        <w:tabs>
          <w:tab w:leader="none" w:pos="2678"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than as set forth in </w:t>
      </w:r>
      <w:r>
        <w:rPr>
          <w:rFonts w:ascii="Times New Roman" w:cs="Times New Roman" w:eastAsia="Times New Roman" w:hAnsi="Times New Roman"/>
          <w:sz w:val="14"/>
          <w:szCs w:val="14"/>
          <w:u w:val="single" w:color="auto"/>
          <w:color w:val="auto"/>
        </w:rPr>
        <w:t>Section 2.2(a)(iv)</w:t>
      </w:r>
      <w:r>
        <w:rPr>
          <w:rFonts w:ascii="Times New Roman" w:cs="Times New Roman" w:eastAsia="Times New Roman" w:hAnsi="Times New Roman"/>
          <w:sz w:val="14"/>
          <w:szCs w:val="14"/>
          <w:color w:val="auto"/>
        </w:rPr>
        <w:t>, all Tangible Personal Property primarily used, primarily held for use or primarily related to the SpinCo Business;</w:t>
      </w:r>
    </w:p>
    <w:p>
      <w:pPr>
        <w:spacing w:after="0" w:line="40" w:lineRule="exact"/>
        <w:rPr>
          <w:rFonts w:ascii="Times New Roman" w:cs="Times New Roman" w:eastAsia="Times New Roman" w:hAnsi="Times New Roman"/>
          <w:sz w:val="14"/>
          <w:szCs w:val="14"/>
          <w:color w:val="auto"/>
        </w:rPr>
      </w:pPr>
    </w:p>
    <w:p>
      <w:pPr>
        <w:ind w:left="1700" w:right="419" w:firstLine="739"/>
        <w:spacing w:after="0" w:line="267" w:lineRule="auto"/>
        <w:tabs>
          <w:tab w:leader="none" w:pos="2717"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claims, warranties, guarantees, refunds, actions, defenses, rights of recovery, rights of set-off or counterclaim and rights of recoupment of every kind and nature, in each case, against Third Parties and to the extent arising out of the SpinCo Assets or any SpinCo Liability;</w:t>
      </w:r>
    </w:p>
    <w:p>
      <w:pPr>
        <w:spacing w:after="0" w:line="51" w:lineRule="exact"/>
        <w:rPr>
          <w:rFonts w:ascii="Times New Roman" w:cs="Times New Roman" w:eastAsia="Times New Roman" w:hAnsi="Times New Roman"/>
          <w:sz w:val="14"/>
          <w:szCs w:val="14"/>
          <w:color w:val="auto"/>
        </w:rPr>
      </w:pPr>
    </w:p>
    <w:p>
      <w:pPr>
        <w:ind w:left="1700" w:right="239" w:firstLine="739"/>
        <w:spacing w:after="0" w:line="254" w:lineRule="auto"/>
        <w:tabs>
          <w:tab w:leader="none" w:pos="2756"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all (A) proceeds of any Third Party insurance policies received (to the extent such proceeds are pending as of the date hereof or otherwise received after the date hereof) or receivable by any member of the Company Group or any member of the SpinCo Group as a result of any damage, destruction or other casualty loss in respect of any SpinCo Asset, and (B) monies received from any Third Party in the nature of contribution or indemnification (to the extent such monies are pending as of the date hereof or otherwise received after the date hereof) as a result of any damage, destruction or other casualty loss in respect of any SpinCo Asset, in each case, net of (x) any “deductibles” or net retentions associated with such proceeds or monies and any reasonable and documented out-of-pocket expenses incurred by the Company, SpinCo or any member of their respective Groups with respect thereto and (y) any reasonable and documented amounts expended by the Company, SpinCo, or any member of their respective Groups to repair or replace any such SpinCo Assets (such net proceeds and monies as described in this subsection (</w:t>
      </w:r>
      <w:r>
        <w:rPr>
          <w:rFonts w:ascii="Times New Roman" w:cs="Times New Roman" w:eastAsia="Times New Roman" w:hAnsi="Times New Roman"/>
          <w:sz w:val="14"/>
          <w:szCs w:val="14"/>
          <w:u w:val="single" w:color="auto"/>
          <w:color w:val="auto"/>
        </w:rPr>
        <w:t>xiii</w:t>
      </w:r>
      <w:r>
        <w:rPr>
          <w:rFonts w:ascii="Times New Roman" w:cs="Times New Roman" w:eastAsia="Times New Roman" w:hAnsi="Times New Roman"/>
          <w:sz w:val="14"/>
          <w:szCs w:val="14"/>
          <w:color w:val="auto"/>
        </w:rPr>
        <w:t>), collectively, “</w:t>
      </w:r>
      <w:r>
        <w:rPr>
          <w:rFonts w:ascii="Times New Roman" w:cs="Times New Roman" w:eastAsia="Times New Roman" w:hAnsi="Times New Roman"/>
          <w:sz w:val="14"/>
          <w:szCs w:val="14"/>
          <w:b w:val="1"/>
          <w:bCs w:val="1"/>
          <w:color w:val="auto"/>
        </w:rPr>
        <w:t>Excluded Cash</w:t>
      </w:r>
      <w:r>
        <w:rPr>
          <w:rFonts w:ascii="Times New Roman" w:cs="Times New Roman" w:eastAsia="Times New Roman" w:hAnsi="Times New Roman"/>
          <w:sz w:val="14"/>
          <w:szCs w:val="14"/>
          <w:color w:val="auto"/>
        </w:rPr>
        <w:t>”);</w:t>
      </w:r>
    </w:p>
    <w:p>
      <w:pPr>
        <w:spacing w:after="0" w:line="64" w:lineRule="exact"/>
        <w:rPr>
          <w:rFonts w:ascii="Times New Roman" w:cs="Times New Roman" w:eastAsia="Times New Roman" w:hAnsi="Times New Roman"/>
          <w:sz w:val="14"/>
          <w:szCs w:val="14"/>
          <w:color w:val="auto"/>
        </w:rPr>
      </w:pPr>
    </w:p>
    <w:p>
      <w:pPr>
        <w:ind w:left="1700" w:right="499" w:firstLine="739"/>
        <w:spacing w:after="0" w:line="283" w:lineRule="auto"/>
        <w:tabs>
          <w:tab w:leader="none" w:pos="2748"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that accrue or shall accrue to SpinCo or any member of the SpinCo Group pursuant to this Agreement, the Merger Agreement or any other Transaction Document;</w:t>
      </w:r>
    </w:p>
    <w:p>
      <w:pPr>
        <w:spacing w:after="0" w:line="40" w:lineRule="exact"/>
        <w:rPr>
          <w:rFonts w:ascii="Times New Roman" w:cs="Times New Roman" w:eastAsia="Times New Roman" w:hAnsi="Times New Roman"/>
          <w:sz w:val="14"/>
          <w:szCs w:val="14"/>
          <w:color w:val="auto"/>
        </w:rPr>
      </w:pPr>
    </w:p>
    <w:p>
      <w:pPr>
        <w:ind w:left="2700" w:hanging="261"/>
        <w:spacing w:after="0"/>
        <w:tabs>
          <w:tab w:leader="none" w:pos="2700"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Assets expressly included in the Final Net Working Capital; and</w:t>
      </w:r>
    </w:p>
    <w:p>
      <w:pPr>
        <w:spacing w:after="0" w:line="91" w:lineRule="exact"/>
        <w:rPr>
          <w:rFonts w:ascii="Times New Roman" w:cs="Times New Roman" w:eastAsia="Times New Roman" w:hAnsi="Times New Roman"/>
          <w:sz w:val="14"/>
          <w:szCs w:val="14"/>
          <w:color w:val="auto"/>
        </w:rPr>
      </w:pPr>
    </w:p>
    <w:p>
      <w:pPr>
        <w:ind w:left="1700" w:right="259" w:firstLine="739"/>
        <w:spacing w:after="0" w:line="261" w:lineRule="auto"/>
        <w:tabs>
          <w:tab w:leader="none" w:pos="2748" w:val="left"/>
        </w:tabs>
        <w:numPr>
          <w:ilvl w:val="0"/>
          <w:numId w:val="4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Assets of either the Company or SpinCo or any of the members of its Group as of the Distribution Time that are primarily related to, primarily used in or primarily held for use for the SpinCo Business and that are of a type that are not addressed in subsections</w:t>
      </w:r>
    </w:p>
    <w:p>
      <w:pPr>
        <w:ind w:left="1700" w:right="37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(xv)</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2.2(a)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intention of this subsection </w:t>
      </w:r>
      <w:r>
        <w:rPr>
          <w:rFonts w:ascii="Times New Roman" w:cs="Times New Roman" w:eastAsia="Times New Roman" w:hAnsi="Times New Roman"/>
          <w:sz w:val="14"/>
          <w:szCs w:val="14"/>
          <w:u w:val="single" w:color="auto"/>
          <w:color w:val="auto"/>
        </w:rPr>
        <w:t>(xvi)</w:t>
      </w:r>
      <w:r>
        <w:rPr>
          <w:rFonts w:ascii="Times New Roman" w:cs="Times New Roman" w:eastAsia="Times New Roman" w:hAnsi="Times New Roman"/>
          <w:sz w:val="14"/>
          <w:szCs w:val="14"/>
          <w:color w:val="auto"/>
        </w:rPr>
        <w:t xml:space="preserve"> is only to rectify any omission of the conveyance to SpinCo of any Assets that, had the Parties given specific consideration to such Asset as of the date of this Agreement, would have been classified as a SpinCo Asset (and no Asset will be deemed to be a SpinCo Asset solely as a result of this subsection </w:t>
      </w:r>
      <w:r>
        <w:rPr>
          <w:rFonts w:ascii="Times New Roman" w:cs="Times New Roman" w:eastAsia="Times New Roman" w:hAnsi="Times New Roman"/>
          <w:sz w:val="14"/>
          <w:szCs w:val="14"/>
          <w:u w:val="single" w:color="auto"/>
          <w:color w:val="auto"/>
        </w:rPr>
        <w:t>(xvi)</w:t>
      </w:r>
      <w:r>
        <w:rPr>
          <w:rFonts w:ascii="Times New Roman" w:cs="Times New Roman" w:eastAsia="Times New Roman" w:hAnsi="Times New Roman"/>
          <w:sz w:val="14"/>
          <w:szCs w:val="14"/>
          <w:color w:val="auto"/>
        </w:rPr>
        <w:t xml:space="preserve"> if it is within any category of Assets addressed by any other section of this </w:t>
      </w:r>
      <w:r>
        <w:rPr>
          <w:rFonts w:ascii="Times New Roman" w:cs="Times New Roman" w:eastAsia="Times New Roman" w:hAnsi="Times New Roman"/>
          <w:sz w:val="14"/>
          <w:szCs w:val="14"/>
          <w:u w:val="single" w:color="auto"/>
          <w:color w:val="auto"/>
        </w:rPr>
        <w:t>Section 2.2(a)</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The Parties acknowledge and agree that a single Asset may fall within more than one of subsections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(xvii)</w:t>
      </w:r>
      <w:r>
        <w:rPr>
          <w:rFonts w:ascii="Times New Roman" w:cs="Times New Roman" w:eastAsia="Times New Roman" w:hAnsi="Times New Roman"/>
          <w:sz w:val="14"/>
          <w:szCs w:val="14"/>
          <w:color w:val="auto"/>
        </w:rPr>
        <w:t xml:space="preserve"> above; such fact does not imply that (A) such Asset shall be transferred more than once or (B) any duplication of such Asset is required.</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B-19</w:t>
      </w:r>
    </w:p>
    <w:p>
      <w:pPr>
        <w:sectPr>
          <w:pgSz w:w="11900" w:h="16838" w:orient="portrait"/>
          <w:cols w:equalWidth="0" w:num="1">
            <w:col w:w="10159"/>
          </w:cols>
          <w:pgMar w:left="300" w:top="386" w:right="1440"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419" w:firstLine="767"/>
        <w:spacing w:after="0" w:line="286" w:lineRule="auto"/>
        <w:tabs>
          <w:tab w:leader="none" w:pos="2330" w:val="left"/>
        </w:tabs>
        <w:numPr>
          <w:ilvl w:val="1"/>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Company Assets. </w:t>
      </w:r>
      <w:r>
        <w:rPr>
          <w:rFonts w:ascii="Times New Roman" w:cs="Times New Roman" w:eastAsia="Times New Roman" w:hAnsi="Times New Roman"/>
          <w:sz w:val="14"/>
          <w:szCs w:val="14"/>
          <w:color w:val="auto"/>
        </w:rPr>
        <w:t>For the purposes of this Agreement, “</w:t>
      </w:r>
      <w:r>
        <w:rPr>
          <w:rFonts w:ascii="Times New Roman" w:cs="Times New Roman" w:eastAsia="Times New Roman" w:hAnsi="Times New Roman"/>
          <w:sz w:val="14"/>
          <w:szCs w:val="14"/>
          <w:b w:val="1"/>
          <w:bCs w:val="1"/>
          <w:color w:val="auto"/>
        </w:rPr>
        <w:t>Company Assets</w:t>
      </w:r>
      <w:r>
        <w:rPr>
          <w:rFonts w:ascii="Times New Roman" w:cs="Times New Roman" w:eastAsia="Times New Roman" w:hAnsi="Times New Roman"/>
          <w:sz w:val="14"/>
          <w:szCs w:val="14"/>
          <w:color w:val="auto"/>
        </w:rPr>
        <w:t>” shall mean all Assets of either the Company or SpinCo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members of its Group as of the Distribution Time, other than the SpinCo Assets, including:</w:t>
      </w:r>
    </w:p>
    <w:p>
      <w:pPr>
        <w:spacing w:after="0" w:line="38" w:lineRule="exact"/>
        <w:rPr>
          <w:rFonts w:ascii="Times New Roman" w:cs="Times New Roman" w:eastAsia="Times New Roman" w:hAnsi="Times New Roman"/>
          <w:sz w:val="14"/>
          <w:szCs w:val="14"/>
          <w:color w:val="auto"/>
        </w:rPr>
      </w:pPr>
    </w:p>
    <w:p>
      <w:pPr>
        <w:jc w:val="both"/>
        <w:ind w:left="1700" w:right="319" w:firstLine="739"/>
        <w:spacing w:after="0" w:line="267" w:lineRule="auto"/>
        <w:tabs>
          <w:tab w:leader="none" w:pos="2608" w:val="left"/>
        </w:tabs>
        <w:numPr>
          <w:ilvl w:val="2"/>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Assets of either the Company or SpinCo or any of the members of its Group as of the Distribution Time that are contemplated by this Agreement, the Merger Agreement or any other Transaction Document (or the Schedules hereto or thereto) as Assets to be retained by the Company or any other member of the Company Group;</w:t>
      </w:r>
    </w:p>
    <w:p>
      <w:pPr>
        <w:spacing w:after="0" w:line="51" w:lineRule="exact"/>
        <w:rPr>
          <w:rFonts w:ascii="Times New Roman" w:cs="Times New Roman" w:eastAsia="Times New Roman" w:hAnsi="Times New Roman"/>
          <w:sz w:val="14"/>
          <w:szCs w:val="14"/>
          <w:color w:val="auto"/>
        </w:rPr>
      </w:pPr>
    </w:p>
    <w:p>
      <w:pPr>
        <w:ind w:left="1700" w:right="539" w:firstLine="739"/>
        <w:spacing w:after="0" w:line="283" w:lineRule="auto"/>
        <w:tabs>
          <w:tab w:leader="none" w:pos="2647" w:val="left"/>
        </w:tabs>
        <w:numPr>
          <w:ilvl w:val="2"/>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Inventory of either the Company or SpinCo or any of the members of its Group as of the Distribution Time other than the SpinCo Inventory;</w:t>
      </w:r>
    </w:p>
    <w:p>
      <w:pPr>
        <w:spacing w:after="0" w:line="40" w:lineRule="exact"/>
        <w:rPr>
          <w:rFonts w:ascii="Times New Roman" w:cs="Times New Roman" w:eastAsia="Times New Roman" w:hAnsi="Times New Roman"/>
          <w:sz w:val="14"/>
          <w:szCs w:val="14"/>
          <w:color w:val="auto"/>
        </w:rPr>
      </w:pPr>
    </w:p>
    <w:p>
      <w:pPr>
        <w:ind w:left="1700" w:right="239" w:firstLine="739"/>
        <w:spacing w:after="0" w:line="261" w:lineRule="auto"/>
        <w:tabs>
          <w:tab w:leader="none" w:pos="2686" w:val="left"/>
        </w:tabs>
        <w:numPr>
          <w:ilvl w:val="2"/>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real property, whether owned, leased, subleased, licensed, or otherwise occupied by either the Company or SpinCo or any of the members of its Group as of the Distribution Time, other than the SpinCo Owned Real Property, SpinCo Owned Real Property Leases and SpinCo Transferred Leased Property Leases, and Tangible Personal Property located thereon (other than any Tangible Personal Property of the type addressed in </w:t>
      </w:r>
      <w:r>
        <w:rPr>
          <w:rFonts w:ascii="Times New Roman" w:cs="Times New Roman" w:eastAsia="Times New Roman" w:hAnsi="Times New Roman"/>
          <w:sz w:val="14"/>
          <w:szCs w:val="14"/>
          <w:u w:val="single" w:color="auto"/>
          <w:color w:val="auto"/>
        </w:rPr>
        <w:t>Section 2.2(a)(iv)</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2.2(a)(xii)</w:t>
      </w:r>
      <w:r>
        <w:rPr>
          <w:rFonts w:ascii="Times New Roman" w:cs="Times New Roman" w:eastAsia="Times New Roman" w:hAnsi="Times New Roman"/>
          <w:sz w:val="14"/>
          <w:szCs w:val="14"/>
          <w:color w:val="auto"/>
        </w:rPr>
        <w:t>) and any prepaid rent, security deposits and options to renew or purchase related thereto;</w:t>
      </w:r>
    </w:p>
    <w:p>
      <w:pPr>
        <w:spacing w:after="0" w:line="56" w:lineRule="exact"/>
        <w:rPr>
          <w:rFonts w:ascii="Times New Roman" w:cs="Times New Roman" w:eastAsia="Times New Roman" w:hAnsi="Times New Roman"/>
          <w:sz w:val="14"/>
          <w:szCs w:val="14"/>
          <w:color w:val="auto"/>
        </w:rPr>
      </w:pPr>
    </w:p>
    <w:p>
      <w:pPr>
        <w:ind w:left="1700" w:right="239" w:firstLine="739"/>
        <w:spacing w:after="0" w:line="267" w:lineRule="auto"/>
        <w:tabs>
          <w:tab w:leader="none" w:pos="2678" w:val="left"/>
        </w:tabs>
        <w:numPr>
          <w:ilvl w:val="2"/>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Contracts of either the Company or SpinCo or any of the members of its Group as of the Distribution Time, other than the SpinCo Contracts (including the portion of any Shared Contracts that are SpinCo Contracts;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remainder of such Shared Contracts shall be Company Assets in accordance with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including as specified on </w:t>
      </w:r>
      <w:r>
        <w:rPr>
          <w:rFonts w:ascii="Times New Roman" w:cs="Times New Roman" w:eastAsia="Times New Roman" w:hAnsi="Times New Roman"/>
          <w:sz w:val="14"/>
          <w:szCs w:val="14"/>
          <w:u w:val="single" w:color="auto"/>
          <w:color w:val="auto"/>
        </w:rPr>
        <w:t>Schedule 2.2(b)(iv)</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1700" w:right="279" w:firstLine="739"/>
        <w:spacing w:after="0" w:line="267" w:lineRule="auto"/>
        <w:tabs>
          <w:tab w:leader="none" w:pos="2639" w:val="left"/>
        </w:tabs>
        <w:numPr>
          <w:ilvl w:val="2"/>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the Intellectual Property set forth on </w:t>
      </w:r>
      <w:r>
        <w:rPr>
          <w:rFonts w:ascii="Times New Roman" w:cs="Times New Roman" w:eastAsia="Times New Roman" w:hAnsi="Times New Roman"/>
          <w:sz w:val="14"/>
          <w:szCs w:val="14"/>
          <w:u w:val="single" w:color="auto"/>
          <w:color w:val="auto"/>
        </w:rPr>
        <w:t>Schedule 2.2(b)(v)</w:t>
      </w:r>
      <w:r>
        <w:rPr>
          <w:rFonts w:ascii="Times New Roman" w:cs="Times New Roman" w:eastAsia="Times New Roman" w:hAnsi="Times New Roman"/>
          <w:sz w:val="14"/>
          <w:szCs w:val="14"/>
          <w:color w:val="auto"/>
        </w:rPr>
        <w:t>, and (B) all other Intellectual Property owned by either the Company or SpinCo or any of the members of its Group as of the Distribution Time, other than, in the case of this clause (B), the SpinCo Intellectual Property;</w:t>
      </w:r>
    </w:p>
    <w:p>
      <w:pPr>
        <w:spacing w:after="0" w:line="51" w:lineRule="exact"/>
        <w:rPr>
          <w:rFonts w:ascii="Times New Roman" w:cs="Times New Roman" w:eastAsia="Times New Roman" w:hAnsi="Times New Roman"/>
          <w:sz w:val="14"/>
          <w:szCs w:val="14"/>
          <w:color w:val="auto"/>
        </w:rPr>
      </w:pPr>
    </w:p>
    <w:p>
      <w:pPr>
        <w:ind w:left="1700" w:right="219" w:firstLine="739"/>
        <w:spacing w:after="0" w:line="283" w:lineRule="auto"/>
        <w:tabs>
          <w:tab w:leader="none" w:pos="2678" w:val="left"/>
        </w:tabs>
        <w:numPr>
          <w:ilvl w:val="2"/>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Technology owned or used by either the Company or SpinCo or any member of its Group as of immediately prior to the Distribution Time other than the SpinCo Information Technology;</w:t>
      </w:r>
    </w:p>
    <w:p>
      <w:pPr>
        <w:spacing w:after="0" w:line="40" w:lineRule="exact"/>
        <w:rPr>
          <w:rFonts w:ascii="Times New Roman" w:cs="Times New Roman" w:eastAsia="Times New Roman" w:hAnsi="Times New Roman"/>
          <w:sz w:val="14"/>
          <w:szCs w:val="14"/>
          <w:color w:val="auto"/>
        </w:rPr>
      </w:pPr>
    </w:p>
    <w:p>
      <w:pPr>
        <w:ind w:left="2720" w:hanging="281"/>
        <w:spacing w:after="0"/>
        <w:tabs>
          <w:tab w:leader="none" w:pos="2720" w:val="left"/>
        </w:tabs>
        <w:numPr>
          <w:ilvl w:val="2"/>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Permits of either the Company or SpinCo or any of the members of its Group as of the Distribution Time other than the</w:t>
      </w:r>
    </w:p>
    <w:p>
      <w:pPr>
        <w:spacing w:after="0" w:line="21"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Permits;</w:t>
      </w:r>
    </w:p>
    <w:p>
      <w:pPr>
        <w:spacing w:after="0" w:line="76" w:lineRule="exact"/>
        <w:rPr>
          <w:rFonts w:ascii="Times New Roman" w:cs="Times New Roman" w:eastAsia="Times New Roman" w:hAnsi="Times New Roman"/>
          <w:sz w:val="14"/>
          <w:szCs w:val="14"/>
          <w:color w:val="auto"/>
        </w:rPr>
      </w:pPr>
    </w:p>
    <w:p>
      <w:pPr>
        <w:ind w:left="2760" w:hanging="321"/>
        <w:spacing w:after="0"/>
        <w:tabs>
          <w:tab w:leader="none" w:pos="2760" w:val="left"/>
        </w:tabs>
        <w:numPr>
          <w:ilvl w:val="2"/>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Company Books and Records;</w:t>
      </w:r>
    </w:p>
    <w:p>
      <w:pPr>
        <w:spacing w:after="0" w:line="91" w:lineRule="exact"/>
        <w:rPr>
          <w:rFonts w:ascii="Times New Roman" w:cs="Times New Roman" w:eastAsia="Times New Roman" w:hAnsi="Times New Roman"/>
          <w:sz w:val="14"/>
          <w:szCs w:val="14"/>
          <w:color w:val="auto"/>
        </w:rPr>
      </w:pPr>
    </w:p>
    <w:p>
      <w:pPr>
        <w:ind w:left="1700" w:right="399" w:firstLine="739"/>
        <w:spacing w:after="0" w:line="261" w:lineRule="auto"/>
        <w:tabs>
          <w:tab w:leader="none" w:pos="2678" w:val="left"/>
        </w:tabs>
        <w:numPr>
          <w:ilvl w:val="2"/>
          <w:numId w:val="4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cash, cash equivalents and marketable securities of either the Company or SpinCo or any of the members of its Group as of the Distribution Time, other than (A) all cash or cash equivalents paid to SpinCo by the Company in respect of the Cash Transfer, if any, </w:t>
      </w:r>
      <w:r>
        <w:rPr>
          <w:rFonts w:ascii="Times New Roman" w:cs="Times New Roman" w:eastAsia="Times New Roman" w:hAnsi="Times New Roman"/>
          <w:sz w:val="14"/>
          <w:szCs w:val="14"/>
          <w:u w:val="single" w:color="auto"/>
          <w:color w:val="auto"/>
        </w:rPr>
        <w:t>plus</w:t>
      </w:r>
    </w:p>
    <w:p>
      <w:pPr>
        <w:ind w:left="1700" w:right="239" w:hanging="2"/>
        <w:spacing w:after="0" w:line="261" w:lineRule="auto"/>
        <w:tabs>
          <w:tab w:leader="none" w:pos="1922"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SpinCo Cash,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(C) all Restricted Cash, if any,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any Excluded Cash received by any member of the Company Group or any member of the SpinCo Group prior to the Cut-Off Time, if any;</w:t>
      </w:r>
    </w:p>
    <w:p>
      <w:pPr>
        <w:spacing w:after="0" w:line="55" w:lineRule="exact"/>
        <w:rPr>
          <w:rFonts w:ascii="Times New Roman" w:cs="Times New Roman" w:eastAsia="Times New Roman" w:hAnsi="Times New Roman"/>
          <w:sz w:val="14"/>
          <w:szCs w:val="14"/>
          <w:color w:val="auto"/>
        </w:rPr>
      </w:pPr>
    </w:p>
    <w:p>
      <w:pPr>
        <w:ind w:left="1700" w:right="259" w:firstLine="739"/>
        <w:spacing w:after="0" w:line="256" w:lineRule="auto"/>
        <w:tabs>
          <w:tab w:leader="none" w:pos="2639" w:val="left"/>
        </w:tabs>
        <w:numPr>
          <w:ilvl w:val="2"/>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all attorney-client privilege and attorney work-product protection of the Company or any member of its Group arising as a result of legal counsel representing the Company, and any member of the Company Group (including the Transferred Entities), in connection with the sale of the SpinCo Business and the transactions contemplated by this Agreement, the Merger Agreement and the other Transaction Documents, (B) all documents subject to attorney-client privilege and work-product protection described in the foregoing subsection (A), and</w:t>
      </w:r>
    </w:p>
    <w:p>
      <w:pPr>
        <w:ind w:left="1700" w:right="279" w:hanging="2"/>
        <w:spacing w:after="0" w:line="256" w:lineRule="auto"/>
        <w:tabs>
          <w:tab w:leader="none" w:pos="1922" w:val="left"/>
        </w:tabs>
        <w:numPr>
          <w:ilvl w:val="0"/>
          <w:numId w:val="4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maintained by the Company, members of the Company Group or their respective Representatives in connection with the sale of the SpinCo Business, including the transactions contemplated by this Agreement, the Merger Agreement and the other Transaction Documents (excluding any rights pursuant to the Contracts described in clause (j) of the definition of “</w:t>
      </w:r>
      <w:r>
        <w:rPr>
          <w:rFonts w:ascii="Times New Roman" w:cs="Times New Roman" w:eastAsia="Times New Roman" w:hAnsi="Times New Roman"/>
          <w:sz w:val="14"/>
          <w:szCs w:val="14"/>
          <w:b w:val="1"/>
          <w:bCs w:val="1"/>
          <w:color w:val="auto"/>
        </w:rPr>
        <w:t>SpinCo Contracts</w:t>
      </w:r>
      <w:r>
        <w:rPr>
          <w:rFonts w:ascii="Times New Roman" w:cs="Times New Roman" w:eastAsia="Times New Roman" w:hAnsi="Times New Roman"/>
          <w:sz w:val="14"/>
          <w:szCs w:val="14"/>
          <w:color w:val="auto"/>
        </w:rPr>
        <w:t>”); and</w:t>
      </w:r>
    </w:p>
    <w:p>
      <w:pPr>
        <w:spacing w:after="0" w:line="58" w:lineRule="exact"/>
        <w:rPr>
          <w:rFonts w:ascii="Times New Roman" w:cs="Times New Roman" w:eastAsia="Times New Roman" w:hAnsi="Times New Roman"/>
          <w:sz w:val="14"/>
          <w:szCs w:val="14"/>
          <w:color w:val="auto"/>
        </w:rPr>
      </w:pPr>
    </w:p>
    <w:p>
      <w:pPr>
        <w:ind w:left="1700" w:right="559" w:firstLine="739"/>
        <w:spacing w:after="0" w:line="283" w:lineRule="auto"/>
        <w:tabs>
          <w:tab w:leader="none" w:pos="2678" w:val="left"/>
        </w:tabs>
        <w:numPr>
          <w:ilvl w:val="2"/>
          <w:numId w:val="4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rights that accrue or shall accrue to the Company or any member of the Company Group pursuant to this Agreement, the Merger Agreement or any other Transaction Document.</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B-20</w:t>
      </w:r>
    </w:p>
    <w:p>
      <w:pPr>
        <w:sectPr>
          <w:pgSz w:w="11900" w:h="16838" w:orient="portrait"/>
          <w:cols w:equalWidth="0" w:num="1">
            <w:col w:w="10159"/>
          </w:cols>
          <w:pgMar w:left="300" w:top="386" w:right="1440"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2.3 </w:t>
      </w:r>
      <w:r>
        <w:rPr>
          <w:rFonts w:ascii="Times New Roman" w:cs="Times New Roman" w:eastAsia="Times New Roman" w:hAnsi="Times New Roman"/>
          <w:sz w:val="14"/>
          <w:szCs w:val="14"/>
          <w:u w:val="single" w:color="auto"/>
          <w:color w:val="auto"/>
        </w:rPr>
        <w:t>SpinCo Liabilities; Company Liabilities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1360" w:right="259" w:firstLine="767"/>
        <w:spacing w:after="0" w:line="286" w:lineRule="auto"/>
        <w:tabs>
          <w:tab w:leader="none" w:pos="2322"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SpinCo Liabilities. </w:t>
      </w:r>
      <w:r>
        <w:rPr>
          <w:rFonts w:ascii="Times New Roman" w:cs="Times New Roman" w:eastAsia="Times New Roman" w:hAnsi="Times New Roman"/>
          <w:sz w:val="14"/>
          <w:szCs w:val="14"/>
          <w:color w:val="auto"/>
        </w:rPr>
        <w:t>For the purposes of this Agreement, “</w:t>
      </w:r>
      <w:r>
        <w:rPr>
          <w:rFonts w:ascii="Times New Roman" w:cs="Times New Roman" w:eastAsia="Times New Roman" w:hAnsi="Times New Roman"/>
          <w:sz w:val="14"/>
          <w:szCs w:val="14"/>
          <w:b w:val="1"/>
          <w:bCs w:val="1"/>
          <w:color w:val="auto"/>
        </w:rPr>
        <w:t>SpinCo Liabilities</w:t>
      </w:r>
      <w:r>
        <w:rPr>
          <w:rFonts w:ascii="Times New Roman" w:cs="Times New Roman" w:eastAsia="Times New Roman" w:hAnsi="Times New Roman"/>
          <w:sz w:val="14"/>
          <w:szCs w:val="14"/>
          <w:color w:val="auto"/>
        </w:rPr>
        <w:t>” shall mean (without duplication) the following Liabilities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either the Company or SpinCo or any of the members of its Group:</w:t>
      </w:r>
    </w:p>
    <w:p>
      <w:pPr>
        <w:spacing w:after="0" w:line="38" w:lineRule="exact"/>
        <w:rPr>
          <w:rFonts w:ascii="Times New Roman" w:cs="Times New Roman" w:eastAsia="Times New Roman" w:hAnsi="Times New Roman"/>
          <w:sz w:val="14"/>
          <w:szCs w:val="14"/>
          <w:color w:val="auto"/>
        </w:rPr>
      </w:pPr>
    </w:p>
    <w:p>
      <w:pPr>
        <w:ind w:left="1700" w:right="479" w:firstLine="739"/>
        <w:spacing w:after="0" w:line="283" w:lineRule="auto"/>
        <w:tabs>
          <w:tab w:leader="none" w:pos="2608"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including any Environmental Liabilities, to the extent relating to, arising out of or resulting from (x) the SpinCo Business or (y) any SpinCo Asset;</w:t>
      </w:r>
    </w:p>
    <w:p>
      <w:pPr>
        <w:spacing w:after="0" w:line="40" w:lineRule="exact"/>
        <w:rPr>
          <w:rFonts w:ascii="Times New Roman" w:cs="Times New Roman" w:eastAsia="Times New Roman" w:hAnsi="Times New Roman"/>
          <w:sz w:val="14"/>
          <w:szCs w:val="14"/>
          <w:color w:val="auto"/>
        </w:rPr>
      </w:pPr>
    </w:p>
    <w:p>
      <w:pPr>
        <w:ind w:left="1700" w:right="239" w:firstLine="739"/>
        <w:spacing w:after="0" w:line="261" w:lineRule="auto"/>
        <w:tabs>
          <w:tab w:leader="none" w:pos="2647"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of either the Company or SpinCo or any of the members of its Group to the extent expressly provided by this Agreement, the Merger Agreement or any other Transaction Document (or the Schedules hereto or thereto) as Liabilities to be assumed by SpinCo or any other member of the SpinCo Group, and all agreements, obligations and Liabilities of any member of the SpinCo Group under this Agreement, the Merger Agreement or any other Transaction Document;</w:t>
      </w:r>
    </w:p>
    <w:p>
      <w:pPr>
        <w:spacing w:after="0" w:line="56" w:lineRule="exact"/>
        <w:rPr>
          <w:rFonts w:ascii="Times New Roman" w:cs="Times New Roman" w:eastAsia="Times New Roman" w:hAnsi="Times New Roman"/>
          <w:sz w:val="14"/>
          <w:szCs w:val="14"/>
          <w:color w:val="auto"/>
        </w:rPr>
      </w:pPr>
    </w:p>
    <w:p>
      <w:pPr>
        <w:ind w:left="1700" w:right="719" w:firstLine="739"/>
        <w:spacing w:after="0" w:line="283" w:lineRule="auto"/>
        <w:tabs>
          <w:tab w:leader="none" w:pos="2686"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relating to, arising out of or resulting from (and only such portion relating to, arising out of or resulting from) the SpinCo Contracts, the SpinCo Intellectual Property, the SpinCo Information Technology or the SpinCo Permits;</w:t>
      </w:r>
    </w:p>
    <w:p>
      <w:pPr>
        <w:spacing w:after="0" w:line="40" w:lineRule="exact"/>
        <w:rPr>
          <w:rFonts w:ascii="Times New Roman" w:cs="Times New Roman" w:eastAsia="Times New Roman" w:hAnsi="Times New Roman"/>
          <w:sz w:val="14"/>
          <w:szCs w:val="14"/>
          <w:color w:val="auto"/>
        </w:rPr>
      </w:pPr>
    </w:p>
    <w:p>
      <w:pPr>
        <w:ind w:left="2680" w:hanging="241"/>
        <w:spacing w:after="0"/>
        <w:tabs>
          <w:tab w:leader="none" w:pos="268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relating to, arising out of or resulting from the SpinCo Financing;</w:t>
      </w:r>
    </w:p>
    <w:p>
      <w:pPr>
        <w:spacing w:after="0" w:line="91" w:lineRule="exact"/>
        <w:rPr>
          <w:rFonts w:ascii="Times New Roman" w:cs="Times New Roman" w:eastAsia="Times New Roman" w:hAnsi="Times New Roman"/>
          <w:sz w:val="14"/>
          <w:szCs w:val="14"/>
          <w:color w:val="auto"/>
        </w:rPr>
      </w:pPr>
    </w:p>
    <w:p>
      <w:pPr>
        <w:ind w:left="2640" w:hanging="201"/>
        <w:spacing w:after="0"/>
        <w:tabs>
          <w:tab w:leader="none" w:pos="264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relating to, arising out of or resulting from any financing or refinancing in connection with the</w:t>
      </w:r>
    </w:p>
    <w:p>
      <w:pPr>
        <w:spacing w:after="0" w:line="21"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w:t>
      </w:r>
    </w:p>
    <w:p>
      <w:pPr>
        <w:spacing w:after="0" w:line="76" w:lineRule="exact"/>
        <w:rPr>
          <w:rFonts w:ascii="Times New Roman" w:cs="Times New Roman" w:eastAsia="Times New Roman" w:hAnsi="Times New Roman"/>
          <w:sz w:val="14"/>
          <w:szCs w:val="14"/>
          <w:color w:val="auto"/>
        </w:rPr>
      </w:pPr>
    </w:p>
    <w:p>
      <w:pPr>
        <w:ind w:left="1700" w:right="319" w:firstLine="739"/>
        <w:spacing w:after="0" w:line="267" w:lineRule="auto"/>
        <w:tabs>
          <w:tab w:leader="none" w:pos="2678"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(including under applicable federal and state securities Laws) relating to, arising out of or resulting from information regarding SpinCo, Gold or their respective businesses and operations contained in any of the Disclosure Documents, other than information relating to the Company or the Company Business, whenever arising;</w:t>
      </w:r>
    </w:p>
    <w:p>
      <w:pPr>
        <w:spacing w:after="0" w:line="51" w:lineRule="exact"/>
        <w:rPr>
          <w:rFonts w:ascii="Times New Roman" w:cs="Times New Roman" w:eastAsia="Times New Roman" w:hAnsi="Times New Roman"/>
          <w:sz w:val="14"/>
          <w:szCs w:val="14"/>
          <w:color w:val="auto"/>
        </w:rPr>
      </w:pPr>
    </w:p>
    <w:p>
      <w:pPr>
        <w:ind w:left="2720" w:hanging="281"/>
        <w:spacing w:after="0"/>
        <w:tabs>
          <w:tab w:leader="none" w:pos="272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expressly included in the Final Net Working Capital;</w:t>
      </w:r>
    </w:p>
    <w:p>
      <w:pPr>
        <w:spacing w:after="0" w:line="91" w:lineRule="exact"/>
        <w:rPr>
          <w:rFonts w:ascii="Times New Roman" w:cs="Times New Roman" w:eastAsia="Times New Roman" w:hAnsi="Times New Roman"/>
          <w:sz w:val="14"/>
          <w:szCs w:val="14"/>
          <w:color w:val="auto"/>
        </w:rPr>
      </w:pPr>
    </w:p>
    <w:p>
      <w:pPr>
        <w:ind w:left="2760" w:hanging="321"/>
        <w:spacing w:after="0"/>
        <w:tabs>
          <w:tab w:leader="none" w:pos="276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SpinCo Designated Transaction Expenses, to the extent not included in the calculation of the Final Cash Transfer Amount;</w:t>
      </w:r>
    </w:p>
    <w:p>
      <w:pPr>
        <w:spacing w:after="0" w:line="91" w:lineRule="exact"/>
        <w:rPr>
          <w:rFonts w:ascii="Times New Roman" w:cs="Times New Roman" w:eastAsia="Times New Roman" w:hAnsi="Times New Roman"/>
          <w:sz w:val="14"/>
          <w:szCs w:val="14"/>
          <w:color w:val="auto"/>
        </w:rPr>
      </w:pPr>
    </w:p>
    <w:p>
      <w:pPr>
        <w:ind w:left="1700" w:right="279" w:firstLine="739"/>
        <w:spacing w:after="0" w:line="267" w:lineRule="auto"/>
        <w:tabs>
          <w:tab w:leader="none" w:pos="2678"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arising out of claims made by any Third Party (including the Company’s or SpinCo’s respective directors, officers, stockholders, employees and agents) against any member of the Company Group or the SpinCo Group to the extent relating to, arising out of or resulting from (x) the SpinCo Business or (y) any SpinCo Asset; and</w:t>
      </w:r>
    </w:p>
    <w:p>
      <w:pPr>
        <w:spacing w:after="0" w:line="51" w:lineRule="exact"/>
        <w:rPr>
          <w:rFonts w:ascii="Times New Roman" w:cs="Times New Roman" w:eastAsia="Times New Roman" w:hAnsi="Times New Roman"/>
          <w:sz w:val="14"/>
          <w:szCs w:val="14"/>
          <w:color w:val="auto"/>
        </w:rPr>
      </w:pPr>
    </w:p>
    <w:p>
      <w:pPr>
        <w:jc w:val="both"/>
        <w:ind w:left="1700" w:right="379" w:firstLine="739"/>
        <w:spacing w:after="0" w:line="267" w:lineRule="auto"/>
        <w:tabs>
          <w:tab w:leader="none" w:pos="2639"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Sections 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2.9</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2.10</w:t>
      </w:r>
      <w:r>
        <w:rPr>
          <w:rFonts w:ascii="Times New Roman" w:cs="Times New Roman" w:eastAsia="Times New Roman" w:hAnsi="Times New Roman"/>
          <w:sz w:val="14"/>
          <w:szCs w:val="14"/>
          <w:color w:val="auto"/>
        </w:rPr>
        <w:t>, all Liabilities to the extent relating to, arising out of or resulting from the operation of the SpinCo Business at any time after the Distribution Time (including any Liability to the extent relating to, arising out of or resulting from any act or failure to act by any Person, whether or not such act or failure to act is within such Person’s authority, with respect to such business);</w:t>
      </w:r>
    </w:p>
    <w:p>
      <w:pPr>
        <w:spacing w:after="0" w:line="51" w:lineRule="exact"/>
        <w:rPr>
          <w:rFonts w:ascii="Times New Roman" w:cs="Times New Roman" w:eastAsia="Times New Roman" w:hAnsi="Times New Roman"/>
          <w:sz w:val="14"/>
          <w:szCs w:val="14"/>
          <w:color w:val="auto"/>
        </w:rPr>
      </w:pPr>
    </w:p>
    <w:p>
      <w:pPr>
        <w:ind w:left="2680" w:hanging="241"/>
        <w:spacing w:after="0"/>
        <w:tabs>
          <w:tab w:leader="none" w:pos="268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related to the SpinCo portion of any Shared Contract; and</w:t>
      </w:r>
    </w:p>
    <w:p>
      <w:pPr>
        <w:spacing w:after="0" w:line="91" w:lineRule="exact"/>
        <w:rPr>
          <w:rFonts w:ascii="Times New Roman" w:cs="Times New Roman" w:eastAsia="Times New Roman" w:hAnsi="Times New Roman"/>
          <w:sz w:val="14"/>
          <w:szCs w:val="14"/>
          <w:color w:val="auto"/>
        </w:rPr>
      </w:pPr>
    </w:p>
    <w:p>
      <w:pPr>
        <w:ind w:left="2720" w:hanging="281"/>
        <w:spacing w:after="0"/>
        <w:tabs>
          <w:tab w:leader="none" w:pos="2720"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Liabilities to the extent set forth on </w:t>
      </w:r>
      <w:r>
        <w:rPr>
          <w:rFonts w:ascii="Times New Roman" w:cs="Times New Roman" w:eastAsia="Times New Roman" w:hAnsi="Times New Roman"/>
          <w:sz w:val="14"/>
          <w:szCs w:val="14"/>
          <w:u w:val="single" w:color="auto"/>
          <w:color w:val="auto"/>
        </w:rPr>
        <w:t>Schedule 2.3(a)(xii)</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1360" w:right="579" w:firstLine="767"/>
        <w:spacing w:after="0" w:line="286" w:lineRule="auto"/>
        <w:tabs>
          <w:tab w:leader="none" w:pos="2330" w:val="left"/>
        </w:tabs>
        <w:numPr>
          <w:ilvl w:val="0"/>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Company Liabilities. </w:t>
      </w:r>
      <w:r>
        <w:rPr>
          <w:rFonts w:ascii="Times New Roman" w:cs="Times New Roman" w:eastAsia="Times New Roman" w:hAnsi="Times New Roman"/>
          <w:sz w:val="14"/>
          <w:szCs w:val="14"/>
          <w:color w:val="auto"/>
        </w:rPr>
        <w:t>For the purposes of this Agreement, “</w:t>
      </w:r>
      <w:r>
        <w:rPr>
          <w:rFonts w:ascii="Times New Roman" w:cs="Times New Roman" w:eastAsia="Times New Roman" w:hAnsi="Times New Roman"/>
          <w:sz w:val="14"/>
          <w:szCs w:val="14"/>
          <w:b w:val="1"/>
          <w:bCs w:val="1"/>
          <w:color w:val="auto"/>
        </w:rPr>
        <w:t>Company Liabilities</w:t>
      </w:r>
      <w:r>
        <w:rPr>
          <w:rFonts w:ascii="Times New Roman" w:cs="Times New Roman" w:eastAsia="Times New Roman" w:hAnsi="Times New Roman"/>
          <w:sz w:val="14"/>
          <w:szCs w:val="14"/>
          <w:color w:val="auto"/>
        </w:rPr>
        <w:t>” shall mean (without duplication) the following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Liabilities of either the Company or SpinCo or any of the members of its Group:</w:t>
      </w:r>
    </w:p>
    <w:p>
      <w:pPr>
        <w:spacing w:after="0" w:line="38" w:lineRule="exact"/>
        <w:rPr>
          <w:rFonts w:ascii="Times New Roman" w:cs="Times New Roman" w:eastAsia="Times New Roman" w:hAnsi="Times New Roman"/>
          <w:sz w:val="14"/>
          <w:szCs w:val="14"/>
          <w:color w:val="auto"/>
        </w:rPr>
      </w:pPr>
    </w:p>
    <w:p>
      <w:pPr>
        <w:ind w:left="1700" w:right="459" w:firstLine="739"/>
        <w:spacing w:after="0" w:line="283" w:lineRule="auto"/>
        <w:tabs>
          <w:tab w:leader="none" w:pos="2608"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of either the Company or SpinCo or the members of their respective Groups, in each case, to the extent that such Liabilities are not SpinCo Liabilities;</w:t>
      </w:r>
    </w:p>
    <w:p>
      <w:pPr>
        <w:spacing w:after="0" w:line="40" w:lineRule="exact"/>
        <w:rPr>
          <w:rFonts w:ascii="Times New Roman" w:cs="Times New Roman" w:eastAsia="Times New Roman" w:hAnsi="Times New Roman"/>
          <w:sz w:val="14"/>
          <w:szCs w:val="14"/>
          <w:color w:val="auto"/>
        </w:rPr>
      </w:pPr>
    </w:p>
    <w:p>
      <w:pPr>
        <w:ind w:left="1700" w:right="279" w:firstLine="739"/>
        <w:spacing w:after="0" w:line="261" w:lineRule="auto"/>
        <w:tabs>
          <w:tab w:leader="none" w:pos="2647" w:val="left"/>
        </w:tabs>
        <w:numPr>
          <w:ilvl w:val="1"/>
          <w:numId w:val="4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arising out of claims made by any Third Party (including the Company’s or SpinCo’s respective directors, officers, stockholders, employees and agents) against any member of the Company Group or the SpinCo Group to the extent relating to, arising out of or resulting from (x) the Company Business (including any terminated, divested or discontinued business, operations and activities of the Company Business) or (y) the Company Assets;</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B-21</w:t>
      </w:r>
    </w:p>
    <w:p>
      <w:pPr>
        <w:sectPr>
          <w:pgSz w:w="11900" w:h="16838" w:orient="portrait"/>
          <w:cols w:equalWidth="0" w:num="1">
            <w:col w:w="10159"/>
          </w:cols>
          <w:pgMar w:left="300" w:top="385" w:right="1440"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19" w:firstLine="739"/>
        <w:spacing w:after="0" w:line="261" w:lineRule="auto"/>
        <w:tabs>
          <w:tab w:leader="none" w:pos="2686" w:val="left"/>
        </w:tabs>
        <w:numPr>
          <w:ilvl w:val="1"/>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Sections 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2.9</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2.10</w:t>
      </w:r>
      <w:r>
        <w:rPr>
          <w:rFonts w:ascii="Times New Roman" w:cs="Times New Roman" w:eastAsia="Times New Roman" w:hAnsi="Times New Roman"/>
          <w:sz w:val="14"/>
          <w:szCs w:val="14"/>
          <w:color w:val="auto"/>
        </w:rPr>
        <w:t>, all Liabilities to the extent relating to, arising out of or resulting from the operation of any business conducted by or on behalf of any member of the Company Group at any time after the Distribution Time (including any Liability relating to, arising out of or resulting from any act or failure to act by any Person, whether or not such act or failure to act is within such Person’s authority, with respect to such business);</w:t>
      </w:r>
    </w:p>
    <w:p>
      <w:pPr>
        <w:spacing w:after="0" w:line="56" w:lineRule="exact"/>
        <w:rPr>
          <w:rFonts w:ascii="Times New Roman" w:cs="Times New Roman" w:eastAsia="Times New Roman" w:hAnsi="Times New Roman"/>
          <w:sz w:val="14"/>
          <w:szCs w:val="14"/>
          <w:color w:val="auto"/>
        </w:rPr>
      </w:pPr>
    </w:p>
    <w:p>
      <w:pPr>
        <w:ind w:left="2680" w:hanging="241"/>
        <w:spacing w:after="0"/>
        <w:tabs>
          <w:tab w:leader="none" w:pos="2680" w:val="left"/>
        </w:tabs>
        <w:numPr>
          <w:ilvl w:val="1"/>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Liabilities to the extent related to the Company portion of any Shared Contract; and</w:t>
      </w:r>
    </w:p>
    <w:p>
      <w:pPr>
        <w:spacing w:after="0" w:line="91" w:lineRule="exact"/>
        <w:rPr>
          <w:rFonts w:ascii="Times New Roman" w:cs="Times New Roman" w:eastAsia="Times New Roman" w:hAnsi="Times New Roman"/>
          <w:sz w:val="14"/>
          <w:szCs w:val="14"/>
          <w:color w:val="auto"/>
        </w:rPr>
      </w:pPr>
    </w:p>
    <w:p>
      <w:pPr>
        <w:ind w:left="2640" w:hanging="201"/>
        <w:spacing w:after="0"/>
        <w:tabs>
          <w:tab w:leader="none" w:pos="2640" w:val="left"/>
        </w:tabs>
        <w:numPr>
          <w:ilvl w:val="1"/>
          <w:numId w:val="4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Liabilities to the extent set forth on </w:t>
      </w:r>
      <w:r>
        <w:rPr>
          <w:rFonts w:ascii="Times New Roman" w:cs="Times New Roman" w:eastAsia="Times New Roman" w:hAnsi="Times New Roman"/>
          <w:sz w:val="14"/>
          <w:szCs w:val="14"/>
          <w:u w:val="single" w:color="auto"/>
          <w:color w:val="auto"/>
        </w:rPr>
        <w:t>Schedule 2.3(b)(v)</w:t>
      </w:r>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auto"/>
        </w:rPr>
      </w:pPr>
    </w:p>
    <w:p>
      <w:pPr>
        <w:ind w:left="1360" w:right="259" w:firstLine="767"/>
        <w:spacing w:after="0" w:line="255" w:lineRule="auto"/>
        <w:tabs>
          <w:tab w:leader="none" w:pos="2322" w:val="left"/>
        </w:tabs>
        <w:numPr>
          <w:ilvl w:val="0"/>
          <w:numId w:val="4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Transaction Documents. </w:t>
      </w:r>
      <w:r>
        <w:rPr>
          <w:rFonts w:ascii="Times New Roman" w:cs="Times New Roman" w:eastAsia="Times New Roman" w:hAnsi="Times New Roman"/>
          <w:sz w:val="14"/>
          <w:szCs w:val="14"/>
          <w:color w:val="auto"/>
        </w:rPr>
        <w:t>Notwithstanding the foregoing or anything to the contrary herein, to the extent that the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of the Employee Matters Agreement, the Tax Matters Agreement, the Technical Services Agreement, the Trademark Matters Agreement or the Intellectual Property Matters Agreement conflict with the provisions of this Agreement, the provisions of such other agreement or agreements shall govern with respect to the subject matter addressed thereby. For purposes of this Agreement, all Assets and Liabilities allocated to SpinCo pursuant to the Employee Matters Agreement, the Tax Matters Agreement, the Trademark Matters Agreement or the Intellectual Property Matters Agreement shall be considered SpinCo Assets or SpinCo Liabilities, respectively, and all Assets and Liabilities allocated to the Company pursuant to the Employee Matters Agreement, the Tax Matters Agreement, the Trademark Matters Agreement and the Intellectual Property Matters Agreement shall be considered Company Assets or Company Liabilities, respectively.</w:t>
      </w:r>
    </w:p>
    <w:p>
      <w:pPr>
        <w:spacing w:after="0" w:line="1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2.4 </w:t>
      </w:r>
      <w:r>
        <w:rPr>
          <w:rFonts w:ascii="Times New Roman" w:cs="Times New Roman" w:eastAsia="Times New Roman" w:hAnsi="Times New Roman"/>
          <w:sz w:val="14"/>
          <w:szCs w:val="14"/>
          <w:u w:val="single" w:color="auto"/>
          <w:color w:val="auto"/>
        </w:rPr>
        <w:t>Approvals and Notifications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1360" w:right="259" w:firstLine="767"/>
        <w:spacing w:after="0" w:line="252" w:lineRule="auto"/>
        <w:tabs>
          <w:tab w:leader="none" w:pos="2322" w:val="left"/>
        </w:tabs>
        <w:numPr>
          <w:ilvl w:val="0"/>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Approvals and Notifications for SpinCo Assets and Liabilities. </w:t>
      </w:r>
      <w:r>
        <w:rPr>
          <w:rFonts w:ascii="Times New Roman" w:cs="Times New Roman" w:eastAsia="Times New Roman" w:hAnsi="Times New Roman"/>
          <w:sz w:val="14"/>
          <w:szCs w:val="14"/>
          <w:color w:val="auto"/>
        </w:rPr>
        <w:t>To the extent that the transfer or assignment (or in the case of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Permit, reissuance or replacement) of any SpinCo Asset, the assumption of any SpinCo Liability, the Reorganization, the Distribution or the Merger or any other transaction contemplated by the Transaction Documents requires any Approvals or Notifications, prior to the Distribution Date (x) the Parties shall use their commercially reasonable efforts to timely obtain or make such Approvals or Notifications in accordance with applicable regulatory requirements and timelines and (y) each Party shall use its commercially reasonable efforts to obtain, or to cause to be obtained, as soon as reasonably practicable, any Approvals or Notifications to assign (or, to the extent reasonably requested to do so by the Company or Gold, novate) all obligations under SpinCo Contracts or SpinCo Transferred Leased Property Leases and other obligations or Liabilities for which one or more members of the SpinCo Group are liable and that do not constitute SpinCo Liabilities or for which one or more members of the Company Group are liable and that do not constitute Company Liabilities, so that, in any such case, the members of the applicable Group will be solely responsible for the applicable Liabilities;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to the extent expressly provided in this Agreement, the Merger Agreement or any of the other Transaction Documents, no Party shall be obligated to (and, to the extent the following actions primarily relate to a member of the SpinCo Group, a SpinCo Asset or a SpinCo Liability, neither the Company nor any member of the Company Group nor, prior to the Distribution Time, SpinCo nor any member of the SpinCo Group shall, without the prior written consent of Gold (which shall not be unreasonably withheld, conditioned or delayed)) (i) amend or modify any Contract in a manner adverse in any material respect to the Company Group or the SpinCo Group, in each case, taken as a whole, (ii) materially modify, relinquish, forbear or narrow any material right, (iii) contribute capital or pay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consideration in any form (including providing any letter of credit, guaranty or other financial accommodation) to any Person in order to obtain or make such Approvals or Notifications (other than any payment, out-of-pocket expenses or concession that is expressly contemplated to be paid or otherwise shared by a Party in accordance with the express provisions of </w:t>
      </w:r>
      <w:r>
        <w:rPr>
          <w:rFonts w:ascii="Times New Roman" w:cs="Times New Roman" w:eastAsia="Times New Roman" w:hAnsi="Times New Roman"/>
          <w:sz w:val="14"/>
          <w:szCs w:val="14"/>
          <w:u w:val="single" w:color="auto"/>
          <w:color w:val="auto"/>
        </w:rPr>
        <w:t>Section 7.3(d)</w:t>
      </w:r>
      <w:r>
        <w:rPr>
          <w:rFonts w:ascii="Times New Roman" w:cs="Times New Roman" w:eastAsia="Times New Roman" w:hAnsi="Times New Roman"/>
          <w:sz w:val="14"/>
          <w:szCs w:val="14"/>
          <w:color w:val="auto"/>
        </w:rPr>
        <w:t xml:space="preserve"> of this Agreement or the express provisions of the other Transaction Documents), or (iv) commence any Action, in each case, in connection with the actions required by the foregoing clauses (x) and (y).</w:t>
      </w:r>
    </w:p>
    <w:p>
      <w:pPr>
        <w:spacing w:after="0" w:line="152" w:lineRule="exact"/>
        <w:rPr>
          <w:rFonts w:ascii="Times New Roman" w:cs="Times New Roman" w:eastAsia="Times New Roman" w:hAnsi="Times New Roman"/>
          <w:sz w:val="14"/>
          <w:szCs w:val="14"/>
          <w:color w:val="auto"/>
        </w:rPr>
      </w:pPr>
    </w:p>
    <w:p>
      <w:pPr>
        <w:ind w:left="1360" w:right="459" w:firstLine="767"/>
        <w:spacing w:after="0" w:line="286" w:lineRule="auto"/>
        <w:tabs>
          <w:tab w:leader="none" w:pos="2330" w:val="left"/>
        </w:tabs>
        <w:numPr>
          <w:ilvl w:val="0"/>
          <w:numId w:val="4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Delayed SpinCo Transfers. </w:t>
      </w:r>
      <w:r>
        <w:rPr>
          <w:rFonts w:ascii="Times New Roman" w:cs="Times New Roman" w:eastAsia="Times New Roman" w:hAnsi="Times New Roman"/>
          <w:sz w:val="14"/>
          <w:szCs w:val="14"/>
          <w:color w:val="auto"/>
        </w:rPr>
        <w:t>If and to the extent that the valid, complete and perfected transfer or assignment to the SpinCo Group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SpinCo Asset or assumption by the SpinCo Group of any SpinCo</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B-22</w:t>
      </w:r>
    </w:p>
    <w:p>
      <w:pPr>
        <w:sectPr>
          <w:pgSz w:w="11900" w:h="16838" w:orient="portrait"/>
          <w:cols w:equalWidth="0" w:num="1">
            <w:col w:w="10159"/>
          </w:cols>
          <w:pgMar w:left="300" w:top="385" w:right="1440"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Liability in connection with the Reorganization, the Distribution or any other transactions contemplated by the Transaction Documents would be a violation of applicable Law or require any Approval or Notification that has not been obtained or made by the Distribution Time then, unless the Parties shall otherwise mutually determine, the transfer or assignment to the SpinCo Group of such SpinCo Assets or the assumption by the SpinCo Group of such SpinCo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SpinCo Assets or SpinCo Liabilities shall continue to constitute SpinCo Assets and SpinCo Liabilities for all other purposes of this Agreement.</w:t>
      </w:r>
    </w:p>
    <w:p>
      <w:pPr>
        <w:spacing w:after="0" w:line="142" w:lineRule="exact"/>
        <w:rPr>
          <w:sz w:val="20"/>
          <w:szCs w:val="20"/>
          <w:color w:val="auto"/>
        </w:rPr>
      </w:pPr>
    </w:p>
    <w:p>
      <w:pPr>
        <w:ind w:left="1360" w:right="239" w:firstLine="767"/>
        <w:spacing w:after="0" w:line="256" w:lineRule="auto"/>
        <w:tabs>
          <w:tab w:leader="none" w:pos="2322" w:val="left"/>
        </w:tabs>
        <w:numPr>
          <w:ilvl w:val="1"/>
          <w:numId w:val="4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Treatment of Delayed SpinCo Assets and Delayed SpinCo Liabilities. </w:t>
      </w:r>
      <w:r>
        <w:rPr>
          <w:rFonts w:ascii="Times New Roman" w:cs="Times New Roman" w:eastAsia="Times New Roman" w:hAnsi="Times New Roman"/>
          <w:sz w:val="14"/>
          <w:szCs w:val="14"/>
          <w:color w:val="auto"/>
        </w:rPr>
        <w:t>If any transfer or assignment of any SpinCo Asset (or a portion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thereof) or any assumption of any SpinCo Liability (or a portion thereof) intended to be transferred, assigned or assumed hereunder, as the case may be, is not consummated on or prior to the Distribution Time, whether as a result of the provisions of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or for any other reason (any such SpinCo Asset (or a portion thereof), a “</w:t>
      </w:r>
      <w:r>
        <w:rPr>
          <w:rFonts w:ascii="Times New Roman" w:cs="Times New Roman" w:eastAsia="Times New Roman" w:hAnsi="Times New Roman"/>
          <w:sz w:val="14"/>
          <w:szCs w:val="14"/>
          <w:b w:val="1"/>
          <w:bCs w:val="1"/>
          <w:color w:val="auto"/>
        </w:rPr>
        <w:t>Delayed SpinCo Asset</w:t>
      </w:r>
      <w:r>
        <w:rPr>
          <w:rFonts w:ascii="Times New Roman" w:cs="Times New Roman" w:eastAsia="Times New Roman" w:hAnsi="Times New Roman"/>
          <w:sz w:val="14"/>
          <w:szCs w:val="14"/>
          <w:color w:val="auto"/>
        </w:rPr>
        <w:t>” and any such SpinCo Liability (or a portion thereof), a “</w:t>
      </w:r>
      <w:r>
        <w:rPr>
          <w:rFonts w:ascii="Times New Roman" w:cs="Times New Roman" w:eastAsia="Times New Roman" w:hAnsi="Times New Roman"/>
          <w:sz w:val="14"/>
          <w:szCs w:val="14"/>
          <w:b w:val="1"/>
          <w:bCs w:val="1"/>
          <w:color w:val="auto"/>
        </w:rPr>
        <w:t>Delayed SpinCo Liability</w:t>
      </w:r>
      <w:r>
        <w:rPr>
          <w:rFonts w:ascii="Times New Roman" w:cs="Times New Roman" w:eastAsia="Times New Roman" w:hAnsi="Times New Roman"/>
          <w:sz w:val="14"/>
          <w:szCs w:val="14"/>
          <w:color w:val="auto"/>
        </w:rPr>
        <w:t>”), then,</w:t>
      </w:r>
    </w:p>
    <w:p>
      <w:pPr>
        <w:spacing w:after="0" w:line="2" w:lineRule="exact"/>
        <w:rPr>
          <w:rFonts w:ascii="Times New Roman" w:cs="Times New Roman" w:eastAsia="Times New Roman" w:hAnsi="Times New Roman"/>
          <w:sz w:val="14"/>
          <w:szCs w:val="14"/>
          <w:color w:val="auto"/>
        </w:rPr>
      </w:pPr>
    </w:p>
    <w:p>
      <w:pPr>
        <w:ind w:left="1360" w:right="239" w:hanging="5"/>
        <w:spacing w:after="0" w:line="251" w:lineRule="auto"/>
        <w:tabs>
          <w:tab w:leader="none" w:pos="1558" w:val="left"/>
        </w:tabs>
        <w:numPr>
          <w:ilvl w:val="0"/>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SpinCo shall each continue to use commercially reasonable efforts (subject to the foregoing limitations) to obtain the relevant consents or waivers for the period commencing after the Distribution Date, and ending on the earlier of (x) the date such Delayed SpinCo Asset or Delayed SpinCo Liability is transferred to Gold or SpinCo, (y) eighteen (18) months after the Distribution Date and (z) if the Delayed SpinCo Asset is a Contract, that date of expiry or termination of such Contract in accordance with its terms and (2) insofar as reasonably practicable and subject to applicable Law, the member of the Company Group retaining such Delayed SpinCo Asset or such Delayed SpinCo Liability, as the case may be, shall thereafter hold such Delayed SpinCo Asset or Delayed SpinCo Liability, as the case may be, in trust for the use and benefit of the member of the SpinCo Group entitled thereto (at the expense of the member of the SpinCo Group entitled thereto). In addition, the member of the Company Group retaining such Delayed SpinCo Asset or such Delayed SpinCo Liability shall, insofar as reasonably practicable and to the extent permitted by applicable Law, treat such Delayed SpinCo Asset or Delayed SpinCo Liability in the ordinary course of business in accordance with SpinCo Business past practice and the Parties will take such other actions as they may reasonably agree in good faith (including entering into appropriate documentation formalizing the arrangements and treatment contemplated by this paragraph) in order to place the Parties in a substantially similar position as if such Delayed SpinCo Asset or Delayed SpinCo Liability had been transferred, assigned or assumed as contemplated hereby and so that all the benefits and burdens relating to such Delayed SpinCo Asset or Delayed SpinCo Liability, as the case may be, including use, risk of loss, potential for gain, and dominion, control and command over such Delayed SpinCo Asset or Delayed SpinCo Liability, as the case may be, and all costs and expenses related thereto, shall inure from and after the Distribution Time to the SpinCo Group.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(x) any Delayed SpinCo Asset as an Asset owned by the Party entitled to such Delayed SpinCo Asset, and (y) any Delayed SpinCo Liability as a Liability of the Party intended to be responsible for such Delayed SpinCo Liability, in each case not later than the Distribution Time, and (ii) neither report nor take any Tax position (on a Tax Return or otherwise) inconsistent with such treatment.</w:t>
      </w:r>
    </w:p>
    <w:p>
      <w:pPr>
        <w:spacing w:after="0" w:line="148" w:lineRule="exact"/>
        <w:rPr>
          <w:rFonts w:ascii="Times New Roman" w:cs="Times New Roman" w:eastAsia="Times New Roman" w:hAnsi="Times New Roman"/>
          <w:sz w:val="14"/>
          <w:szCs w:val="14"/>
          <w:color w:val="auto"/>
        </w:rPr>
      </w:pPr>
    </w:p>
    <w:p>
      <w:pPr>
        <w:ind w:left="1360" w:right="279" w:firstLine="767"/>
        <w:spacing w:after="0" w:line="257" w:lineRule="auto"/>
        <w:tabs>
          <w:tab w:leader="none" w:pos="2330" w:val="left"/>
        </w:tabs>
        <w:numPr>
          <w:ilvl w:val="1"/>
          <w:numId w:val="4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Transfer of Delayed SpinCo Assets and Delayed SpinCo Liabilities. </w:t>
      </w:r>
      <w:r>
        <w:rPr>
          <w:rFonts w:ascii="Times New Roman" w:cs="Times New Roman" w:eastAsia="Times New Roman" w:hAnsi="Times New Roman"/>
          <w:sz w:val="14"/>
          <w:szCs w:val="14"/>
          <w:color w:val="auto"/>
        </w:rPr>
        <w:t>If and when the Approvals or Notifications, the absence of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caused the deferral of transfer or assignment of any Delayed SpinCo Asset or the deferral of assumption of any Delayed SpinCo Liability pursuant to </w:t>
      </w:r>
      <w:r>
        <w:rPr>
          <w:rFonts w:ascii="Times New Roman" w:cs="Times New Roman" w:eastAsia="Times New Roman" w:hAnsi="Times New Roman"/>
          <w:sz w:val="14"/>
          <w:szCs w:val="14"/>
          <w:u w:val="single" w:color="auto"/>
          <w:color w:val="auto"/>
        </w:rPr>
        <w:t>Section 2.4(b)</w:t>
      </w:r>
      <w:r>
        <w:rPr>
          <w:rFonts w:ascii="Times New Roman" w:cs="Times New Roman" w:eastAsia="Times New Roman" w:hAnsi="Times New Roman"/>
          <w:sz w:val="14"/>
          <w:szCs w:val="14"/>
          <w:color w:val="auto"/>
        </w:rPr>
        <w:t xml:space="preserve"> are obtained or made, and, if and when any other legal impediments to the transfer or assignment of any Delayed SpinCo Asset or the assumption of any Delayed SpinCo Liability have been removed, the transfer or assignment of the applicable Delayed SpinCo Asset or the assumption of the applicable Delayed SpinCo Liability, as the case may be, shall be effected in accordance with the terms of this Agreement, the Merger Agreement and/or any other applicable Transaction Document.</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B-23</w:t>
      </w:r>
    </w:p>
    <w:p>
      <w:pPr>
        <w:sectPr>
          <w:pgSz w:w="11900" w:h="16838" w:orient="portrait"/>
          <w:cols w:equalWidth="0" w:num="1">
            <w:col w:w="10159"/>
          </w:cols>
          <w:pgMar w:left="300" w:top="386" w:right="1440"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239" w:firstLine="767"/>
        <w:spacing w:after="0" w:line="253" w:lineRule="auto"/>
        <w:tabs>
          <w:tab w:leader="none" w:pos="2322" w:val="left"/>
        </w:tabs>
        <w:numPr>
          <w:ilvl w:val="1"/>
          <w:numId w:val="4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Costs for Delayed SpinCo Assets and Delayed SpinCo Liabilities. </w:t>
      </w:r>
      <w:r>
        <w:rPr>
          <w:rFonts w:ascii="Times New Roman" w:cs="Times New Roman" w:eastAsia="Times New Roman" w:hAnsi="Times New Roman"/>
          <w:sz w:val="14"/>
          <w:szCs w:val="14"/>
          <w:color w:val="auto"/>
        </w:rPr>
        <w:t>Any member of the Company Group retaining a Delayed SpinCo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Asset or Delayed SpinCo Liability due to the deferral of the transfer or assignment of such Delayed SpinCo Asset or the deferral of the assumption of such Delayed SpinCo Liability, as the case may be, shall be promptly reimbursed by SpinCo or the member of the SpinCo Group entitled to the Delayed SpinCo Asset or Delayed SpinCo Liability for any costs and expenses (including reasonable attorneys’ fees and recording or similar fees) incurred in connection with the actions taken by such member of the Company Group pursuant to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 xml:space="preserve"> (other than any costs or expenses that are expressly contemplated to be paid by the Company pursuant to </w:t>
      </w:r>
      <w:r>
        <w:rPr>
          <w:rFonts w:ascii="Times New Roman" w:cs="Times New Roman" w:eastAsia="Times New Roman" w:hAnsi="Times New Roman"/>
          <w:sz w:val="14"/>
          <w:szCs w:val="14"/>
          <w:u w:val="single" w:color="auto"/>
          <w:color w:val="auto"/>
        </w:rPr>
        <w:t>Section 2.4(k)</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SpinCo shall indemnify and hold the Company Group harmless against, and reimburse the Company for, any Liabilities incurred and any other amounts payable by the Company Group with respect to such arrangements or the Delayed SpinCo Asset underlying such arrangements. The Company shall cause the applicable member of the Company Group to promptly pay to SpinCo or another member of the SpinCo Group any refunds or other amounts received by such member of the Company Group (including any refunds or credits of Taxes) in respect of costs, fees, expenses and other payments referred to in the prior sentence;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neither the Company nor any such members of the Company Group shall be required to make any payments to the extent it would place them in a less favorable net after-Tax position than such party would have been in if such payments referenced in the prior sentence were never made. The Company Group shall not knowingly allow the loss or diminution of value of any Delayed SpinCo Asset without first providing the SpinCo Group commercially reasonable notice of such potential loss or diminution in value and affording the SpinCo Group a commercially reasonable opportunity to take action to prevent such loss or diminution in value;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Company Group shall not be required to provide notice to the SpinCo Group in connection with Delayed SpinCo Assets that are Contracts, Permits or rights that expire in accordance with their terms.</w:t>
      </w:r>
    </w:p>
    <w:p>
      <w:pPr>
        <w:spacing w:after="0" w:line="144" w:lineRule="exact"/>
        <w:rPr>
          <w:rFonts w:ascii="Times New Roman" w:cs="Times New Roman" w:eastAsia="Times New Roman" w:hAnsi="Times New Roman"/>
          <w:sz w:val="14"/>
          <w:szCs w:val="14"/>
          <w:color w:val="auto"/>
        </w:rPr>
      </w:pPr>
    </w:p>
    <w:p>
      <w:pPr>
        <w:ind w:left="1360" w:right="239" w:firstLine="767"/>
        <w:spacing w:after="0" w:line="274" w:lineRule="auto"/>
        <w:tabs>
          <w:tab w:leader="none" w:pos="2307" w:val="left"/>
        </w:tabs>
        <w:numPr>
          <w:ilvl w:val="1"/>
          <w:numId w:val="4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Approvals and Notifications for Company Assets. </w:t>
      </w:r>
      <w:r>
        <w:rPr>
          <w:rFonts w:ascii="Times New Roman" w:cs="Times New Roman" w:eastAsia="Times New Roman" w:hAnsi="Times New Roman"/>
          <w:sz w:val="13"/>
          <w:szCs w:val="13"/>
          <w:color w:val="auto"/>
        </w:rPr>
        <w:t>To the extent that the transfer or assignment (or, in the case of any Permit, reissuance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or replacement) of any Company Asset, the assumption of any Company Liability, the Reorganization, the Distribution or the Merger or any other transaction contemplated by the Transaction Documents requires any Approvals or Notifications, prior to the Distribution Date (x) the Parties shall use their commercially reasonable efforts to timely obtain or make such Approvals or Notifications in accordance with applicable regulatory requirements and timelines and (y) each Party shall use its commercially reasonable efforts to obtain, or to cause to be obtained, as soon as reasonably practicable, any Approvals or Notifications to assign (or, to the extent reasonably requested to do so by the Company or Gold, novate) all obligations under Company Contracts and other obligations or Liabilities for which one or more members of the Company Group are liable and that do not constitute Company Liabilities or for which one or more members of the SpinCo Group are liable and that do not constitute SpinCo Liabilities, so that, in any such case, the members of the applicable Group will be solely responsible for the applicable Liabilities;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except to the extent expressly provided in this Agreement, the Merger Agreement or any of the other Transaction Documents, no Party shall be obligated to (and, to the extent the following actions primarily relate to a member of the Company Group, a Company Asset or a Company Liability, neither Gold nor any member of the Gold Group nor, after the Distribution Time, SpinCo nor any member of the SpinCo Group shall), without the prior written consent of the Company (which shall not be unreasonably withheld, conditioned or delayed) (i) amend or modify any Contract in a manner adverse in any material respect to the Company Group or the SpinCo Group, in each case, taken as a whole, (ii) materially modify, relinquish, forbear or narrow any material right,</w:t>
      </w:r>
    </w:p>
    <w:p>
      <w:pPr>
        <w:spacing w:after="0" w:line="152" w:lineRule="exact"/>
        <w:rPr>
          <w:rFonts w:ascii="Times New Roman" w:cs="Times New Roman" w:eastAsia="Times New Roman" w:hAnsi="Times New Roman"/>
          <w:sz w:val="13"/>
          <w:szCs w:val="13"/>
          <w:color w:val="auto"/>
        </w:rPr>
      </w:pPr>
    </w:p>
    <w:p>
      <w:pPr>
        <w:ind w:left="1360" w:right="399" w:hanging="5"/>
        <w:spacing w:after="0" w:line="253" w:lineRule="auto"/>
        <w:tabs>
          <w:tab w:leader="none" w:pos="1605" w:val="left"/>
        </w:tabs>
        <w:numPr>
          <w:ilvl w:val="0"/>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contribute capital or pay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consideration in any form (including providing any letter of credit, guaranty or other financial accommodation) to any Person in order to obtain or make such Approvals or Notifications (other than any payment, out-of-pocket expenses or concession that is expressly contemplated to be paid or otherwise shared by a Party in accordance with the express provisions of </w:t>
      </w:r>
      <w:r>
        <w:rPr>
          <w:rFonts w:ascii="Times New Roman" w:cs="Times New Roman" w:eastAsia="Times New Roman" w:hAnsi="Times New Roman"/>
          <w:sz w:val="14"/>
          <w:szCs w:val="14"/>
          <w:u w:val="single" w:color="auto"/>
          <w:color w:val="auto"/>
        </w:rPr>
        <w:t>Section 7.3(d)</w:t>
      </w:r>
      <w:r>
        <w:rPr>
          <w:rFonts w:ascii="Times New Roman" w:cs="Times New Roman" w:eastAsia="Times New Roman" w:hAnsi="Times New Roman"/>
          <w:sz w:val="14"/>
          <w:szCs w:val="14"/>
          <w:color w:val="auto"/>
        </w:rPr>
        <w:t xml:space="preserve"> of this Agreement or the express provisions of the other Transaction Documents), or (iv) commence any Action, in each case, in connection with the actions required by the foregoing clauses (x) and (y).</w:t>
      </w:r>
    </w:p>
    <w:p>
      <w:pPr>
        <w:spacing w:after="0" w:line="144" w:lineRule="exact"/>
        <w:rPr>
          <w:rFonts w:ascii="Times New Roman" w:cs="Times New Roman" w:eastAsia="Times New Roman" w:hAnsi="Times New Roman"/>
          <w:sz w:val="14"/>
          <w:szCs w:val="14"/>
          <w:color w:val="auto"/>
        </w:rPr>
      </w:pPr>
    </w:p>
    <w:p>
      <w:pPr>
        <w:jc w:val="both"/>
        <w:ind w:left="1360" w:right="339" w:firstLine="767"/>
        <w:spacing w:after="0" w:line="268" w:lineRule="auto"/>
        <w:tabs>
          <w:tab w:leader="none" w:pos="2330" w:val="left"/>
        </w:tabs>
        <w:numPr>
          <w:ilvl w:val="1"/>
          <w:numId w:val="4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Delayed Company Transfers. </w:t>
      </w:r>
      <w:r>
        <w:rPr>
          <w:rFonts w:ascii="Times New Roman" w:cs="Times New Roman" w:eastAsia="Times New Roman" w:hAnsi="Times New Roman"/>
          <w:sz w:val="14"/>
          <w:szCs w:val="14"/>
          <w:color w:val="auto"/>
        </w:rPr>
        <w:t>If and to the extent that the valid, complete and perfected transfer or assignment to the Company Group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any Company Asset or assumption by the Company Group of any Company Liability in connection with the Reorganization, the Distribution or any other transactions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B-24</w:t>
      </w:r>
    </w:p>
    <w:p>
      <w:pPr>
        <w:sectPr>
          <w:pgSz w:w="11900" w:h="16838" w:orient="portrait"/>
          <w:cols w:equalWidth="0" w:num="1">
            <w:col w:w="10159"/>
          </w:cols>
          <w:pgMar w:left="300" w:top="385" w:right="1440"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contemplated by the Transaction Documents would be a violation of applicable Law or require any Approval or Notification that has not been obtained or made by the Distribution Time then, unless the Parties shall otherwise mutually determine, the transfer or assignment to the Company Group of such Company Assets or the assumption by the Company Group of such Company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Company Assets or Company Liabilities shall continue to constitute Company Assets and Company Liabilities for all other purposes of this Agreement.</w:t>
      </w:r>
    </w:p>
    <w:p>
      <w:pPr>
        <w:spacing w:after="0" w:line="141" w:lineRule="exact"/>
        <w:rPr>
          <w:sz w:val="20"/>
          <w:szCs w:val="20"/>
          <w:color w:val="auto"/>
        </w:rPr>
      </w:pPr>
    </w:p>
    <w:p>
      <w:pPr>
        <w:ind w:left="1360" w:right="219" w:firstLine="767"/>
        <w:spacing w:after="0" w:line="252" w:lineRule="auto"/>
        <w:tabs>
          <w:tab w:leader="none" w:pos="2330"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Treatment of Delayed Company Assets and Delayed Company Liabilities. </w:t>
      </w:r>
      <w:r>
        <w:rPr>
          <w:rFonts w:ascii="Times New Roman" w:cs="Times New Roman" w:eastAsia="Times New Roman" w:hAnsi="Times New Roman"/>
          <w:sz w:val="14"/>
          <w:szCs w:val="14"/>
          <w:color w:val="auto"/>
        </w:rPr>
        <w:t>If any transfer or assignment of any Company Asset (or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portion thereof) or any assumption of any Company Liability (or a portion thereof) intended to be transferred, assigned or assumed hereunder, as the case may be, is not consummated on or prior to the Distribution Time, whether as a result of the provisions of </w:t>
      </w:r>
      <w:r>
        <w:rPr>
          <w:rFonts w:ascii="Times New Roman" w:cs="Times New Roman" w:eastAsia="Times New Roman" w:hAnsi="Times New Roman"/>
          <w:sz w:val="14"/>
          <w:szCs w:val="14"/>
          <w:u w:val="single" w:color="auto"/>
          <w:color w:val="auto"/>
        </w:rPr>
        <w:t>Section 2.4(g)</w:t>
      </w:r>
      <w:r>
        <w:rPr>
          <w:rFonts w:ascii="Times New Roman" w:cs="Times New Roman" w:eastAsia="Times New Roman" w:hAnsi="Times New Roman"/>
          <w:sz w:val="14"/>
          <w:szCs w:val="14"/>
          <w:color w:val="auto"/>
        </w:rPr>
        <w:t xml:space="preserve"> or for any other reason (any such Company Asset (or a portion thereof), a “</w:t>
      </w:r>
      <w:r>
        <w:rPr>
          <w:rFonts w:ascii="Times New Roman" w:cs="Times New Roman" w:eastAsia="Times New Roman" w:hAnsi="Times New Roman"/>
          <w:sz w:val="14"/>
          <w:szCs w:val="14"/>
          <w:b w:val="1"/>
          <w:bCs w:val="1"/>
          <w:color w:val="auto"/>
        </w:rPr>
        <w:t>Delayed Company Asset</w:t>
      </w:r>
      <w:r>
        <w:rPr>
          <w:rFonts w:ascii="Times New Roman" w:cs="Times New Roman" w:eastAsia="Times New Roman" w:hAnsi="Times New Roman"/>
          <w:sz w:val="14"/>
          <w:szCs w:val="14"/>
          <w:color w:val="auto"/>
        </w:rPr>
        <w:t>” and any such Company Liability (or a portion thereof), a “</w:t>
      </w:r>
      <w:r>
        <w:rPr>
          <w:rFonts w:ascii="Times New Roman" w:cs="Times New Roman" w:eastAsia="Times New Roman" w:hAnsi="Times New Roman"/>
          <w:sz w:val="14"/>
          <w:szCs w:val="14"/>
          <w:b w:val="1"/>
          <w:bCs w:val="1"/>
          <w:color w:val="auto"/>
        </w:rPr>
        <w:t>Delayed 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Liability</w:t>
      </w:r>
      <w:r>
        <w:rPr>
          <w:rFonts w:ascii="Times New Roman" w:cs="Times New Roman" w:eastAsia="Times New Roman" w:hAnsi="Times New Roman"/>
          <w:sz w:val="14"/>
          <w:szCs w:val="14"/>
          <w:color w:val="auto"/>
        </w:rPr>
        <w:t>”), then, (1) the Company and SpinCo shall each continue to use commercially reasonable efforts (subject to the foregoing limitations) to obtain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relevant consents or waivers for the period commencing after the Distribution Date, and ending on the earlier of (x) the date such Delayed Company Asset or Delayed Company Liability is transferred to the Company, (y) eighteen (18) months after the Distribution Date and (z) if the Delayed Company Asset is a Contract, that date of expiry or termination of such Contract in accordance with its terms and (2) insofar as reasonably practicable and subject to applicable Law, the member of the SpinCo Group retaining such Delayed Company Asset or such Delayed Company Liability, as the case may be, shall thereafter hold such Delayed Company Asset or Delayed Company Liability, as the case may be, in trust for the use and benefit of the member of the Company Group entitled thereto (at the expense of the member of the Company Group entitled thereto). In addition, the member of the SpinCo Group retaining such Delayed Company Asset or such Delayed Company Liability shall, insofar as reasonably practicable and to the extent permitted by applicable Law, treat such Delayed Company Asset or Delayed Company Liability in the ordinary course of business in accordance with the Company Group past practice and the Parties will take such other actions as they may reasonably agree in good faith (including entering into appropriate documentation formalizing the arrangements and treatment contemplated by this paragraph) in order to place the Parties in a substantially similar position as if such Delayed Company Asset or Delayed Company Liability had been transferred, assigned or assumed as contemplated hereby and so that all the benefits and burdens relating to such Delayed Company Asset or Delayed Company Liability, as the case may be, including use, risk of loss, potential for gain, and dominion, control and command over such Delayed Company Asset or Delayed Company Liability, as the case may be, and all costs and expenses related thereto, shall inure from and after the Distribution Time to the Company Group.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(x) any Delayed Company Asset as an Asset owned by the Party entitled to such Delayed Company Asset, and (y) any Delayed Company Liability as a Liability of the Party intended to be responsible for such Delayed Company Liability, in each case not later than the Distribution Time, and (ii) neither report nor take any Tax position (on a Tax Return or otherwise) inconsistent with such treatment.</w:t>
      </w:r>
    </w:p>
    <w:p>
      <w:pPr>
        <w:spacing w:after="0" w:line="148" w:lineRule="exact"/>
        <w:rPr>
          <w:rFonts w:ascii="Times New Roman" w:cs="Times New Roman" w:eastAsia="Times New Roman" w:hAnsi="Times New Roman"/>
          <w:sz w:val="14"/>
          <w:szCs w:val="14"/>
          <w:color w:val="auto"/>
        </w:rPr>
      </w:pPr>
    </w:p>
    <w:p>
      <w:pPr>
        <w:ind w:left="1360" w:right="279" w:firstLine="767"/>
        <w:spacing w:after="0" w:line="257" w:lineRule="auto"/>
        <w:tabs>
          <w:tab w:leader="none" w:pos="2299" w:val="left"/>
        </w:tabs>
        <w:numPr>
          <w:ilvl w:val="0"/>
          <w:numId w:val="4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Transfer of Delayed Company Assets and Delayed Company Liabilities. </w:t>
      </w:r>
      <w:r>
        <w:rPr>
          <w:rFonts w:ascii="Times New Roman" w:cs="Times New Roman" w:eastAsia="Times New Roman" w:hAnsi="Times New Roman"/>
          <w:sz w:val="14"/>
          <w:szCs w:val="14"/>
          <w:color w:val="auto"/>
        </w:rPr>
        <w:t>If and when the Approvals or Notifications, the absence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which caused the deferral of transfer or assignment of any Delayed Company Asset or the deferral of assumption of any Delayed Company Liability pursuant to </w:t>
      </w:r>
      <w:r>
        <w:rPr>
          <w:rFonts w:ascii="Times New Roman" w:cs="Times New Roman" w:eastAsia="Times New Roman" w:hAnsi="Times New Roman"/>
          <w:sz w:val="14"/>
          <w:szCs w:val="14"/>
          <w:u w:val="single" w:color="auto"/>
          <w:color w:val="auto"/>
        </w:rPr>
        <w:t>Section 2.4(g)</w:t>
      </w:r>
      <w:r>
        <w:rPr>
          <w:rFonts w:ascii="Times New Roman" w:cs="Times New Roman" w:eastAsia="Times New Roman" w:hAnsi="Times New Roman"/>
          <w:sz w:val="14"/>
          <w:szCs w:val="14"/>
          <w:color w:val="auto"/>
        </w:rPr>
        <w:t>, are obtained or made, and, if and when any other legal impediments to the transfer or assignment of any Delayed Company Asset or the assumption of any Delayed Company Liability have been removed, the transfer or assignment of the applicable Delayed Company Asset or the assumption of the applicable Delayed Company Liability, as the case may be, shall be effected in accordance with the terms of this Agreement, the Merger Agreement and/or any other applicable Transaction Document.</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B-25</w:t>
      </w:r>
    </w:p>
    <w:p>
      <w:pPr>
        <w:sectPr>
          <w:pgSz w:w="11900" w:h="16838" w:orient="portrait"/>
          <w:cols w:equalWidth="0" w:num="1">
            <w:col w:w="10159"/>
          </w:cols>
          <w:pgMar w:left="300" w:top="386" w:right="1440"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239" w:firstLine="767"/>
        <w:spacing w:after="0" w:line="253" w:lineRule="auto"/>
        <w:tabs>
          <w:tab w:leader="none" w:pos="2299" w:val="left"/>
        </w:tabs>
        <w:numPr>
          <w:ilvl w:val="0"/>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Costs for Delayed Company Assets and Delayed Company Liabilities. </w:t>
      </w:r>
      <w:r>
        <w:rPr>
          <w:rFonts w:ascii="Times New Roman" w:cs="Times New Roman" w:eastAsia="Times New Roman" w:hAnsi="Times New Roman"/>
          <w:sz w:val="14"/>
          <w:szCs w:val="14"/>
          <w:color w:val="auto"/>
        </w:rPr>
        <w:t>Any member of the SpinCo Group retaining a Delayed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Asset or Delayed Company Liability due to the deferral of the transfer or assignment of such Delayed Company Asset or the deferral of the assumption of such Delayed Company Liability, as the case may be, shall be promptly reimbursed by the Company or the member of the Company Group entitled to the Delayed Company Asset or Delayed Company Liability for any costs and expenses (including reasonable attorneys’ fees and recording or similar fees) incurred in connection with the actions taken by such member of the SpinCo Group pursuant to </w:t>
      </w:r>
      <w:r>
        <w:rPr>
          <w:rFonts w:ascii="Times New Roman" w:cs="Times New Roman" w:eastAsia="Times New Roman" w:hAnsi="Times New Roman"/>
          <w:sz w:val="14"/>
          <w:szCs w:val="14"/>
          <w:u w:val="single" w:color="auto"/>
          <w:color w:val="auto"/>
        </w:rPr>
        <w:t>Section 2.4(h)</w:t>
      </w:r>
      <w:r>
        <w:rPr>
          <w:rFonts w:ascii="Times New Roman" w:cs="Times New Roman" w:eastAsia="Times New Roman" w:hAnsi="Times New Roman"/>
          <w:sz w:val="14"/>
          <w:szCs w:val="14"/>
          <w:color w:val="auto"/>
        </w:rPr>
        <w:t xml:space="preserve"> (other than any costs or expenses that are expressly contemplated to be paid by SpinCo pursuant to </w:t>
      </w:r>
      <w:r>
        <w:rPr>
          <w:rFonts w:ascii="Times New Roman" w:cs="Times New Roman" w:eastAsia="Times New Roman" w:hAnsi="Times New Roman"/>
          <w:sz w:val="14"/>
          <w:szCs w:val="14"/>
          <w:u w:val="single" w:color="auto"/>
          <w:color w:val="auto"/>
        </w:rPr>
        <w:t>Section 2.4(k)</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xml:space="preserve">). The Company shall indemnify and hold the SpinCo Group harmless against, and reimburse SpinCo for, any Liabilities incurred and any other amounts payable by the SpinCo Group with respect to such arrangements or the Delayed Company Asset underlying such arrangements. SpinCo shall cause the applicable member of the SpinCo Group to promptly pay to the Company or another member of the Company Group any refunds or other amounts received by such member of the SpinCo Group (including any refunds or credits of Taxes) in respect of costs, fees, expenses and other payments referred to in the prior sentence;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neither SpinCo nor any such members of the SpinCo Group shall be required to make any payments to the extent it would place them in a less-favorable net after-Tax position than such party would have been in if such payments referenced in the prior sentence were never made. The SpinCo Group shall not knowingly allow the loss or diminution of value of any Delayed Company Asset without first providing the Company Group commercially reasonable notice of such potential loss or diminution in value and affording the Company Group a commercially reasonable opportunity to take action to prevent such loss or diminution in value;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SpinCo Group shall not be required to provide notice to the Company Group in connection with Delayed Company Assets that are contracts, permits or rights that expire in accordance with their terms.</w:t>
      </w:r>
    </w:p>
    <w:p>
      <w:pPr>
        <w:spacing w:after="0" w:line="144" w:lineRule="exact"/>
        <w:rPr>
          <w:rFonts w:ascii="Times New Roman" w:cs="Times New Roman" w:eastAsia="Times New Roman" w:hAnsi="Times New Roman"/>
          <w:sz w:val="14"/>
          <w:szCs w:val="14"/>
          <w:color w:val="auto"/>
        </w:rPr>
      </w:pPr>
    </w:p>
    <w:p>
      <w:pPr>
        <w:ind w:left="1360" w:right="259" w:firstLine="767"/>
        <w:spacing w:after="0" w:line="255" w:lineRule="auto"/>
        <w:tabs>
          <w:tab w:leader="none" w:pos="2330" w:val="left"/>
        </w:tabs>
        <w:numPr>
          <w:ilvl w:val="0"/>
          <w:numId w:val="4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Sharing Costs</w:t>
      </w:r>
      <w:r>
        <w:rPr>
          <w:rFonts w:ascii="Times New Roman" w:cs="Times New Roman" w:eastAsia="Times New Roman" w:hAnsi="Times New Roman"/>
          <w:sz w:val="14"/>
          <w:szCs w:val="14"/>
          <w:color w:val="auto"/>
        </w:rPr>
        <w:t>. If the Parties agree in accordance with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a Party shall directly or indirectly contribute capital or pay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consideration in any form (including providing any letter of credit, guaranty or other financial accommodation) to any Person, the Company shall pay eighty percent (80%) and Gold shall pay twenty percent (20%) of any and all reasonable and documented out-of-pocket costs and expenses (including consent fees) incurred by the Company or any member of the Company Group (and any reasonable and documented out-of-pocket costs and expenses incurred by SpinCo or any member of the SpinCo Group prior to the Distribution Time) in connection with their efforts pursuant to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Gold, the Company and SpinCo shall be obligated to use commercially reasonable efforts to minimize such costs and expenses. Each of the Company and Gold, as applicable, shall cause the applicable members of the Company Group and the SpinCo Group, respectively, to promptly pay to the Company or SpinCo, as applicable, any applicable portion of refunds or other amounts received by a member of the Company Group or the SpinCo Group, as applicable, in respect of costs, fees, expenses and other payments incurred in connection with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u w:val="single" w:color="auto"/>
          <w:color w:val="auto"/>
        </w:rPr>
        <w:t>Novation of Liabilities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320" w:hanging="193"/>
        <w:spacing w:after="0"/>
        <w:tabs>
          <w:tab w:leader="none" w:pos="2320" w:val="left"/>
        </w:tabs>
        <w:numPr>
          <w:ilvl w:val="0"/>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Novation of SpinCo Liabilities</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700" w:right="259" w:firstLine="739"/>
        <w:spacing w:after="0" w:line="254" w:lineRule="auto"/>
        <w:tabs>
          <w:tab w:leader="none" w:pos="2608" w:val="left"/>
        </w:tabs>
        <w:numPr>
          <w:ilvl w:val="1"/>
          <w:numId w:val="4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Company, on the one hand, and SpinCo or Gold, on the other hand, at the request of the other, shall use its commercially reasonable efforts to obtain, or to cause to be obtained, as soon as reasonably practicable, any consent, substitution, approval or amendment required to novate or assign all SpinCo Liabilities and obtain in writing the unconditional release of each member of the Company Group that is a party to any such arrangements, to the extent not prohibited by applicable Law and effective as of the Distribution Time, so that, in any such case, the members of the SpinCo Group shall be solely responsible for such SpinCo Liabilities;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as otherwise expressly provided in this Agreement, the Merger Agreement or any of the other Transaction Documents, no Party shall be obligated to contribute any capital or pay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consideration in any form (including providing any letter of credit, guaranty or other financial accommodation) to any Third Party from whom any such consent, substitution, approval, amendment or release is requested or commence any Action in</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B-26</w:t>
      </w:r>
    </w:p>
    <w:p>
      <w:pPr>
        <w:sectPr>
          <w:pgSz w:w="11900" w:h="16838" w:orient="portrait"/>
          <w:cols w:equalWidth="0" w:num="1">
            <w:col w:w="10159"/>
          </w:cols>
          <w:pgMar w:left="300" w:top="386" w:right="1440"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39"/>
        <w:spacing w:after="0" w:line="254" w:lineRule="auto"/>
        <w:rPr>
          <w:sz w:val="20"/>
          <w:szCs w:val="20"/>
          <w:color w:val="auto"/>
        </w:rPr>
      </w:pPr>
      <w:r>
        <w:rPr>
          <w:rFonts w:ascii="Times New Roman" w:cs="Times New Roman" w:eastAsia="Times New Roman" w:hAnsi="Times New Roman"/>
          <w:sz w:val="14"/>
          <w:szCs w:val="14"/>
          <w:color w:val="auto"/>
        </w:rPr>
        <w:t xml:space="preserve">connection with such Party’s efforts pursuant to this </w:t>
      </w:r>
      <w:r>
        <w:rPr>
          <w:rFonts w:ascii="Times New Roman" w:cs="Times New Roman" w:eastAsia="Times New Roman" w:hAnsi="Times New Roman"/>
          <w:sz w:val="14"/>
          <w:szCs w:val="14"/>
          <w:u w:val="single" w:color="auto"/>
          <w:color w:val="auto"/>
        </w:rPr>
        <w:t>Section 2.5(a)(i)</w:t>
      </w:r>
      <w:r>
        <w:rPr>
          <w:rFonts w:ascii="Times New Roman" w:cs="Times New Roman" w:eastAsia="Times New Roman" w:hAnsi="Times New Roman"/>
          <w:sz w:val="14"/>
          <w:szCs w:val="14"/>
          <w:color w:val="auto"/>
        </w:rPr>
        <w:t xml:space="preserve"> (other than any payment, out-of-pocket expenses or concession that is expressly contemplated to be paid or otherwise shared by a Party in accordance with the express provisions of </w:t>
      </w:r>
      <w:r>
        <w:rPr>
          <w:rFonts w:ascii="Times New Roman" w:cs="Times New Roman" w:eastAsia="Times New Roman" w:hAnsi="Times New Roman"/>
          <w:sz w:val="14"/>
          <w:szCs w:val="14"/>
          <w:u w:val="single" w:color="auto"/>
          <w:color w:val="auto"/>
        </w:rPr>
        <w:t>Section 2.4(k) and Section 7.3(d)</w:t>
      </w:r>
      <w:r>
        <w:rPr>
          <w:rFonts w:ascii="Times New Roman" w:cs="Times New Roman" w:eastAsia="Times New Roman" w:hAnsi="Times New Roman"/>
          <w:sz w:val="14"/>
          <w:szCs w:val="14"/>
          <w:color w:val="auto"/>
        </w:rPr>
        <w:t xml:space="preserve"> of this Agreement or the express provisions of the other Transaction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neither the Company nor, prior to the Closing, SpinCo shall agree to any amendment, modification or other concession, in each case, that adversely affects any member of the SpinCo Group in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respect (other than any impact that is fully reimbursed or borne by the Company), in each case, in connection with obtaining such releases, without the prior written consent of Gold (which shall not be unreasonably withheld, conditioned or delayed). The Company shall be solely responsible for any and all out-of-pocket costs and expenses (including consent fees) incurred by the Company or any member of the Company Group (and any out-of-pocket costs and expenses incurred by SpinCo or any member of the SpinCo Group prior to the Distribution Time) in connection with its efforts pursuant to this </w:t>
      </w:r>
      <w:r>
        <w:rPr>
          <w:rFonts w:ascii="Times New Roman" w:cs="Times New Roman" w:eastAsia="Times New Roman" w:hAnsi="Times New Roman"/>
          <w:sz w:val="14"/>
          <w:szCs w:val="14"/>
          <w:u w:val="single" w:color="auto"/>
          <w:color w:val="auto"/>
        </w:rPr>
        <w:t>Section 2.5(a)(i)</w:t>
      </w:r>
      <w:r>
        <w:rPr>
          <w:rFonts w:ascii="Times New Roman" w:cs="Times New Roman" w:eastAsia="Times New Roman" w:hAnsi="Times New Roman"/>
          <w:sz w:val="14"/>
          <w:szCs w:val="14"/>
          <w:color w:val="auto"/>
        </w:rPr>
        <w:t>.</w:t>
      </w:r>
    </w:p>
    <w:p>
      <w:pPr>
        <w:spacing w:after="0" w:line="64" w:lineRule="exact"/>
        <w:rPr>
          <w:sz w:val="20"/>
          <w:szCs w:val="20"/>
          <w:color w:val="auto"/>
        </w:rPr>
      </w:pPr>
    </w:p>
    <w:p>
      <w:pPr>
        <w:ind w:left="1700" w:right="279" w:firstLine="739"/>
        <w:spacing w:after="0" w:line="253" w:lineRule="auto"/>
        <w:tabs>
          <w:tab w:leader="none" w:pos="2647" w:val="left"/>
        </w:tabs>
        <w:numPr>
          <w:ilvl w:val="1"/>
          <w:numId w:val="4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Party is unable to obtain, or to cause to be obtained, any such required consent, substitution, approval, amendment or release prior to the Distribution Time and the applicable member of the Company Group continues to be bound by such agreement, lease, license or other obligation or Liability as of the Distribution Time (each, an “</w:t>
      </w:r>
      <w:r>
        <w:rPr>
          <w:rFonts w:ascii="Times New Roman" w:cs="Times New Roman" w:eastAsia="Times New Roman" w:hAnsi="Times New Roman"/>
          <w:sz w:val="14"/>
          <w:szCs w:val="14"/>
          <w:b w:val="1"/>
          <w:bCs w:val="1"/>
          <w:color w:val="auto"/>
        </w:rPr>
        <w:t>Unreleased SpinCo Liability</w:t>
      </w:r>
      <w:r>
        <w:rPr>
          <w:rFonts w:ascii="Times New Roman" w:cs="Times New Roman" w:eastAsia="Times New Roman" w:hAnsi="Times New Roman"/>
          <w:sz w:val="14"/>
          <w:szCs w:val="14"/>
          <w:color w:val="auto"/>
        </w:rPr>
        <w:t>”), SpinCo shall, to the extent not prohibited by applicable Law, (A) use its commercially reasonable efforts to effect such consent, substitution, approval, amendment or release as soon as practicable following the Distribution Time for eighteen (18) months following the Distribution Time, and (B) as indemnitor, guarantor, agent or subcontractor for such member of the Company Group, as the case may be, (x) pay, perform and discharge fully all the obligations or other Liabilities of such member of the Company Group that constitute Unreleased SpinCo Liabilities from and after the Distribution Time and (y) use its commercially reasonable efforts to effect such payment, performance or discharge prior to any demand for such payment, performance or discharge is permitted to be made by the obligee thereunder on any member of the Company Group. If and when any such consent, substitution, approval, amendment or release shall be obtained or the Unreleased SpinCo Liabilities shall otherwise become assignable or able to be novated, the Company shall promptly assign, or cause to be assigned, and SpinCo or the applicable SpinCo Group member shall assume, such Unreleased SpinCo Liabilities without exchange of further consideration.</w:t>
      </w:r>
    </w:p>
    <w:p>
      <w:pPr>
        <w:spacing w:after="0" w:line="148"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Novation of Company Liabilities</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700" w:right="239" w:firstLine="739"/>
        <w:spacing w:after="0" w:line="252" w:lineRule="auto"/>
        <w:tabs>
          <w:tab w:leader="none" w:pos="2608" w:val="left"/>
        </w:tabs>
        <w:numPr>
          <w:ilvl w:val="1"/>
          <w:numId w:val="4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Company, on the one hand, and SpinCo or Gold, on the other hand, at the request of the other, shall use its commercially reasonable efforts to obtain, or to cause to be obtained, as soon as reasonably practicable, any consent, substitution, approval or amendment required to novate or assign all Company Liabilities and obtain in writing the unconditional release of each member of the SpinCo Group that is a party to any such arrangements, so that, in any such case, the members of the Company Group shall be solely responsible for such Company Liabilities;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as otherwise expressly provided in this Agreement, the Merger Agreement or any of the other Transaction Documents, no Party shall be obligated to contribute any capital or pay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consideration in any form (including providing any letter of credit, guaranty or other financial accommodation) to any Third Party from whom any such consent, substitution, approval, amendment or release is requested or commence any Action in connection with its efforts pursuant to this </w:t>
      </w:r>
      <w:r>
        <w:rPr>
          <w:rFonts w:ascii="Times New Roman" w:cs="Times New Roman" w:eastAsia="Times New Roman" w:hAnsi="Times New Roman"/>
          <w:sz w:val="14"/>
          <w:szCs w:val="14"/>
          <w:u w:val="single" w:color="auto"/>
          <w:color w:val="auto"/>
        </w:rPr>
        <w:t>Section 2.5(b)(i)</w:t>
      </w:r>
      <w:r>
        <w:rPr>
          <w:rFonts w:ascii="Times New Roman" w:cs="Times New Roman" w:eastAsia="Times New Roman" w:hAnsi="Times New Roman"/>
          <w:sz w:val="14"/>
          <w:szCs w:val="14"/>
          <w:color w:val="auto"/>
        </w:rPr>
        <w:t xml:space="preserve"> (other than any payment, out-of-pocket expenses or concession that is expressly contemplated to be paid or otherwise shared by a Party in accordance with the express provisions of Section 2.4(k) and Section 7.3(d) of this Agreement or the express provisions of the other Transaction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neither Gold nor, following the Closing, SpinCo shall agree to any amendment, modification or other concession, in each case, that adversely affects any member of the Company Group in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respect (other than any impact that is fully reimbursed or borne by Gold), in each case, in connection with obtaining such releases, without the prior written consent of the Company (which shall not be unreasonably withheld, conditioned or delayed);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in no event shall Gold be required to obtain any consent, substitution, approval or amendment required to novate or assign Company Liabilities relating to, arising out of or resulting from indebtedness for borrowed money, whether current, short-term or long-term, secured or</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B-27</w:t>
      </w:r>
    </w:p>
    <w:p>
      <w:pPr>
        <w:sectPr>
          <w:pgSz w:w="11900" w:h="16838" w:orient="portrait"/>
          <w:cols w:equalWidth="0" w:num="1">
            <w:col w:w="10159"/>
          </w:cols>
          <w:pgMar w:left="300" w:top="385" w:right="1440"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700" w:right="459"/>
        <w:spacing w:after="0" w:line="267" w:lineRule="auto"/>
        <w:rPr>
          <w:sz w:val="20"/>
          <w:szCs w:val="20"/>
          <w:color w:val="auto"/>
        </w:rPr>
      </w:pPr>
      <w:r>
        <w:rPr>
          <w:rFonts w:ascii="Times New Roman" w:cs="Times New Roman" w:eastAsia="Times New Roman" w:hAnsi="Times New Roman"/>
          <w:sz w:val="14"/>
          <w:szCs w:val="14"/>
          <w:color w:val="auto"/>
        </w:rPr>
        <w:t xml:space="preserve">unsecured. The Company shall be solely responsible for any and all out-of-pocket costs and expenses (including consent fees) incurred by the Company or any member of the Company Group (and any out-of-pocket costs and expenses incurred by SpinCo or any member of the SpinCo Group prior to the Distribution Time) in connection with its efforts pursuant to this </w:t>
      </w:r>
      <w:r>
        <w:rPr>
          <w:rFonts w:ascii="Times New Roman" w:cs="Times New Roman" w:eastAsia="Times New Roman" w:hAnsi="Times New Roman"/>
          <w:sz w:val="14"/>
          <w:szCs w:val="14"/>
          <w:u w:val="single" w:color="auto"/>
          <w:color w:val="auto"/>
        </w:rPr>
        <w:t>Section 2.5(b)(i)</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1700" w:right="259" w:firstLine="739"/>
        <w:spacing w:after="0" w:line="253" w:lineRule="auto"/>
        <w:tabs>
          <w:tab w:leader="none" w:pos="2647" w:val="left"/>
        </w:tabs>
        <w:numPr>
          <w:ilvl w:val="0"/>
          <w:numId w:val="4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Party is unable to obtain, or to cause to be obtained, any such required consent, substitution, approval, amendment or release prior to the Distribution Time and the applicable member of the SpinCo Group continues to be bound by such agreement, lease, license or other obligation or Liability as of the Distribution Time (each, an “</w:t>
      </w:r>
      <w:r>
        <w:rPr>
          <w:rFonts w:ascii="Times New Roman" w:cs="Times New Roman" w:eastAsia="Times New Roman" w:hAnsi="Times New Roman"/>
          <w:sz w:val="14"/>
          <w:szCs w:val="14"/>
          <w:b w:val="1"/>
          <w:bCs w:val="1"/>
          <w:color w:val="auto"/>
        </w:rPr>
        <w:t>Unreleased Company Liability</w:t>
      </w:r>
      <w:r>
        <w:rPr>
          <w:rFonts w:ascii="Times New Roman" w:cs="Times New Roman" w:eastAsia="Times New Roman" w:hAnsi="Times New Roman"/>
          <w:sz w:val="14"/>
          <w:szCs w:val="14"/>
          <w:color w:val="auto"/>
        </w:rPr>
        <w:t>”), the Company shall, to the extent not prohibited by applicable Law, (A) use its commercially reasonable efforts to effect such consent, substitution, approval, amendment or release as soon as practicable following the Distribution Time for eighteen (18) months following the Distribution Time, and (B) as indemnitor, guarantor, agent or subcontractor for such member of the SpinCo Group, as the case may be, (x) pay, perform and discharge fully all the obligations or other Liabilities of such member of the SpinCo Group that constitute Unreleased Company Liabilities from and after the Distribution Time and (y) use its commercially reasonable efforts to effect such payment, performance or discharge prior to any demand for such payment, performance or discharge is permitted to be made by the obligee thereunder on any member of the SpinCo Group. If and when any such consent, substitution, approval, amendment or release shall be obtained or the Unreleased Company Liabilities shall otherwise become assignable or able to be novated, SpinCo shall promptly assign, or cause to be assigned, and the Company or the applicable Company Group member shall assume, such Unreleased Company Liabilities without exchange of further consideration.</w:t>
      </w:r>
    </w:p>
    <w:p>
      <w:pPr>
        <w:spacing w:after="0" w:line="1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2.6 </w:t>
      </w:r>
      <w:r>
        <w:rPr>
          <w:rFonts w:ascii="Times New Roman" w:cs="Times New Roman" w:eastAsia="Times New Roman" w:hAnsi="Times New Roman"/>
          <w:sz w:val="14"/>
          <w:szCs w:val="14"/>
          <w:u w:val="single" w:color="auto"/>
          <w:color w:val="auto"/>
        </w:rPr>
        <w:t>Release of Support Obligations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320" w:hanging="193"/>
        <w:spacing w:after="0"/>
        <w:tabs>
          <w:tab w:leader="none" w:pos="2320" w:val="left"/>
        </w:tabs>
        <w:numPr>
          <w:ilvl w:val="0"/>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prior to the Distribution Date or as soon as practicable thereafter:</w:t>
      </w:r>
    </w:p>
    <w:p>
      <w:pPr>
        <w:spacing w:after="0" w:line="91" w:lineRule="exact"/>
        <w:rPr>
          <w:rFonts w:ascii="Times New Roman" w:cs="Times New Roman" w:eastAsia="Times New Roman" w:hAnsi="Times New Roman"/>
          <w:sz w:val="14"/>
          <w:szCs w:val="14"/>
          <w:color w:val="auto"/>
        </w:rPr>
      </w:pPr>
    </w:p>
    <w:p>
      <w:pPr>
        <w:ind w:left="1700" w:right="219" w:firstLine="739"/>
        <w:spacing w:after="0" w:line="253" w:lineRule="auto"/>
        <w:tabs>
          <w:tab w:leader="none" w:pos="2608" w:val="left"/>
        </w:tabs>
        <w:numPr>
          <w:ilvl w:val="1"/>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Gold, SpinCo and the Company shall, and shall cause its respective Subsidiaries to, cooperate regarding, and Gold shall use commercially reasonable efforts to obtain from the respective beneficiary, in form and substance reasonably satisfactory to the Company, valid and binding written unconditional releases of the Company and any other member of the Company Group, as applicable, from any SpinCo Liability, whether arising before, on or after the Closing Date, under any Company Support Obligation in effect immediately prior to the Distribution Time, which release shall be effective as of the Distribution Time, including by providing, as reasonably agreed by the Parties, substitute guarantees, furnishing letters of credit, instituting escrow arrangements, posting surety or performance bonds or making other arrangements as the counterparty or the Company if the applicable counterparty is a member of the Company Group may reasonably request, that materially correspond in form and substance to the relevant Company Support Obligation and, if applicable, taking into account the liquidity requirements of the relevant member(s) of the SpinCo Group for whose benefit the Company Support Obligation is provided, in each case, to the extent not prohibited by applicable Law. During the Interim Period, Gold shall coordinate with SpinCo and the Company with respect to their joint initial contact with such beneficiaries, afford the Company a reasonable opportunity to participate in discussions with such beneficiaries prior to engaging therein, and keep the Company reasonably informed of any discussions with such beneficiaries in which the Company does not participate.</w:t>
      </w:r>
    </w:p>
    <w:p>
      <w:pPr>
        <w:spacing w:after="0" w:line="64" w:lineRule="exact"/>
        <w:rPr>
          <w:rFonts w:ascii="Times New Roman" w:cs="Times New Roman" w:eastAsia="Times New Roman" w:hAnsi="Times New Roman"/>
          <w:sz w:val="14"/>
          <w:szCs w:val="14"/>
          <w:color w:val="auto"/>
        </w:rPr>
      </w:pPr>
    </w:p>
    <w:p>
      <w:pPr>
        <w:ind w:left="1700" w:right="239" w:firstLine="739"/>
        <w:spacing w:after="0" w:line="256" w:lineRule="auto"/>
        <w:tabs>
          <w:tab w:leader="none" w:pos="2647" w:val="left"/>
        </w:tabs>
        <w:numPr>
          <w:ilvl w:val="1"/>
          <w:numId w:val="4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Gold, SpinCo and the Company shall, and shall cause its respective Subsidiaries to, cooperate regarding, and the Company shall use commercially reasonable efforts to obtain from the respective beneficiary, in form and substance reasonably satisfactory to Gold, valid and binding written unconditional releases of SpinCo and any other member of the SpinCo Group, as applicable, from any Company Liability, whether arising before, on or after the Closing Date, under any SpinCo Support Obligation in effect immediately prior to the Distribution Time, which release shall be effective as of the Distribution Time, including by providing, as reasonably agreed by the Parties, substitute guarantees, furnishing letters of credit, instituting escrow arrangements, posting surety or performance bonds or making other arrangements as the counterparty may reasonably request, in each case, to the extent not prohibited by</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B-28</w:t>
      </w:r>
    </w:p>
    <w:p>
      <w:pPr>
        <w:sectPr>
          <w:pgSz w:w="11900" w:h="16838" w:orient="portrait"/>
          <w:cols w:equalWidth="0" w:num="1">
            <w:col w:w="10159"/>
          </w:cols>
          <w:pgMar w:left="300" w:top="386" w:right="1440"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19"/>
        <w:spacing w:after="0" w:line="267" w:lineRule="auto"/>
        <w:rPr>
          <w:sz w:val="20"/>
          <w:szCs w:val="20"/>
          <w:color w:val="auto"/>
        </w:rPr>
      </w:pPr>
      <w:r>
        <w:rPr>
          <w:rFonts w:ascii="Times New Roman" w:cs="Times New Roman" w:eastAsia="Times New Roman" w:hAnsi="Times New Roman"/>
          <w:sz w:val="14"/>
          <w:szCs w:val="14"/>
          <w:color w:val="auto"/>
        </w:rPr>
        <w:t>applicable Law. During the Interim Period, the Company shall coordinate with SpinCo and Gold with respect to their joint initial contact with such beneficiaries, afford Gold a reasonable opportunity to participate in discussions with such beneficiaries prior to engaging therein, and keep Gold reasonably informed of any discussions with such beneficiaries in which Gold does not participate.</w:t>
      </w:r>
    </w:p>
    <w:p>
      <w:pPr>
        <w:spacing w:after="0" w:line="136" w:lineRule="exact"/>
        <w:rPr>
          <w:sz w:val="20"/>
          <w:szCs w:val="20"/>
          <w:color w:val="auto"/>
        </w:rPr>
      </w:pPr>
    </w:p>
    <w:p>
      <w:pPr>
        <w:ind w:left="1360" w:right="239" w:firstLine="767"/>
        <w:spacing w:after="0" w:line="253" w:lineRule="auto"/>
        <w:tabs>
          <w:tab w:leader="none" w:pos="2330"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Gold’s or SpinCo’s obligations under </w:t>
      </w:r>
      <w:r>
        <w:rPr>
          <w:rFonts w:ascii="Times New Roman" w:cs="Times New Roman" w:eastAsia="Times New Roman" w:hAnsi="Times New Roman"/>
          <w:sz w:val="14"/>
          <w:szCs w:val="14"/>
          <w:u w:val="single" w:color="auto"/>
          <w:color w:val="auto"/>
        </w:rPr>
        <w:t>Section 2.6(a)</w:t>
      </w:r>
      <w:r>
        <w:rPr>
          <w:rFonts w:ascii="Times New Roman" w:cs="Times New Roman" w:eastAsia="Times New Roman" w:hAnsi="Times New Roman"/>
          <w:sz w:val="14"/>
          <w:szCs w:val="14"/>
          <w:color w:val="auto"/>
        </w:rPr>
        <w:t>, if any Company Support Obligation has not been released as of the Effective Time, then, from and after the Effective Time, (i) Gold shall indemnify and hold harmless the Company and its applicable Subsidiaries for any Liabilities arising from or relating to such Company Support Obligation (other than any Company Liabilities), including any fees in connection with the issuance and maintenance of any letters of credit, and (ii) Gold shall not permit any members of the SpinCo Group to (A) renew or extend the term of, (B) increase its obligations under, (C) transfer to another third party or (D) amend in any manner any loan, Contract or other obligation if, as a result thereof, the Company or any of its applicable Subsidiaries would become liable under such Company Support Obligation, in each case, without the prior written consent of the Company (which shall not be unreasonably withheld, conditioned or delayed), unless all obligations of the Company and its Subsidiaries with respect thereto are concurrently terminated (with no incremental obligations or liabilities) by documentation reasonably satisfactory in form and substance to the Company. To the extent that the Company or any of its applicable Subsidiaries has performance obligations under any Company Support Obligation after the Effective Time, from and after the Effective Time, Gold shall (x) perform (or cause the members of the SpinCo Group to perform) such obligations on behalf of the Company and such Subsidiaries or (y) otherwise take such action as reasonably requested by the Company and such Subsidiaries so as to put the Company and such Subsidiaries in the same position as if Gold, and not the Company, had performed or were performing such obligations.</w:t>
      </w:r>
    </w:p>
    <w:p>
      <w:pPr>
        <w:spacing w:after="0" w:line="148" w:lineRule="exact"/>
        <w:rPr>
          <w:rFonts w:ascii="Times New Roman" w:cs="Times New Roman" w:eastAsia="Times New Roman" w:hAnsi="Times New Roman"/>
          <w:sz w:val="14"/>
          <w:szCs w:val="14"/>
          <w:color w:val="auto"/>
        </w:rPr>
      </w:pPr>
    </w:p>
    <w:p>
      <w:pPr>
        <w:ind w:left="1360" w:right="259" w:firstLine="767"/>
        <w:spacing w:after="0" w:line="253" w:lineRule="auto"/>
        <w:tabs>
          <w:tab w:leader="none" w:pos="2322"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Company’s obligations under </w:t>
      </w:r>
      <w:r>
        <w:rPr>
          <w:rFonts w:ascii="Times New Roman" w:cs="Times New Roman" w:eastAsia="Times New Roman" w:hAnsi="Times New Roman"/>
          <w:sz w:val="14"/>
          <w:szCs w:val="14"/>
          <w:u w:val="single" w:color="auto"/>
          <w:color w:val="auto"/>
        </w:rPr>
        <w:t>Section 2.6(a)</w:t>
      </w:r>
      <w:r>
        <w:rPr>
          <w:rFonts w:ascii="Times New Roman" w:cs="Times New Roman" w:eastAsia="Times New Roman" w:hAnsi="Times New Roman"/>
          <w:sz w:val="14"/>
          <w:szCs w:val="14"/>
          <w:color w:val="auto"/>
        </w:rPr>
        <w:t>, if any SpinCo Support Obligation has not been released as of the Effective Time, then, from and after the Effective Time, (i) the Company shall indemnify and hold harmless Gold and its applicable Subsidiaries for any Liabilities arising from or relating to such SpinCo Support Obligation (other than any SpinCo Liabilities), including any fees in connection with the issuance and maintenance of any letters of credit, and (ii) the Company shall not permit any members of the Company Group to (A) renew or extend the term of, (B) increase its obligations under, (C) transfer to another third party or (D) amend in any manner any loan, Contract or other obligation if, as a result thereof, Gold and its applicable Subsidiaries would become liable under such SpinCo Support Obligation, in each case, without the prior written consent of Gold (which shall not be unreasonably withheld, conditioned or delayed), unless all obligations of SpinCo and its Subsidiaries with respect thereto are concurrently terminated (with no incremental obligations or liabilities) by documentation reasonably satisfactory in form and substance to Gold. To the extent that SpinCo or any of its applicable Subsidiaries has performance obligations under any SpinCo Support Obligation after the Effective Time, from and after the Effective Time, the Company shall (x) perform (or cause the members of the Company Group to perform) such obligations on behalf of SpinCo and such Subsidiaries or (y) otherwise take such action as reasonably requested by SpinCo and such Subsidiaries so as to put SpinCo and such Subsidiaries in the same position as if the Company, and not SpinCo or any member of the SpinCo Group, had performed or were performing such obligations.</w:t>
      </w:r>
    </w:p>
    <w:p>
      <w:pPr>
        <w:spacing w:after="0" w:line="148"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1"/>
          <w:numId w:val="4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herein, the Parties acknowledge and agree that at any time on or after the Closing Date,</w:t>
      </w:r>
    </w:p>
    <w:p>
      <w:pPr>
        <w:spacing w:after="0" w:line="21" w:lineRule="exact"/>
        <w:rPr>
          <w:rFonts w:ascii="Times New Roman" w:cs="Times New Roman" w:eastAsia="Times New Roman" w:hAnsi="Times New Roman"/>
          <w:sz w:val="14"/>
          <w:szCs w:val="14"/>
          <w:color w:val="auto"/>
        </w:rPr>
      </w:pPr>
    </w:p>
    <w:p>
      <w:pPr>
        <w:ind w:left="1360" w:right="239" w:hanging="5"/>
        <w:spacing w:after="0" w:line="252" w:lineRule="auto"/>
        <w:tabs>
          <w:tab w:leader="none" w:pos="1527" w:val="left"/>
        </w:tabs>
        <w:numPr>
          <w:ilvl w:val="0"/>
          <w:numId w:val="4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in consultation in good faith with Gold, take any action to terminate, obtain release of or otherwise limit its liability under any and all outstanding Company Support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action would not result in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Liability for Gold and its Subsidiaries, other than any Liability that is fully reimbursed or borne by the Company), (ii) neither the Company nor any of its applicable Affiliates will have any obligation to renew any guarantees, letters of credit, comfort letters, bonds, sureties and other credit support or assurances issued on behalf of any member of the SpinCo Group or the SpinCo Business after the expiration thereof in accordance with its terms, (iii) SpinCo and/or Gold may, in consultation in good faith with the Company, take any action to terminate, obtain release of or otherwise limit the liability of SpinCo or any member of the SpinCo Group under any and all outstanding SpinCo Support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action would not result in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Liability for the</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B-29</w:t>
      </w:r>
    </w:p>
    <w:p>
      <w:pPr>
        <w:sectPr>
          <w:pgSz w:w="11900" w:h="16838" w:orient="portrait"/>
          <w:cols w:equalWidth="0" w:num="1">
            <w:col w:w="10159"/>
          </w:cols>
          <w:pgMar w:left="300" w:top="385" w:right="1440"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spacing w:after="0" w:line="261" w:lineRule="auto"/>
        <w:rPr>
          <w:sz w:val="20"/>
          <w:szCs w:val="20"/>
          <w:color w:val="auto"/>
        </w:rPr>
      </w:pPr>
      <w:r>
        <w:rPr>
          <w:rFonts w:ascii="Times New Roman" w:cs="Times New Roman" w:eastAsia="Times New Roman" w:hAnsi="Times New Roman"/>
          <w:sz w:val="14"/>
          <w:szCs w:val="14"/>
          <w:color w:val="auto"/>
        </w:rPr>
        <w:t>Company or any of its Subsidiaries, other than any Liability that is fully reimbursed or borne by Gold or SpinCo) and (iv) none of SpinCo or Gold nor any of their respective applicable Affiliates will have any obligation to renew any guarantees, letters of credit, comfort letters, bonds, sureties and other credit support or assurances issued on behalf of any member of the Company Group or the Company Business after the expiration thereof in accordance with its terms.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2.7 </w:t>
      </w:r>
      <w:r>
        <w:rPr>
          <w:rFonts w:ascii="Times New Roman" w:cs="Times New Roman" w:eastAsia="Times New Roman" w:hAnsi="Times New Roman"/>
          <w:sz w:val="14"/>
          <w:szCs w:val="14"/>
          <w:u w:val="single" w:color="auto"/>
          <w:color w:val="auto"/>
        </w:rPr>
        <w:t>Wrong Pockets; Mail and Other Communications; Payments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99" w:firstLine="767"/>
        <w:spacing w:after="0" w:line="257" w:lineRule="auto"/>
        <w:tabs>
          <w:tab w:leader="none" w:pos="2322" w:val="left"/>
        </w:tabs>
        <w:numPr>
          <w:ilvl w:val="0"/>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after the Distribution Time, if either SpinCo or Gold, on the one hand, or the Company, on the other hand, or any of their respective Group members becomes aware that any of the SpinCo Assets have not been transferred, assigned or conveyed to SpinCo or any member of its Group or that any of the Company Assets have not been retained by or transferred, assigned or conveyed to the Company or any member of its Group (other than the Transferred Entities), it will promptly notify the other Party and the Parties will cooperate in good faith to as promptly as reasonably practicable transfer the relevant asset to the appropriate Party at the expense of the Party who would have been responsible for the related expenses if such asset had been transferred at the Distribution Time.</w:t>
      </w:r>
    </w:p>
    <w:p>
      <w:pPr>
        <w:spacing w:after="0" w:line="143" w:lineRule="exact"/>
        <w:rPr>
          <w:rFonts w:ascii="Times New Roman" w:cs="Times New Roman" w:eastAsia="Times New Roman" w:hAnsi="Times New Roman"/>
          <w:sz w:val="14"/>
          <w:szCs w:val="14"/>
          <w:color w:val="auto"/>
        </w:rPr>
      </w:pPr>
    </w:p>
    <w:p>
      <w:pPr>
        <w:ind w:left="1360" w:right="259" w:firstLine="767"/>
        <w:spacing w:after="0" w:line="253" w:lineRule="auto"/>
        <w:tabs>
          <w:tab w:leader="none" w:pos="2330" w:val="left"/>
        </w:tabs>
        <w:numPr>
          <w:ilvl w:val="0"/>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After the Distribution Time, each of the Company, SpinCo and the members of their respective Groups may receive mail, packages, facsimiles, electronic mail and other communications properly belonging to the other (or the other’s respective Group). Accordingly, each of the Company and SpinCo and the members of their respective Groups authorizes the Company and the other members of the Company Group, on the one hand, or SpinCo and the other members of the SpinCo Group, on the other hand, as the case may be, to receive and, if not unambiguously intended for such other Party (or any member of its Group) or any of such other Party’s (or any member of its Group’s) officers or directors, to open (acting solely as agent for the other Party), all mail, packages, facsimiles, electronic mail and other communications received by it, and to retain the same to the extent that they relate to the business of the receiving Party or, to the extent that they do not relate to the business of the receiving Party, the receiving Party shall promptly deliver such mail, packages, facsimiles, electronic mail or other communications (or, in case the same relate to both businesses, copies thereof) to the other Party. The provisions of this </w:t>
      </w:r>
      <w:r>
        <w:rPr>
          <w:rFonts w:ascii="Times New Roman" w:cs="Times New Roman" w:eastAsia="Times New Roman" w:hAnsi="Times New Roman"/>
          <w:sz w:val="14"/>
          <w:szCs w:val="14"/>
          <w:u w:val="single" w:color="auto"/>
          <w:color w:val="auto"/>
        </w:rPr>
        <w:t>Section 2.7</w:t>
      </w:r>
      <w:r>
        <w:rPr>
          <w:rFonts w:ascii="Times New Roman" w:cs="Times New Roman" w:eastAsia="Times New Roman" w:hAnsi="Times New Roman"/>
          <w:sz w:val="14"/>
          <w:szCs w:val="14"/>
          <w:color w:val="auto"/>
        </w:rPr>
        <w:t xml:space="preserve"> are not intended to, and shall not be deemed to, constitute an authorization by any of the Company, SpinCo or the members of their respective Groups to (i) permit the other to accept service of process on its behalf and neither party is or shall be deemed to be the agent of the other for service of process purposes or (ii) waive any rights or privileges in respect of any such mail, package, facsimile, electronic mail or other communication or the information contained therein.</w:t>
      </w:r>
    </w:p>
    <w:p>
      <w:pPr>
        <w:spacing w:after="0" w:line="150" w:lineRule="exact"/>
        <w:rPr>
          <w:rFonts w:ascii="Times New Roman" w:cs="Times New Roman" w:eastAsia="Times New Roman" w:hAnsi="Times New Roman"/>
          <w:sz w:val="14"/>
          <w:szCs w:val="14"/>
          <w:color w:val="auto"/>
        </w:rPr>
      </w:pPr>
    </w:p>
    <w:p>
      <w:pPr>
        <w:ind w:left="1360" w:right="379" w:firstLine="767"/>
        <w:spacing w:after="0" w:line="261" w:lineRule="auto"/>
        <w:tabs>
          <w:tab w:leader="none" w:pos="2322" w:val="left"/>
        </w:tabs>
        <w:numPr>
          <w:ilvl w:val="0"/>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or shall cause its applicable Subsidiary to, promptly pay or deliver to SpinCo (or a designated member of its Group) any monies or checks that have been sent to or that are received by the Company or any member of its Group after the Distribution Time, including by or from any customers, suppliers or other commercial counterparties of the SpinCo Business or the SpinCo Group, to the extent that they constitute SpinCo Assets.</w:t>
      </w:r>
    </w:p>
    <w:p>
      <w:pPr>
        <w:spacing w:after="0" w:line="140" w:lineRule="exact"/>
        <w:rPr>
          <w:rFonts w:ascii="Times New Roman" w:cs="Times New Roman" w:eastAsia="Times New Roman" w:hAnsi="Times New Roman"/>
          <w:sz w:val="14"/>
          <w:szCs w:val="14"/>
          <w:color w:val="auto"/>
        </w:rPr>
      </w:pPr>
    </w:p>
    <w:p>
      <w:pPr>
        <w:jc w:val="both"/>
        <w:ind w:left="1360" w:right="279" w:firstLine="767"/>
        <w:spacing w:after="0" w:line="261" w:lineRule="auto"/>
        <w:tabs>
          <w:tab w:leader="none" w:pos="2330" w:val="left"/>
        </w:tabs>
        <w:numPr>
          <w:ilvl w:val="0"/>
          <w:numId w:val="4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shall, or shall cause the applicable member of its Group to, promptly pay or deliver to the Company (or a designated member of its Group) any monies or checks that have been sent to SpinCo or any member of its Group (including the SpinCo Business and the SpinCo Group) after the Distribution Time to the extent that they constitute a Company Asset and are the property of the Company or a member of the Company Group hereunder.</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2.8 </w:t>
      </w:r>
      <w:r>
        <w:rPr>
          <w:rFonts w:ascii="Times New Roman" w:cs="Times New Roman" w:eastAsia="Times New Roman" w:hAnsi="Times New Roman"/>
          <w:sz w:val="14"/>
          <w:szCs w:val="14"/>
          <w:u w:val="single" w:color="auto"/>
          <w:color w:val="auto"/>
        </w:rPr>
        <w:t>Termination of Agreements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79" w:firstLine="767"/>
        <w:spacing w:after="0" w:line="267" w:lineRule="auto"/>
        <w:tabs>
          <w:tab w:leader="none" w:pos="2322" w:val="left"/>
        </w:tabs>
        <w:numPr>
          <w:ilvl w:val="0"/>
          <w:numId w:val="4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2.8(b)</w:t>
      </w:r>
      <w:r>
        <w:rPr>
          <w:rFonts w:ascii="Times New Roman" w:cs="Times New Roman" w:eastAsia="Times New Roman" w:hAnsi="Times New Roman"/>
          <w:sz w:val="14"/>
          <w:szCs w:val="14"/>
          <w:color w:val="auto"/>
        </w:rPr>
        <w:t xml:space="preserve">, in furtherance of the releases and other provisions of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 SpinCo and each member of the SpinCo Group, on the one hand, and the Company and each member of the Company Group, on the other hand, hereby terminate any and all agreements, arrangements, commitments or understandings, whether or not in writing, without any further liability to the Company, SpinCo</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B-30</w:t>
      </w:r>
    </w:p>
    <w:p>
      <w:pPr>
        <w:sectPr>
          <w:pgSz w:w="11900" w:h="16838" w:orient="portrait"/>
          <w:cols w:equalWidth="0" w:num="1">
            <w:col w:w="10159"/>
          </w:cols>
          <w:pgMar w:left="300" w:top="386" w:right="1440"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or any members of its respective Groups, between or among SpinCo and/or any member of the SpinCo Group, on the one hand, and the Company and/or any member of the Company Group, on the other hand, effective as of the Distribution Time and in accordance with applicable Law. No such terminated agreement, arrangement, commitment or understanding (including any provision thereof which purports to survive termination) shall be of any further force or effect after the Distribution Time, and neither the Company, SpinCo nor any member of their respective Groups shall have any liability thereunder after the Distribution Time. Each Party shall, at the reasonable request of the other Party, take, or cause to be taken, such other actions as may be necessary to effect the foregoing.</w:t>
      </w:r>
    </w:p>
    <w:p>
      <w:pPr>
        <w:spacing w:after="0" w:line="143" w:lineRule="exact"/>
        <w:rPr>
          <w:sz w:val="20"/>
          <w:szCs w:val="20"/>
          <w:color w:val="auto"/>
        </w:rPr>
      </w:pPr>
    </w:p>
    <w:p>
      <w:pPr>
        <w:ind w:left="1360" w:right="239" w:firstLine="767"/>
        <w:spacing w:after="0" w:line="254" w:lineRule="auto"/>
        <w:tabs>
          <w:tab w:leader="none" w:pos="2330"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w:t>
      </w:r>
      <w:r>
        <w:rPr>
          <w:rFonts w:ascii="Times New Roman" w:cs="Times New Roman" w:eastAsia="Times New Roman" w:hAnsi="Times New Roman"/>
          <w:sz w:val="14"/>
          <w:szCs w:val="14"/>
          <w:u w:val="single" w:color="auto"/>
          <w:color w:val="auto"/>
        </w:rPr>
        <w:t>Section 2.8(a)</w:t>
      </w:r>
      <w:r>
        <w:rPr>
          <w:rFonts w:ascii="Times New Roman" w:cs="Times New Roman" w:eastAsia="Times New Roman" w:hAnsi="Times New Roman"/>
          <w:sz w:val="14"/>
          <w:szCs w:val="14"/>
          <w:color w:val="auto"/>
        </w:rPr>
        <w:t xml:space="preserve"> shall not apply to any of the following agreements, arrangements, commitments or understandings, whether or not in writing, (or to any of the provisions thereof): (i) this Agreement, the Merger Agreement and the other Transaction Documents (and each other agreement or instrument expressly contemplated by this Agreement, the Merger Agreement or any other Transaction Documents to be entered into by any of the Parties or any of the members of their respective Groups or to be continued from and after the Distribution Time); (ii) any agreements, arrangements, commitments or understandings to which any Third Party is a party; (iii) any intercompany accounts payable or accounts receivable accrued as of the Distribution Time that are reflected in the books and records of the Parties or otherwise documented in writing in accordance with past practices, which shall be settled in the manner contemplated by </w:t>
      </w:r>
      <w:r>
        <w:rPr>
          <w:rFonts w:ascii="Times New Roman" w:cs="Times New Roman" w:eastAsia="Times New Roman" w:hAnsi="Times New Roman"/>
          <w:sz w:val="14"/>
          <w:szCs w:val="14"/>
          <w:u w:val="single" w:color="auto"/>
          <w:color w:val="auto"/>
        </w:rPr>
        <w:t>Section 2.8(c)</w:t>
      </w:r>
      <w:r>
        <w:rPr>
          <w:rFonts w:ascii="Times New Roman" w:cs="Times New Roman" w:eastAsia="Times New Roman" w:hAnsi="Times New Roman"/>
          <w:sz w:val="14"/>
          <w:szCs w:val="14"/>
          <w:color w:val="auto"/>
        </w:rPr>
        <w:t xml:space="preserve">; (iv) any agreements, arrangements, commitments or understandings to which any non-wholly owned Subsidiary of the Company or SpinCo, as the case may be, is a party (it being understood that directors’ qualifying shares or similar interests will be disregarded for purposes of determining whether a Subsidiary is wholly owned); (v) any Shared Contracts and (vi) any agreements listed on </w:t>
      </w:r>
      <w:r>
        <w:rPr>
          <w:rFonts w:ascii="Times New Roman" w:cs="Times New Roman" w:eastAsia="Times New Roman" w:hAnsi="Times New Roman"/>
          <w:sz w:val="14"/>
          <w:szCs w:val="14"/>
          <w:u w:val="single" w:color="auto"/>
          <w:color w:val="auto"/>
        </w:rPr>
        <w:t>Schedule 2.8(b)</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ind w:left="1360" w:right="239" w:firstLine="767"/>
        <w:spacing w:after="0" w:line="254" w:lineRule="auto"/>
        <w:tabs>
          <w:tab w:leader="none" w:pos="2322" w:val="left"/>
        </w:tabs>
        <w:numPr>
          <w:ilvl w:val="0"/>
          <w:numId w:val="4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of the intercompany accounts receivable and accounts payable between any member of the Company Group, on the one hand, and any member of the SpinCo Group, on the other hand, outstanding as of immediately prior to the Distribution Time shall be repaid, settled or otherwise eliminated in full, without any further liability thereunder to either party thereto, by means of cash payments, a dividend, capital contribution, a combination of the foregoing, or otherwise as determined by the Company in its reasonable discretion prior to the Distribution;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Company shall not repay, settle or otherwise eliminate any such intercompany accounts in a manner that results in an adverse effect to any member of the SpinCo Group or that exposes Gold or any member of the SpinCo Group to further Liability (unless the cost of such effect or Liability is fully reimbursed to the SpinCo Group or otherwise fully borne by the Company Group), without the prior written consent of Gold (which shall not be unreasonably withheld, conditioned or delayed). For the avoidance of doubt, the Parties agree and acknowledge that the payment or other satisfaction by SpinCo or a member of the SpinCo Group of the amount of an intercompany account receivable shall not be considered an adverse effect to any member of the SpinCo Group. Each Party shall, at the reasonable request of any other Party, take, or cause to be taken, such other actions as may be reasonably necessary to acknowledge the foregoing.</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2.9 </w:t>
      </w:r>
      <w:r>
        <w:rPr>
          <w:rFonts w:ascii="Times New Roman" w:cs="Times New Roman" w:eastAsia="Times New Roman" w:hAnsi="Times New Roman"/>
          <w:sz w:val="14"/>
          <w:szCs w:val="14"/>
          <w:u w:val="single" w:color="auto"/>
          <w:color w:val="auto"/>
        </w:rPr>
        <w:t>Treatment of Shared Contracts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767"/>
        <w:spacing w:after="0" w:line="254" w:lineRule="auto"/>
        <w:tabs>
          <w:tab w:leader="none" w:pos="2322" w:val="left"/>
        </w:tabs>
        <w:numPr>
          <w:ilvl w:val="0"/>
          <w:numId w:val="4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Schedule 2.9(a)</w:t>
      </w:r>
      <w:r>
        <w:rPr>
          <w:rFonts w:ascii="Times New Roman" w:cs="Times New Roman" w:eastAsia="Times New Roman" w:hAnsi="Times New Roman"/>
          <w:sz w:val="14"/>
          <w:szCs w:val="14"/>
          <w:color w:val="auto"/>
        </w:rPr>
        <w:t xml:space="preserve">, subject to applicable Law and without limiting the generality of the obligations set forth in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unless the Parties otherwise agree or the benefits of any Contract described in this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are expressly conveyed to the applicable Party pursuant to this Agreement, the Merger Agreement or any other Transaction Document (excluding the Transition Services Agreement), any Contract, a portion of which is related to, held for use by or used in the SpinCo Business, but the remainder of which is a Company Asset (any such Contract, a “</w:t>
      </w:r>
      <w:r>
        <w:rPr>
          <w:rFonts w:ascii="Times New Roman" w:cs="Times New Roman" w:eastAsia="Times New Roman" w:hAnsi="Times New Roman"/>
          <w:sz w:val="14"/>
          <w:szCs w:val="14"/>
          <w:b w:val="1"/>
          <w:bCs w:val="1"/>
          <w:color w:val="auto"/>
        </w:rPr>
        <w:t>Shared Contract</w:t>
      </w:r>
      <w:r>
        <w:rPr>
          <w:rFonts w:ascii="Times New Roman" w:cs="Times New Roman" w:eastAsia="Times New Roman" w:hAnsi="Times New Roman"/>
          <w:sz w:val="14"/>
          <w:szCs w:val="14"/>
          <w:color w:val="auto"/>
        </w:rPr>
        <w:t xml:space="preserve">”), shall be assigned in relevant part to the applicable member(s) of the applicable Group, if so assignable, or appropriately amended prior to, on or after the Distribution Time, so that each Party or the member of its Group shall, as of the Distribution Time, be entitled to the rights and benefits, and shall assume the related portion of any Liabilities, inuring to the SpinCo Business or the Company Business,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in no event shall any member of any Group be required to assign (or amend) any Shared Contract in its entirety or to assign a portion of any Shared Contract which is not assignable (or cannot be amended) by its terms (including any terms imposing consents or</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B-31</w:t>
      </w:r>
    </w:p>
    <w:p>
      <w:pPr>
        <w:sectPr>
          <w:pgSz w:w="11900" w:h="16838" w:orient="portrait"/>
          <w:cols w:equalWidth="0" w:num="1">
            <w:col w:w="10159"/>
          </w:cols>
          <w:pgMar w:left="300" w:top="385" w:right="1440"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 xml:space="preserve">conditions on an assignment where such consents or conditions have not been obtained or fulfilled) and (ii) if any Shared Contract cannot be so partially assigned by its terms or otherwise, or cannot be amended or if such assignment or amendment would impair the benefit the parties thereto derive from such Shared Contract, then the Parties shall, and shall cause each of the members of their respective Groups to, take such other commercially reasonable and permissible actions (including by subcontracting, sublicensing, subleasing or back-to-back agreement or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SpinCo Group or the Company Group, as the case may be, to receive the rights and benefits of that portion of each Shared Contract that relates to the SpinCo Business or the Company Business, as the case may be (in each case, to the extent so related), as if such Shared Contract had been assigned to a member of the applicable Group (or amended to allow a member of the applicable Group to exercise applicable rights under such Shared Contract) pursuant to this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and to bear the burden of the corresponding Liabilities (including any Liabilities that may arise by reason of such arrangement), as if such Liabilities had been assumed by a member of the applicable Group pursuant to this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Without limiting the foregoing, if (A) a Shared Contract that is a vendor or supplier Contract cannot be assigned or amended pursuant to this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and can be addressed through an arrangement described in clause (ii) of the immediately preceding sentence, but the proposed assignee elects not to receive the rights and benefits of the applicable portion of such Shared Contract pursuant to such an arrangement, and (B) as a result the other Party or a member of the other Party’s Group is required to pay any termination, breakage, volume reduction or similar fee or expense to such vendor or supplier, then (C) the proposed assignee or the applicable member of the proposed assignee’s Group shall reimburse the other Party or the applicable member of its Group for the amount of such fee or expense. Each of the Company and SpinCo shall, and shall cause the members of their respective Groups to, use its commercially reasonable efforts to complete the assignment or amendment of all Shared Contracts pursuant to this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 xml:space="preserve"> to be effective at the Distribution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however, that any such obligation to use commercially reasonable efforts shall cease on the date that is eighteen (18) months following the Distribution Time.</w:t>
      </w:r>
    </w:p>
    <w:p>
      <w:pPr>
        <w:spacing w:after="0" w:line="152" w:lineRule="exact"/>
        <w:rPr>
          <w:sz w:val="20"/>
          <w:szCs w:val="20"/>
          <w:color w:val="auto"/>
        </w:rPr>
      </w:pPr>
    </w:p>
    <w:p>
      <w:pPr>
        <w:ind w:left="1360" w:right="239" w:firstLine="767"/>
        <w:spacing w:after="0" w:line="258" w:lineRule="auto"/>
        <w:tabs>
          <w:tab w:leader="none" w:pos="2330" w:val="left"/>
        </w:tabs>
        <w:numPr>
          <w:ilvl w:val="0"/>
          <w:numId w:val="4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the portion of each Shared Contract inuring to its respective businesses as an Asset owned by, and/or a Liability of, as applicable, such Party, or the members of its Group, as applicable, not later than the Distribution Time, and (ii) neither report nor take any Tax position (on a Tax Return or otherwise) inconsistent with such treatment.</w:t>
      </w:r>
    </w:p>
    <w:p>
      <w:pPr>
        <w:spacing w:after="0" w:line="143" w:lineRule="exact"/>
        <w:rPr>
          <w:rFonts w:ascii="Times New Roman" w:cs="Times New Roman" w:eastAsia="Times New Roman" w:hAnsi="Times New Roman"/>
          <w:sz w:val="14"/>
          <w:szCs w:val="14"/>
          <w:color w:val="auto"/>
        </w:rPr>
      </w:pPr>
    </w:p>
    <w:p>
      <w:pPr>
        <w:ind w:left="1360" w:right="239" w:firstLine="767"/>
        <w:spacing w:after="0" w:line="277" w:lineRule="auto"/>
        <w:tabs>
          <w:tab w:leader="none" w:pos="2322" w:val="left"/>
        </w:tabs>
        <w:numPr>
          <w:ilvl w:val="0"/>
          <w:numId w:val="4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in this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 xml:space="preserve"> shall require any member of any Group to (and (i) neither the Company nor any member of the Company Group nor, prior to the Distribution Time, SpinCo nor any member of the SpinCo Group shall, without the prior written consent of Gold (which shall not be unreasonably withheld, conditioned or delayed) and (ii) neither Gold nor any member of Gold Group shall, without the prior written consent of the Company (which shall not to be unreasonably withheld, conditioned or delayed)), in each case, make any non-</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payment (except to the extent advanced, assumed or agreed in advance to be reimbursed by any member of the other Group), incur any non-</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obligation or grant any non-</w:t>
      </w:r>
      <w:r>
        <w:rPr>
          <w:rFonts w:ascii="Times New Roman" w:cs="Times New Roman" w:eastAsia="Times New Roman" w:hAnsi="Times New Roman"/>
          <w:sz w:val="13"/>
          <w:szCs w:val="13"/>
          <w:i w:val="1"/>
          <w:iCs w:val="1"/>
          <w:color w:val="auto"/>
        </w:rPr>
        <w:t>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minimis </w:t>
      </w:r>
      <w:r>
        <w:rPr>
          <w:rFonts w:ascii="Times New Roman" w:cs="Times New Roman" w:eastAsia="Times New Roman" w:hAnsi="Times New Roman"/>
          <w:sz w:val="13"/>
          <w:szCs w:val="13"/>
          <w:color w:val="auto"/>
        </w:rPr>
        <w:t>concession for the benefit of any member of the other Group in order to effect any transaction contemplated by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each case,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other than any payment, out-of-pocket expenses or concession that is expressly contemplated to be paid or otherwise shared by a Party in accordance with the express provisions of </w:t>
      </w:r>
      <w:r>
        <w:rPr>
          <w:rFonts w:ascii="Times New Roman" w:cs="Times New Roman" w:eastAsia="Times New Roman" w:hAnsi="Times New Roman"/>
          <w:sz w:val="13"/>
          <w:szCs w:val="13"/>
          <w:u w:val="single" w:color="auto"/>
          <w:color w:val="auto"/>
        </w:rPr>
        <w:t>Section 2.4(k)</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 xml:space="preserve"> of this Agreement or the express provisions of the other Transaction Documents).</w:t>
      </w:r>
    </w:p>
    <w:p>
      <w:pPr>
        <w:spacing w:after="0" w:line="134"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2.10 </w:t>
      </w:r>
      <w:r>
        <w:rPr>
          <w:rFonts w:ascii="Times New Roman" w:cs="Times New Roman" w:eastAsia="Times New Roman" w:hAnsi="Times New Roman"/>
          <w:sz w:val="14"/>
          <w:szCs w:val="14"/>
          <w:u w:val="single" w:color="auto"/>
          <w:color w:val="auto"/>
        </w:rPr>
        <w:t>Treatment of Shared Services</w:t>
      </w:r>
      <w:r>
        <w:rPr>
          <w:rFonts w:ascii="Times New Roman" w:cs="Times New Roman" w:eastAsia="Times New Roman" w:hAnsi="Times New Roman"/>
          <w:sz w:val="14"/>
          <w:szCs w:val="14"/>
          <w:color w:val="auto"/>
        </w:rPr>
        <w:t>. The Company, SpinCo and Gold acknowledge and agree that (a) the SpinCo Business currently receives from the Company and the members of the Company Group certain Shared Services, (b) except as provided in the Transition Services Agreement, any other Transaction Document or the Merger Agreement, all Shared Services shall cease at the Distribution Time, and all agreements and arrangements (whether or not in writing) in respect thereof shall terminate as of the Distribution Time without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B-32</w:t>
      </w:r>
    </w:p>
    <w:p>
      <w:pPr>
        <w:sectPr>
          <w:pgSz w:w="11900" w:h="16838" w:orient="portrait"/>
          <w:cols w:equalWidth="0" w:num="1">
            <w:col w:w="10159"/>
          </w:cols>
          <w:pgMar w:left="300" w:top="386" w:right="1440"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further liability to Gold or any member of the SpinCo Group, and (c) from and after the Distribution Time, SpinCo and Gold (and their Affiliates) shall have no rights or Liabilities under any Shared Contracts that are not SpinCo Contracts, except to the extent set forth and in accordance with the terms and conditions of any Transaction Document or the Merger Agreement.</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2.11 </w:t>
      </w:r>
      <w:r>
        <w:rPr>
          <w:rFonts w:ascii="Times New Roman" w:cs="Times New Roman" w:eastAsia="Times New Roman" w:hAnsi="Times New Roman"/>
          <w:sz w:val="14"/>
          <w:szCs w:val="14"/>
          <w:u w:val="single" w:color="auto"/>
          <w:color w:val="auto"/>
        </w:rPr>
        <w:t>Certain Adjustments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320" w:hanging="193"/>
        <w:spacing w:after="0"/>
        <w:tabs>
          <w:tab w:leader="none" w:pos="2320" w:val="left"/>
        </w:tabs>
        <w:numPr>
          <w:ilvl w:val="1"/>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left="1700" w:right="259" w:firstLine="739"/>
        <w:spacing w:after="0" w:line="257" w:lineRule="auto"/>
        <w:tabs>
          <w:tab w:leader="none" w:pos="2608" w:val="left"/>
        </w:tabs>
        <w:numPr>
          <w:ilvl w:val="2"/>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Estimated Net Working Capital Adjustment</w:t>
      </w:r>
      <w:r>
        <w:rPr>
          <w:rFonts w:ascii="Times New Roman" w:cs="Times New Roman" w:eastAsia="Times New Roman" w:hAnsi="Times New Roman"/>
          <w:sz w:val="14"/>
          <w:szCs w:val="14"/>
          <w:color w:val="auto"/>
        </w:rPr>
        <w:t>” shall mean (A) if the Estimated Net Working Capital exceeds 105% of the Target Net Working Capital, then a positive amount equal to the amount by which such Estimated Net Working Capital exceeds the Target Net Working Capital; (B) if the Estimated Net Working Capital is equal to or less than 105% of the Target Net Working Capital and equal to or greater than 95% of the Target Net Working Capital, then an amount equal to zero; and (C) if the Estimated Net Working Capital is less than 95% of the Target Net Working Capital, then a negative amount equal to the amount by which the Target Net Working Capital exceeds the Estimated Net Working Capital.</w:t>
      </w:r>
    </w:p>
    <w:p>
      <w:pPr>
        <w:spacing w:after="0" w:line="58" w:lineRule="exact"/>
        <w:rPr>
          <w:rFonts w:ascii="Times New Roman" w:cs="Times New Roman" w:eastAsia="Times New Roman" w:hAnsi="Times New Roman"/>
          <w:sz w:val="14"/>
          <w:szCs w:val="14"/>
          <w:color w:val="auto"/>
        </w:rPr>
      </w:pPr>
    </w:p>
    <w:p>
      <w:pPr>
        <w:ind w:left="2640" w:hanging="201"/>
        <w:spacing w:after="0"/>
        <w:tabs>
          <w:tab w:leader="none" w:pos="2640" w:val="left"/>
        </w:tabs>
        <w:numPr>
          <w:ilvl w:val="2"/>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Estimated SpinCo Cash</w:t>
      </w:r>
      <w:r>
        <w:rPr>
          <w:rFonts w:ascii="Times New Roman" w:cs="Times New Roman" w:eastAsia="Times New Roman" w:hAnsi="Times New Roman"/>
          <w:sz w:val="14"/>
          <w:szCs w:val="14"/>
          <w:color w:val="auto"/>
        </w:rPr>
        <w:t>” shall mean the SpinCo Cash as estimated by the Company in good faith prior to the Closing.</w:t>
      </w:r>
    </w:p>
    <w:p>
      <w:pPr>
        <w:spacing w:after="0" w:line="91" w:lineRule="exact"/>
        <w:rPr>
          <w:rFonts w:ascii="Times New Roman" w:cs="Times New Roman" w:eastAsia="Times New Roman" w:hAnsi="Times New Roman"/>
          <w:sz w:val="14"/>
          <w:szCs w:val="14"/>
          <w:color w:val="auto"/>
        </w:rPr>
      </w:pPr>
    </w:p>
    <w:p>
      <w:pPr>
        <w:ind w:left="1700" w:right="319" w:firstLine="739"/>
        <w:spacing w:after="0" w:line="286" w:lineRule="auto"/>
        <w:tabs>
          <w:tab w:leader="none" w:pos="2686" w:val="left"/>
        </w:tabs>
        <w:numPr>
          <w:ilvl w:val="2"/>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Estimated SpinCo Expense Reimbursement</w:t>
      </w:r>
      <w:r>
        <w:rPr>
          <w:rFonts w:ascii="Times New Roman" w:cs="Times New Roman" w:eastAsia="Times New Roman" w:hAnsi="Times New Roman"/>
          <w:sz w:val="14"/>
          <w:szCs w:val="14"/>
          <w:color w:val="auto"/>
        </w:rPr>
        <w:t>” shall mean the SpinCo Expense Reimbursement as estimated by the Company in good faith prior to the Closing.</w:t>
      </w:r>
    </w:p>
    <w:p>
      <w:pPr>
        <w:spacing w:after="0" w:line="36" w:lineRule="exact"/>
        <w:rPr>
          <w:rFonts w:ascii="Times New Roman" w:cs="Times New Roman" w:eastAsia="Times New Roman" w:hAnsi="Times New Roman"/>
          <w:sz w:val="14"/>
          <w:szCs w:val="14"/>
          <w:color w:val="auto"/>
        </w:rPr>
      </w:pPr>
    </w:p>
    <w:p>
      <w:pPr>
        <w:ind w:left="2680" w:hanging="241"/>
        <w:spacing w:after="0"/>
        <w:tabs>
          <w:tab w:leader="none" w:pos="2680" w:val="left"/>
        </w:tabs>
        <w:numPr>
          <w:ilvl w:val="2"/>
          <w:numId w:val="4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Estimated SpinCo Indebtedness</w:t>
      </w:r>
      <w:r>
        <w:rPr>
          <w:rFonts w:ascii="Times New Roman" w:cs="Times New Roman" w:eastAsia="Times New Roman" w:hAnsi="Times New Roman"/>
          <w:sz w:val="14"/>
          <w:szCs w:val="14"/>
          <w:color w:val="auto"/>
        </w:rPr>
        <w:t>” shall mean the SpinCo Indebtedness as estimated by the Company in good faith as of the</w:t>
      </w:r>
    </w:p>
    <w:p>
      <w:pPr>
        <w:spacing w:after="0" w:line="23"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Cut-Off Time.</w:t>
      </w:r>
    </w:p>
    <w:p>
      <w:pPr>
        <w:spacing w:after="0" w:line="74" w:lineRule="exact"/>
        <w:rPr>
          <w:rFonts w:ascii="Times New Roman" w:cs="Times New Roman" w:eastAsia="Times New Roman" w:hAnsi="Times New Roman"/>
          <w:sz w:val="14"/>
          <w:szCs w:val="14"/>
          <w:color w:val="auto"/>
        </w:rPr>
      </w:pPr>
    </w:p>
    <w:p>
      <w:pPr>
        <w:ind w:left="1700" w:right="379" w:firstLine="739"/>
        <w:spacing w:after="0" w:line="283" w:lineRule="auto"/>
        <w:tabs>
          <w:tab w:leader="none" w:pos="2639" w:val="left"/>
        </w:tabs>
        <w:numPr>
          <w:ilvl w:val="2"/>
          <w:numId w:val="4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Final Net Working Capital Adjustment</w:t>
      </w:r>
      <w:r>
        <w:rPr>
          <w:rFonts w:ascii="Times New Roman" w:cs="Times New Roman" w:eastAsia="Times New Roman" w:hAnsi="Times New Roman"/>
          <w:sz w:val="13"/>
          <w:szCs w:val="13"/>
          <w:color w:val="auto"/>
        </w:rPr>
        <w:t>” shall mean (A) if the Final Net Working Capital exceeds 105% of the Target Net Working Capital, then a positive amount equal to the amount by which such Final Net Working Capital exceeds the Target Net Working Capital;</w:t>
      </w:r>
    </w:p>
    <w:p>
      <w:pPr>
        <w:ind w:left="1700" w:right="219" w:hanging="2"/>
        <w:spacing w:after="0" w:line="256" w:lineRule="auto"/>
        <w:tabs>
          <w:tab w:leader="none" w:pos="1922" w:val="left"/>
        </w:tabs>
        <w:numPr>
          <w:ilvl w:val="0"/>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Final Net Working Capital is equal to or less than 105% of the Target Net Working Capital and equal to or greater than 95% of the Target Net Working Capital, then an amount equal to zero; and (C) if the Final Net Working Capital is less than 95% of the Target Net Working Capital, then a negative amount equal to the amount by which the Target Net Working Capital exceeds the Final Net Working Capital.</w:t>
      </w:r>
    </w:p>
    <w:p>
      <w:pPr>
        <w:spacing w:after="0" w:line="56" w:lineRule="exact"/>
        <w:rPr>
          <w:rFonts w:ascii="Times New Roman" w:cs="Times New Roman" w:eastAsia="Times New Roman" w:hAnsi="Times New Roman"/>
          <w:sz w:val="14"/>
          <w:szCs w:val="14"/>
          <w:color w:val="auto"/>
        </w:rPr>
      </w:pPr>
    </w:p>
    <w:p>
      <w:pPr>
        <w:ind w:left="1700" w:right="259" w:firstLine="739"/>
        <w:spacing w:after="0" w:line="254" w:lineRule="auto"/>
        <w:tabs>
          <w:tab w:leader="none" w:pos="2678" w:val="left"/>
        </w:tabs>
        <w:numPr>
          <w:ilvl w:val="2"/>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Working Capital</w:t>
      </w:r>
      <w:r>
        <w:rPr>
          <w:rFonts w:ascii="Times New Roman" w:cs="Times New Roman" w:eastAsia="Times New Roman" w:hAnsi="Times New Roman"/>
          <w:sz w:val="14"/>
          <w:szCs w:val="14"/>
          <w:color w:val="auto"/>
        </w:rPr>
        <w:t>” shall mean as of 11:59 p.m. on the day prior to the Distribution Date (the “</w:t>
      </w:r>
      <w:r>
        <w:rPr>
          <w:rFonts w:ascii="Times New Roman" w:cs="Times New Roman" w:eastAsia="Times New Roman" w:hAnsi="Times New Roman"/>
          <w:sz w:val="14"/>
          <w:szCs w:val="14"/>
          <w:b w:val="1"/>
          <w:bCs w:val="1"/>
          <w:color w:val="auto"/>
        </w:rPr>
        <w:t>Cut-Off Time</w:t>
      </w:r>
      <w:r>
        <w:rPr>
          <w:rFonts w:ascii="Times New Roman" w:cs="Times New Roman" w:eastAsia="Times New Roman" w:hAnsi="Times New Roman"/>
          <w:sz w:val="14"/>
          <w:szCs w:val="14"/>
          <w:color w:val="auto"/>
        </w:rPr>
        <w:t xml:space="preserve">”) and without duplication, an amount (which may be a positive or negative number) equal to (i) the current assets of the SpinCo Business,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(ii) the current liabilities of the SpinCo Business, in each case, which are included in the line item categories specifically identified in the illustrative calculation set forth in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xml:space="preserve">, but excluding (A) any deferred Tax assets, deferred Tax liabilities, income Tax assets, and income Tax liabilities, (B) all receivables and payables between any Transferred Entity and another Transferred Entity, (C) amounts outstanding pursuant to intercompany accounts, arrangements, understandings or Contracts to be settled or eliminated in connection with the Closing pursuant to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(D) the SpinCo Financing and any proceeds thereof, (E) the SpinCo Expense Reimbursement (including the Reimbursement Obligations), (F) the Company Assets and the Company Liabilities, (G) any amounts to the extent included and reflected in the calculation of SpinCo Indebtedness and SpinCo Cash, (H) operating lease balances, (I) pay-to-play assets and (J) Mexican statutory GAAP accounts. The Net Working Capital will be determined in accordance with and calculated on a basis consistent with the Accounting Principles.</w:t>
      </w:r>
    </w:p>
    <w:p>
      <w:pPr>
        <w:spacing w:after="0" w:line="62" w:lineRule="exact"/>
        <w:rPr>
          <w:rFonts w:ascii="Times New Roman" w:cs="Times New Roman" w:eastAsia="Times New Roman" w:hAnsi="Times New Roman"/>
          <w:sz w:val="14"/>
          <w:szCs w:val="14"/>
          <w:color w:val="auto"/>
        </w:rPr>
      </w:pPr>
    </w:p>
    <w:p>
      <w:pPr>
        <w:ind w:left="1700" w:right="319" w:firstLine="739"/>
        <w:spacing w:after="0" w:line="259" w:lineRule="auto"/>
        <w:tabs>
          <w:tab w:leader="none" w:pos="2717" w:val="left"/>
        </w:tabs>
        <w:numPr>
          <w:ilvl w:val="2"/>
          <w:numId w:val="4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Cash</w:t>
      </w:r>
      <w:r>
        <w:rPr>
          <w:rFonts w:ascii="Times New Roman" w:cs="Times New Roman" w:eastAsia="Times New Roman" w:hAnsi="Times New Roman"/>
          <w:sz w:val="14"/>
          <w:szCs w:val="14"/>
          <w:color w:val="auto"/>
        </w:rPr>
        <w:t>” shall mean the aggregate amount of cash and cash equivalents held by SpinCo and the other members of the SpinCo Group as of the Cut-Off Time (other than any cash paid to SpinCo by the Company in respect of the Cash Transfer), including all uncashed and uncleared checks, drafts and wires received by or on behalf of SpinCo or the other members of the SpinCo Group (to the extent not included as an asset in the calculation of Net Working Capital), and excluding (A) any uncashed and uncleared checks, drafts and wires issued by or on behalf of SpinCo or the other members of the SpinCo</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B-33</w:t>
      </w:r>
    </w:p>
    <w:p>
      <w:pPr>
        <w:sectPr>
          <w:pgSz w:w="11900" w:h="16838" w:orient="portrait"/>
          <w:cols w:equalWidth="0" w:num="1">
            <w:col w:w="10159"/>
          </w:cols>
          <w:pgMar w:left="300" w:top="386" w:right="1440"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339"/>
        <w:spacing w:after="0" w:line="258" w:lineRule="auto"/>
        <w:rPr>
          <w:sz w:val="20"/>
          <w:szCs w:val="20"/>
          <w:color w:val="auto"/>
        </w:rPr>
      </w:pPr>
      <w:r>
        <w:rPr>
          <w:rFonts w:ascii="Times New Roman" w:cs="Times New Roman" w:eastAsia="Times New Roman" w:hAnsi="Times New Roman"/>
          <w:sz w:val="14"/>
          <w:szCs w:val="14"/>
          <w:color w:val="auto"/>
        </w:rPr>
        <w:t xml:space="preserve">Group, (B) any Restricted Cash, (C) any Excluded Cash received by any member of the Company Group or any member of the SpinCo Group prior to the Cut-Off Time and (D) any Excess Foreign Cash, in each case calculated in accordance with the Accounting Principles;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after the Cut-Off Time but prior to the Distribution, any SpinCo Cash is distributed to the Company or used to pay any SpinCo Designated Transaction Expenses or SpinCo Indebtedness, such amounts shall not be included in the calculation of Estimated SpinCo Cash or Final SpinCo Cash.</w:t>
      </w:r>
    </w:p>
    <w:p>
      <w:pPr>
        <w:spacing w:after="0" w:line="58" w:lineRule="exact"/>
        <w:rPr>
          <w:sz w:val="20"/>
          <w:szCs w:val="20"/>
          <w:color w:val="auto"/>
        </w:rPr>
      </w:pPr>
    </w:p>
    <w:p>
      <w:pPr>
        <w:ind w:left="1700" w:right="219" w:firstLine="739"/>
        <w:spacing w:after="0" w:line="251" w:lineRule="auto"/>
        <w:tabs>
          <w:tab w:leader="none" w:pos="2756" w:val="left"/>
        </w:tabs>
        <w:numPr>
          <w:ilvl w:val="0"/>
          <w:numId w:val="4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Indebtedness</w:t>
      </w:r>
      <w:r>
        <w:rPr>
          <w:rFonts w:ascii="Times New Roman" w:cs="Times New Roman" w:eastAsia="Times New Roman" w:hAnsi="Times New Roman"/>
          <w:sz w:val="14"/>
          <w:szCs w:val="14"/>
          <w:color w:val="auto"/>
        </w:rPr>
        <w:t>” shall mean, without duplication, in each case calculated in accordance with the Accounting Principles, the aggregate amount outstanding with respect to any of the following of any member of the SpinCo Group as of the Cut-Off Time: (a) the outstanding principal amount of any indebtedness for borrowed money, including any related accrued and unpaid interest, and, to the extent actually due and payable in connection with the payment of such indebtedness at the Distribution, prepayment fees, premiums or penalties; (b) all obligations under letters of credit, bankers’ acceptances, performance bonds, sureties and similar instruments issued for the account of such Person, in each case, only to the extent drawn; (c) all Liabilities arising out of interest rate and currency swap arrangements and any other arrangements designed to provide protection against fluctuations in interest or currency rates, to the extent such arrangements are required to be unwound or terminated, in accordance with their terms, as a result of the consummation of the Distribution or Merger, calculated, as of the Cut-Off Time, as the amount of any payments that would be required to be paid by such Person to the counterparty banks in the event of an early unwind or early termination of such arrangements at the Cut-Off Time less any amount payable to such Person in connection to such unwind or termination; (d) the amount of any deferred purchase price Liabilities related to past acquisitions for equity, property, assets, goods or services (including holdback amounts or similar items including any contingent obligations to pay a deferred purchase price (including contingent earn-outs but excluding any indemnification or similar non-purchase price obligations) and similar performance-based payment obligations); (e) all obligations under a lease agreement required by GAAP to be recorded as finance lease obligations, but excluding any breakage costs, prepayment penalties or fees or other similar amounts payable in connection with any capitalized leases unless such breakage costs, prepayment penalties, fees or other similar amounts are due and will be paid at the Distribution; (f) (1) any severance obligations with respect to former SpinCo Group Employees (or current SpinCo Group Employees with respect to which notice of termination has been provided, other than with respect to terminations at the direction of Gold) that are outstanding and unpaid as of the Cut-Off Time; (2) all obligations in respect of unpaid and unfunded nonqualified deferred compensation plan liabilities that are transferred to or assumed by any member of the SpinCo Group pursuant to the Employee Matters Agreement, measured as of the Cut-Off Time and determined on an aggregated basis; (3) all cash dividend equivalent rights in respect of any outstanding Company Award (as such term is used in the Employee Matters Agreement) held by a SpinCo Group Employee with respect to the portion of the vesting period elapsed on or prior to the Distribution Time; (4) all unfunded or underfunded liabilities under any defined benefit pension, retirement or similar plans or arrangements (including pension service awards, termination indemnitees, jubilee payments, seniority or gratuity payments, and any penalty payments related thereto) that are transferred to or assumed by any member of the SpinCo Group pursuant to the Employee Matters Agreement, measured as of the most recent practicable date prior to the Distribution Time and determined on a projected benefit obligation basis; (5) any liabilities assumed by the SpinCo Group with respect to the Company Deferred Compensation Plan (as such term is used in the Employee Matters Agreement); (6) the portion of any retention or transaction bonuses payable in connection with the Reorganization, Distribution or Merger that are or become payable by the SpinCo Group as of the Distribution Time (excluding any liabilities or obligations (A) arising in connection with any arrangements entered into at the direction of Gold or any member of Gold Group, (B) pursuant to plans, agreements, arrangements or Contracts approved by the Company in writing that require more than 60 days of continued service following the Distribution Time or (C) arising as a result of both the Reorganization, Distribution or Merger and a termination of employment or continued service following the consummation of the Reorganization, Distribution or Merger); and (7) the employer portion of any Taxes payable by any member of the SpinCo Group with respect to any amounts set forth in the preceding clauses (1) through (6) and calculated as if all such</w:t>
      </w:r>
    </w:p>
    <w:p>
      <w:pPr>
        <w:spacing w:after="0" w:line="28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B-34</w:t>
      </w:r>
    </w:p>
    <w:p>
      <w:pPr>
        <w:sectPr>
          <w:pgSz w:w="11900" w:h="16838" w:orient="portrait"/>
          <w:cols w:equalWidth="0" w:num="1">
            <w:col w:w="10159"/>
          </w:cols>
          <w:pgMar w:left="300" w:top="385" w:right="1440"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700" w:right="219"/>
        <w:spacing w:after="0" w:line="256" w:lineRule="auto"/>
        <w:rPr>
          <w:sz w:val="20"/>
          <w:szCs w:val="20"/>
          <w:color w:val="auto"/>
        </w:rPr>
      </w:pPr>
      <w:r>
        <w:rPr>
          <w:rFonts w:ascii="Times New Roman" w:cs="Times New Roman" w:eastAsia="Times New Roman" w:hAnsi="Times New Roman"/>
          <w:sz w:val="14"/>
          <w:szCs w:val="14"/>
          <w:color w:val="auto"/>
        </w:rPr>
        <w:t>amounts were paid on the Closing Date; (g) one hundred percent (100%) of all deferred revenue and customer advances / deposits associated with Contracts that are SpinCo Contracts (other than with respect to customer owned tooling, which shall be included in the calculation of Net Working Capital); (h) all accrued and unpaid bonuses (including profit-sharing) as of the Cut-Off Time payable to SpinCo Group Employees, (i) the amount of any unpaid Company Taxes that will be payable by SpinCo or a member of the SpinCo Group; (j) all outstanding factored accounts receivable;</w:t>
      </w:r>
    </w:p>
    <w:p>
      <w:pPr>
        <w:spacing w:after="0" w:line="1" w:lineRule="exact"/>
        <w:rPr>
          <w:sz w:val="20"/>
          <w:szCs w:val="20"/>
          <w:color w:val="auto"/>
        </w:rPr>
      </w:pPr>
    </w:p>
    <w:p>
      <w:pPr>
        <w:ind w:left="1900" w:hanging="202"/>
        <w:spacing w:after="0"/>
        <w:tabs>
          <w:tab w:leader="none" w:pos="1900" w:val="left"/>
        </w:tabs>
        <w:numPr>
          <w:ilvl w:val="0"/>
          <w:numId w:val="4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unpaid capital expenditures in accounts payable; (l) any unpaid liabilities related to the items set forth on </w:t>
      </w:r>
      <w:r>
        <w:rPr>
          <w:rFonts w:ascii="Times New Roman" w:cs="Times New Roman" w:eastAsia="Times New Roman" w:hAnsi="Times New Roman"/>
          <w:sz w:val="14"/>
          <w:szCs w:val="14"/>
          <w:u w:val="single" w:color="auto"/>
          <w:color w:val="auto"/>
        </w:rPr>
        <w:t>Schedule 2.11(a)(viii)</w:t>
      </w:r>
      <w:r>
        <w:rPr>
          <w:rFonts w:ascii="Times New Roman" w:cs="Times New Roman" w:eastAsia="Times New Roman" w:hAnsi="Times New Roman"/>
          <w:sz w:val="14"/>
          <w:szCs w:val="14"/>
          <w:color w:val="auto"/>
        </w:rPr>
        <w:t>; and</w:t>
      </w:r>
    </w:p>
    <w:p>
      <w:pPr>
        <w:spacing w:after="0" w:line="7" w:lineRule="exact"/>
        <w:rPr>
          <w:rFonts w:ascii="Times New Roman" w:cs="Times New Roman" w:eastAsia="Times New Roman" w:hAnsi="Times New Roman"/>
          <w:sz w:val="14"/>
          <w:szCs w:val="14"/>
          <w:color w:val="auto"/>
        </w:rPr>
      </w:pPr>
    </w:p>
    <w:p>
      <w:pPr>
        <w:ind w:left="1700" w:right="279" w:hanging="2"/>
        <w:spacing w:after="0" w:line="251" w:lineRule="auto"/>
        <w:tabs>
          <w:tab w:leader="none" w:pos="1937" w:val="left"/>
        </w:tabs>
        <w:numPr>
          <w:ilvl w:val="0"/>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guaranties of any obligations of the types described in the preceding clauses (a) through (l), inclusive, of any other Person;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after the Cut-Off Time but prior to the Distribution, any SpinCo Cash is distributed to the Company or used to pay any SpinCo Designated Transaction Expenses, SpinCo Indebtedness, such amounts shall not be included in the calculation of Estimated SpinCo Cash or Final SpinCo Cash. Notwithstanding the foregoing, “SpinCo Indebtedness” does not include the aggregate amount outstanding with respect to any of the following of any member of the SpinCo Group as of the Cut-Off Time: (a) any operating or other lease obligations not required to be recorded as finance lease obligations between or among SpinCo and any other member of the SpinCo Group; (b) intercompany obligations between or among SpinCo and any other member of the SpinCo Group to the extent such obligations are not terminated as of the Closing in accordance with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(c) any obligations under any undrawn letters of credit, banker’s acceptances, performance bonds or similar obligations; (d) any SpinCo Indebtedness incurred by or at the direction of Gold and/or any of its Affiliates, including any SpinCo Indebtedness incurred by any such Persons in connection with the Distribution or the transactions contemplated by the Merger Agreement, including indebtedness incurred pursuant to the SpinCo Financing or (e) any amounts included in the definition or calculation of Net Working Capital or SpinCo Designated Transaction Expenses.</w:t>
      </w:r>
    </w:p>
    <w:p>
      <w:pPr>
        <w:spacing w:after="0" w:line="65" w:lineRule="exact"/>
        <w:rPr>
          <w:rFonts w:ascii="Times New Roman" w:cs="Times New Roman" w:eastAsia="Times New Roman" w:hAnsi="Times New Roman"/>
          <w:sz w:val="14"/>
          <w:szCs w:val="14"/>
          <w:color w:val="auto"/>
        </w:rPr>
      </w:pPr>
    </w:p>
    <w:p>
      <w:pPr>
        <w:ind w:left="2680" w:hanging="241"/>
        <w:spacing w:after="0"/>
        <w:tabs>
          <w:tab w:leader="none" w:pos="2680" w:val="left"/>
        </w:tabs>
        <w:numPr>
          <w:ilvl w:val="2"/>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Target Net Working Capital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Schedule 2.11(a)(ix)</w:t>
      </w:r>
      <w:r>
        <w:rPr>
          <w:rFonts w:ascii="Times New Roman" w:cs="Times New Roman" w:eastAsia="Times New Roman" w:hAnsi="Times New Roman"/>
          <w:sz w:val="14"/>
          <w:szCs w:val="14"/>
          <w:color w:val="auto"/>
        </w:rPr>
        <w:t>.</w:t>
      </w:r>
    </w:p>
    <w:p>
      <w:pPr>
        <w:spacing w:after="0" w:line="177" w:lineRule="exact"/>
        <w:rPr>
          <w:rFonts w:ascii="Times New Roman" w:cs="Times New Roman" w:eastAsia="Times New Roman" w:hAnsi="Times New Roman"/>
          <w:sz w:val="14"/>
          <w:szCs w:val="14"/>
          <w:color w:val="auto"/>
        </w:rPr>
      </w:pPr>
    </w:p>
    <w:p>
      <w:pPr>
        <w:ind w:left="1360" w:right="239" w:firstLine="767"/>
        <w:spacing w:after="0" w:line="253" w:lineRule="auto"/>
        <w:tabs>
          <w:tab w:leader="none" w:pos="2330" w:val="left"/>
        </w:tabs>
        <w:numPr>
          <w:ilvl w:val="1"/>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three (3) Business Days prior to the Closing Date, the Company shall prepare and deliver to SpinCo and Gold a written report (the “</w:t>
      </w:r>
      <w:r>
        <w:rPr>
          <w:rFonts w:ascii="Times New Roman" w:cs="Times New Roman" w:eastAsia="Times New Roman" w:hAnsi="Times New Roman"/>
          <w:sz w:val="14"/>
          <w:szCs w:val="14"/>
          <w:b w:val="1"/>
          <w:bCs w:val="1"/>
          <w:color w:val="auto"/>
        </w:rPr>
        <w:t>Initial Adjustment Statement</w:t>
      </w:r>
      <w:r>
        <w:rPr>
          <w:rFonts w:ascii="Times New Roman" w:cs="Times New Roman" w:eastAsia="Times New Roman" w:hAnsi="Times New Roman"/>
          <w:sz w:val="14"/>
          <w:szCs w:val="14"/>
          <w:color w:val="auto"/>
        </w:rPr>
        <w:t>”) setting forth in reasonable detail the Company’s good faith estimate of (i) the Net Working Capital (such estimate, the “</w:t>
      </w:r>
      <w:r>
        <w:rPr>
          <w:rFonts w:ascii="Times New Roman" w:cs="Times New Roman" w:eastAsia="Times New Roman" w:hAnsi="Times New Roman"/>
          <w:sz w:val="14"/>
          <w:szCs w:val="14"/>
          <w:b w:val="1"/>
          <w:bCs w:val="1"/>
          <w:color w:val="auto"/>
        </w:rPr>
        <w:t>Estimated Net Working Capital</w:t>
      </w:r>
      <w:r>
        <w:rPr>
          <w:rFonts w:ascii="Times New Roman" w:cs="Times New Roman" w:eastAsia="Times New Roman" w:hAnsi="Times New Roman"/>
          <w:sz w:val="14"/>
          <w:szCs w:val="14"/>
          <w:color w:val="auto"/>
        </w:rPr>
        <w:t xml:space="preserve">”), (ii) the Estimated SpinCo Indebtedness, (iii) the Estimated SpinCo Expense Reimbursement, (iv) the Estimated SpinCo Cash, and (v) the Cash Transfer Amount, in each case of clauses (i)-(iv), as of the Cut-Off Time and based on the Company’s books and records and other information available to the Company at the Closing, together with reasonable supporting detail and, except for SpinCo Designated Transaction Expenses, without giving effect to the Distribution or the transactions contemplated by the Merger Agreement and calculated in accordance with the definitions herein and the Accounting Principles. Following the delivery of the Initial Adjustment Statement, but prior to the Closing, the Company will provide Gold reasonable opportunity to review the Initial Adjustment Statement and request in writing reasonable changes to the Initial Adjustment Statement, and the Company shall consider in good faith any changes proposed by Gold, and the Company shall reasonably cooperate with Gold in connection with its review of the Initial Adjustment Statement, including by providing information reasonably necessary or useful in connection therewith as may be reasonably requested by Gold;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no event shall the Closing be delayed as a result of Gold’s review of the Initial Adjustment Statement or comment thereon.</w:t>
      </w:r>
    </w:p>
    <w:p>
      <w:pPr>
        <w:spacing w:after="0" w:line="150"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1"/>
          <w:numId w:val="4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one hundred and twenty (120) days following the Closing Date, Gold shall deliver to the Company a statement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Preliminary Adjustment Statement</w:t>
      </w:r>
      <w:r>
        <w:rPr>
          <w:rFonts w:ascii="Times New Roman" w:cs="Times New Roman" w:eastAsia="Times New Roman" w:hAnsi="Times New Roman"/>
          <w:sz w:val="14"/>
          <w:szCs w:val="14"/>
          <w:color w:val="auto"/>
        </w:rPr>
        <w:t>”) setting forth in reasonable detail Gold’s good faith calculation of (i) the Net Working Capital, (ii) SpinCo Cash,</w:t>
      </w:r>
    </w:p>
    <w:p>
      <w:pPr>
        <w:spacing w:after="0" w:line="7" w:lineRule="exact"/>
        <w:rPr>
          <w:sz w:val="20"/>
          <w:szCs w:val="20"/>
          <w:color w:val="auto"/>
        </w:rPr>
      </w:pPr>
    </w:p>
    <w:p>
      <w:pPr>
        <w:ind w:left="1360" w:right="239" w:hanging="5"/>
        <w:spacing w:after="0" w:line="254" w:lineRule="auto"/>
        <w:tabs>
          <w:tab w:leader="none" w:pos="1605" w:val="left"/>
        </w:tabs>
        <w:numPr>
          <w:ilvl w:val="0"/>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Indebtedness, (iv) SpinCo Expense Reimbursement and (v) the Cash Transfer Amount, in the case of clauses (i)-(iv), being determined as of the Cut-Off Time, and, except for the SpinCo Designated Transaction Expenses, without giving effect to the Distribution or the transactions contemplated by the Merger Agreement and calculated in accordance with the definitions herein and the Accounting Principles, in each case, together with reasonable supporting detail.</w:t>
      </w:r>
    </w:p>
    <w:p>
      <w:pPr>
        <w:spacing w:after="0" w:line="144" w:lineRule="exact"/>
        <w:rPr>
          <w:rFonts w:ascii="Times New Roman" w:cs="Times New Roman" w:eastAsia="Times New Roman" w:hAnsi="Times New Roman"/>
          <w:sz w:val="14"/>
          <w:szCs w:val="14"/>
          <w:color w:val="auto"/>
        </w:rPr>
      </w:pPr>
    </w:p>
    <w:p>
      <w:pPr>
        <w:ind w:left="1360" w:right="379" w:firstLine="767"/>
        <w:spacing w:after="0" w:line="283" w:lineRule="auto"/>
        <w:tabs>
          <w:tab w:leader="none" w:pos="2330" w:val="left"/>
        </w:tabs>
        <w:numPr>
          <w:ilvl w:val="1"/>
          <w:numId w:val="4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disagrees with the calculations set forth in the Preliminary Adjustment Statement, the Company will deliver to Gold, within sixty (60) days after receipt by the Company of the Preliminary</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B-35</w:t>
      </w:r>
    </w:p>
    <w:p>
      <w:pPr>
        <w:sectPr>
          <w:pgSz w:w="11900" w:h="16838" w:orient="portrait"/>
          <w:cols w:equalWidth="0" w:num="1">
            <w:col w:w="10159"/>
          </w:cols>
          <w:pgMar w:left="300" w:top="386" w:right="1440"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Adjustment Statement (the “</w:t>
      </w:r>
      <w:r>
        <w:rPr>
          <w:rFonts w:ascii="Times New Roman" w:cs="Times New Roman" w:eastAsia="Times New Roman" w:hAnsi="Times New Roman"/>
          <w:sz w:val="14"/>
          <w:szCs w:val="14"/>
          <w:b w:val="1"/>
          <w:bCs w:val="1"/>
          <w:color w:val="auto"/>
        </w:rPr>
        <w:t>Review Period</w:t>
      </w:r>
      <w:r>
        <w:rPr>
          <w:rFonts w:ascii="Times New Roman" w:cs="Times New Roman" w:eastAsia="Times New Roman" w:hAnsi="Times New Roman"/>
          <w:sz w:val="14"/>
          <w:szCs w:val="14"/>
          <w:color w:val="auto"/>
        </w:rPr>
        <w:t>”) a written statement of its disagreement specifying in reasonable detail the particulars of the disagreement, including the nature and amount of any disputes as to the Preliminary Adjustment Statement (the “</w:t>
      </w:r>
      <w:r>
        <w:rPr>
          <w:rFonts w:ascii="Times New Roman" w:cs="Times New Roman" w:eastAsia="Times New Roman" w:hAnsi="Times New Roman"/>
          <w:sz w:val="14"/>
          <w:szCs w:val="14"/>
          <w:b w:val="1"/>
          <w:bCs w:val="1"/>
          <w:color w:val="auto"/>
        </w:rPr>
        <w:t>Notice of Disagreement</w:t>
      </w:r>
      <w:r>
        <w:rPr>
          <w:rFonts w:ascii="Times New Roman" w:cs="Times New Roman" w:eastAsia="Times New Roman" w:hAnsi="Times New Roman"/>
          <w:sz w:val="14"/>
          <w:szCs w:val="14"/>
          <w:color w:val="auto"/>
        </w:rPr>
        <w:t xml:space="preserve">”). The Company will be deemed to have agreed with the items and amounts in the Preliminary Adjustment Statement not specifically identified in such Notice of Disagreement, and such items and amounts shall not be subject to review in accordance with </w:t>
      </w:r>
      <w:r>
        <w:rPr>
          <w:rFonts w:ascii="Times New Roman" w:cs="Times New Roman" w:eastAsia="Times New Roman" w:hAnsi="Times New Roman"/>
          <w:sz w:val="14"/>
          <w:szCs w:val="14"/>
          <w:u w:val="single" w:color="auto"/>
          <w:color w:val="auto"/>
        </w:rPr>
        <w:t>Section 2.11(e)</w:t>
      </w:r>
      <w:r>
        <w:rPr>
          <w:rFonts w:ascii="Times New Roman" w:cs="Times New Roman" w:eastAsia="Times New Roman" w:hAnsi="Times New Roman"/>
          <w:sz w:val="14"/>
          <w:szCs w:val="14"/>
          <w:color w:val="auto"/>
        </w:rPr>
        <w:t>. If the Company does not deliver a Notice of Disagreement within the Review Period, the Preliminary Adjustment Statement shall become final and binding on the last day of the Review Period (the “</w:t>
      </w:r>
      <w:r>
        <w:rPr>
          <w:rFonts w:ascii="Times New Roman" w:cs="Times New Roman" w:eastAsia="Times New Roman" w:hAnsi="Times New Roman"/>
          <w:sz w:val="14"/>
          <w:szCs w:val="14"/>
          <w:b w:val="1"/>
          <w:bCs w:val="1"/>
          <w:color w:val="auto"/>
        </w:rPr>
        <w:t>Final Adjustment Statement</w:t>
      </w:r>
      <w:r>
        <w:rPr>
          <w:rFonts w:ascii="Times New Roman" w:cs="Times New Roman" w:eastAsia="Times New Roman" w:hAnsi="Times New Roman"/>
          <w:sz w:val="14"/>
          <w:szCs w:val="14"/>
          <w:color w:val="auto"/>
        </w:rPr>
        <w:t xml:space="preserve">” for purposes of the payment (if any) contemplated by </w:t>
      </w:r>
      <w:r>
        <w:rPr>
          <w:rFonts w:ascii="Times New Roman" w:cs="Times New Roman" w:eastAsia="Times New Roman" w:hAnsi="Times New Roman"/>
          <w:sz w:val="14"/>
          <w:szCs w:val="14"/>
          <w:u w:val="single" w:color="auto"/>
          <w:color w:val="auto"/>
        </w:rPr>
        <w:t>Section 2.11(k)</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360" w:right="219" w:firstLine="767"/>
        <w:spacing w:after="0" w:line="251" w:lineRule="auto"/>
        <w:tabs>
          <w:tab w:leader="none" w:pos="2322" w:val="left"/>
        </w:tabs>
        <w:numPr>
          <w:ilvl w:val="0"/>
          <w:numId w:val="4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delivers to Gold a Notice of Disagreement during the Review Period, the Company and Gold will attempt to resolve in good faith the matters contained in the Notice of Disagreement during the 30 day period after delivery of the Notice of Disagreement (the “</w:t>
      </w:r>
      <w:r>
        <w:rPr>
          <w:rFonts w:ascii="Times New Roman" w:cs="Times New Roman" w:eastAsia="Times New Roman" w:hAnsi="Times New Roman"/>
          <w:sz w:val="14"/>
          <w:szCs w:val="14"/>
          <w:b w:val="1"/>
          <w:bCs w:val="1"/>
          <w:color w:val="auto"/>
        </w:rPr>
        <w:t>Resolution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Period</w:t>
      </w:r>
      <w:r>
        <w:rPr>
          <w:rFonts w:ascii="Times New Roman" w:cs="Times New Roman" w:eastAsia="Times New Roman" w:hAnsi="Times New Roman"/>
          <w:sz w:val="14"/>
          <w:szCs w:val="14"/>
          <w:color w:val="auto"/>
        </w:rPr>
        <w:t>”). Rule 408 of the Federal Rules of Evidence shall apply to each of the Company and Gold during any discussions or negotiations during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Resolution Period. Any disputed items resolved in writing by the Company and Gold during the Resolution Period shall be final and binding with respect to such items, and if the Company and Gold agree in writing on the resolution of each disputed item specified by the Company in the Notice of Disagreement, the amounts so determined shall be final and binding on the parties for all purposes hereunder and, together with the items and amounts in the Preliminary Adjustment Statement and not specifically identified in the Notice of Disagreement, will be the “</w:t>
      </w:r>
      <w:r>
        <w:rPr>
          <w:rFonts w:ascii="Times New Roman" w:cs="Times New Roman" w:eastAsia="Times New Roman" w:hAnsi="Times New Roman"/>
          <w:sz w:val="14"/>
          <w:szCs w:val="14"/>
          <w:b w:val="1"/>
          <w:bCs w:val="1"/>
          <w:color w:val="auto"/>
        </w:rPr>
        <w:t>Final Adjustment Statement</w:t>
      </w:r>
      <w:r>
        <w:rPr>
          <w:rFonts w:ascii="Times New Roman" w:cs="Times New Roman" w:eastAsia="Times New Roman" w:hAnsi="Times New Roman"/>
          <w:sz w:val="14"/>
          <w:szCs w:val="14"/>
          <w:color w:val="auto"/>
        </w:rPr>
        <w:t xml:space="preserve">” for purposes of the payment (if any) contemplated by </w:t>
      </w:r>
      <w:r>
        <w:rPr>
          <w:rFonts w:ascii="Times New Roman" w:cs="Times New Roman" w:eastAsia="Times New Roman" w:hAnsi="Times New Roman"/>
          <w:sz w:val="14"/>
          <w:szCs w:val="14"/>
          <w:u w:val="single" w:color="auto"/>
          <w:color w:val="auto"/>
        </w:rPr>
        <w:t>Section 2.11(k)</w:t>
      </w:r>
      <w:r>
        <w:rPr>
          <w:rFonts w:ascii="Times New Roman" w:cs="Times New Roman" w:eastAsia="Times New Roman" w:hAnsi="Times New Roman"/>
          <w:sz w:val="14"/>
          <w:szCs w:val="14"/>
          <w:color w:val="auto"/>
        </w:rPr>
        <w:t>. If such a resolution is not reached during the Resolution Period, the Company and Gold shall retain a nationally recognized independent certified public accounting firm in the United States mutually acceptable to the Company and Gold (the “</w:t>
      </w:r>
      <w:r>
        <w:rPr>
          <w:rFonts w:ascii="Times New Roman" w:cs="Times New Roman" w:eastAsia="Times New Roman" w:hAnsi="Times New Roman"/>
          <w:sz w:val="14"/>
          <w:szCs w:val="14"/>
          <w:b w:val="1"/>
          <w:bCs w:val="1"/>
          <w:color w:val="auto"/>
        </w:rPr>
        <w:t>Independent Accounting Firm</w:t>
      </w:r>
      <w:r>
        <w:rPr>
          <w:rFonts w:ascii="Times New Roman" w:cs="Times New Roman" w:eastAsia="Times New Roman" w:hAnsi="Times New Roman"/>
          <w:sz w:val="14"/>
          <w:szCs w:val="14"/>
          <w:color w:val="auto"/>
        </w:rPr>
        <w:t>”). The Company and Gold will enter into a customary engagement letter with the Independent Accounting Firm promptly after such selection and submit any unresolved objections covered by the Notice of Disagreement (the “</w:t>
      </w:r>
      <w:r>
        <w:rPr>
          <w:rFonts w:ascii="Times New Roman" w:cs="Times New Roman" w:eastAsia="Times New Roman" w:hAnsi="Times New Roman"/>
          <w:sz w:val="14"/>
          <w:szCs w:val="14"/>
          <w:b w:val="1"/>
          <w:bCs w:val="1"/>
          <w:color w:val="auto"/>
        </w:rPr>
        <w:t>Disputed Items</w:t>
      </w:r>
      <w:r>
        <w:rPr>
          <w:rFonts w:ascii="Times New Roman" w:cs="Times New Roman" w:eastAsia="Times New Roman" w:hAnsi="Times New Roman"/>
          <w:sz w:val="14"/>
          <w:szCs w:val="14"/>
          <w:color w:val="auto"/>
        </w:rPr>
        <w:t xml:space="preserve">”) to the Independent Accounting Firm for resolution in accordance with this </w:t>
      </w:r>
      <w:r>
        <w:rPr>
          <w:rFonts w:ascii="Times New Roman" w:cs="Times New Roman" w:eastAsia="Times New Roman" w:hAnsi="Times New Roman"/>
          <w:sz w:val="14"/>
          <w:szCs w:val="14"/>
          <w:u w:val="single" w:color="auto"/>
          <w:color w:val="auto"/>
        </w:rPr>
        <w:t>Section 2.11(e)</w:t>
      </w:r>
      <w:r>
        <w:rPr>
          <w:rFonts w:ascii="Times New Roman" w:cs="Times New Roman" w:eastAsia="Times New Roman" w:hAnsi="Times New Roman"/>
          <w:sz w:val="14"/>
          <w:szCs w:val="14"/>
          <w:color w:val="auto"/>
        </w:rPr>
        <w:t xml:space="preserve">, together with a copy of this Agreement and the Preliminary Adjustment Statement, promptly after entering into such engagement letter (but in any event, no later than ten (10) days after entering into such engagement letter);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and Gold cannot assign a value to any Disputed Item that is more favorable to such Party than what such Party included in the Notice of Disagreement or the Preliminary Adjustment Statement, respectively. In acting under this Agreement, the Independent Accounting Firm shall function solely as an expert and not as an arbitrator;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Independent Accounting Firm shall have the power to conclusively resolve differences in disputed items as specified in this Agreement. All communications by the Parties and their respective Representatives with the Independent Accounting Firm relating to any matter disputed in accordance with this </w:t>
      </w:r>
      <w:r>
        <w:rPr>
          <w:rFonts w:ascii="Times New Roman" w:cs="Times New Roman" w:eastAsia="Times New Roman" w:hAnsi="Times New Roman"/>
          <w:sz w:val="14"/>
          <w:szCs w:val="14"/>
          <w:u w:val="single" w:color="auto"/>
          <w:color w:val="auto"/>
        </w:rPr>
        <w:t>Section 2.11(e)</w:t>
      </w:r>
      <w:r>
        <w:rPr>
          <w:rFonts w:ascii="Times New Roman" w:cs="Times New Roman" w:eastAsia="Times New Roman" w:hAnsi="Times New Roman"/>
          <w:sz w:val="14"/>
          <w:szCs w:val="14"/>
          <w:color w:val="auto"/>
        </w:rPr>
        <w:t xml:space="preserve"> shall be conducted only as follows: (i) all such communications shall include at least one Representative of each of the Company and Gold, (ii) there shall be no ex parte communications between any Party (or its Representatives), on the one hand, and the Independent Accounting Firm, on the other hand, (iii) no Party shall disclose to the Independent Accounting Firm any confidential settlement negotiations related to the Final Adjustment Statement, and (iv) unless requested by the Independent Accounting Firm in writing, no Party may present additional information or arguments to the Independent Accounting Firm, either orally or in writing. The Company and Gold shall use their commercially reasonable efforts to cause the Independent Accounting Firm to render a written decision resolving the matters submitted to it within 30 days following the submission thereof. The scope of the disputes to be resolved by the Independent Accounting Firm shall be limited to correcting mathematical errors and determining whether the items and amounts in dispute were determined in accordance with the Accounting Principles and the applicable terms and definitions set forth in this Agreement, and the Independent Accounting Firm shall not be permitted to make any other determination, including any determination as to whether the Target Net Working Capital or any estimates on the Preliminary Adjustment Statement are correct, adequate or sufficient. The Independent Accounting Firm’s determination of the Disputed Items shall be based solely on written materials submitted by the Company and Gold (i.e., not on independent review). The determination of the Independent Accounting Firm shall be conclusive and binding upon the parties hereto and shall not be subject to appeal or further review (absent fraud or manifest error). The Preliminary Adjustment Statement, as modified by any changes thereto in accordance with any adjustments agreed in writing between the Company and Gold during the Resolution Period and as determined by the Independent Accounting</w:t>
      </w:r>
    </w:p>
    <w:p>
      <w:pPr>
        <w:spacing w:after="0" w:line="1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B-36</w:t>
      </w:r>
    </w:p>
    <w:p>
      <w:pPr>
        <w:sectPr>
          <w:pgSz w:w="11900" w:h="16838" w:orient="portrait"/>
          <w:cols w:equalWidth="0" w:num="1">
            <w:col w:w="10159"/>
          </w:cols>
          <w:pgMar w:left="300" w:top="385" w:right="1440"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Firm, will be the “</w:t>
      </w:r>
      <w:r>
        <w:rPr>
          <w:rFonts w:ascii="Times New Roman" w:cs="Times New Roman" w:eastAsia="Times New Roman" w:hAnsi="Times New Roman"/>
          <w:sz w:val="14"/>
          <w:szCs w:val="14"/>
          <w:b w:val="1"/>
          <w:bCs w:val="1"/>
          <w:color w:val="auto"/>
        </w:rPr>
        <w:t>Final Adjustment Statement</w:t>
      </w:r>
      <w:r>
        <w:rPr>
          <w:rFonts w:ascii="Times New Roman" w:cs="Times New Roman" w:eastAsia="Times New Roman" w:hAnsi="Times New Roman"/>
          <w:sz w:val="14"/>
          <w:szCs w:val="14"/>
          <w:color w:val="auto"/>
        </w:rPr>
        <w:t xml:space="preserve">” for purposes of the payment (if any) contemplated by </w:t>
      </w:r>
      <w:r>
        <w:rPr>
          <w:rFonts w:ascii="Times New Roman" w:cs="Times New Roman" w:eastAsia="Times New Roman" w:hAnsi="Times New Roman"/>
          <w:sz w:val="14"/>
          <w:szCs w:val="14"/>
          <w:u w:val="single" w:color="auto"/>
          <w:color w:val="auto"/>
        </w:rPr>
        <w:t>Section 2.11(k)</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1360" w:right="299" w:firstLine="767"/>
        <w:spacing w:after="0" w:line="257" w:lineRule="auto"/>
        <w:tabs>
          <w:tab w:leader="none" w:pos="2307"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Company and Gold (including SpinCo) will (A) pay its own respective costs and expenses incurred in connection with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and (B) be responsible for the fees and expenses of the Independent Accounting Firm in connection with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on a pro rata basis based upon the inverse of the degree to which the Independent Accounting Firm has accepted the respective positions of the Company and Gold (which will be determined by the Independent Accounting Firm and set forth in the Independent Accounting Firm’s report). For example, if the Independent Accounting Firm determines that it accepted seventy percent (70%) of the position of the Company, the Company will pay thirty percent (30%) of the fees and expenses of the Independent Accounting Firm and Gold will pay the remaining seventy percent (70%) of such fees and expenses.</w:t>
      </w:r>
    </w:p>
    <w:p>
      <w:pPr>
        <w:spacing w:after="0" w:line="143" w:lineRule="exact"/>
        <w:rPr>
          <w:rFonts w:ascii="Times New Roman" w:cs="Times New Roman" w:eastAsia="Times New Roman" w:hAnsi="Times New Roman"/>
          <w:sz w:val="14"/>
          <w:szCs w:val="14"/>
          <w:color w:val="auto"/>
        </w:rPr>
      </w:pPr>
    </w:p>
    <w:p>
      <w:pPr>
        <w:ind w:left="1360" w:right="279" w:firstLine="767"/>
        <w:spacing w:after="0" w:line="254" w:lineRule="auto"/>
        <w:tabs>
          <w:tab w:leader="none" w:pos="233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the matters set forth in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during the Review Period and Resolution Period, if applicable, each Party and its Representatives shall, subject to execution of customary access letters (if applicable), afford to the other Party and its Representatives reasonable access during normal business hours and upon reasonable prior notice to the personnel and books and records of their respective Groups or their respective Representatives and in a manner that does not adversely interfere with the conduct of such other Party’s business, and to any other information reasonably required for purposes of preparing and reviewing the calculations contemplated in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the event that the Party to whom the request has been made determines in good faith that any such provision of information could reasonably be expected to violate any Law or agreement, waive any legal privilege available under applicable Law, including any attorney-client privilege, attorney work product privilege, and confidentiality privileges applying to federally authorized tax practitioners under Section 7525 of the Code (or any similar provision of state, local, foreign or other tax law), or breach any duty of confidentiality owed to any Person, then the Parties shall use commercially reasonable efforts to permit compliance with such obligations to the extent and in a manner that avoids any such harm or consequence.</w:t>
      </w:r>
    </w:p>
    <w:p>
      <w:pPr>
        <w:spacing w:after="0" w:line="146" w:lineRule="exact"/>
        <w:rPr>
          <w:rFonts w:ascii="Times New Roman" w:cs="Times New Roman" w:eastAsia="Times New Roman" w:hAnsi="Times New Roman"/>
          <w:sz w:val="14"/>
          <w:szCs w:val="14"/>
          <w:color w:val="auto"/>
        </w:rPr>
      </w:pPr>
    </w:p>
    <w:p>
      <w:pPr>
        <w:ind w:left="1360" w:right="339" w:firstLine="767"/>
        <w:spacing w:after="0" w:line="261" w:lineRule="auto"/>
        <w:tabs>
          <w:tab w:leader="none" w:pos="233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avoidance of doubt,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is not intended to be used to permit the introduction of different judgments, accounting methodologies (including with respect to accruals and reserves), policies, principals, practices, procedures or classifications for purposes of calculating amounts referred to in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or to adjust for any inconsistencies between the Accounting Principles, on the one hand, and GAAP, on the other.</w:t>
      </w:r>
    </w:p>
    <w:p>
      <w:pPr>
        <w:spacing w:after="0" w:line="140" w:lineRule="exact"/>
        <w:rPr>
          <w:rFonts w:ascii="Times New Roman" w:cs="Times New Roman" w:eastAsia="Times New Roman" w:hAnsi="Times New Roman"/>
          <w:sz w:val="14"/>
          <w:szCs w:val="14"/>
          <w:color w:val="auto"/>
        </w:rPr>
      </w:pPr>
    </w:p>
    <w:p>
      <w:pPr>
        <w:ind w:left="1360" w:right="239" w:firstLine="767"/>
        <w:spacing w:after="0" w:line="255" w:lineRule="auto"/>
        <w:tabs>
          <w:tab w:leader="none" w:pos="2299"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and Gold agree that the procedures set forth in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for resolving disputes with respect to the Preliminary Adjustment Statement shall be the sole and exclusive method for resolving any such disputes;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provision shall not prohibit any party from instituting litigation to enforce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including any decision pursuant to the terms hereof by the Independent Accounting Firm in any court of competent jurisdiction. The substance of the Independent Accounting Firm’s determination shall not be subject to review or appeal, absent a showing of fraud or manifest error. It is the intent of the Parties to have any determination of Disputed Items by the Independent Accounting Firm proceed in an expeditious manner;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deadline or time period contained herein may be extended or modified by agreement of the Parties, and the Parties agree that the failure of the Independent Accounting Firm to strictly conform to any deadline or time period contained herein shall not be a basis for seeking to overturn any determination rendered by the Independent Accounting Firm.</w:t>
      </w:r>
    </w:p>
    <w:p>
      <w:pPr>
        <w:spacing w:after="0" w:line="143" w:lineRule="exact"/>
        <w:rPr>
          <w:rFonts w:ascii="Times New Roman" w:cs="Times New Roman" w:eastAsia="Times New Roman" w:hAnsi="Times New Roman"/>
          <w:sz w:val="14"/>
          <w:szCs w:val="14"/>
          <w:color w:val="auto"/>
        </w:rPr>
      </w:pPr>
    </w:p>
    <w:p>
      <w:pPr>
        <w:ind w:left="2300" w:hanging="173"/>
        <w:spacing w:after="0"/>
        <w:tabs>
          <w:tab w:leader="none" w:pos="230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Working Capital set forth in the Final Adjustment Statement is referred to herein as the “</w:t>
      </w:r>
      <w:r>
        <w:rPr>
          <w:rFonts w:ascii="Times New Roman" w:cs="Times New Roman" w:eastAsia="Times New Roman" w:hAnsi="Times New Roman"/>
          <w:sz w:val="14"/>
          <w:szCs w:val="14"/>
          <w:b w:val="1"/>
          <w:bCs w:val="1"/>
          <w:color w:val="auto"/>
        </w:rPr>
        <w:t>Final Net Working Capital</w:t>
      </w:r>
      <w:r>
        <w:rPr>
          <w:rFonts w:ascii="Times New Roman" w:cs="Times New Roman" w:eastAsia="Times New Roman" w:hAnsi="Times New Roman"/>
          <w:sz w:val="14"/>
          <w:szCs w:val="14"/>
          <w:color w:val="auto"/>
        </w:rPr>
        <w:t>”.</w:t>
      </w:r>
    </w:p>
    <w:p>
      <w:pPr>
        <w:spacing w:after="0" w:line="177" w:lineRule="exact"/>
        <w:rPr>
          <w:rFonts w:ascii="Times New Roman" w:cs="Times New Roman" w:eastAsia="Times New Roman" w:hAnsi="Times New Roman"/>
          <w:sz w:val="14"/>
          <w:szCs w:val="14"/>
          <w:color w:val="auto"/>
        </w:rPr>
      </w:pPr>
    </w:p>
    <w:p>
      <w:pPr>
        <w:ind w:left="1360" w:right="259" w:firstLine="767"/>
        <w:spacing w:after="0" w:line="267" w:lineRule="auto"/>
        <w:tabs>
          <w:tab w:leader="none" w:pos="2330" w:val="left"/>
        </w:tabs>
        <w:numPr>
          <w:ilvl w:val="0"/>
          <w:numId w:val="4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Within five (5) Business Days after the determination of the Final Cash Transfer Amount pursuant to </w:t>
      </w:r>
      <w:r>
        <w:rPr>
          <w:rFonts w:ascii="Times New Roman" w:cs="Times New Roman" w:eastAsia="Times New Roman" w:hAnsi="Times New Roman"/>
          <w:sz w:val="14"/>
          <w:szCs w:val="14"/>
          <w:u w:val="single" w:color="auto"/>
          <w:color w:val="auto"/>
        </w:rPr>
        <w:t>Section 2.11(e)</w:t>
      </w:r>
      <w:r>
        <w:rPr>
          <w:rFonts w:ascii="Times New Roman" w:cs="Times New Roman" w:eastAsia="Times New Roman" w:hAnsi="Times New Roman"/>
          <w:sz w:val="14"/>
          <w:szCs w:val="14"/>
          <w:color w:val="auto"/>
        </w:rPr>
        <w:t>, (i) if the Final Cash Transfer Amount exceeds the Cash Transfer Amount, SpinCo will pay to the Company the amount of such excess, by wire transfer of immediately available funds to one (1) or more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B-37</w:t>
      </w:r>
    </w:p>
    <w:p>
      <w:pPr>
        <w:sectPr>
          <w:pgSz w:w="11900" w:h="16838" w:orient="portrait"/>
          <w:cols w:equalWidth="0" w:num="1">
            <w:col w:w="10159"/>
          </w:cols>
          <w:pgMar w:left="300" w:top="386" w:right="1440"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 xml:space="preserve">accounts designated in writing by the Company or (ii) if the Cash Transfer Amount exceeds the Final Cash Transfer Amount, the Company will pay to SpinCo the amount of such excess, by wire transfer of immediately available funds to one (1) or more accounts designated in writing by SpinCo. Any payment pursuant to this </w:t>
      </w:r>
      <w:r>
        <w:rPr>
          <w:rFonts w:ascii="Times New Roman" w:cs="Times New Roman" w:eastAsia="Times New Roman" w:hAnsi="Times New Roman"/>
          <w:sz w:val="14"/>
          <w:szCs w:val="14"/>
          <w:u w:val="single" w:color="auto"/>
          <w:color w:val="auto"/>
        </w:rPr>
        <w:t>Section 2.11(k)</w:t>
      </w:r>
      <w:r>
        <w:rPr>
          <w:rFonts w:ascii="Times New Roman" w:cs="Times New Roman" w:eastAsia="Times New Roman" w:hAnsi="Times New Roman"/>
          <w:sz w:val="14"/>
          <w:szCs w:val="14"/>
          <w:color w:val="auto"/>
        </w:rPr>
        <w:t xml:space="preserve"> shall be treated as an adjustment to the Cash Transfer for all U.S. federal (and applicable state, local and foreign) income tax purposes.</w:t>
      </w:r>
    </w:p>
    <w:p>
      <w:pPr>
        <w:spacing w:after="0" w:line="141" w:lineRule="exact"/>
        <w:rPr>
          <w:sz w:val="20"/>
          <w:szCs w:val="20"/>
          <w:color w:val="auto"/>
        </w:rPr>
      </w:pPr>
    </w:p>
    <w:p>
      <w:pPr>
        <w:ind w:left="1360" w:right="259" w:firstLine="767"/>
        <w:spacing w:after="0" w:line="254" w:lineRule="auto"/>
        <w:tabs>
          <w:tab w:leader="none" w:pos="2299" w:val="left"/>
        </w:tabs>
        <w:numPr>
          <w:ilvl w:val="0"/>
          <w:numId w:val="4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avoidance of doubt, the Net Working Capital of SpinCo, Final SpinCo Cash, Final SpinCo Indebtedness and Final SpinCo Expense Reimbursement shall all be calculated for the purposes of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and in the calculation of the Cash Transfer Amount and Final Cash Transfer Amount as of immediately prior to the Distribution and shall entirely disregard (x) any and all effects on SpinCo and its Subsidiaries (including the assets and liabilities of SpinCo and its Subsidiaries) as a result of the transactions contemplated by this Agreement and the Merger Agreement (for the avoidance of doubt, other than with respect to the calculation of the SpinCo Expense Reimbursement) or of any financing or refinancing arrangements entered into at any time by Gold or any other transaction entered into by Gold in connection with the consummation of the transactions contemplated by this Agreement and the Merger Agreement and (y) any of the plans, transactions, fundings, payments or changes which Gold initiates or makes or causes to be initiated or made on or after the Closing with respect to SpinCo and its Subsidiaries or their business or assets, or any facts or circumstances that are unique or particular to Gold or any of its assets or liabilities.</w:t>
      </w:r>
    </w:p>
    <w:p>
      <w:pPr>
        <w:spacing w:after="0" w:line="1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2.12 </w:t>
      </w:r>
      <w:r>
        <w:rPr>
          <w:rFonts w:ascii="Times New Roman" w:cs="Times New Roman" w:eastAsia="Times New Roman" w:hAnsi="Times New Roman"/>
          <w:sz w:val="14"/>
          <w:szCs w:val="14"/>
          <w:u w:val="single" w:color="auto"/>
          <w:color w:val="auto"/>
        </w:rPr>
        <w:t>Bank Accounts; Cash Balances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767"/>
        <w:spacing w:after="0" w:line="255" w:lineRule="auto"/>
        <w:tabs>
          <w:tab w:leader="none" w:pos="2322"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SpinCo agrees to take, or cause the members of its Group to take, at the Distribution Time (or such earlier time as the Parties may agree), all actions necessary to amend all Contracts governing each bank and brokerage account owned by SpinCo or any other member of the SpinCo Group (collectively, the “</w:t>
      </w:r>
      <w:r>
        <w:rPr>
          <w:rFonts w:ascii="Times New Roman" w:cs="Times New Roman" w:eastAsia="Times New Roman" w:hAnsi="Times New Roman"/>
          <w:sz w:val="14"/>
          <w:szCs w:val="14"/>
          <w:b w:val="1"/>
          <w:bCs w:val="1"/>
          <w:color w:val="auto"/>
        </w:rPr>
        <w:t>SpinCo Accounts</w:t>
      </w:r>
      <w:r>
        <w:rPr>
          <w:rFonts w:ascii="Times New Roman" w:cs="Times New Roman" w:eastAsia="Times New Roman" w:hAnsi="Times New Roman"/>
          <w:sz w:val="14"/>
          <w:szCs w:val="14"/>
          <w:color w:val="auto"/>
        </w:rPr>
        <w:t>”) and all Contracts governing each bank or brokerage account owned by the Company or any other member of the Company Group (collectively, the “</w:t>
      </w:r>
      <w:r>
        <w:rPr>
          <w:rFonts w:ascii="Times New Roman" w:cs="Times New Roman" w:eastAsia="Times New Roman" w:hAnsi="Times New Roman"/>
          <w:sz w:val="14"/>
          <w:szCs w:val="14"/>
          <w:b w:val="1"/>
          <w:bCs w:val="1"/>
          <w:color w:val="auto"/>
        </w:rPr>
        <w:t>Company Accounts</w:t>
      </w:r>
      <w:r>
        <w:rPr>
          <w:rFonts w:ascii="Times New Roman" w:cs="Times New Roman" w:eastAsia="Times New Roman" w:hAnsi="Times New Roman"/>
          <w:sz w:val="14"/>
          <w:szCs w:val="14"/>
          <w:color w:val="auto"/>
        </w:rPr>
        <w:t xml:space="preserve">”) so that each such SpinCo Account and Company Account, if currently linked (whether by automatic withdrawal, automatic deposit or any other authorization to transfer funds from or to) to any Company Account or SpinCo Account, respectively, is de-linked from such Company Account or SpinCo Account, respectively. Gold hereby agrees to take, or cause the members of the SpinCo Group to take (following the Distribution Time) all actions necessary to create bank or brokerage accounts for the members of the SpinCo Group set forth on </w:t>
      </w:r>
      <w:r>
        <w:rPr>
          <w:rFonts w:ascii="Times New Roman" w:cs="Times New Roman" w:eastAsia="Times New Roman" w:hAnsi="Times New Roman"/>
          <w:sz w:val="14"/>
          <w:szCs w:val="14"/>
          <w:u w:val="single" w:color="auto"/>
          <w:color w:val="auto"/>
        </w:rPr>
        <w:t>Schedule 2.12(a)</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33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 is intended that, following consummation of the actions contemplated by </w:t>
      </w:r>
      <w:r>
        <w:rPr>
          <w:rFonts w:ascii="Times New Roman" w:cs="Times New Roman" w:eastAsia="Times New Roman" w:hAnsi="Times New Roman"/>
          <w:sz w:val="14"/>
          <w:szCs w:val="14"/>
          <w:u w:val="single" w:color="auto"/>
          <w:color w:val="auto"/>
        </w:rPr>
        <w:t>Section 2.12(a)</w:t>
      </w:r>
      <w:r>
        <w:rPr>
          <w:rFonts w:ascii="Times New Roman" w:cs="Times New Roman" w:eastAsia="Times New Roman" w:hAnsi="Times New Roman"/>
          <w:sz w:val="14"/>
          <w:szCs w:val="14"/>
          <w:color w:val="auto"/>
        </w:rPr>
        <w:t>, there will be in place a cash management process pursuant to which the SpinCo Accounts will be managed and funds collected will be transferred into one (1) or more accounts maintained by SpinCo or a member of the SpinCo Group.</w:t>
      </w:r>
    </w:p>
    <w:p>
      <w:pPr>
        <w:spacing w:after="0" w:line="135" w:lineRule="exact"/>
        <w:rPr>
          <w:rFonts w:ascii="Times New Roman" w:cs="Times New Roman" w:eastAsia="Times New Roman" w:hAnsi="Times New Roman"/>
          <w:sz w:val="14"/>
          <w:szCs w:val="14"/>
          <w:color w:val="auto"/>
        </w:rPr>
      </w:pPr>
    </w:p>
    <w:p>
      <w:pPr>
        <w:jc w:val="both"/>
        <w:ind w:left="1360" w:right="399" w:firstLine="767"/>
        <w:spacing w:after="0" w:line="267" w:lineRule="auto"/>
        <w:tabs>
          <w:tab w:leader="none" w:pos="2322"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It is intended that, following consummation of the actions contemplated by </w:t>
      </w:r>
      <w:r>
        <w:rPr>
          <w:rFonts w:ascii="Times New Roman" w:cs="Times New Roman" w:eastAsia="Times New Roman" w:hAnsi="Times New Roman"/>
          <w:sz w:val="14"/>
          <w:szCs w:val="14"/>
          <w:u w:val="single" w:color="auto"/>
          <w:color w:val="auto"/>
        </w:rPr>
        <w:t>Section 2.12(a)</w:t>
      </w:r>
      <w:r>
        <w:rPr>
          <w:rFonts w:ascii="Times New Roman" w:cs="Times New Roman" w:eastAsia="Times New Roman" w:hAnsi="Times New Roman"/>
          <w:sz w:val="14"/>
          <w:szCs w:val="14"/>
          <w:color w:val="auto"/>
        </w:rPr>
        <w:t>, there will continue to be in place a cash management process pursuant to which the Company Accounts will be managed and funds collected will be transferred into one (1) or more accounts maintained by the Company or a member of the Company Group.</w:t>
      </w:r>
    </w:p>
    <w:p>
      <w:pPr>
        <w:spacing w:after="0" w:line="135" w:lineRule="exact"/>
        <w:rPr>
          <w:rFonts w:ascii="Times New Roman" w:cs="Times New Roman" w:eastAsia="Times New Roman" w:hAnsi="Times New Roman"/>
          <w:sz w:val="14"/>
          <w:szCs w:val="14"/>
          <w:color w:val="auto"/>
        </w:rPr>
      </w:pPr>
    </w:p>
    <w:p>
      <w:pPr>
        <w:ind w:left="1360" w:right="259" w:firstLine="767"/>
        <w:spacing w:after="0" w:line="267" w:lineRule="auto"/>
        <w:tabs>
          <w:tab w:leader="none" w:pos="2330" w:val="left"/>
        </w:tabs>
        <w:numPr>
          <w:ilvl w:val="0"/>
          <w:numId w:val="4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outstanding checks issued or payments initiated by the Company, SpinCo, or any of the members of their respective Groups prior to the Distribution Time, such outstanding checks and payments shall be honored following the Distribution Time by the Person or Group owning the account on which the check is drawn or from which the payment was initiated, respectively.</w:t>
      </w:r>
    </w:p>
    <w:p>
      <w:pPr>
        <w:spacing w:after="0" w:line="136"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2.13 </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Effective on or prior to the Distribution Time, in accordance with the terms and conditions set forth in the Merger Agreement, each of the Company and SpinCo will, or will cause the applicable members of their Groups to, execute and deliver all Transaction Documents to which it is a party.</w:t>
      </w:r>
    </w:p>
    <w:p>
      <w:pPr>
        <w:spacing w:after="0" w:line="136"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2.14 </w:t>
      </w:r>
      <w:r>
        <w:rPr>
          <w:rFonts w:ascii="Times New Roman" w:cs="Times New Roman" w:eastAsia="Times New Roman" w:hAnsi="Times New Roman"/>
          <w:sz w:val="14"/>
          <w:szCs w:val="14"/>
          <w:u w:val="single" w:color="auto"/>
          <w:color w:val="auto"/>
        </w:rPr>
        <w:t>Disclaimer of Representations and Warranties</w:t>
      </w:r>
      <w:r>
        <w:rPr>
          <w:rFonts w:ascii="Times New Roman" w:cs="Times New Roman" w:eastAsia="Times New Roman" w:hAnsi="Times New Roman"/>
          <w:sz w:val="14"/>
          <w:szCs w:val="14"/>
          <w:color w:val="auto"/>
        </w:rPr>
        <w:t>. EACH OF THE COMPANY (ON BEHALF OF ITSELF AND EACH MEMBER OF THE COMPANY GROUP), SPINCO (ON BEHALF OF ITSELF AND</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B-38</w:t>
      </w:r>
    </w:p>
    <w:p>
      <w:pPr>
        <w:sectPr>
          <w:pgSz w:w="11900" w:h="16838" w:orient="portrait"/>
          <w:cols w:equalWidth="0" w:num="1">
            <w:col w:w="10159"/>
          </w:cols>
          <w:pgMar w:left="300" w:top="386" w:right="1440"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2" w:lineRule="auto"/>
        <w:rPr>
          <w:sz w:val="20"/>
          <w:szCs w:val="20"/>
          <w:color w:val="auto"/>
        </w:rPr>
      </w:pPr>
      <w:r>
        <w:rPr>
          <w:rFonts w:ascii="Times New Roman" w:cs="Times New Roman" w:eastAsia="Times New Roman" w:hAnsi="Times New Roman"/>
          <w:sz w:val="14"/>
          <w:szCs w:val="14"/>
          <w:color w:val="auto"/>
        </w:rPr>
        <w:t>EACH MEMBER OF THE SPINCO GROUP) AND GOLD (ON BEHALF OF ITSELF AND EACH MEMBER OF THE GOLD GROUP) UNDERSTANDS AND AGREES THAT, EXCEPT AS EXPRESSLY SET FORTH HEREIN OR IN ANY OTHER TRANSACTION DOCUMENT OR THE MERGER AGREEMENT, NO PARTY TO THIS AGREEMENT, THE MERGER AGREEMENT, ANY OTHER TRANSACTION DOCUMENT OR ANY OTHER AGREEMENT OR DOCUMENT CONTEMPLATED BY THIS AGREEMENT, THE MERGER AGREEMENT, ANY OTHER TRANSACTION DOCUMENT OR OTHERWISE, IS REPRESENTING OR WARRANTING IN ANY WAY AS TO: (A) THE ASSETS, BUSINESSES OR LIABILITIES TRANSFERRED OR ASSUMED AS CONTEMPLATED HEREBY OR THEREBY, (B) ANY CONSENTS OR APPROVALS REQUIRED IN CONNECTION THEREWITH, (C) THE VALUE OR FREEDOM FROM ANY SECURITY INTERESTS OF, OR ANY OTHER MATTER CONCERNING, ANY ASSETS OF SUCH PARTY, (D) THE ABSENCE OF ANY DEFENSES OR RIGHT OF SETOFF OR FREEDOM FROM COUNTERCLAIM WITH RESPECT TO ANY CLAIM OR OTHER ASSET, INCLUDING ANY ACCOUNTS RECEIVABLE, OF ANY PARTY, OR (E) THE LEGAL SUFFICIENCY OF ANY ASSIGNMENT, DOCUMENT OR INSTRUMENT DELIVERED HEREUNDER TO CONVEY TITLE TO ANY ASSET OR THING OF VALUE UPON THE EXECUTION, DELIVERY AND FILING HEREOF OR THEREOF. EXCEPT AS MAY EXPRESSLY BE SET FORTH HEREIN, THE MERGER AGREEMENT OR IN ANY OTHER TRANSACTION DOCUMENT, ALL SUCH ASSETS ARE BEING TRANSFERRED ON AN “AS-IS,” “WHERE-IS” BASIS (AND, IN THE CASE OF ANY REAL PROPERTY, BY MEANS OF A QUITCLAIM OR SIMILAR FORM OF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 TO THE MAXIMUM EXTENT PERMITTED BY LAW, EXCEPT FOR ANY REPRESENTATIONS AND WARRANTIES SET FORTH IN THIS AGREEMENT OR ANY OTHER TRANSACTION DOCUMENT, SPINCO HEREBY WAIVES AND DISCLAIMS ANY RIGHTS IT MAY HAVE AGAINST THE COMPANY IN CONNECTION WITH THE TRANSFER OF ANY INTEREST IN REAL PROPERTY PERTAINING TO DISCLOSURE OF RELEASES OR SUSPECTED RELEASES, OR THE PRESENCE OF HAZARDOUS MATERIALS WITHIN ANY BUILDING OR FACILITY OR ENVIRONMENTAL CONDITIONS.</w:t>
      </w:r>
    </w:p>
    <w:p>
      <w:pPr>
        <w:spacing w:after="0" w:line="150"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2.15 </w:t>
      </w:r>
      <w:r>
        <w:rPr>
          <w:rFonts w:ascii="Times New Roman" w:cs="Times New Roman" w:eastAsia="Times New Roman" w:hAnsi="Times New Roman"/>
          <w:sz w:val="14"/>
          <w:szCs w:val="14"/>
          <w:u w:val="single" w:color="auto"/>
          <w:color w:val="auto"/>
        </w:rPr>
        <w:t>SpinCo Financing</w:t>
      </w:r>
      <w:r>
        <w:rPr>
          <w:rFonts w:ascii="Times New Roman" w:cs="Times New Roman" w:eastAsia="Times New Roman" w:hAnsi="Times New Roman"/>
          <w:sz w:val="14"/>
          <w:szCs w:val="14"/>
          <w:color w:val="auto"/>
        </w:rPr>
        <w:t>. Prior to the Distribution Time and subject to the terms and conditions of the Merger Agreement, SpinCo will enter into a definitive agreement or agreements providing for the SpinCo Financing, incur the SpinCo Financing and receive the proceeds thereof. From and after SpinCo’s or any other member of the SpinCo Group’s receipt of the proceeds of the SpinCo Financing, SpinCo shall not distribute or disburse any portion of the proceeds of the SpinCo Financing other than (i) in connection with the payment of the SpinCo Cash Distribution in accordance with the terms of this Agreement, (ii) in connection with satisfying any payment obligations (including payment of associated fees, costs and other expenses) under the SpinCo Financing or (iii) as expressly permitted by the Tax Matters Agreement.</w:t>
      </w:r>
    </w:p>
    <w:p>
      <w:pPr>
        <w:spacing w:after="0" w:line="14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2.16 </w:t>
      </w:r>
      <w:r>
        <w:rPr>
          <w:rFonts w:ascii="Times New Roman" w:cs="Times New Roman" w:eastAsia="Times New Roman" w:hAnsi="Times New Roman"/>
          <w:sz w:val="14"/>
          <w:szCs w:val="14"/>
          <w:u w:val="single" w:color="auto"/>
          <w:color w:val="auto"/>
        </w:rPr>
        <w:t>Financial Information Certifications</w:t>
      </w:r>
      <w:r>
        <w:rPr>
          <w:rFonts w:ascii="Times New Roman" w:cs="Times New Roman" w:eastAsia="Times New Roman" w:hAnsi="Times New Roman"/>
          <w:sz w:val="14"/>
          <w:szCs w:val="14"/>
          <w:color w:val="auto"/>
        </w:rPr>
        <w:t>. The Company’s disclosure controls and procedures and internal control over financial reporting (as each is contemplated by the Exchange Act) are currently applicable to SpinCo as its Subsidiary. In order to enable the principal executive officer and principal financial officer of SpinCo to make the certifications required of them under Section 302 of the Sarbanes-Oxley Act of 2002 following the Distribution in respect of any quarterly or annual fiscal period of SpinCo that begins on or prior to the Distribution Date in respect of which financial statements are not included in a Disclosure Document (a “</w:t>
      </w:r>
      <w:r>
        <w:rPr>
          <w:rFonts w:ascii="Times New Roman" w:cs="Times New Roman" w:eastAsia="Times New Roman" w:hAnsi="Times New Roman"/>
          <w:sz w:val="14"/>
          <w:szCs w:val="14"/>
          <w:b w:val="1"/>
          <w:bCs w:val="1"/>
          <w:color w:val="auto"/>
        </w:rPr>
        <w:t>Straddle Period</w:t>
      </w:r>
      <w:r>
        <w:rPr>
          <w:rFonts w:ascii="Times New Roman" w:cs="Times New Roman" w:eastAsia="Times New Roman" w:hAnsi="Times New Roman"/>
          <w:sz w:val="14"/>
          <w:szCs w:val="14"/>
          <w:color w:val="auto"/>
        </w:rPr>
        <w:t>”), the Company, on or before the date that is ten (10) days prior to the latest date on which Gold or SpinCo may file the applicable periodic report pursuant to Section 13 of the Exchange Act for any such Straddle Period (not taking into account any possible extensions), shall provide Gold and/or SpinCo, as applicable, with one (1)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financial reporting,</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B-39</w:t>
      </w:r>
    </w:p>
    <w:p>
      <w:pPr>
        <w:sectPr>
          <w:pgSz w:w="11900" w:h="16838" w:orient="portrait"/>
          <w:cols w:equalWidth="0" w:num="1">
            <w:col w:w="10159"/>
          </w:cols>
          <w:pgMar w:left="300" w:top="386" w:right="1440"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the Company in similar certifications delivered prior to the Distribution Date, with such changes thereto as the Company may reasonably determine, including as a result of any changes that the Company may make in respect of its own certifications after the Distribution Date. Such certification(s) shall be provided by the Company (and not by any officer or employee in their individual capacity).</w:t>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DISTRIBUTION</w:t>
      </w:r>
    </w:p>
    <w:p>
      <w:pPr>
        <w:spacing w:after="0" w:line="161"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3.1 </w:t>
      </w:r>
      <w:r>
        <w:rPr>
          <w:rFonts w:ascii="Times New Roman" w:cs="Times New Roman" w:eastAsia="Times New Roman" w:hAnsi="Times New Roman"/>
          <w:sz w:val="14"/>
          <w:szCs w:val="14"/>
          <w:u w:val="single" w:color="auto"/>
          <w:color w:val="auto"/>
        </w:rPr>
        <w:t>Actions Prior to the Distribution</w:t>
      </w:r>
      <w:r>
        <w:rPr>
          <w:rFonts w:ascii="Times New Roman" w:cs="Times New Roman" w:eastAsia="Times New Roman" w:hAnsi="Times New Roman"/>
          <w:sz w:val="14"/>
          <w:szCs w:val="14"/>
          <w:color w:val="auto"/>
        </w:rPr>
        <w:t>. Prior to the Distribution Time and subject to the terms and conditions set forth herein, the Parties shall take, or cause to be taken, the following actions in connection with the Distribution:</w:t>
      </w:r>
    </w:p>
    <w:p>
      <w:pPr>
        <w:spacing w:after="0" w:line="123" w:lineRule="exact"/>
        <w:rPr>
          <w:sz w:val="20"/>
          <w:szCs w:val="20"/>
          <w:color w:val="auto"/>
        </w:rPr>
      </w:pPr>
    </w:p>
    <w:p>
      <w:pPr>
        <w:ind w:left="2320" w:hanging="193"/>
        <w:spacing w:after="0"/>
        <w:tabs>
          <w:tab w:leader="none" w:pos="232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Securities Law Matters</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700" w:right="339" w:firstLine="739"/>
        <w:spacing w:after="0" w:line="257" w:lineRule="auto"/>
        <w:tabs>
          <w:tab w:leader="none" w:pos="2608" w:val="left"/>
        </w:tabs>
        <w:numPr>
          <w:ilvl w:val="1"/>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shall cooperate with the Company to accomplish the Distribution, including in connection with the preparation of all documents and the making of all filings required in connection with the Distribution. The Company shall be permitted to direct and control the efforts of SpinCo in connection with the Distribution, and SpinCo shall use reasonable best efforts to take, or cause to be taken, all actions and to do, or cause to be done, all other things reasonably necessary to facilitate the Distribution as reasonably directed by the Company in good faith and in accordance with the applicable terms and subject to the conditions of this Agreement, the Merger Agreement and the other Transaction Documents.</w:t>
      </w:r>
    </w:p>
    <w:p>
      <w:pPr>
        <w:spacing w:after="0" w:line="58" w:lineRule="exact"/>
        <w:rPr>
          <w:rFonts w:ascii="Times New Roman" w:cs="Times New Roman" w:eastAsia="Times New Roman" w:hAnsi="Times New Roman"/>
          <w:sz w:val="14"/>
          <w:szCs w:val="14"/>
          <w:color w:val="auto"/>
        </w:rPr>
      </w:pPr>
    </w:p>
    <w:p>
      <w:pPr>
        <w:ind w:left="1700" w:right="259" w:firstLine="739"/>
        <w:spacing w:after="0" w:line="254" w:lineRule="auto"/>
        <w:tabs>
          <w:tab w:leader="none" w:pos="2647" w:val="left"/>
        </w:tabs>
        <w:numPr>
          <w:ilvl w:val="1"/>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and the Company, as applicable, shall file the Disclosure Documents and any amendments or supplements thereto as may be necessary or advisable in order to cause the Disclosure Documents to become and remain effective as required by the SEC or federal, state or other applicable securities Laws. The Company and SpinCo shall prepare and mail or otherwise make available, prior to any Distribution Date, to the Record Holders, such information concerning SpinCo, the Company, Gold, their respective businesses, operations and management, the Distribution and such other matters as the Company shall reasonably determine and as may be required by Law. The Company and SpinCo will prepare, and SpinCo will, to the extent required under applicable Law, file with or submit to the SEC, any such documentation and any requisite no-action letters which the Company determines are necessary or desirable to effectuate the Distribution, and the Company and SpinCo shall each use its reasonable best efforts to obtain all necessary approvals from the SEC with respect thereto as soon as practicable. The Company and SpinCo shall take all such action as may be necessary or appropriate under the securities or blue sky laws of states or other political subdivisions of the United States and shall use commercially reasonable efforts to comply with any comparable applicable Laws under any foreign jurisdiction in connection with the Distribution.</w:t>
      </w:r>
    </w:p>
    <w:p>
      <w:pPr>
        <w:spacing w:after="0" w:line="142" w:lineRule="exact"/>
        <w:rPr>
          <w:rFonts w:ascii="Times New Roman" w:cs="Times New Roman" w:eastAsia="Times New Roman" w:hAnsi="Times New Roman"/>
          <w:sz w:val="14"/>
          <w:szCs w:val="14"/>
          <w:color w:val="auto"/>
        </w:rPr>
      </w:pPr>
    </w:p>
    <w:p>
      <w:pPr>
        <w:ind w:left="1360" w:right="719" w:firstLine="767"/>
        <w:spacing w:after="0" w:line="286" w:lineRule="auto"/>
        <w:tabs>
          <w:tab w:leader="none" w:pos="233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Stock Exchange Matters</w:t>
      </w:r>
      <w:r>
        <w:rPr>
          <w:rFonts w:ascii="Times New Roman" w:cs="Times New Roman" w:eastAsia="Times New Roman" w:hAnsi="Times New Roman"/>
          <w:sz w:val="14"/>
          <w:szCs w:val="14"/>
          <w:color w:val="auto"/>
        </w:rPr>
        <w:t>. The Company shall give the NYSE not less than ten (10) days’ advance notice of the Record Date,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compliance with Rule 10b-17 under the Exchange Act.</w:t>
      </w:r>
    </w:p>
    <w:p>
      <w:pPr>
        <w:spacing w:after="0" w:line="120" w:lineRule="exact"/>
        <w:rPr>
          <w:rFonts w:ascii="Times New Roman" w:cs="Times New Roman" w:eastAsia="Times New Roman" w:hAnsi="Times New Roman"/>
          <w:sz w:val="14"/>
          <w:szCs w:val="14"/>
          <w:color w:val="auto"/>
        </w:rPr>
      </w:pPr>
    </w:p>
    <w:p>
      <w:pPr>
        <w:ind w:left="1360" w:right="299" w:firstLine="767"/>
        <w:spacing w:after="0" w:line="286" w:lineRule="auto"/>
        <w:tabs>
          <w:tab w:leader="none" w:pos="2322"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The Distribution Agent. </w:t>
      </w:r>
      <w:r>
        <w:rPr>
          <w:rFonts w:ascii="Times New Roman" w:cs="Times New Roman" w:eastAsia="Times New Roman" w:hAnsi="Times New Roman"/>
          <w:sz w:val="14"/>
          <w:szCs w:val="14"/>
          <w:color w:val="auto"/>
        </w:rPr>
        <w:t>The Company shall enter into a distribution agent agreement with the Distribution Agent or otherwise provide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instructions to the Distribution Agent regarding the Distribution.</w:t>
      </w:r>
    </w:p>
    <w:p>
      <w:pPr>
        <w:spacing w:after="0" w:line="120"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Employee Matters</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1700" w:right="299" w:firstLine="739"/>
        <w:spacing w:after="0" w:line="267" w:lineRule="auto"/>
        <w:tabs>
          <w:tab w:leader="none" w:pos="2608" w:val="left"/>
        </w:tabs>
        <w:numPr>
          <w:ilvl w:val="1"/>
          <w:numId w:val="4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(A) take all actions that the Employee Matters Agreement contemplates would occur prior to the Distribution Time or the Distribution Date and (B) take all actions that are reasonably necessary or advisable to allow or cause the provisions of the Employee Matters Agreement that</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B-40</w:t>
      </w:r>
    </w:p>
    <w:p>
      <w:pPr>
        <w:sectPr>
          <w:pgSz w:w="11900" w:h="16838" w:orient="portrait"/>
          <w:cols w:equalWidth="0" w:num="1">
            <w:col w:w="10159"/>
          </w:cols>
          <w:pgMar w:left="300" w:top="385" w:right="1440"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are effective as of the Distribution Time or the Distribution Date to be effectuated as of such date (including, for the avoidance of doubt, those</w:t>
      </w:r>
    </w:p>
    <w:p>
      <w:pPr>
        <w:spacing w:after="0" w:line="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actions set forth in Section 2.04(g) (</w:t>
      </w:r>
      <w:r>
        <w:rPr>
          <w:rFonts w:ascii="Times New Roman" w:cs="Times New Roman" w:eastAsia="Times New Roman" w:hAnsi="Times New Roman"/>
          <w:sz w:val="14"/>
          <w:szCs w:val="14"/>
          <w:i w:val="1"/>
          <w:iCs w:val="1"/>
          <w:color w:val="auto"/>
        </w:rPr>
        <w:t>Information and Operation</w:t>
      </w:r>
      <w:r>
        <w:rPr>
          <w:rFonts w:ascii="Times New Roman" w:cs="Times New Roman" w:eastAsia="Times New Roman" w:hAnsi="Times New Roman"/>
          <w:sz w:val="14"/>
          <w:szCs w:val="14"/>
          <w:color w:val="auto"/>
        </w:rPr>
        <w:t>), Section 2.04(i) (</w:t>
      </w:r>
      <w:r>
        <w:rPr>
          <w:rFonts w:ascii="Times New Roman" w:cs="Times New Roman" w:eastAsia="Times New Roman" w:hAnsi="Times New Roman"/>
          <w:sz w:val="14"/>
          <w:szCs w:val="14"/>
          <w:i w:val="1"/>
          <w:iCs w:val="1"/>
          <w:color w:val="auto"/>
        </w:rPr>
        <w:t>Transition Services</w:t>
      </w:r>
      <w:r>
        <w:rPr>
          <w:rFonts w:ascii="Times New Roman" w:cs="Times New Roman" w:eastAsia="Times New Roman" w:hAnsi="Times New Roman"/>
          <w:sz w:val="14"/>
          <w:szCs w:val="14"/>
          <w:color w:val="auto"/>
        </w:rPr>
        <w:t>), Section 3.01(a) (</w:t>
      </w:r>
      <w:r>
        <w:rPr>
          <w:rFonts w:ascii="Times New Roman" w:cs="Times New Roman" w:eastAsia="Times New Roman" w:hAnsi="Times New Roman"/>
          <w:sz w:val="14"/>
          <w:szCs w:val="14"/>
          <w:i w:val="1"/>
          <w:iCs w:val="1"/>
          <w:color w:val="auto"/>
        </w:rPr>
        <w:t>Assignment and Transfer</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of Employees</w:t>
      </w:r>
      <w:r>
        <w:rPr>
          <w:rFonts w:ascii="Times New Roman" w:cs="Times New Roman" w:eastAsia="Times New Roman" w:hAnsi="Times New Roman"/>
          <w:sz w:val="14"/>
          <w:szCs w:val="14"/>
          <w:color w:val="auto"/>
        </w:rPr>
        <w:t>), Section 3.01(b) (</w:t>
      </w:r>
      <w:r>
        <w:rPr>
          <w:rFonts w:ascii="Times New Roman" w:cs="Times New Roman" w:eastAsia="Times New Roman" w:hAnsi="Times New Roman"/>
          <w:sz w:val="14"/>
          <w:szCs w:val="14"/>
          <w:i w:val="1"/>
          <w:iCs w:val="1"/>
          <w:color w:val="auto"/>
        </w:rPr>
        <w:t>Employees with Work Visas or Permits</w:t>
      </w:r>
      <w:r>
        <w:rPr>
          <w:rFonts w:ascii="Times New Roman" w:cs="Times New Roman" w:eastAsia="Times New Roman" w:hAnsi="Times New Roman"/>
          <w:sz w:val="14"/>
          <w:szCs w:val="14"/>
          <w:color w:val="auto"/>
        </w:rPr>
        <w:t>), Section 3.04 (</w:t>
      </w:r>
      <w:r>
        <w:rPr>
          <w:rFonts w:ascii="Times New Roman" w:cs="Times New Roman" w:eastAsia="Times New Roman" w:hAnsi="Times New Roman"/>
          <w:sz w:val="14"/>
          <w:szCs w:val="14"/>
          <w:i w:val="1"/>
          <w:iCs w:val="1"/>
          <w:color w:val="auto"/>
        </w:rPr>
        <w:t>Consultation with Labor Representatives; Labor</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Agreements</w:t>
      </w:r>
      <w:r>
        <w:rPr>
          <w:rFonts w:ascii="Times New Roman" w:cs="Times New Roman" w:eastAsia="Times New Roman" w:hAnsi="Times New Roman"/>
          <w:sz w:val="14"/>
          <w:szCs w:val="14"/>
          <w:color w:val="auto"/>
        </w:rPr>
        <w:t>), Section 4.01(e) (</w:t>
      </w:r>
      <w:r>
        <w:rPr>
          <w:rFonts w:ascii="Times New Roman" w:cs="Times New Roman" w:eastAsia="Times New Roman" w:hAnsi="Times New Roman"/>
          <w:sz w:val="14"/>
          <w:szCs w:val="14"/>
          <w:i w:val="1"/>
          <w:iCs w:val="1"/>
          <w:color w:val="auto"/>
        </w:rPr>
        <w:t>Necessary Actions</w:t>
      </w:r>
      <w:r>
        <w:rPr>
          <w:rFonts w:ascii="Times New Roman" w:cs="Times New Roman" w:eastAsia="Times New Roman" w:hAnsi="Times New Roman"/>
          <w:sz w:val="14"/>
          <w:szCs w:val="14"/>
          <w:color w:val="auto"/>
        </w:rPr>
        <w:t>), Section 9.01 (</w:t>
      </w:r>
      <w:r>
        <w:rPr>
          <w:rFonts w:ascii="Times New Roman" w:cs="Times New Roman" w:eastAsia="Times New Roman" w:hAnsi="Times New Roman"/>
          <w:sz w:val="14"/>
          <w:szCs w:val="14"/>
          <w:i w:val="1"/>
          <w:iCs w:val="1"/>
          <w:color w:val="auto"/>
        </w:rPr>
        <w:t>Information Sharing and Access</w:t>
      </w:r>
      <w:r>
        <w:rPr>
          <w:rFonts w:ascii="Times New Roman" w:cs="Times New Roman" w:eastAsia="Times New Roman" w:hAnsi="Times New Roman"/>
          <w:sz w:val="14"/>
          <w:szCs w:val="14"/>
          <w:color w:val="auto"/>
        </w:rPr>
        <w:t>), Section 9.03 (</w:t>
      </w:r>
      <w:r>
        <w:rPr>
          <w:rFonts w:ascii="Times New Roman" w:cs="Times New Roman" w:eastAsia="Times New Roman" w:hAnsi="Times New Roman"/>
          <w:sz w:val="14"/>
          <w:szCs w:val="14"/>
          <w:i w:val="1"/>
          <w:iCs w:val="1"/>
          <w:color w:val="auto"/>
        </w:rPr>
        <w:t>Fiduciary Matters</w:t>
      </w:r>
      <w:r>
        <w:rPr>
          <w:rFonts w:ascii="Times New Roman" w:cs="Times New Roman" w:eastAsia="Times New Roman" w:hAnsi="Times New Roman"/>
          <w:sz w:val="14"/>
          <w:szCs w:val="14"/>
          <w:color w:val="auto"/>
        </w:rPr>
        <w:t>) and</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Section 9.05 (</w:t>
      </w:r>
      <w:r>
        <w:rPr>
          <w:rFonts w:ascii="Times New Roman" w:cs="Times New Roman" w:eastAsia="Times New Roman" w:hAnsi="Times New Roman"/>
          <w:sz w:val="14"/>
          <w:szCs w:val="14"/>
          <w:i w:val="1"/>
          <w:iCs w:val="1"/>
          <w:color w:val="auto"/>
        </w:rPr>
        <w:t>Reimbursement of Costs and Expenses</w:t>
      </w:r>
      <w:r>
        <w:rPr>
          <w:rFonts w:ascii="Times New Roman" w:cs="Times New Roman" w:eastAsia="Times New Roman" w:hAnsi="Times New Roman"/>
          <w:sz w:val="14"/>
          <w:szCs w:val="14"/>
          <w:color w:val="auto"/>
        </w:rPr>
        <w:t>) of the Employee Matters Agreement). For the avoidance of doubt, nothing in this</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u w:val="single" w:color="auto"/>
          <w:color w:val="auto"/>
        </w:rPr>
        <w:t>Section 3.1(d)</w:t>
      </w:r>
      <w:r>
        <w:rPr>
          <w:rFonts w:ascii="Times New Roman" w:cs="Times New Roman" w:eastAsia="Times New Roman" w:hAnsi="Times New Roman"/>
          <w:sz w:val="14"/>
          <w:szCs w:val="14"/>
          <w:color w:val="auto"/>
        </w:rPr>
        <w:t xml:space="preserve"> shall be construed as amending or otherwise modifying the timing of any item set forth in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General Principles</w:t>
      </w:r>
      <w:r>
        <w:rPr>
          <w:rFonts w:ascii="Times New Roman" w:cs="Times New Roman" w:eastAsia="Times New Roman" w:hAnsi="Times New Roman"/>
          <w:sz w:val="14"/>
          <w:szCs w:val="14"/>
          <w:color w:val="auto"/>
        </w:rPr>
        <w:t>) of the</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Employee Matters Agreement.</w:t>
      </w:r>
    </w:p>
    <w:p>
      <w:pPr>
        <w:spacing w:after="0" w:line="77" w:lineRule="exact"/>
        <w:rPr>
          <w:sz w:val="20"/>
          <w:szCs w:val="20"/>
          <w:color w:val="auto"/>
        </w:rPr>
      </w:pPr>
    </w:p>
    <w:p>
      <w:pPr>
        <w:ind w:left="1700" w:right="219" w:firstLine="739"/>
        <w:spacing w:after="0" w:line="255" w:lineRule="auto"/>
        <w:tabs>
          <w:tab w:leader="none" w:pos="2647"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Between the date hereof and the Closing Date, no less frequently than once per quarter (and as reasonably requested by Gold), the Company Group shall provide Gold with an updated SpinCo Group Employee Roster, which update shall include any new hires and employment terminations. Additionally, between the date hereof and the Closing Date, the Company Group agrees that, to the extent permitted by Law, it will reasonably cooperate with Gold in its efforts to recruit for and fill open positions necessary to run the SpinCo Business following the Closing Date (including providing information regarding open positions as reasonably requested by Gold in accordance with applicable Law and the Transaction Documents), it being understood that this sentence shall not be construed as limiting any applicable restrictions on Gold’s ability to solicit employees of the Company Group or as requiring the Company Group to cooperate with Gold’s solicitation of employees of the Company Group.</w:t>
      </w:r>
    </w:p>
    <w:p>
      <w:pPr>
        <w:spacing w:after="0" w:line="61" w:lineRule="exact"/>
        <w:rPr>
          <w:rFonts w:ascii="Times New Roman" w:cs="Times New Roman" w:eastAsia="Times New Roman" w:hAnsi="Times New Roman"/>
          <w:sz w:val="14"/>
          <w:szCs w:val="14"/>
          <w:color w:val="auto"/>
        </w:rPr>
      </w:pPr>
    </w:p>
    <w:p>
      <w:pPr>
        <w:ind w:left="1700" w:right="399" w:firstLine="739"/>
        <w:spacing w:after="0" w:line="257" w:lineRule="auto"/>
        <w:tabs>
          <w:tab w:leader="none" w:pos="2686" w:val="left"/>
        </w:tabs>
        <w:numPr>
          <w:ilvl w:val="0"/>
          <w:numId w:val="4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Between the date hereof and the Closing Date, each Party shall use its commercially reasonable efforts to provide the other Parties with information describing each Benefit Plan election made by an Employee or Former Employee that may have application to such Party’s Benefit Plans from and after the Distribution Time, and each Party shall use its commercially reasonable efforts to administer its Benefit Plans using those elections, including any beneficiary designations. Each Party shall, upon reasonable request, use its commercially reasonable efforts to provide the other Parties and the other Parties’ respective Affiliates, agents, and vendors all information reasonably necessary to such Party’s operation or administration of its Benefit Plans.</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3.2 </w:t>
      </w:r>
      <w:r>
        <w:rPr>
          <w:rFonts w:ascii="Times New Roman" w:cs="Times New Roman" w:eastAsia="Times New Roman" w:hAnsi="Times New Roman"/>
          <w:sz w:val="14"/>
          <w:szCs w:val="14"/>
          <w:u w:val="single" w:color="auto"/>
          <w:color w:val="auto"/>
        </w:rPr>
        <w:t>Conditions to the Distribution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779" w:firstLine="767"/>
        <w:spacing w:after="0" w:line="283" w:lineRule="auto"/>
        <w:tabs>
          <w:tab w:leader="none" w:pos="2322" w:val="left"/>
        </w:tabs>
        <w:numPr>
          <w:ilvl w:val="0"/>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of the Company to consummate the Distribution will be subject to the satisfaction or waiver (in writing) by the Company of the following conditions:</w:t>
      </w:r>
    </w:p>
    <w:p>
      <w:pPr>
        <w:spacing w:after="0" w:line="40" w:lineRule="exact"/>
        <w:rPr>
          <w:rFonts w:ascii="Times New Roman" w:cs="Times New Roman" w:eastAsia="Times New Roman" w:hAnsi="Times New Roman"/>
          <w:sz w:val="14"/>
          <w:szCs w:val="14"/>
          <w:color w:val="auto"/>
        </w:rPr>
      </w:pPr>
    </w:p>
    <w:p>
      <w:pPr>
        <w:ind w:left="2600" w:hanging="161"/>
        <w:spacing w:after="0"/>
        <w:tabs>
          <w:tab w:leader="none" w:pos="2600" w:val="left"/>
        </w:tabs>
        <w:numPr>
          <w:ilvl w:val="1"/>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received the Distribution Tax Opinion from Tax Counsel;</w:t>
      </w:r>
    </w:p>
    <w:p>
      <w:pPr>
        <w:spacing w:after="0" w:line="91" w:lineRule="exact"/>
        <w:rPr>
          <w:rFonts w:ascii="Times New Roman" w:cs="Times New Roman" w:eastAsia="Times New Roman" w:hAnsi="Times New Roman"/>
          <w:sz w:val="14"/>
          <w:szCs w:val="14"/>
          <w:color w:val="auto"/>
        </w:rPr>
      </w:pPr>
    </w:p>
    <w:p>
      <w:pPr>
        <w:ind w:left="2640" w:hanging="201"/>
        <w:spacing w:after="0"/>
        <w:tabs>
          <w:tab w:leader="none" w:pos="2640" w:val="left"/>
        </w:tabs>
        <w:numPr>
          <w:ilvl w:val="1"/>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received the IRS Ruling and such IRS Ruling shall continue to be valid and in full force and effect;</w:t>
      </w:r>
    </w:p>
    <w:p>
      <w:pPr>
        <w:spacing w:after="0" w:line="91" w:lineRule="exact"/>
        <w:rPr>
          <w:rFonts w:ascii="Times New Roman" w:cs="Times New Roman" w:eastAsia="Times New Roman" w:hAnsi="Times New Roman"/>
          <w:sz w:val="14"/>
          <w:szCs w:val="14"/>
          <w:color w:val="auto"/>
        </w:rPr>
      </w:pPr>
    </w:p>
    <w:p>
      <w:pPr>
        <w:jc w:val="both"/>
        <w:ind w:left="1700" w:right="239" w:firstLine="739"/>
        <w:spacing w:after="0" w:line="261" w:lineRule="auto"/>
        <w:tabs>
          <w:tab w:leader="none" w:pos="2686" w:val="left"/>
        </w:tabs>
        <w:numPr>
          <w:ilvl w:val="1"/>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Reorganization shall have been completed substantially in accordance with the Reorganization Step Plan (other than those steps that are expressly contemplated to occur at or after the Distribution (but, with respect to those steps expressly contemplated to occur at the Distribution, subject to the completion or waiver of such steps at the Distribution), and taking into account any changes to the Reorganization Step Plan made in accordance with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2.1(b)</w:t>
      </w:r>
      <w:r>
        <w:rPr>
          <w:rFonts w:ascii="Times New Roman" w:cs="Times New Roman" w:eastAsia="Times New Roman" w:hAnsi="Times New Roman"/>
          <w:sz w:val="14"/>
          <w:szCs w:val="14"/>
          <w:color w:val="auto"/>
        </w:rPr>
        <w:t>);</w:t>
      </w:r>
    </w:p>
    <w:p>
      <w:pPr>
        <w:spacing w:after="0" w:line="56" w:lineRule="exact"/>
        <w:rPr>
          <w:rFonts w:ascii="Times New Roman" w:cs="Times New Roman" w:eastAsia="Times New Roman" w:hAnsi="Times New Roman"/>
          <w:sz w:val="14"/>
          <w:szCs w:val="14"/>
          <w:color w:val="auto"/>
        </w:rPr>
      </w:pPr>
    </w:p>
    <w:p>
      <w:pPr>
        <w:ind w:left="1700" w:right="359" w:firstLine="739"/>
        <w:spacing w:after="0" w:line="258" w:lineRule="auto"/>
        <w:tabs>
          <w:tab w:leader="none" w:pos="2678" w:val="left"/>
        </w:tabs>
        <w:numPr>
          <w:ilvl w:val="1"/>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independent firm mutually acceptable to the Company and Gold shall have delivered an opinion to the Company Board confirming the Company is Solvent immediately prior to the Distribution and of the Company and SpinCo immediately after giving effect to the consummation of the SpinCo Financing, the SpinCo Cash Distribution, the Cash Transfer and the Distribution, and such opinion shall be reasonably acceptable to the Company in form and substance, and such opinion shall not have been withdrawn, rescinded or modified in any respect materially adverse to the Company;</w:t>
      </w:r>
    </w:p>
    <w:p>
      <w:pPr>
        <w:spacing w:after="0" w:line="59" w:lineRule="exact"/>
        <w:rPr>
          <w:rFonts w:ascii="Times New Roman" w:cs="Times New Roman" w:eastAsia="Times New Roman" w:hAnsi="Times New Roman"/>
          <w:sz w:val="14"/>
          <w:szCs w:val="14"/>
          <w:color w:val="auto"/>
        </w:rPr>
      </w:pPr>
    </w:p>
    <w:p>
      <w:pPr>
        <w:ind w:left="1700" w:right="739" w:firstLine="739"/>
        <w:spacing w:after="0" w:line="283" w:lineRule="auto"/>
        <w:tabs>
          <w:tab w:leader="none" w:pos="2639" w:val="left"/>
        </w:tabs>
        <w:numPr>
          <w:ilvl w:val="1"/>
          <w:numId w:val="4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shall have consummated the SpinCo Financing in accordance with Section 2.15, and shall have received net cash proceeds in respect of such financing equal to or greater than the amount of the SpinCo Cash Distribution;</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B-41</w:t>
      </w:r>
    </w:p>
    <w:p>
      <w:pPr>
        <w:sectPr>
          <w:pgSz w:w="11900" w:h="16838" w:orient="portrait"/>
          <w:cols w:equalWidth="0" w:num="1">
            <w:col w:w="10159"/>
          </w:cols>
          <w:pgMar w:left="300" w:top="385" w:right="1440"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359" w:firstLine="739"/>
        <w:spacing w:after="0" w:line="267" w:lineRule="auto"/>
        <w:tabs>
          <w:tab w:leader="none" w:pos="2678"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conditions set forth in Article VIII of the Merger Agreement shall have been satisfied or validly waived, in each case other than those conditions that, by their nature, are to be satisfied substantially contemporaneously with the Distribution and/or the Merger;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conditions are capable of being satisfied at such time;</w:t>
      </w:r>
    </w:p>
    <w:p>
      <w:pPr>
        <w:spacing w:after="0" w:line="51" w:lineRule="exact"/>
        <w:rPr>
          <w:rFonts w:ascii="Times New Roman" w:cs="Times New Roman" w:eastAsia="Times New Roman" w:hAnsi="Times New Roman"/>
          <w:sz w:val="14"/>
          <w:szCs w:val="14"/>
          <w:color w:val="auto"/>
        </w:rPr>
      </w:pPr>
    </w:p>
    <w:p>
      <w:pPr>
        <w:ind w:left="1700" w:right="419" w:firstLine="739"/>
        <w:spacing w:after="0" w:line="267" w:lineRule="auto"/>
        <w:tabs>
          <w:tab w:leader="none" w:pos="2717"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shall have irrevocably confirmed to the Company that each condition in Section 8.3 of the Merger Agreement to Gold’s and Merger Sub’s obligations to effect the Merger (i) has been satisfied, (ii) will be satisfied at the time of the Distribution, or (iii) subject to applicable Laws, is or has been waived by Gold;</w:t>
      </w:r>
    </w:p>
    <w:p>
      <w:pPr>
        <w:spacing w:after="0" w:line="51" w:lineRule="exact"/>
        <w:rPr>
          <w:rFonts w:ascii="Times New Roman" w:cs="Times New Roman" w:eastAsia="Times New Roman" w:hAnsi="Times New Roman"/>
          <w:sz w:val="14"/>
          <w:szCs w:val="14"/>
          <w:color w:val="auto"/>
        </w:rPr>
      </w:pPr>
    </w:p>
    <w:p>
      <w:pPr>
        <w:ind w:left="2760" w:hanging="321"/>
        <w:spacing w:after="0"/>
        <w:tabs>
          <w:tab w:leader="none" w:pos="2760"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shall have made or caused to be made a cash distribution to the Company in the amount of the SpinCo Cash</w:t>
      </w:r>
    </w:p>
    <w:p>
      <w:pPr>
        <w:spacing w:after="0" w:line="21"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and</w:t>
      </w:r>
    </w:p>
    <w:p>
      <w:pPr>
        <w:spacing w:after="0" w:line="76" w:lineRule="exact"/>
        <w:rPr>
          <w:rFonts w:ascii="Times New Roman" w:cs="Times New Roman" w:eastAsia="Times New Roman" w:hAnsi="Times New Roman"/>
          <w:sz w:val="14"/>
          <w:szCs w:val="14"/>
          <w:color w:val="auto"/>
        </w:rPr>
      </w:pPr>
    </w:p>
    <w:p>
      <w:pPr>
        <w:ind w:left="2680" w:hanging="241"/>
        <w:spacing w:after="0"/>
        <w:tabs>
          <w:tab w:leader="none" w:pos="2680" w:val="left"/>
        </w:tabs>
        <w:numPr>
          <w:ilvl w:val="1"/>
          <w:numId w:val="4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Transfer shall have been paid, or shall be paid concurrently with the Distribution.</w:t>
      </w:r>
    </w:p>
    <w:p>
      <w:pPr>
        <w:spacing w:after="0" w:line="175" w:lineRule="exact"/>
        <w:rPr>
          <w:rFonts w:ascii="Times New Roman" w:cs="Times New Roman" w:eastAsia="Times New Roman" w:hAnsi="Times New Roman"/>
          <w:sz w:val="14"/>
          <w:szCs w:val="14"/>
          <w:color w:val="auto"/>
        </w:rPr>
      </w:pPr>
    </w:p>
    <w:p>
      <w:pPr>
        <w:ind w:left="1360" w:right="239" w:firstLine="767"/>
        <w:spacing w:after="0" w:line="257" w:lineRule="auto"/>
        <w:tabs>
          <w:tab w:leader="none" w:pos="2330"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foregoing conditions are for the sole benefit of the Company and shall not give rise to or create any duty on the part of Company or the Company Board to waive or not waive any such condition or in any way limit the Company’s right to terminate this Agreement as set forth in this Agreement or the Merger Agreement or alter the consequences of any such termination from those specified in </w:t>
      </w:r>
      <w:r>
        <w:rPr>
          <w:rFonts w:ascii="Times New Roman" w:cs="Times New Roman" w:eastAsia="Times New Roman" w:hAnsi="Times New Roman"/>
          <w:sz w:val="14"/>
          <w:szCs w:val="14"/>
          <w:u w:val="single" w:color="auto"/>
          <w:color w:val="auto"/>
        </w:rPr>
        <w:t>Article IX</w:t>
      </w:r>
      <w:r>
        <w:rPr>
          <w:rFonts w:ascii="Times New Roman" w:cs="Times New Roman" w:eastAsia="Times New Roman" w:hAnsi="Times New Roman"/>
          <w:sz w:val="14"/>
          <w:szCs w:val="14"/>
          <w:color w:val="auto"/>
        </w:rPr>
        <w:t xml:space="preserve"> of this Agreement or Article IX of the Merger Agreement. The Company and SpinCo shall cooperate and use reasonable best efforts to cause the conditions to the Distribution set forth in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to be satisfied as promptly as practicable, but in any event, prior to the Outside Date, and to effect the Distribution at the Distribution Time upon such satisfaction (or waiver).</w:t>
      </w:r>
    </w:p>
    <w:p>
      <w:pPr>
        <w:spacing w:after="0" w:line="143" w:lineRule="exact"/>
        <w:rPr>
          <w:rFonts w:ascii="Times New Roman" w:cs="Times New Roman" w:eastAsia="Times New Roman" w:hAnsi="Times New Roman"/>
          <w:sz w:val="14"/>
          <w:szCs w:val="14"/>
          <w:color w:val="auto"/>
        </w:rPr>
      </w:pPr>
    </w:p>
    <w:p>
      <w:pPr>
        <w:ind w:left="1360" w:right="239" w:firstLine="767"/>
        <w:spacing w:after="0" w:line="256" w:lineRule="auto"/>
        <w:tabs>
          <w:tab w:leader="none" w:pos="2322" w:val="left"/>
        </w:tabs>
        <w:numPr>
          <w:ilvl w:val="0"/>
          <w:numId w:val="4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and without limiting the generality of the foregoing, the Company shall use its reasonable best efforts to obtain the opinions described in </w:t>
      </w:r>
      <w:r>
        <w:rPr>
          <w:rFonts w:ascii="Times New Roman" w:cs="Times New Roman" w:eastAsia="Times New Roman" w:hAnsi="Times New Roman"/>
          <w:sz w:val="14"/>
          <w:szCs w:val="14"/>
          <w:u w:val="single" w:color="auto"/>
          <w:color w:val="auto"/>
        </w:rPr>
        <w:t>Section 3.2(a)(i)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3.2(a)(iv)</w:t>
      </w:r>
      <w:r>
        <w:rPr>
          <w:rFonts w:ascii="Times New Roman" w:cs="Times New Roman" w:eastAsia="Times New Roman" w:hAnsi="Times New Roman"/>
          <w:sz w:val="14"/>
          <w:szCs w:val="14"/>
          <w:color w:val="auto"/>
        </w:rPr>
        <w:t xml:space="preserve">. As promptly as reasonably practicable following the date of this Agreement, the Company shall engage an independent firm mutually acceptable to the Company and Gold to provide the opinion described in </w:t>
      </w:r>
      <w:r>
        <w:rPr>
          <w:rFonts w:ascii="Times New Roman" w:cs="Times New Roman" w:eastAsia="Times New Roman" w:hAnsi="Times New Roman"/>
          <w:sz w:val="14"/>
          <w:szCs w:val="14"/>
          <w:u w:val="single" w:color="auto"/>
          <w:color w:val="auto"/>
        </w:rPr>
        <w:t>Section 3.2(a)(iv)</w:t>
      </w:r>
      <w:r>
        <w:rPr>
          <w:rFonts w:ascii="Times New Roman" w:cs="Times New Roman" w:eastAsia="Times New Roman" w:hAnsi="Times New Roman"/>
          <w:sz w:val="14"/>
          <w:szCs w:val="14"/>
          <w:color w:val="auto"/>
        </w:rPr>
        <w:t xml:space="preserve"> and shall cooperate (and cause its Subsidiaries to cooperate) and provide such firm access to the books and records of the Company and its Subsidiaries and such other information as may reasonably be required by such firm to provide such opinion in a timely manner. The Company and its Subsidiaries shall not take any action that would reasonably be expected to cause such independent firm to be unable to deliver the opinion required to satisfy the condition set forth in </w:t>
      </w:r>
      <w:r>
        <w:rPr>
          <w:rFonts w:ascii="Times New Roman" w:cs="Times New Roman" w:eastAsia="Times New Roman" w:hAnsi="Times New Roman"/>
          <w:sz w:val="14"/>
          <w:szCs w:val="14"/>
          <w:u w:val="single" w:color="auto"/>
          <w:color w:val="auto"/>
        </w:rPr>
        <w:t>Section 3.2(a)(iv)</w:t>
      </w:r>
      <w:r>
        <w:rPr>
          <w:rFonts w:ascii="Times New Roman" w:cs="Times New Roman" w:eastAsia="Times New Roman" w:hAnsi="Times New Roman"/>
          <w:sz w:val="14"/>
          <w:szCs w:val="14"/>
          <w:color w:val="auto"/>
        </w:rPr>
        <w:t xml:space="preserve"> to not be delivered.</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14"/>
          <w:szCs w:val="14"/>
          <w:u w:val="single" w:color="auto"/>
          <w:color w:val="auto"/>
        </w:rPr>
        <w:t>The Distribution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767"/>
        <w:spacing w:after="0" w:line="256" w:lineRule="auto"/>
        <w:tabs>
          <w:tab w:leader="none" w:pos="2322"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Board of Directors of the Company, in accordance with applicable Law, shall establish (or designate Persons to establish) a Record Date and the Distribution Date, and the Company shall establish appropriate procedures in connection with, and to effectuate in accordance with applicable Law, the Distribution. All shares of SpinCo Common Stock held by the Company on the Distribution Date shall be distributed to the Record Holders in the manner determined by the Company and in accordance with </w:t>
      </w:r>
      <w:r>
        <w:rPr>
          <w:rFonts w:ascii="Times New Roman" w:cs="Times New Roman" w:eastAsia="Times New Roman" w:hAnsi="Times New Roman"/>
          <w:sz w:val="14"/>
          <w:szCs w:val="14"/>
          <w:u w:val="single" w:color="auto"/>
          <w:color w:val="auto"/>
        </w:rPr>
        <w:t>Section 3.3(d)</w:t>
      </w:r>
      <w:r>
        <w:rPr>
          <w:rFonts w:ascii="Times New Roman" w:cs="Times New Roman" w:eastAsia="Times New Roman" w:hAnsi="Times New Roman"/>
          <w:sz w:val="14"/>
          <w:szCs w:val="14"/>
          <w:color w:val="auto"/>
        </w:rPr>
        <w:t>. Subject to the terms thereof, in accordance with</w:t>
      </w:r>
    </w:p>
    <w:p>
      <w:pPr>
        <w:ind w:left="1360" w:right="33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3.3(d)</w:t>
      </w:r>
      <w:r>
        <w:rPr>
          <w:rFonts w:ascii="Times New Roman" w:cs="Times New Roman" w:eastAsia="Times New Roman" w:hAnsi="Times New Roman"/>
          <w:sz w:val="14"/>
          <w:szCs w:val="14"/>
          <w:color w:val="auto"/>
        </w:rPr>
        <w:t xml:space="preserve">, each Record Holder shall be entitled to receive for all shares of Mercury Common Stock held by such Record Holder as of the Record Date a number of shares of SpinCo Common Stock equal to (i) the total number of shares of SpinCo Common Stock held by the Company on the Distribution Date, </w:t>
      </w:r>
      <w:r>
        <w:rPr>
          <w:rFonts w:ascii="Times New Roman" w:cs="Times New Roman" w:eastAsia="Times New Roman" w:hAnsi="Times New Roman"/>
          <w:sz w:val="14"/>
          <w:szCs w:val="14"/>
          <w:u w:val="single" w:color="auto"/>
          <w:color w:val="auto"/>
        </w:rPr>
        <w:t>multiplied by</w:t>
      </w:r>
      <w:r>
        <w:rPr>
          <w:rFonts w:ascii="Times New Roman" w:cs="Times New Roman" w:eastAsia="Times New Roman" w:hAnsi="Times New Roman"/>
          <w:sz w:val="14"/>
          <w:szCs w:val="14"/>
          <w:color w:val="auto"/>
        </w:rPr>
        <w:t xml:space="preserve"> (ii) a fraction, the numerator of which is the number of shares of Mercury Common Stock held by such Record Holder on the Record Date and the denominator of which is the total number of shares of Mercury Common Stock outstanding on the Record Date (for the avoidance of doubt, excluding treasury shares held by any member of the Company Group).</w:t>
      </w:r>
    </w:p>
    <w:p>
      <w:pPr>
        <w:spacing w:after="0" w:line="146" w:lineRule="exact"/>
        <w:rPr>
          <w:rFonts w:ascii="Times New Roman" w:cs="Times New Roman" w:eastAsia="Times New Roman" w:hAnsi="Times New Roman"/>
          <w:sz w:val="14"/>
          <w:szCs w:val="14"/>
          <w:color w:val="auto"/>
        </w:rPr>
      </w:pPr>
    </w:p>
    <w:p>
      <w:pPr>
        <w:ind w:left="1360" w:right="319" w:firstLine="767"/>
        <w:spacing w:after="0" w:line="267" w:lineRule="auto"/>
        <w:tabs>
          <w:tab w:leader="none" w:pos="2330"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Parties, nor any of their Affiliates shall be liable to any Person in respect of any shares of SpinCo Common Stock (or dividends or distributions with respect thereto) that are properly delivered to a public official pursuant to any applicable abandoned property, escheat or similar Law.</w:t>
      </w:r>
    </w:p>
    <w:p>
      <w:pPr>
        <w:spacing w:after="0" w:line="135" w:lineRule="exact"/>
        <w:rPr>
          <w:rFonts w:ascii="Times New Roman" w:cs="Times New Roman" w:eastAsia="Times New Roman" w:hAnsi="Times New Roman"/>
          <w:sz w:val="14"/>
          <w:szCs w:val="14"/>
          <w:color w:val="auto"/>
        </w:rPr>
      </w:pPr>
    </w:p>
    <w:p>
      <w:pPr>
        <w:ind w:left="1360" w:right="279" w:firstLine="767"/>
        <w:spacing w:after="0" w:line="283" w:lineRule="auto"/>
        <w:tabs>
          <w:tab w:leader="none" w:pos="2322" w:val="left"/>
        </w:tabs>
        <w:numPr>
          <w:ilvl w:val="0"/>
          <w:numId w:val="4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SpinCo, the Distribution Agent, or any other applicable withholding agent, as applicable, shall be entitled to deduct and withhold from the consideration otherwise payable pursuant to this</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B-42</w:t>
      </w:r>
    </w:p>
    <w:p>
      <w:pPr>
        <w:sectPr>
          <w:pgSz w:w="11900" w:h="16838" w:orient="portrait"/>
          <w:cols w:equalWidth="0" w:num="1">
            <w:col w:w="10159"/>
          </w:cols>
          <w:pgMar w:left="300" w:top="386" w:right="1440"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Agreement such amounts as are required to be deducted and withheld with respect to the making of such payments under the Code or any provision of state, local, foreign or other tax law. Such withholding agent shall timely remit any such deducted or withheld amounts to the applicable Governmental Authority. Any deducted or withheld amounts will be treated for all purposes of this Agreement as having been paid to the Persons otherwise entitled thereto.</w:t>
      </w:r>
    </w:p>
    <w:p>
      <w:pPr>
        <w:spacing w:after="0" w:line="141" w:lineRule="exact"/>
        <w:rPr>
          <w:sz w:val="20"/>
          <w:szCs w:val="20"/>
          <w:color w:val="auto"/>
        </w:rPr>
      </w:pPr>
    </w:p>
    <w:p>
      <w:pPr>
        <w:ind w:left="1360" w:right="319" w:firstLine="767"/>
        <w:spacing w:after="0" w:line="257" w:lineRule="auto"/>
        <w:tabs>
          <w:tab w:leader="none" w:pos="2330"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consummation of the Spin-Off, the Company shall deliver to the Distribution Agent, a global certificate or book-entry authorization representing the SpinCo Common Stock being distributed in the Spin-Off, as the case may be, for the account of the Company’s stockholders that are entitled thereto. The Distribution Agent shall hold such shares for the account of the Company’s stockholders pending the Merger, as provided in Section 3.2 of the Merger Agreement. Immediately after the Distribution Time and prior to the Effective Time, the shares of SpinCo Common Stock shall not be transferable and the transfer agent for the SpinCo Common Stock shall not transfer any shares of SpinCo Common Stock. The Distribution shall be deemed to be effective upon written authorization from the Company to the Distribution Agent to proceed.</w:t>
      </w:r>
    </w:p>
    <w:p>
      <w:pPr>
        <w:spacing w:after="0" w:line="143" w:lineRule="exact"/>
        <w:rPr>
          <w:rFonts w:ascii="Times New Roman" w:cs="Times New Roman" w:eastAsia="Times New Roman" w:hAnsi="Times New Roman"/>
          <w:sz w:val="14"/>
          <w:szCs w:val="14"/>
          <w:color w:val="auto"/>
        </w:rPr>
      </w:pPr>
    </w:p>
    <w:p>
      <w:pPr>
        <w:ind w:left="1360" w:right="599" w:firstLine="767"/>
        <w:spacing w:after="0" w:line="283" w:lineRule="auto"/>
        <w:tabs>
          <w:tab w:leader="none" w:pos="2322" w:val="left"/>
        </w:tabs>
        <w:numPr>
          <w:ilvl w:val="0"/>
          <w:numId w:val="4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action by any Record Holder shall be necessary for such Record Holder to receive the applicable number of shares of SpinCo Common Stock such Record Holder is entitled to in the Distribution.</w:t>
      </w:r>
    </w:p>
    <w:p>
      <w:pPr>
        <w:spacing w:after="0" w:line="125" w:lineRule="exact"/>
        <w:rPr>
          <w:sz w:val="20"/>
          <w:szCs w:val="20"/>
          <w:color w:val="auto"/>
        </w:rPr>
      </w:pPr>
    </w:p>
    <w:p>
      <w:pPr>
        <w:ind w:left="1360" w:right="3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SpinCo Common Stock Issued to Company Subsidiaries</w:t>
      </w:r>
      <w:r>
        <w:rPr>
          <w:rFonts w:ascii="Times New Roman" w:cs="Times New Roman" w:eastAsia="Times New Roman" w:hAnsi="Times New Roman"/>
          <w:sz w:val="14"/>
          <w:szCs w:val="14"/>
          <w:color w:val="auto"/>
        </w:rPr>
        <w:t>. In the event that any shares of SpinCo Common Stock are distributed in the Distribution to a Subsidiary of the Company that is a member of the Company Group, then, as promptly as practicable following such Subsidiary’s receipt of such SpinCo Common Stock, the Company shall acquire such SpinCo Common Stock in exchange for an amount of cash equal to the fair market value of such SpinCo Common Stock as of the Distribution Date, as determined by the Company. As promptly as practicable following such acquisition and in all events prior to the Merger, the Company shall transfer such SpinCo Common Stock to SpinCo for no consideration, and such SpinCo Common Stock shall be cancelled and cease to be outstanding. The Parties acknowledge and agree that, for U.S. federal income tax purposes,</w:t>
      </w:r>
    </w:p>
    <w:p>
      <w:pPr>
        <w:spacing w:after="0" w:line="2" w:lineRule="exact"/>
        <w:rPr>
          <w:sz w:val="20"/>
          <w:szCs w:val="20"/>
          <w:color w:val="auto"/>
        </w:rPr>
      </w:pPr>
    </w:p>
    <w:p>
      <w:pPr>
        <w:ind w:left="1360" w:right="359" w:hanging="5"/>
        <w:spacing w:after="0" w:line="261" w:lineRule="auto"/>
        <w:tabs>
          <w:tab w:leader="none" w:pos="1550" w:val="left"/>
        </w:tabs>
        <w:numPr>
          <w:ilvl w:val="0"/>
          <w:numId w:val="4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transitory existence of such SpinCo Common Stock is intended to be disregarded, and (b) the Company’s payment of cash to such Subsidiary is intended to be treated as a distribution of property described in Section 301 of the Code.</w:t>
      </w:r>
    </w:p>
    <w:p>
      <w:pPr>
        <w:spacing w:after="0" w:line="140"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Authorization of SpinCo Common Stock to Accomplish the Distribution</w:t>
      </w:r>
      <w:r>
        <w:rPr>
          <w:rFonts w:ascii="Times New Roman" w:cs="Times New Roman" w:eastAsia="Times New Roman" w:hAnsi="Times New Roman"/>
          <w:sz w:val="14"/>
          <w:szCs w:val="14"/>
          <w:color w:val="auto"/>
        </w:rPr>
        <w:t>. Prior to the Distribution, the Company and SpinCo shall take all necessary action required, if any, to file a Certificate of Amendment to the Certificate of Incorporation of SpinCo with the Secretary of State of the State of Delaware, to increase the number of authorized shares of SpinCo Common Stock and make such other amendments as may be necessary or advisable in order to cause there to be issued and outstanding the number of shares of SpinCo Common Stock necessary to effect the Distribution and the other transactions contemplated by this Agreement.</w:t>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MUTUAL RELEASES; INDEMNIFICATION</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Release of Pre-Distribution Claims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1360" w:right="239" w:firstLine="767"/>
        <w:spacing w:after="0" w:line="256" w:lineRule="auto"/>
        <w:tabs>
          <w:tab w:leader="none" w:pos="2322" w:val="left"/>
        </w:tabs>
        <w:numPr>
          <w:ilvl w:val="0"/>
          <w:numId w:val="4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SpinCo and Gold Release of Company. </w:t>
      </w:r>
      <w:r>
        <w:rPr>
          <w:rFonts w:ascii="Times New Roman" w:cs="Times New Roman" w:eastAsia="Times New Roman" w:hAnsi="Times New Roman"/>
          <w:sz w:val="14"/>
          <w:szCs w:val="14"/>
          <w:color w:val="auto"/>
        </w:rPr>
        <w:t>Except as provided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Sections 4.1(c)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4.1(d)</w:t>
      </w:r>
      <w:r>
        <w:rPr>
          <w:rFonts w:ascii="Times New Roman" w:cs="Times New Roman" w:eastAsia="Times New Roman" w:hAnsi="Times New Roman"/>
          <w:sz w:val="14"/>
          <w:szCs w:val="14"/>
          <w:color w:val="auto"/>
        </w:rPr>
        <w:t>, effective as of the Distribution Time, each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SpinCo and Gold does hereby, for itself, each other member of the SpinCo Group and each Subsidiary of Gold, respectively, and their respective successors and assigns, and, to the extent permitted by Law, all Persons who at any time prior to the Distribution Time have been stockholders, directors, officers, agents or employees of any of their respective Groups (in each case, in their respective capacities as such), remise, release and forever discharge (i) the Company and the members of the Company Group, and their respective successors and assigns, (ii) all Persons who at any time prior to the Distribution Time have been stockholders, directors, officers, agents or employees of any member of the Company Group (in each case, in their respective capacities as such), and their respective heirs, executors, administrators, successors and assigns,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B-43</w:t>
      </w:r>
    </w:p>
    <w:p>
      <w:pPr>
        <w:sectPr>
          <w:pgSz w:w="11900" w:h="16838" w:orient="portrait"/>
          <w:cols w:equalWidth="0" w:num="1">
            <w:col w:w="10159"/>
          </w:cols>
          <w:pgMar w:left="300" w:top="386" w:right="1440"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and (iii) all Persons who at any time prior to the Distribution Time are or have been stockholders, directors, officers, agents or employees of a Transferred Entity and who are not, as of immediately following the Distribution Time, directors, officers or employees of SpinCo or a member of the SpinCo Group, in each case from: (A) all SpinCo Liabilities, (B) all Liabilities arising from or in connection with the transactions and all other activities to implement the Reorganization, the Distribution, the SpinCo Financing, the Merger and any of the other transactions contemplated by this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SpinCo Business, the SpinCo Assets or the SpinCo Liabilities.</w:t>
      </w:r>
    </w:p>
    <w:p>
      <w:pPr>
        <w:spacing w:after="0" w:line="143" w:lineRule="exact"/>
        <w:rPr>
          <w:sz w:val="20"/>
          <w:szCs w:val="20"/>
          <w:color w:val="auto"/>
        </w:rPr>
      </w:pPr>
    </w:p>
    <w:p>
      <w:pPr>
        <w:ind w:left="1360" w:right="239" w:firstLine="767"/>
        <w:spacing w:after="0" w:line="253" w:lineRule="auto"/>
        <w:tabs>
          <w:tab w:leader="none" w:pos="2330"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Company Release of SpinCo. </w:t>
      </w:r>
      <w:r>
        <w:rPr>
          <w:rFonts w:ascii="Times New Roman" w:cs="Times New Roman" w:eastAsia="Times New Roman" w:hAnsi="Times New Roman"/>
          <w:sz w:val="14"/>
          <w:szCs w:val="14"/>
          <w:color w:val="auto"/>
        </w:rPr>
        <w:t>Except as provided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Sections 4.1(c)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4.1(d)</w:t>
      </w:r>
      <w:r>
        <w:rPr>
          <w:rFonts w:ascii="Times New Roman" w:cs="Times New Roman" w:eastAsia="Times New Roman" w:hAnsi="Times New Roman"/>
          <w:sz w:val="14"/>
          <w:szCs w:val="14"/>
          <w:color w:val="auto"/>
        </w:rPr>
        <w:t>, effective as of the Distribution Time, the Company does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hereby, for itself and each other member of the Company Group, and their respective successors and assigns, and, to the extent permitted by Law, all Persons who at any time prior to the Distribution Time have been stockholders, directors, officers, agents or employees of any member of the Company Group (in each case, in their respective capacities as such), remise, release and forever discharge (i) SpinCo and the members of the SpinCo Group and their respective successors and assigns, and (ii) all Persons who at any time prior to the Distribution Time have been stockholders, directors, officers, agents or employees of any member of the SpinCo Group (in each case, in their respective capacities as such), and their respective heirs, executors, administrators, successors and assigns, from (A) all Company Liabilities, (B) all Liabilities arising from or in connection with the transactions and all other activities to implement the Reorganization and the Distribution, any financing or refinancing in connection with the Distribution, the Merger and any of the other transactions contemplated by this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Company Business, the Company Assets or the Company Liabilities.</w:t>
      </w:r>
    </w:p>
    <w:p>
      <w:pPr>
        <w:spacing w:after="0" w:line="148" w:lineRule="exact"/>
        <w:rPr>
          <w:rFonts w:ascii="Times New Roman" w:cs="Times New Roman" w:eastAsia="Times New Roman" w:hAnsi="Times New Roman"/>
          <w:sz w:val="14"/>
          <w:szCs w:val="14"/>
          <w:color w:val="auto"/>
        </w:rPr>
      </w:pPr>
    </w:p>
    <w:p>
      <w:pPr>
        <w:ind w:left="1360" w:right="239" w:firstLine="767"/>
        <w:spacing w:after="0" w:line="262" w:lineRule="auto"/>
        <w:tabs>
          <w:tab w:leader="none" w:pos="2322" w:val="left"/>
        </w:tabs>
        <w:numPr>
          <w:ilvl w:val="0"/>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Obligations Not Affected. </w:t>
      </w:r>
      <w:r>
        <w:rPr>
          <w:rFonts w:ascii="Times New Roman" w:cs="Times New Roman" w:eastAsia="Times New Roman" w:hAnsi="Times New Roman"/>
          <w:sz w:val="14"/>
          <w:szCs w:val="14"/>
          <w:color w:val="auto"/>
        </w:rPr>
        <w:t>Nothing contained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4.1(b)</w:t>
      </w:r>
      <w:r>
        <w:rPr>
          <w:rFonts w:ascii="Times New Roman" w:cs="Times New Roman" w:eastAsia="Times New Roman" w:hAnsi="Times New Roman"/>
          <w:sz w:val="14"/>
          <w:szCs w:val="14"/>
          <w:color w:val="auto"/>
        </w:rPr>
        <w:t>. shall impair any right of any Person to enforce this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Merger Agreement, any other Transaction Document or any agreements, arrangements, commitments or understandings that are specified in </w:t>
      </w:r>
      <w:r>
        <w:rPr>
          <w:rFonts w:ascii="Times New Roman" w:cs="Times New Roman" w:eastAsia="Times New Roman" w:hAnsi="Times New Roman"/>
          <w:sz w:val="14"/>
          <w:szCs w:val="14"/>
          <w:u w:val="single" w:color="auto"/>
          <w:color w:val="auto"/>
        </w:rPr>
        <w:t>Section 2.8(b)</w:t>
      </w:r>
      <w:r>
        <w:rPr>
          <w:rFonts w:ascii="Times New Roman" w:cs="Times New Roman" w:eastAsia="Times New Roman" w:hAnsi="Times New Roman"/>
          <w:sz w:val="14"/>
          <w:szCs w:val="14"/>
          <w:color w:val="auto"/>
        </w:rPr>
        <w:t xml:space="preserve"> as not to terminate as of the Distribution Time, in each case in accordance with its terms. Nothing contained in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4.1(b)</w:t>
      </w:r>
      <w:r>
        <w:rPr>
          <w:rFonts w:ascii="Times New Roman" w:cs="Times New Roman" w:eastAsia="Times New Roman" w:hAnsi="Times New Roman"/>
          <w:sz w:val="14"/>
          <w:szCs w:val="14"/>
          <w:color w:val="auto"/>
        </w:rPr>
        <w:t xml:space="preserve"> shall release any Person from:</w:t>
      </w:r>
    </w:p>
    <w:p>
      <w:pPr>
        <w:spacing w:after="0" w:line="55" w:lineRule="exact"/>
        <w:rPr>
          <w:rFonts w:ascii="Times New Roman" w:cs="Times New Roman" w:eastAsia="Times New Roman" w:hAnsi="Times New Roman"/>
          <w:sz w:val="14"/>
          <w:szCs w:val="14"/>
          <w:color w:val="auto"/>
        </w:rPr>
      </w:pPr>
    </w:p>
    <w:p>
      <w:pPr>
        <w:jc w:val="both"/>
        <w:ind w:left="1700" w:right="319" w:firstLine="739"/>
        <w:spacing w:after="0" w:line="267" w:lineRule="auto"/>
        <w:tabs>
          <w:tab w:leader="none" w:pos="2608" w:val="left"/>
        </w:tabs>
        <w:numPr>
          <w:ilvl w:val="1"/>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Liability provided in or resulting from (A) this Agreement, (B) the Merger Agreement, (C) any other Transaction Document or (D) any agreement among any members of the Company Group or any members of the SpinCo Group that is specified in </w:t>
      </w:r>
      <w:r>
        <w:rPr>
          <w:rFonts w:ascii="Times New Roman" w:cs="Times New Roman" w:eastAsia="Times New Roman" w:hAnsi="Times New Roman"/>
          <w:sz w:val="14"/>
          <w:szCs w:val="14"/>
          <w:u w:val="single" w:color="auto"/>
          <w:color w:val="auto"/>
        </w:rPr>
        <w:t>Section 2.8(b)</w:t>
      </w:r>
      <w:r>
        <w:rPr>
          <w:rFonts w:ascii="Times New Roman" w:cs="Times New Roman" w:eastAsia="Times New Roman" w:hAnsi="Times New Roman"/>
          <w:sz w:val="14"/>
          <w:szCs w:val="14"/>
          <w:color w:val="auto"/>
        </w:rPr>
        <w:t xml:space="preserve"> as not to terminate as of the Distribution Time, or any other Liability specified in </w:t>
      </w:r>
      <w:r>
        <w:rPr>
          <w:rFonts w:ascii="Times New Roman" w:cs="Times New Roman" w:eastAsia="Times New Roman" w:hAnsi="Times New Roman"/>
          <w:sz w:val="14"/>
          <w:szCs w:val="14"/>
          <w:u w:val="single" w:color="auto"/>
          <w:color w:val="auto"/>
        </w:rPr>
        <w:t>Section 2.8(b)</w:t>
      </w:r>
      <w:r>
        <w:rPr>
          <w:rFonts w:ascii="Times New Roman" w:cs="Times New Roman" w:eastAsia="Times New Roman" w:hAnsi="Times New Roman"/>
          <w:sz w:val="14"/>
          <w:szCs w:val="14"/>
          <w:color w:val="auto"/>
        </w:rPr>
        <w:t xml:space="preserve"> as not to terminate as of the Distribution Time;</w:t>
      </w:r>
    </w:p>
    <w:p>
      <w:pPr>
        <w:spacing w:after="0" w:line="51" w:lineRule="exact"/>
        <w:rPr>
          <w:rFonts w:ascii="Times New Roman" w:cs="Times New Roman" w:eastAsia="Times New Roman" w:hAnsi="Times New Roman"/>
          <w:sz w:val="14"/>
          <w:szCs w:val="14"/>
          <w:color w:val="auto"/>
        </w:rPr>
      </w:pPr>
    </w:p>
    <w:p>
      <w:pPr>
        <w:ind w:left="1700" w:right="239" w:firstLine="739"/>
        <w:spacing w:after="0" w:line="267" w:lineRule="auto"/>
        <w:tabs>
          <w:tab w:leader="none" w:pos="2647" w:val="left"/>
        </w:tabs>
        <w:numPr>
          <w:ilvl w:val="1"/>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Liability, contingent or otherwise, assumed, transferred, assigned or allocated to the Group of which such Person is a member in accordance with, or any other Liability of any member of any Group under, this Agreement, the Merger Agreement or any other Transaction Document;</w:t>
      </w:r>
    </w:p>
    <w:p>
      <w:pPr>
        <w:spacing w:after="0" w:line="51" w:lineRule="exact"/>
        <w:rPr>
          <w:rFonts w:ascii="Times New Roman" w:cs="Times New Roman" w:eastAsia="Times New Roman" w:hAnsi="Times New Roman"/>
          <w:sz w:val="14"/>
          <w:szCs w:val="14"/>
          <w:color w:val="auto"/>
        </w:rPr>
      </w:pPr>
    </w:p>
    <w:p>
      <w:pPr>
        <w:ind w:left="1700" w:right="259" w:firstLine="739"/>
        <w:spacing w:after="0" w:line="283" w:lineRule="auto"/>
        <w:tabs>
          <w:tab w:leader="none" w:pos="2686" w:val="left"/>
        </w:tabs>
        <w:numPr>
          <w:ilvl w:val="1"/>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Liability for the sale, lease, construction or receipt of goods, property or services purchased, obtained or used in the ordinary course of business by a member of one Group from a member of the other Group prior to the Distribution Time;</w:t>
      </w:r>
    </w:p>
    <w:p>
      <w:pPr>
        <w:spacing w:after="0" w:line="40" w:lineRule="exact"/>
        <w:rPr>
          <w:rFonts w:ascii="Times New Roman" w:cs="Times New Roman" w:eastAsia="Times New Roman" w:hAnsi="Times New Roman"/>
          <w:sz w:val="14"/>
          <w:szCs w:val="14"/>
          <w:color w:val="auto"/>
        </w:rPr>
      </w:pPr>
    </w:p>
    <w:p>
      <w:pPr>
        <w:ind w:left="1700" w:right="279" w:firstLine="739"/>
        <w:spacing w:after="0" w:line="267" w:lineRule="auto"/>
        <w:tabs>
          <w:tab w:leader="none" w:pos="2678" w:val="left"/>
        </w:tabs>
        <w:numPr>
          <w:ilvl w:val="1"/>
          <w:numId w:val="4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Liability for unpaid amounts for products or services or refunds owing on products or services due on a value-received basis for work done by a member of one Group at the request or on behalf of a member of the other Group, to the extent reflected in the calculation of Final Net Working Capital;</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B-44</w:t>
      </w:r>
    </w:p>
    <w:p>
      <w:pPr>
        <w:sectPr>
          <w:pgSz w:w="11900" w:h="16838" w:orient="portrait"/>
          <w:cols w:equalWidth="0" w:num="1">
            <w:col w:w="10159"/>
          </w:cols>
          <w:pgMar w:left="300" w:top="386" w:right="1440"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59" w:firstLine="739"/>
        <w:spacing w:after="0" w:line="323" w:lineRule="auto"/>
        <w:tabs>
          <w:tab w:leader="none" w:pos="2639" w:val="left"/>
        </w:tabs>
        <w:numPr>
          <w:ilvl w:val="0"/>
          <w:numId w:val="4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Liability provided in or resulting from any agreement that is entered into after the Distribution Time between Gold or SpinCo (and/or a member of the SpinCo Group), on the one hand, and the Company (and/or a member of the Company Group), on the other hand;</w:t>
      </w:r>
    </w:p>
    <w:p>
      <w:pPr>
        <w:spacing w:after="0" w:line="18" w:lineRule="exact"/>
        <w:rPr>
          <w:rFonts w:ascii="Times New Roman" w:cs="Times New Roman" w:eastAsia="Times New Roman" w:hAnsi="Times New Roman"/>
          <w:sz w:val="13"/>
          <w:szCs w:val="13"/>
          <w:color w:val="auto"/>
        </w:rPr>
      </w:pPr>
    </w:p>
    <w:p>
      <w:pPr>
        <w:ind w:left="1700" w:right="339" w:firstLine="739"/>
        <w:spacing w:after="0" w:line="261" w:lineRule="auto"/>
        <w:tabs>
          <w:tab w:leader="none" w:pos="2678"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Liability that the Parties may have with respect to indemnification or contribution or other obligation pursuant to this Agreement, the Merger Agreement, any other Transaction Document or otherwise for claims brought against the Parties by Third Parties, which Liability shall be governed by the provisions of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and, if applicable, the appropriate provisions of this Agreement, the Merger Agreement and the Transaction Documents;</w:t>
      </w:r>
    </w:p>
    <w:p>
      <w:pPr>
        <w:spacing w:after="0" w:line="56" w:lineRule="exact"/>
        <w:rPr>
          <w:rFonts w:ascii="Times New Roman" w:cs="Times New Roman" w:eastAsia="Times New Roman" w:hAnsi="Times New Roman"/>
          <w:sz w:val="14"/>
          <w:szCs w:val="14"/>
          <w:color w:val="auto"/>
        </w:rPr>
      </w:pPr>
    </w:p>
    <w:p>
      <w:pPr>
        <w:ind w:left="1700" w:right="279" w:firstLine="739"/>
        <w:spacing w:after="0" w:line="283" w:lineRule="auto"/>
        <w:tabs>
          <w:tab w:leader="none" w:pos="2717"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Liability that a Party may have with respect to such Party’s non-compete, non-solicit, non-disparagement, confidentiality or other similar obligations pursuant to this Agreement, the Merger Agreement or any other Transaction Document; or</w:t>
      </w:r>
    </w:p>
    <w:p>
      <w:pPr>
        <w:spacing w:after="0" w:line="40" w:lineRule="exact"/>
        <w:rPr>
          <w:rFonts w:ascii="Times New Roman" w:cs="Times New Roman" w:eastAsia="Times New Roman" w:hAnsi="Times New Roman"/>
          <w:sz w:val="14"/>
          <w:szCs w:val="14"/>
          <w:color w:val="auto"/>
        </w:rPr>
      </w:pPr>
    </w:p>
    <w:p>
      <w:pPr>
        <w:ind w:left="2760" w:hanging="321"/>
        <w:spacing w:after="0"/>
        <w:tabs>
          <w:tab w:leader="none" w:pos="2760" w:val="left"/>
        </w:tabs>
        <w:numPr>
          <w:ilvl w:val="0"/>
          <w:numId w:val="4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Liability the release of which would result in the release of any Person other than a Person released pursuant to this</w:t>
      </w:r>
    </w:p>
    <w:p>
      <w:pPr>
        <w:spacing w:after="0" w:line="21" w:lineRule="exact"/>
        <w:rPr>
          <w:rFonts w:ascii="Times New Roman" w:cs="Times New Roman" w:eastAsia="Times New Roman" w:hAnsi="Times New Roman"/>
          <w:sz w:val="14"/>
          <w:szCs w:val="14"/>
          <w:color w:val="auto"/>
        </w:rPr>
      </w:pPr>
    </w:p>
    <w:p>
      <w:pPr>
        <w:ind w:left="1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 xml:space="preserve">In addition, nothing contained in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4.1(b)</w:t>
      </w:r>
      <w:r>
        <w:rPr>
          <w:rFonts w:ascii="Times New Roman" w:cs="Times New Roman" w:eastAsia="Times New Roman" w:hAnsi="Times New Roman"/>
          <w:sz w:val="14"/>
          <w:szCs w:val="14"/>
          <w:color w:val="auto"/>
        </w:rPr>
        <w:t xml:space="preserve"> shall release: (A) any member of the Company Group from honoring its existing obligations to indemnify any director, officer or employee of SpinCo who was a director, officer or employee of any member of the Company Group on or prior to the Distribution Time, to the extent such director, officer or employee becomes a named defendant in any Action with respect to which such director, officer or employee was entitled to such indemnification pursuant to then-existing obligations; it being understood that, if the underlying obligation giving rise to such Action is a SpinCo Liability, SpinCo shall indemnify the Company for such Liability (including the Company’s costs to indemnify the director, officer or employee) in accordance with the provisions set forth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(B) SpinCo from honoring its obligations to indemnify any director, officer or employee of the Company Group who was a director, officer or employee of SpinCo or any member of the SpinCo Group at or prior to the Distribution Time, to the extent such director, officer or employee is or becomes a named defendant in any Action with respect to which he or she was entitled to such indemnification from a member of the SpinCo Group pursuant to then-existing obligations, it being understood that if the underlying obligation giving rise to such Action is a Company Liability, the Company shall indemnify SpinCo for such Liability (including SpinCo’s costs to indemnify the director, officer or employee) in accordance with the provisions set forth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360" w:right="279" w:firstLine="767"/>
        <w:spacing w:after="0" w:line="255" w:lineRule="auto"/>
        <w:tabs>
          <w:tab w:leader="none" w:pos="2330"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Claims. </w:t>
      </w:r>
      <w:r>
        <w:rPr>
          <w:rFonts w:ascii="Times New Roman" w:cs="Times New Roman" w:eastAsia="Times New Roman" w:hAnsi="Times New Roman"/>
          <w:sz w:val="14"/>
          <w:szCs w:val="14"/>
          <w:color w:val="auto"/>
        </w:rPr>
        <w:t>SpinCo shall not make, and shall not permit any other member of the SpinCo Group to make, any claim or demand,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commence any Action asserting any claim or demand, including any claim of contribution or any indemnification, against the Company or any other member of the Company Group, or any other Person released pursuant to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with respect to any Liabilities released pursuant to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The Company shall not make, and shall not permit any other member of the Company Group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with respect to any Liabilities released pursuant to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Gold shall not make, and shall not permit any other member of the SpinCo Group to make, any claim or demand, or commence any Action asserting any claim or demand, including any claim of contribution or any indemnification, against the Company or any other member of the Company Group, or any other Person released pursuant to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with respect to any Liabilities released pursuant to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360" w:right="239" w:firstLine="767"/>
        <w:spacing w:after="0" w:line="257" w:lineRule="auto"/>
        <w:tabs>
          <w:tab w:leader="none" w:pos="2322" w:val="left"/>
        </w:tabs>
        <w:numPr>
          <w:ilvl w:val="0"/>
          <w:numId w:val="4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Execution of Further Releases. </w:t>
      </w:r>
      <w:r>
        <w:rPr>
          <w:rFonts w:ascii="Times New Roman" w:cs="Times New Roman" w:eastAsia="Times New Roman" w:hAnsi="Times New Roman"/>
          <w:sz w:val="14"/>
          <w:szCs w:val="14"/>
          <w:color w:val="auto"/>
        </w:rPr>
        <w:t>It is the intent of each of the Company, SpinCo and Gold, by virtue of the provisions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to provide for a full and complete release and discharge of all Liabilities existing or arising from all acts and events occurring or failing to occur or alleged to have occurred or to have failed to occur and all conditions existing or alleged to have existed prior to the Distribution Time, between or among SpinCo, Gold or any member of the SpinCo Group or any Subsidiary of Gold, on the one hand, and the Company or any member of the Company Group, on the other hand, relating to the matters described in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 xml:space="preserve">, except as expressly set forth in </w:t>
      </w:r>
      <w:r>
        <w:rPr>
          <w:rFonts w:ascii="Times New Roman" w:cs="Times New Roman" w:eastAsia="Times New Roman" w:hAnsi="Times New Roman"/>
          <w:sz w:val="14"/>
          <w:szCs w:val="14"/>
          <w:u w:val="single" w:color="auto"/>
          <w:color w:val="auto"/>
        </w:rPr>
        <w:t>Section 4.1(c)</w:t>
      </w:r>
      <w:r>
        <w:rPr>
          <w:rFonts w:ascii="Times New Roman" w:cs="Times New Roman" w:eastAsia="Times New Roman" w:hAnsi="Times New Roman"/>
          <w:sz w:val="14"/>
          <w:szCs w:val="14"/>
          <w:color w:val="auto"/>
        </w:rPr>
        <w:t>. At any time at or after the Distribution Time, at the</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B-45</w:t>
      </w:r>
    </w:p>
    <w:p>
      <w:pPr>
        <w:sectPr>
          <w:pgSz w:w="11900" w:h="16838" w:orient="portrait"/>
          <w:cols w:equalWidth="0" w:num="1">
            <w:col w:w="10159"/>
          </w:cols>
          <w:pgMar w:left="300" w:top="386" w:right="1440"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 xml:space="preserve">request of either the Company, SpinCo or Gold, the other Parties shall cause each member of its respective Group to execute and deliver releases reflecting the provisions of this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360" w:right="299" w:firstLine="343"/>
        <w:spacing w:after="0" w:line="257"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Indemnification by SpinCo</w:t>
      </w:r>
      <w:r>
        <w:rPr>
          <w:rFonts w:ascii="Times New Roman" w:cs="Times New Roman" w:eastAsia="Times New Roman" w:hAnsi="Times New Roman"/>
          <w:sz w:val="14"/>
          <w:szCs w:val="14"/>
          <w:color w:val="auto"/>
        </w:rPr>
        <w:t>. Except as otherwise specifically set forth in this Agreement or in any other Transaction Document, to the fullest extent permitted by Law, SpinCo shall, and shall cause the other members of the SpinCo Group to, indemnify, defend and hold harmless the Company, each member of the Company Group and the Company’s Affiliates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cs="Times New Roman" w:eastAsia="Times New Roman" w:hAnsi="Times New Roman"/>
          <w:sz w:val="14"/>
          <w:szCs w:val="14"/>
          <w:b w:val="1"/>
          <w:bCs w:val="1"/>
          <w:color w:val="auto"/>
        </w:rPr>
        <w:t>Company Indemnitees</w:t>
      </w:r>
      <w:r>
        <w:rPr>
          <w:rFonts w:ascii="Times New Roman" w:cs="Times New Roman" w:eastAsia="Times New Roman" w:hAnsi="Times New Roman"/>
          <w:sz w:val="14"/>
          <w:szCs w:val="14"/>
          <w:color w:val="auto"/>
        </w:rPr>
        <w:t>”), from and against any and all Liabilities of the Company Indemnitees relating to, arising out of or resulting from, directly or indirectly, any of the following items (without duplication):</w:t>
      </w:r>
    </w:p>
    <w:p>
      <w:pPr>
        <w:spacing w:after="0" w:line="143" w:lineRule="exact"/>
        <w:rPr>
          <w:sz w:val="20"/>
          <w:szCs w:val="20"/>
          <w:color w:val="auto"/>
        </w:rPr>
      </w:pPr>
    </w:p>
    <w:p>
      <w:pPr>
        <w:ind w:left="2320" w:hanging="193"/>
        <w:spacing w:after="0"/>
        <w:tabs>
          <w:tab w:leader="none" w:pos="232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SpinCo Liability;</w:t>
      </w:r>
    </w:p>
    <w:p>
      <w:pPr>
        <w:spacing w:after="0" w:line="175" w:lineRule="exact"/>
        <w:rPr>
          <w:rFonts w:ascii="Times New Roman" w:cs="Times New Roman" w:eastAsia="Times New Roman" w:hAnsi="Times New Roman"/>
          <w:sz w:val="14"/>
          <w:szCs w:val="14"/>
          <w:color w:val="auto"/>
        </w:rPr>
      </w:pPr>
    </w:p>
    <w:p>
      <w:pPr>
        <w:ind w:left="1360" w:right="459" w:firstLine="767"/>
        <w:spacing w:after="0" w:line="283" w:lineRule="auto"/>
        <w:tabs>
          <w:tab w:leader="none" w:pos="233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of SpinCo, any other member of the SpinCo Group or any other Person to pay, perform or otherwise promptly discharge any SpinCo Liabilities in accordance with their terms;</w:t>
      </w:r>
    </w:p>
    <w:p>
      <w:pPr>
        <w:spacing w:after="0" w:line="124" w:lineRule="exact"/>
        <w:rPr>
          <w:rFonts w:ascii="Times New Roman" w:cs="Times New Roman" w:eastAsia="Times New Roman" w:hAnsi="Times New Roman"/>
          <w:sz w:val="14"/>
          <w:szCs w:val="14"/>
          <w:color w:val="auto"/>
        </w:rPr>
      </w:pPr>
    </w:p>
    <w:p>
      <w:pPr>
        <w:ind w:left="1360" w:right="239" w:firstLine="767"/>
        <w:spacing w:after="0" w:line="261" w:lineRule="auto"/>
        <w:tabs>
          <w:tab w:leader="none" w:pos="2322"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breach by SpinCo or any other member of the SpinCo Group of this Agreement or any of the other Transaction Documents (other than any Transaction Document that expressly contains indemnification provisions, which shall be subject to the indemnification provisions contained in such Transaction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Indemnitees shall not have any claim pursuant to this </w:t>
      </w:r>
      <w:r>
        <w:rPr>
          <w:rFonts w:ascii="Times New Roman" w:cs="Times New Roman" w:eastAsia="Times New Roman" w:hAnsi="Times New Roman"/>
          <w:sz w:val="14"/>
          <w:szCs w:val="14"/>
          <w:u w:val="single" w:color="auto"/>
          <w:color w:val="auto"/>
        </w:rPr>
        <w:t>Section 4.2(c)</w:t>
      </w:r>
      <w:r>
        <w:rPr>
          <w:rFonts w:ascii="Times New Roman" w:cs="Times New Roman" w:eastAsia="Times New Roman" w:hAnsi="Times New Roman"/>
          <w:sz w:val="14"/>
          <w:szCs w:val="14"/>
          <w:color w:val="auto"/>
        </w:rPr>
        <w:t xml:space="preserve"> prior to the Distribution Time;</w:t>
      </w:r>
    </w:p>
    <w:p>
      <w:pPr>
        <w:spacing w:after="0" w:line="140" w:lineRule="exact"/>
        <w:rPr>
          <w:rFonts w:ascii="Times New Roman" w:cs="Times New Roman" w:eastAsia="Times New Roman" w:hAnsi="Times New Roman"/>
          <w:sz w:val="14"/>
          <w:szCs w:val="14"/>
          <w:color w:val="auto"/>
        </w:rPr>
      </w:pPr>
    </w:p>
    <w:p>
      <w:pPr>
        <w:ind w:left="1360" w:right="319" w:firstLine="767"/>
        <w:spacing w:after="0" w:line="261" w:lineRule="auto"/>
        <w:tabs>
          <w:tab w:leader="none" w:pos="2330"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it relates to a Company Liability, any guarantee, indemnification or contribution obligation, surety bond or other credit support agreement, arrangement, commitment or understanding to the extent discharged or performed by any member of the Company Group for the benefit of any member of the SpinCo Group that survives following the Distribution (other than as a result of breach thereof by any member of the SpinCo Group prior to the Effective Time or breach thereof by any member of the Company Group);</w:t>
      </w:r>
    </w:p>
    <w:p>
      <w:pPr>
        <w:spacing w:after="0" w:line="140"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322"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Liabilities arising out of claims made by the securityholders or lenders of a party or any of their Affiliates to the extent relating to the use of any information provided by or on behalf of Gold in writing prior to the Distribution in connection with the SpinCo Financing (other than with respect to information that was initially disclosed or provided to Gold by any member of the Company Group); and</w:t>
      </w:r>
    </w:p>
    <w:p>
      <w:pPr>
        <w:spacing w:after="0" w:line="135" w:lineRule="exact"/>
        <w:rPr>
          <w:rFonts w:ascii="Times New Roman" w:cs="Times New Roman" w:eastAsia="Times New Roman" w:hAnsi="Times New Roman"/>
          <w:sz w:val="14"/>
          <w:szCs w:val="14"/>
          <w:color w:val="auto"/>
        </w:rPr>
      </w:pPr>
    </w:p>
    <w:p>
      <w:pPr>
        <w:ind w:left="1360" w:right="239" w:firstLine="767"/>
        <w:spacing w:after="0" w:line="267" w:lineRule="auto"/>
        <w:tabs>
          <w:tab w:leader="none" w:pos="2307" w:val="left"/>
        </w:tabs>
        <w:numPr>
          <w:ilvl w:val="0"/>
          <w:numId w:val="4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untrue statement or alleged untrue statement of a material fact or omission or alleged omission to state a material fact required to be stated therein or necessary to make the statements therein not misleading, with respect to statements made explicitly in Gold’s name in any Securities Filings.</w:t>
      </w:r>
    </w:p>
    <w:p>
      <w:pPr>
        <w:spacing w:after="0" w:line="136" w:lineRule="exact"/>
        <w:rPr>
          <w:sz w:val="20"/>
          <w:szCs w:val="20"/>
          <w:color w:val="auto"/>
        </w:rPr>
      </w:pPr>
    </w:p>
    <w:p>
      <w:pPr>
        <w:ind w:left="1360" w:right="419" w:firstLine="772"/>
        <w:spacing w:after="0" w:line="283" w:lineRule="auto"/>
        <w:rPr>
          <w:sz w:val="20"/>
          <w:szCs w:val="20"/>
          <w:color w:val="auto"/>
        </w:rPr>
      </w:pPr>
      <w:r>
        <w:rPr>
          <w:rFonts w:ascii="Times New Roman" w:cs="Times New Roman" w:eastAsia="Times New Roman" w:hAnsi="Times New Roman"/>
          <w:sz w:val="14"/>
          <w:szCs w:val="14"/>
          <w:color w:val="auto"/>
        </w:rPr>
        <w:t>In the event that SpinCo shall transfer a majority of its assets to another Person, Gold shall, or shall cause such transferee to, assume the obligations of SpinCo under this Agreement.</w:t>
      </w:r>
    </w:p>
    <w:p>
      <w:pPr>
        <w:spacing w:after="0" w:line="125"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Indemnification by Company</w:t>
      </w:r>
      <w:r>
        <w:rPr>
          <w:rFonts w:ascii="Times New Roman" w:cs="Times New Roman" w:eastAsia="Times New Roman" w:hAnsi="Times New Roman"/>
          <w:sz w:val="14"/>
          <w:szCs w:val="14"/>
          <w:color w:val="auto"/>
        </w:rPr>
        <w:t>. Except as otherwise specifically set forth in this Agreement or in any other Transaction Document, to the fullest extent permitted by Law, the Company shall, and shall cause the other members of the Company Group to, indemnify, defend and hold harmless SpinCo, each member of the SpinCo Group and SpinCo’s Affiliates and each of their respective past, present and future directors, officers, employees or agents, in each case in their respective capacities as such, and each of the heirs, executors, successors and assigns of any of the foregoing (collectively, the “</w:t>
      </w:r>
      <w:r>
        <w:rPr>
          <w:rFonts w:ascii="Times New Roman" w:cs="Times New Roman" w:eastAsia="Times New Roman" w:hAnsi="Times New Roman"/>
          <w:sz w:val="14"/>
          <w:szCs w:val="14"/>
          <w:b w:val="1"/>
          <w:bCs w:val="1"/>
          <w:color w:val="auto"/>
        </w:rPr>
        <w:t>SpinCo Indemnitees</w:t>
      </w:r>
      <w:r>
        <w:rPr>
          <w:rFonts w:ascii="Times New Roman" w:cs="Times New Roman" w:eastAsia="Times New Roman" w:hAnsi="Times New Roman"/>
          <w:sz w:val="14"/>
          <w:szCs w:val="14"/>
          <w:color w:val="auto"/>
        </w:rPr>
        <w:t>”), from and against any and all Liabilities of the SpinCo Indemnitees relating to, arising out of or resulting from, directly or indirectly, any of the following items (without duplication):</w:t>
      </w:r>
    </w:p>
    <w:p>
      <w:pPr>
        <w:spacing w:after="0" w:line="14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(a) any Company Liability;</w:t>
      </w:r>
    </w:p>
    <w:p>
      <w:pPr>
        <w:spacing w:after="0" w:line="1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B-46</w:t>
      </w:r>
    </w:p>
    <w:p>
      <w:pPr>
        <w:sectPr>
          <w:pgSz w:w="11900" w:h="16838" w:orient="portrait"/>
          <w:cols w:equalWidth="0" w:num="1">
            <w:col w:w="10159"/>
          </w:cols>
          <w:pgMar w:left="300" w:top="385" w:right="1440"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79" w:firstLine="767"/>
        <w:spacing w:after="0" w:line="283" w:lineRule="auto"/>
        <w:tabs>
          <w:tab w:leader="none" w:pos="233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of the Company, any other member of the Company Group or any other Person to pay, perform or otherwise promptly discharge any Company Liabilities in accordance with their terms;</w:t>
      </w:r>
    </w:p>
    <w:p>
      <w:pPr>
        <w:spacing w:after="0" w:line="124" w:lineRule="exact"/>
        <w:rPr>
          <w:rFonts w:ascii="Times New Roman" w:cs="Times New Roman" w:eastAsia="Times New Roman" w:hAnsi="Times New Roman"/>
          <w:sz w:val="14"/>
          <w:szCs w:val="14"/>
          <w:color w:val="auto"/>
        </w:rPr>
      </w:pPr>
    </w:p>
    <w:p>
      <w:pPr>
        <w:ind w:left="1360" w:right="259" w:firstLine="767"/>
        <w:spacing w:after="0" w:line="261" w:lineRule="auto"/>
        <w:tabs>
          <w:tab w:leader="none" w:pos="2322"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breach by the Company or any other member of the Company Group of this Agreement or any of the other Transaction Documents (other than any Transaction Document that expressly contains indemnification provisions, which shall be subject to the indemnification provisions contained in such Transaction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SpinCo Indemnitees shall not have any claim pursuant to this </w:t>
      </w:r>
      <w:r>
        <w:rPr>
          <w:rFonts w:ascii="Times New Roman" w:cs="Times New Roman" w:eastAsia="Times New Roman" w:hAnsi="Times New Roman"/>
          <w:sz w:val="14"/>
          <w:szCs w:val="14"/>
          <w:u w:val="single" w:color="auto"/>
          <w:color w:val="auto"/>
        </w:rPr>
        <w:t>Section 4.3(c)</w:t>
      </w:r>
      <w:r>
        <w:rPr>
          <w:rFonts w:ascii="Times New Roman" w:cs="Times New Roman" w:eastAsia="Times New Roman" w:hAnsi="Times New Roman"/>
          <w:sz w:val="14"/>
          <w:szCs w:val="14"/>
          <w:color w:val="auto"/>
        </w:rPr>
        <w:t xml:space="preserve"> prior to the Distribution Time;</w:t>
      </w:r>
    </w:p>
    <w:p>
      <w:pPr>
        <w:spacing w:after="0" w:line="140" w:lineRule="exact"/>
        <w:rPr>
          <w:rFonts w:ascii="Times New Roman" w:cs="Times New Roman" w:eastAsia="Times New Roman" w:hAnsi="Times New Roman"/>
          <w:sz w:val="14"/>
          <w:szCs w:val="14"/>
          <w:color w:val="auto"/>
        </w:rPr>
      </w:pPr>
    </w:p>
    <w:p>
      <w:pPr>
        <w:ind w:left="1360" w:right="219" w:firstLine="767"/>
        <w:spacing w:after="0" w:line="261" w:lineRule="auto"/>
        <w:tabs>
          <w:tab w:leader="none" w:pos="2330"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it relates to a SpinCo Liability, any guarantee, indemnification or contribution obligation, surety bond or other credit support agreement, arrangement, commitment or understanding to the extent discharged or performed by any member of the SpinCo Group for the benefit of any member of the Company Group that survives following the Distribution (other than as a result of a breach thereof by any member of the SpinCo Group after the Effective Time);</w:t>
      </w:r>
    </w:p>
    <w:p>
      <w:pPr>
        <w:spacing w:after="0" w:line="140" w:lineRule="exact"/>
        <w:rPr>
          <w:rFonts w:ascii="Times New Roman" w:cs="Times New Roman" w:eastAsia="Times New Roman" w:hAnsi="Times New Roman"/>
          <w:sz w:val="14"/>
          <w:szCs w:val="14"/>
          <w:color w:val="auto"/>
        </w:rPr>
      </w:pPr>
    </w:p>
    <w:p>
      <w:pPr>
        <w:ind w:left="1360" w:right="279" w:firstLine="767"/>
        <w:spacing w:after="0" w:line="261" w:lineRule="auto"/>
        <w:tabs>
          <w:tab w:leader="none" w:pos="2322"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arising out of claims made by the securityholders or lenders of a party or any of their Affiliates to the extent relating to the use of any information relating to the Company Business provided by or on behalf of the Company, SpinCo, or any of their Subsidiaries in writing prior to the Distribution in connection with the SpinCo Financing (other than with respect to information that was initially disclosed or provided to the Company by Gold or any of its Subsidiaries); and</w:t>
      </w:r>
    </w:p>
    <w:p>
      <w:pPr>
        <w:spacing w:after="0" w:line="140" w:lineRule="exact"/>
        <w:rPr>
          <w:rFonts w:ascii="Times New Roman" w:cs="Times New Roman" w:eastAsia="Times New Roman" w:hAnsi="Times New Roman"/>
          <w:sz w:val="14"/>
          <w:szCs w:val="14"/>
          <w:color w:val="auto"/>
        </w:rPr>
      </w:pPr>
    </w:p>
    <w:p>
      <w:pPr>
        <w:ind w:left="1360" w:right="239" w:firstLine="767"/>
        <w:spacing w:after="0" w:line="267" w:lineRule="auto"/>
        <w:tabs>
          <w:tab w:leader="none" w:pos="2307" w:val="left"/>
        </w:tabs>
        <w:numPr>
          <w:ilvl w:val="0"/>
          <w:numId w:val="4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untrue statement or alleged untrue statement of a material fact or omission or alleged omission to state a material fact required to be stated therein or necessary to make the statements therein not misleading, with respect to statements made explicitly in the Company’s name in any Securities Filings.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Indemnification Obligations Net of Insurance Proceeds and Other Amounts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19" w:firstLine="767"/>
        <w:spacing w:after="0" w:line="254" w:lineRule="auto"/>
        <w:tabs>
          <w:tab w:leader="none" w:pos="2322"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intend that any Liability subject to indemnification, contribution or reimbursement pursuant to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which either the Company or SpinCo, as applicable (an “</w:t>
      </w:r>
      <w:r>
        <w:rPr>
          <w:rFonts w:ascii="Times New Roman" w:cs="Times New Roman" w:eastAsia="Times New Roman" w:hAnsi="Times New Roman"/>
          <w:sz w:val="14"/>
          <w:szCs w:val="14"/>
          <w:b w:val="1"/>
          <w:bCs w:val="1"/>
          <w:color w:val="auto"/>
        </w:rPr>
        <w:t>Indemnifying Party</w:t>
      </w:r>
      <w:r>
        <w:rPr>
          <w:rFonts w:ascii="Times New Roman" w:cs="Times New Roman" w:eastAsia="Times New Roman" w:hAnsi="Times New Roman"/>
          <w:sz w:val="14"/>
          <w:szCs w:val="14"/>
          <w:color w:val="auto"/>
        </w:rPr>
        <w:t>”), is required to pay to any Person entitled to indemnification or contribution hereunder (an “</w:t>
      </w:r>
      <w:r>
        <w:rPr>
          <w:rFonts w:ascii="Times New Roman" w:cs="Times New Roman" w:eastAsia="Times New Roman" w:hAnsi="Times New Roman"/>
          <w:sz w:val="14"/>
          <w:szCs w:val="14"/>
          <w:b w:val="1"/>
          <w:bCs w:val="1"/>
          <w:color w:val="auto"/>
        </w:rPr>
        <w:t>Indemnitee</w:t>
      </w:r>
      <w:r>
        <w:rPr>
          <w:rFonts w:ascii="Times New Roman" w:cs="Times New Roman" w:eastAsia="Times New Roman" w:hAnsi="Times New Roman"/>
          <w:sz w:val="14"/>
          <w:szCs w:val="14"/>
          <w:color w:val="auto"/>
        </w:rPr>
        <w:t>”) will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Times New Roman" w:cs="Times New Roman" w:eastAsia="Times New Roman" w:hAnsi="Times New Roman"/>
          <w:sz w:val="14"/>
          <w:szCs w:val="14"/>
          <w:b w:val="1"/>
          <w:bCs w:val="1"/>
          <w:color w:val="auto"/>
        </w:rPr>
        <w:t>Indemnity Payment</w:t>
      </w:r>
      <w:r>
        <w:rPr>
          <w:rFonts w:ascii="Times New Roman" w:cs="Times New Roman" w:eastAsia="Times New Roman" w:hAnsi="Times New Roman"/>
          <w:sz w:val="14"/>
          <w:szCs w:val="14"/>
          <w:color w:val="auto"/>
        </w:rPr>
        <w:t>”) required by this Agreement from an Indemnifying Party in respect of any Liability and subsequently receives Insurance Proceeds or any other amounts in respect of such Liability, then reasonably promptly following receipt of such Insurance Proceeds,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44" w:lineRule="exact"/>
        <w:rPr>
          <w:rFonts w:ascii="Times New Roman" w:cs="Times New Roman" w:eastAsia="Times New Roman" w:hAnsi="Times New Roman"/>
          <w:sz w:val="14"/>
          <w:szCs w:val="14"/>
          <w:color w:val="auto"/>
        </w:rPr>
      </w:pPr>
    </w:p>
    <w:p>
      <w:pPr>
        <w:ind w:left="1360" w:right="319" w:firstLine="767"/>
        <w:spacing w:after="0" w:line="256" w:lineRule="auto"/>
        <w:tabs>
          <w:tab w:leader="none" w:pos="2330" w:val="left"/>
        </w:tabs>
        <w:numPr>
          <w:ilvl w:val="0"/>
          <w:numId w:val="4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agree that an insurer that would otherwise be obligated to pay any claim shall not be relieved of the responsibility with respect thereto or, solely by virtue of any provision contained in this Agreement or any other Transaction Document, have any subrogation rights with respect thereto, it being understood that no insurer or any other Third Party shall be entitled to a “windfall” (i.e., a benefit they would not be entitled to receive in the absence of the indemnification provisions) by virtue of the indemnification and contribution provisions hereof. Each of the Company and SpinCo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or contribution may be</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B-47</w:t>
      </w:r>
    </w:p>
    <w:p>
      <w:pPr>
        <w:sectPr>
          <w:pgSz w:w="11900" w:h="16838" w:orient="portrait"/>
          <w:cols w:equalWidth="0" w:num="1">
            <w:col w:w="10159"/>
          </w:cols>
          <w:pgMar w:left="300" w:top="385" w:right="1440"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 xml:space="preserve">available under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other Transaction Document.</w:t>
      </w:r>
    </w:p>
    <w:p>
      <w:pPr>
        <w:spacing w:after="0" w:line="141" w:lineRule="exact"/>
        <w:rPr>
          <w:sz w:val="20"/>
          <w:szCs w:val="20"/>
          <w:color w:val="auto"/>
        </w:rPr>
      </w:pPr>
    </w:p>
    <w:p>
      <w:pPr>
        <w:ind w:left="1360" w:right="539" w:firstLine="767"/>
        <w:spacing w:after="0" w:line="283" w:lineRule="auto"/>
        <w:tabs>
          <w:tab w:leader="none" w:pos="2322" w:val="left"/>
        </w:tabs>
        <w:numPr>
          <w:ilvl w:val="0"/>
          <w:numId w:val="4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herein to the contrary, the Company shall not be required to indemnify any SpinCo Indemnitees for any Liability pursuant to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if and to the extent such Liability was reflected in the calculation of the Final Net Working Capital.</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Procedures for Indemnification of Third-Party Claims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1360" w:right="239" w:firstLine="767"/>
        <w:spacing w:after="0" w:line="275" w:lineRule="auto"/>
        <w:tabs>
          <w:tab w:leader="none" w:pos="2322" w:val="left"/>
        </w:tabs>
        <w:numPr>
          <w:ilvl w:val="1"/>
          <w:numId w:val="4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Notice of Claims. </w:t>
      </w:r>
      <w:r>
        <w:rPr>
          <w:rFonts w:ascii="Times New Roman" w:cs="Times New Roman" w:eastAsia="Times New Roman" w:hAnsi="Times New Roman"/>
          <w:sz w:val="13"/>
          <w:szCs w:val="13"/>
          <w:color w:val="auto"/>
        </w:rPr>
        <w:t>If, at or following the Distribution Time, an Indemnitee shall receive notice or otherwise learn of the assertion by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Person (including any Governmental Authority) who is not a member of the Company Group or the SpinCo Group or Gold or any of its Subsidiaries of any claim or of the commencement by any such Person of any Action (collectively, a “</w:t>
      </w:r>
      <w:r>
        <w:rPr>
          <w:rFonts w:ascii="Times New Roman" w:cs="Times New Roman" w:eastAsia="Times New Roman" w:hAnsi="Times New Roman"/>
          <w:sz w:val="13"/>
          <w:szCs w:val="13"/>
          <w:b w:val="1"/>
          <w:bCs w:val="1"/>
          <w:color w:val="auto"/>
        </w:rPr>
        <w:t>Third-Party Claim</w:t>
      </w:r>
      <w:r>
        <w:rPr>
          <w:rFonts w:ascii="Times New Roman" w:cs="Times New Roman" w:eastAsia="Times New Roman" w:hAnsi="Times New Roman"/>
          <w:sz w:val="13"/>
          <w:szCs w:val="13"/>
          <w:color w:val="auto"/>
        </w:rPr>
        <w:t xml:space="preserve">”) with respect to which an Indemnifying Party may be obligated to provide indemnification to such Indemnitee pursuant to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4.3</w:t>
      </w:r>
      <w:r>
        <w:rPr>
          <w:rFonts w:ascii="Times New Roman" w:cs="Times New Roman" w:eastAsia="Times New Roman" w:hAnsi="Times New Roman"/>
          <w:sz w:val="13"/>
          <w:szCs w:val="13"/>
          <w:color w:val="auto"/>
        </w:rPr>
        <w:t>, or any other Section of this Agreement or any other Transaction Document, such Indemnitee shall give such Indemnifying Party written notice thereof as soon as practicable, but in any event within thirty</w:t>
      </w:r>
    </w:p>
    <w:p>
      <w:pPr>
        <w:spacing w:after="0" w:line="1" w:lineRule="exact"/>
        <w:rPr>
          <w:rFonts w:ascii="Times New Roman" w:cs="Times New Roman" w:eastAsia="Times New Roman" w:hAnsi="Times New Roman"/>
          <w:sz w:val="13"/>
          <w:szCs w:val="13"/>
          <w:color w:val="auto"/>
        </w:rPr>
      </w:pPr>
    </w:p>
    <w:p>
      <w:pPr>
        <w:ind w:left="1360" w:right="239" w:hanging="5"/>
        <w:spacing w:after="0" w:line="252" w:lineRule="auto"/>
        <w:tabs>
          <w:tab w:leader="none" w:pos="1628" w:val="left"/>
        </w:tabs>
        <w:numPr>
          <w:ilvl w:val="0"/>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 Indemnitee to provide notice in accordance with this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ind w:left="1360" w:right="239" w:firstLine="767"/>
        <w:spacing w:after="0" w:line="254" w:lineRule="auto"/>
        <w:tabs>
          <w:tab w:leader="none" w:pos="2330" w:val="left"/>
        </w:tabs>
        <w:numPr>
          <w:ilvl w:val="1"/>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Control of Defense. </w:t>
      </w:r>
      <w:r>
        <w:rPr>
          <w:rFonts w:ascii="Times New Roman" w:cs="Times New Roman" w:eastAsia="Times New Roman" w:hAnsi="Times New Roman"/>
          <w:sz w:val="14"/>
          <w:szCs w:val="14"/>
          <w:color w:val="auto"/>
        </w:rPr>
        <w:t>An Indemnifying Party may elect to defend (and seek to settle or compromise), at its own expense and with its own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counsel, any Third-Party Claim;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Indemnifying Party shall not be entitled to assume the defense of such Third-Party Claim and shall pay the reasonable and documented out-of-pocket fees and expenses of one separate counsel for all Indemnitees if the claim for indemnification relates to or arises in connection with any criminal action, indictment or allegation or if such Third-Party Claim seeks an injunction or equitable relief against the Indemnitee (and not any Indemnifying Party or any of its Affiliates). Within thirty (30) days after the receipt of a notice from an Indemnitee in accordance with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 xml:space="preserve"> (or sooner, if the nature of the Third-Party Claim so requires), the Indemnifying Party shall provide written notice to the Indemnitee indicating whether the Indemnifying Party shall assume responsibility for defending the Third-Party Claim. If an Indemnifying Party elects not to assume responsibility for defending any Third-Party Claim or fails to notify an Indemnitee of its election within thirty (30) days after receipt of the notice from an Indemnitee as provided in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 then the Indemnitee that is the subject of such Third-Party Claim shall be entitled to continue to conduct and control the defense of such Third-Party Claim.</w:t>
      </w:r>
    </w:p>
    <w:p>
      <w:pPr>
        <w:spacing w:after="0" w:line="146" w:lineRule="exact"/>
        <w:rPr>
          <w:rFonts w:ascii="Times New Roman" w:cs="Times New Roman" w:eastAsia="Times New Roman" w:hAnsi="Times New Roman"/>
          <w:sz w:val="14"/>
          <w:szCs w:val="14"/>
          <w:color w:val="auto"/>
        </w:rPr>
      </w:pPr>
    </w:p>
    <w:p>
      <w:pPr>
        <w:ind w:left="1360" w:right="419" w:firstLine="767"/>
        <w:spacing w:after="0" w:line="255" w:lineRule="auto"/>
        <w:tabs>
          <w:tab w:leader="none" w:pos="2322" w:val="left"/>
        </w:tabs>
        <w:numPr>
          <w:ilvl w:val="1"/>
          <w:numId w:val="4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Allocation of Defense Costs. </w:t>
      </w:r>
      <w:r>
        <w:rPr>
          <w:rFonts w:ascii="Times New Roman" w:cs="Times New Roman" w:eastAsia="Times New Roman" w:hAnsi="Times New Roman"/>
          <w:sz w:val="14"/>
          <w:szCs w:val="14"/>
          <w:color w:val="auto"/>
        </w:rPr>
        <w:t>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4.5(b)</w:t>
      </w:r>
      <w:r>
        <w:rPr>
          <w:rFonts w:ascii="Times New Roman" w:cs="Times New Roman" w:eastAsia="Times New Roman" w:hAnsi="Times New Roman"/>
          <w:sz w:val="14"/>
          <w:szCs w:val="14"/>
          <w:color w:val="auto"/>
        </w:rPr>
        <w:t>, if an Indemnifying Party has elected to assume the defense of a Third-Party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by the Indemnifying Party during the course of the defense of such Third-Party Claim by such Indemnifying Party,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as provided in </w:t>
      </w:r>
      <w:r>
        <w:rPr>
          <w:rFonts w:ascii="Times New Roman" w:cs="Times New Roman" w:eastAsia="Times New Roman" w:hAnsi="Times New Roman"/>
          <w:sz w:val="14"/>
          <w:szCs w:val="14"/>
          <w:u w:val="single" w:color="auto"/>
          <w:color w:val="auto"/>
        </w:rPr>
        <w:t>Section 4.5(a)</w:t>
      </w:r>
      <w:r>
        <w:rPr>
          <w:rFonts w:ascii="Times New Roman" w:cs="Times New Roman" w:eastAsia="Times New Roman" w:hAnsi="Times New Roman"/>
          <w:sz w:val="14"/>
          <w:szCs w:val="14"/>
          <w:color w:val="auto"/>
        </w:rPr>
        <w:t xml:space="preserve"> and the Indemnitee conducts and controls the defense of such Third-Party Claim and the Indemnifying Party has an indemnification obligation with respect to such Third-Party Claim, then the</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B-48</w:t>
      </w:r>
    </w:p>
    <w:p>
      <w:pPr>
        <w:sectPr>
          <w:pgSz w:w="11900" w:h="16838" w:orient="portrait"/>
          <w:cols w:equalWidth="0" w:num="1">
            <w:col w:w="10159"/>
          </w:cols>
          <w:pgMar w:left="300" w:top="386" w:right="1440"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Indemnifying Party shall be liable for all reasonable and documented out-of-pocket fees and expenses incurred by the Indemnitee in connection with the defense of such Third-Party Claim.</w:t>
      </w:r>
    </w:p>
    <w:p>
      <w:pPr>
        <w:spacing w:after="0" w:line="123" w:lineRule="exact"/>
        <w:rPr>
          <w:sz w:val="20"/>
          <w:szCs w:val="20"/>
          <w:color w:val="auto"/>
        </w:rPr>
      </w:pPr>
    </w:p>
    <w:p>
      <w:pPr>
        <w:ind w:left="1360" w:right="299" w:firstLine="767"/>
        <w:spacing w:after="0" w:line="275" w:lineRule="auto"/>
        <w:tabs>
          <w:tab w:leader="none" w:pos="2330" w:val="left"/>
        </w:tabs>
        <w:numPr>
          <w:ilvl w:val="0"/>
          <w:numId w:val="4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Right to Monitor and Participate. </w:t>
      </w:r>
      <w:r>
        <w:rPr>
          <w:rFonts w:ascii="Times New Roman" w:cs="Times New Roman" w:eastAsia="Times New Roman" w:hAnsi="Times New Roman"/>
          <w:sz w:val="13"/>
          <w:szCs w:val="13"/>
          <w:color w:val="auto"/>
        </w:rPr>
        <w:t>An Indemnitee that does not conduct and control the defense of any Third-Party Claim, or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Indemnifying Party that does not elect to defend any Third-Party Claim as contemplated hereby, nevertheless shall have the right to employ separate counsel (including local counsel as necessary)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Times New Roman" w:cs="Times New Roman" w:eastAsia="Times New Roman" w:hAnsi="Times New Roman"/>
          <w:sz w:val="13"/>
          <w:szCs w:val="13"/>
          <w:u w:val="single" w:color="auto"/>
          <w:color w:val="auto"/>
        </w:rPr>
        <w:t>Section 4.5(c)</w:t>
      </w:r>
      <w:r>
        <w:rPr>
          <w:rFonts w:ascii="Times New Roman" w:cs="Times New Roman" w:eastAsia="Times New Roman" w:hAnsi="Times New Roman"/>
          <w:sz w:val="13"/>
          <w:szCs w:val="13"/>
          <w:color w:val="auto"/>
        </w:rPr>
        <w:t xml:space="preserve"> shall not apply to such fees and expenses. Notwithstanding the foregoing, but subject to </w:t>
      </w:r>
      <w:r>
        <w:rPr>
          <w:rFonts w:ascii="Times New Roman" w:cs="Times New Roman" w:eastAsia="Times New Roman" w:hAnsi="Times New Roman"/>
          <w:sz w:val="13"/>
          <w:szCs w:val="13"/>
          <w:u w:val="single" w:color="auto"/>
          <w:color w:val="auto"/>
        </w:rPr>
        <w:t>Sections 6.7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6.8</w:t>
      </w:r>
      <w:r>
        <w:rPr>
          <w:rFonts w:ascii="Times New Roman" w:cs="Times New Roman" w:eastAsia="Times New Roman" w:hAnsi="Times New Roman"/>
          <w:sz w:val="13"/>
          <w:szCs w:val="13"/>
          <w:color w:val="auto"/>
        </w:rPr>
        <w:t>, such Party shall cooperate with the Party entitled to conduct and control the defense of such Third-Party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outside legal counsel to the Indemnitee reasonably determines in good faith that such Indemnitee and the Indemnifying Party have actual or potential differing defenses or conflicts of interest between them that make joint representation inappropriate, then the Indemnitee shall have the right to employ one firm of separate counsel (including local counsel as necessary) and to participate in (but not control) the defense, compromise or settlement thereof, and in such case the Indemnifying Party shall bear the reasonable and documented out-of-pocket fees and expenses of such counsel for all Indemnitees.</w:t>
      </w:r>
    </w:p>
    <w:p>
      <w:pPr>
        <w:spacing w:after="0" w:line="131" w:lineRule="exact"/>
        <w:rPr>
          <w:rFonts w:ascii="Times New Roman" w:cs="Times New Roman" w:eastAsia="Times New Roman" w:hAnsi="Times New Roman"/>
          <w:sz w:val="13"/>
          <w:szCs w:val="13"/>
          <w:color w:val="auto"/>
        </w:rPr>
      </w:pPr>
    </w:p>
    <w:p>
      <w:pPr>
        <w:ind w:left="1360" w:right="239" w:firstLine="767"/>
        <w:spacing w:after="0" w:line="255" w:lineRule="auto"/>
        <w:tabs>
          <w:tab w:leader="none" w:pos="2322"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Settlement. </w:t>
      </w:r>
      <w:r>
        <w:rPr>
          <w:rFonts w:ascii="Times New Roman" w:cs="Times New Roman" w:eastAsia="Times New Roman" w:hAnsi="Times New Roman"/>
          <w:sz w:val="14"/>
          <w:szCs w:val="14"/>
          <w:color w:val="auto"/>
        </w:rPr>
        <w:t>An Indemnifying Party may not settle or compromise any Third-Party Claim for which an Indemnitee is seeking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indemnified hereunder without the prior written consent of such Indemnitee, which consent may not be unreasonably withheld, unless such settlement or compromise (i) does not encumber any of the assets of any Indemnitee or contain any restriction or condition that would apply to such Indemnitee or to the conduct of that Person’s business (other than the payment of monetary damages, which such damages are fully payable by the settling or compromising Indemnifying Party), (ii) does not contain or involve any admission, statement, finding or determination providing for or acknowledging any liability or wrongdoing or violation of Law by such Indemnitee, and (iii) provides for, as a condition thereto, a full, unconditional and irrevocable release of such Indemnitee from all Liability in connection with the Third-Party Claim. No settlement or entry of judgment in respect of any Third-Party Claim shall be consented to by any Indemnitee without the express written consent of the Indemnifying Party.</w:t>
      </w:r>
    </w:p>
    <w:p>
      <w:pPr>
        <w:spacing w:after="0" w:line="145" w:lineRule="exact"/>
        <w:rPr>
          <w:rFonts w:ascii="Times New Roman" w:cs="Times New Roman" w:eastAsia="Times New Roman" w:hAnsi="Times New Roman"/>
          <w:sz w:val="14"/>
          <w:szCs w:val="14"/>
          <w:color w:val="auto"/>
        </w:rPr>
      </w:pPr>
    </w:p>
    <w:p>
      <w:pPr>
        <w:ind w:left="1360" w:right="439" w:firstLine="767"/>
        <w:spacing w:after="0" w:line="268" w:lineRule="auto"/>
        <w:tabs>
          <w:tab w:leader="none" w:pos="2307" w:val="left"/>
        </w:tabs>
        <w:numPr>
          <w:ilvl w:val="0"/>
          <w:numId w:val="4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Tax Matters Agreement Governs. </w:t>
      </w:r>
      <w:r>
        <w:rPr>
          <w:rFonts w:ascii="Times New Roman" w:cs="Times New Roman" w:eastAsia="Times New Roman" w:hAnsi="Times New Roman"/>
          <w:sz w:val="14"/>
          <w:szCs w:val="14"/>
          <w:color w:val="auto"/>
        </w:rPr>
        <w:t>The above provisions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 not apply to Taxes (it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being understood and agreed that Taxes and Tax matters, including the control of Tax-related proceedings, shall be governed by the Tax Matters Agreement).</w:t>
      </w:r>
    </w:p>
    <w:p>
      <w:pPr>
        <w:spacing w:after="0" w:line="13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Additional Matters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1360" w:right="359" w:firstLine="767"/>
        <w:spacing w:after="0" w:line="255" w:lineRule="auto"/>
        <w:tabs>
          <w:tab w:leader="none" w:pos="2322"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Timing of Payments. </w:t>
      </w:r>
      <w:r>
        <w:rPr>
          <w:rFonts w:ascii="Times New Roman" w:cs="Times New Roman" w:eastAsia="Times New Roman" w:hAnsi="Times New Roman"/>
          <w:sz w:val="14"/>
          <w:szCs w:val="14"/>
          <w:color w:val="auto"/>
        </w:rPr>
        <w:t>Indemnification or contribution payments in respect of any Liabilities for which an Indemnitee is entitled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indemnification or contribution under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shall be paid reasonably promptly (but in any event within thirty (30) days of the final determination of the amount that the Indemnitee is entitled to indemnification or contribution under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shall remain operative and in full force and effect, regardless of (i) any investigation made by or on behalf of any Indemnitee and (ii) the knowledge by the Indemnitee of Liabilities for which it might be entitled to indemnification hereunder.</w:t>
      </w:r>
    </w:p>
    <w:p>
      <w:pPr>
        <w:spacing w:after="0" w:line="145" w:lineRule="exact"/>
        <w:rPr>
          <w:rFonts w:ascii="Times New Roman" w:cs="Times New Roman" w:eastAsia="Times New Roman" w:hAnsi="Times New Roman"/>
          <w:sz w:val="14"/>
          <w:szCs w:val="14"/>
          <w:color w:val="auto"/>
        </w:rPr>
      </w:pPr>
    </w:p>
    <w:p>
      <w:pPr>
        <w:ind w:left="1360" w:right="339" w:firstLine="767"/>
        <w:spacing w:after="0" w:line="286" w:lineRule="auto"/>
        <w:tabs>
          <w:tab w:leader="none" w:pos="2330" w:val="left"/>
        </w:tabs>
        <w:numPr>
          <w:ilvl w:val="0"/>
          <w:numId w:val="4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Notice of Direct Claims. </w:t>
      </w:r>
      <w:r>
        <w:rPr>
          <w:rFonts w:ascii="Times New Roman" w:cs="Times New Roman" w:eastAsia="Times New Roman" w:hAnsi="Times New Roman"/>
          <w:sz w:val="14"/>
          <w:szCs w:val="14"/>
          <w:color w:val="auto"/>
        </w:rPr>
        <w:t>Any claim for indemnification or contribution under this Agreement or any other Transaction Document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does not result from a Third-Party Claim shall be asserted by written notice</w:t>
      </w:r>
    </w:p>
    <w:p>
      <w:pPr>
        <w:spacing w:after="0" w:line="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B-49</w:t>
      </w:r>
    </w:p>
    <w:p>
      <w:pPr>
        <w:sectPr>
          <w:pgSz w:w="11900" w:h="16838" w:orient="portrait"/>
          <w:cols w:equalWidth="0" w:num="1">
            <w:col w:w="10159"/>
          </w:cols>
          <w:pgMar w:left="300" w:top="385" w:right="1440"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 xml:space="preserve">given by the Indemnitee to the applicable Indemnifying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failure to so notify an Indemnifying Party will not relieve the Indemnifying Party of its obligations hereunder, except to the extent the Indemnifying Party is actually prejudiced by the Indemnitee’s failure to provide notice in accordance with this </w:t>
      </w:r>
      <w:r>
        <w:rPr>
          <w:rFonts w:ascii="Times New Roman" w:cs="Times New Roman" w:eastAsia="Times New Roman" w:hAnsi="Times New Roman"/>
          <w:sz w:val="14"/>
          <w:szCs w:val="14"/>
          <w:u w:val="single" w:color="auto"/>
          <w:color w:val="auto"/>
        </w:rPr>
        <w:t>Section 4.6(b)</w:t>
      </w:r>
      <w:r>
        <w:rPr>
          <w:rFonts w:ascii="Times New Roman" w:cs="Times New Roman" w:eastAsia="Times New Roman" w:hAnsi="Times New Roman"/>
          <w:sz w:val="14"/>
          <w:szCs w:val="14"/>
          <w:color w:val="auto"/>
        </w:rPr>
        <w:t xml:space="preserve">. Such Indemnifying Party shall have a period of forty-five (45) days after the receipt of such notice within which to respond thereto. If such Indemnifying Party does not respond within such forty-five (45)-day period, such specified claim shall be conclusively deemed a Liability of the Indemnifying Party under this </w:t>
      </w:r>
      <w:r>
        <w:rPr>
          <w:rFonts w:ascii="Times New Roman" w:cs="Times New Roman" w:eastAsia="Times New Roman" w:hAnsi="Times New Roman"/>
          <w:sz w:val="14"/>
          <w:szCs w:val="14"/>
          <w:u w:val="single" w:color="auto"/>
          <w:color w:val="auto"/>
        </w:rPr>
        <w:t>Section 4.6(b)</w:t>
      </w:r>
      <w:r>
        <w:rPr>
          <w:rFonts w:ascii="Times New Roman" w:cs="Times New Roman" w:eastAsia="Times New Roman" w:hAnsi="Times New Roman"/>
          <w:sz w:val="14"/>
          <w:szCs w:val="14"/>
          <w:color w:val="auto"/>
        </w:rPr>
        <w:t xml:space="preserve"> or, in the case of any written notice in which the 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be free to pursue such remedies as may be available to such party as contemplated by this Agreement and the other Transaction Documents, as applicable, without prejudice to its continuing rights to pursue indemnification or contribution hereunder.</w:t>
      </w:r>
    </w:p>
    <w:p>
      <w:pPr>
        <w:spacing w:after="0" w:line="147" w:lineRule="exact"/>
        <w:rPr>
          <w:sz w:val="20"/>
          <w:szCs w:val="20"/>
          <w:color w:val="auto"/>
        </w:rPr>
      </w:pPr>
    </w:p>
    <w:p>
      <w:pPr>
        <w:ind w:left="1360" w:right="219" w:firstLine="767"/>
        <w:spacing w:after="0" w:line="259" w:lineRule="auto"/>
        <w:tabs>
          <w:tab w:leader="none" w:pos="2322"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Pursuit of Claims Against Third Parties. </w:t>
      </w:r>
      <w:r>
        <w:rPr>
          <w:rFonts w:ascii="Times New Roman" w:cs="Times New Roman" w:eastAsia="Times New Roman" w:hAnsi="Times New Roman"/>
          <w:sz w:val="14"/>
          <w:szCs w:val="14"/>
          <w:color w:val="auto"/>
        </w:rPr>
        <w:t>If (i) a Party incurs any Liability arising out of this Agreement or any other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Document, (ii) 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140" w:lineRule="exact"/>
        <w:rPr>
          <w:rFonts w:ascii="Times New Roman" w:cs="Times New Roman" w:eastAsia="Times New Roman" w:hAnsi="Times New Roman"/>
          <w:sz w:val="14"/>
          <w:szCs w:val="14"/>
          <w:color w:val="auto"/>
        </w:rPr>
      </w:pPr>
    </w:p>
    <w:p>
      <w:pPr>
        <w:ind w:left="1360" w:right="279" w:firstLine="767"/>
        <w:spacing w:after="0" w:line="259" w:lineRule="auto"/>
        <w:tabs>
          <w:tab w:leader="none" w:pos="2330"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Subrogation. </w:t>
      </w:r>
      <w:r>
        <w:rPr>
          <w:rFonts w:ascii="Times New Roman" w:cs="Times New Roman" w:eastAsia="Times New Roman" w:hAnsi="Times New Roman"/>
          <w:sz w:val="14"/>
          <w:szCs w:val="14"/>
          <w:color w:val="auto"/>
        </w:rPr>
        <w:t>In the event of payment by or on behalf of any Indemnifying Party to any Indemnitee in connection with any Third-Party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Subject to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 such Indemnitee shall cooperate with such Indemnifying Party in a reasonable manner, and at the cost and expense of such Indemnifying Party, in prosecuting any subrogated right, defense or claim.</w:t>
      </w:r>
    </w:p>
    <w:p>
      <w:pPr>
        <w:spacing w:after="0" w:line="140" w:lineRule="exact"/>
        <w:rPr>
          <w:rFonts w:ascii="Times New Roman" w:cs="Times New Roman" w:eastAsia="Times New Roman" w:hAnsi="Times New Roman"/>
          <w:sz w:val="14"/>
          <w:szCs w:val="14"/>
          <w:color w:val="auto"/>
        </w:rPr>
      </w:pPr>
    </w:p>
    <w:p>
      <w:pPr>
        <w:ind w:left="1360" w:right="279" w:firstLine="767"/>
        <w:spacing w:after="0" w:line="256" w:lineRule="auto"/>
        <w:tabs>
          <w:tab w:leader="none" w:pos="2322"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Substitution. </w:t>
      </w:r>
      <w:r>
        <w:rPr>
          <w:rFonts w:ascii="Times New Roman" w:cs="Times New Roman" w:eastAsia="Times New Roman" w:hAnsi="Times New Roman"/>
          <w:sz w:val="14"/>
          <w:szCs w:val="14"/>
          <w:color w:val="auto"/>
        </w:rPr>
        <w:t>In the event of an Action in which the Indemnifying Party is not a named defendant, if either the Indemnitee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Indemnifying Party shall so request, the Parties shall use their respective commercially reasonable efforts to substitute the Indemnifying Party for the named defendant. If such substitution or addition cannot be achieved for any reason or is not requested, the named defendant shall allow the Indemnifying Party to direct the defense or prosecution of the Action as set forth in </w:t>
      </w:r>
      <w:r>
        <w:rPr>
          <w:rFonts w:ascii="Times New Roman" w:cs="Times New Roman" w:eastAsia="Times New Roman" w:hAnsi="Times New Roman"/>
          <w:sz w:val="14"/>
          <w:szCs w:val="14"/>
          <w:u w:val="single" w:color="auto"/>
          <w:color w:val="auto"/>
        </w:rPr>
        <w:t>Section 4.5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Section 4.6</w:t>
      </w:r>
      <w:r>
        <w:rPr>
          <w:rFonts w:ascii="Times New Roman" w:cs="Times New Roman" w:eastAsia="Times New Roman" w:hAnsi="Times New Roman"/>
          <w:sz w:val="14"/>
          <w:szCs w:val="14"/>
          <w:color w:val="auto"/>
        </w:rPr>
        <w:t>, and the Indemnifying Party shall fully indemnify the named defendant against all documented out-of-pocket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145" w:lineRule="exact"/>
        <w:rPr>
          <w:rFonts w:ascii="Times New Roman" w:cs="Times New Roman" w:eastAsia="Times New Roman" w:hAnsi="Times New Roman"/>
          <w:sz w:val="14"/>
          <w:szCs w:val="14"/>
          <w:color w:val="auto"/>
        </w:rPr>
      </w:pPr>
    </w:p>
    <w:p>
      <w:pPr>
        <w:jc w:val="both"/>
        <w:ind w:left="1360" w:right="279" w:firstLine="767"/>
        <w:spacing w:after="0" w:line="267" w:lineRule="auto"/>
        <w:tabs>
          <w:tab w:leader="none" w:pos="2307" w:val="left"/>
        </w:tabs>
        <w:numPr>
          <w:ilvl w:val="0"/>
          <w:numId w:val="4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indemnification claim is covered by the indemnification provisions of any Transaction Document (other than this Agreement), the claim shall be made under such document or agreement and not under this Agreement. In no event shall any Party be entitled to double recovery for the same Losses from the indemnification provisions of this Agreement and any other Transaction Document.</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4.7 </w:t>
      </w:r>
      <w:r>
        <w:rPr>
          <w:rFonts w:ascii="Times New Roman" w:cs="Times New Roman" w:eastAsia="Times New Roman" w:hAnsi="Times New Roman"/>
          <w:sz w:val="14"/>
          <w:szCs w:val="14"/>
          <w:u w:val="single" w:color="auto"/>
          <w:color w:val="auto"/>
        </w:rPr>
        <w:t>Right of Contribution</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1360" w:right="239" w:firstLine="767"/>
        <w:spacing w:after="0" w:line="259" w:lineRule="auto"/>
        <w:tabs>
          <w:tab w:leader="none" w:pos="2322" w:val="left"/>
        </w:tabs>
        <w:numPr>
          <w:ilvl w:val="0"/>
          <w:numId w:val="4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Contribution. </w:t>
      </w:r>
      <w:r>
        <w:rPr>
          <w:rFonts w:ascii="Times New Roman" w:cs="Times New Roman" w:eastAsia="Times New Roman" w:hAnsi="Times New Roman"/>
          <w:sz w:val="14"/>
          <w:szCs w:val="14"/>
          <w:color w:val="auto"/>
        </w:rPr>
        <w:t>If any right of indemnification contained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4.3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held unenforceable or is unavailable for any reason, or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B-50</w:t>
      </w:r>
    </w:p>
    <w:p>
      <w:pPr>
        <w:sectPr>
          <w:pgSz w:w="11900" w:h="16838" w:orient="portrait"/>
          <w:cols w:equalWidth="0" w:num="1">
            <w:col w:w="10159"/>
          </w:cols>
          <w:pgMar w:left="300" w:top="386" w:right="1440"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259" w:firstLine="767"/>
        <w:spacing w:after="0" w:line="254" w:lineRule="auto"/>
        <w:tabs>
          <w:tab w:leader="none" w:pos="2330" w:val="left"/>
        </w:tabs>
        <w:numPr>
          <w:ilvl w:val="0"/>
          <w:numId w:val="4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Allocation of Relative Fault. </w:t>
      </w:r>
      <w:r>
        <w:rPr>
          <w:rFonts w:ascii="Times New Roman" w:cs="Times New Roman" w:eastAsia="Times New Roman" w:hAnsi="Times New Roman"/>
          <w:sz w:val="14"/>
          <w:szCs w:val="14"/>
          <w:color w:val="auto"/>
        </w:rPr>
        <w:t>Solely for purposes of determining relative fault pursuant to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4.7</w:t>
      </w:r>
      <w:r>
        <w:rPr>
          <w:rFonts w:ascii="Times New Roman" w:cs="Times New Roman" w:eastAsia="Times New Roman" w:hAnsi="Times New Roman"/>
          <w:sz w:val="14"/>
          <w:szCs w:val="14"/>
          <w:color w:val="auto"/>
        </w:rPr>
        <w:t>: (i) any fault associated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business conducted with the Delayed SpinCo Assets or Delayed SpinCo Liabilities (except for the gross negligence or intentional misconduct of a member of the Company Group) or with the ownership, operation or activities of the SpinCo Business from and after the Closing shall be deemed to be the fault of SpinCo and the other members of the SpinCo Group, and no such fault shall be deemed to be the fault of the Company or any other member of the Company Group; (ii) any fault associated with the business conducted with Delayed Company Assets or Delayed Company Liabilities (except for the gross negligence or intentional misconduct of a member of the SpinCo Group) shall be deemed to be the fault of Company and the other members of the Company Group, and no such fault shall be deemed to be the fault of SpinCo or any other member of the SpinCo Group; (iii) any fault associated with the ownership, operation or activities of the Company Business shall be deemed to be the fault of the Company and the other members of the Company Group, and no such fault shall be deemed to be the fault of SpinCo or any other member of the SpinCo Group and (iv) any fault associated with the ownership, operation or activities of the SpinCo Business shall be deemed to be the fault of SpinCo and the other members of the SpinCo Group, and no such fault shall be deemed to be the fault of the Company or any other member of the Company Group.</w:t>
      </w:r>
    </w:p>
    <w:p>
      <w:pPr>
        <w:spacing w:after="0" w:line="146"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Covenant Not to Sue</w:t>
      </w:r>
      <w:r>
        <w:rPr>
          <w:rFonts w:ascii="Times New Roman" w:cs="Times New Roman" w:eastAsia="Times New Roman" w:hAnsi="Times New Roman"/>
          <w:sz w:val="14"/>
          <w:szCs w:val="14"/>
          <w:color w:val="auto"/>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and the other Transaction Documents is void or unenforceable for any reason; (b) the retention of any Company Liabilities by the Company or a member of the Company Group on the terms and conditions set forth in this Agreement and the other Transaction Documents is void or unenforceable for any reason; or (c) the provisions of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are void or unenforceable for any reason.</w:t>
      </w:r>
    </w:p>
    <w:p>
      <w:pPr>
        <w:spacing w:after="0" w:line="14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Survival of Indemnities</w:t>
      </w:r>
      <w:r>
        <w:rPr>
          <w:rFonts w:ascii="Times New Roman" w:cs="Times New Roman" w:eastAsia="Times New Roman" w:hAnsi="Times New Roman"/>
          <w:sz w:val="14"/>
          <w:szCs w:val="14"/>
          <w:color w:val="auto"/>
        </w:rPr>
        <w:t xml:space="preserve">. The rights and obligations of each of the Company and SpinCo and their respective Indemnitees under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shall survive (a) the sale or other transfer by either Party or any member of its Group of any assets or businesses or the assignment by it of any Liabilities or (b) any merger, consolidation, business combination, sale of all or substantially all of its Assets, restructuring, recapitalization, reorganization or similar transaction involving either Party or any of the members of its Group.</w:t>
      </w:r>
    </w:p>
    <w:p>
      <w:pPr>
        <w:spacing w:after="0" w:line="141"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14"/>
          <w:szCs w:val="14"/>
          <w:u w:val="single" w:color="auto"/>
          <w:color w:val="auto"/>
        </w:rPr>
        <w:t>Exclusive Remedy</w:t>
      </w:r>
      <w:r>
        <w:rPr>
          <w:rFonts w:ascii="Times New Roman" w:cs="Times New Roman" w:eastAsia="Times New Roman" w:hAnsi="Times New Roman"/>
          <w:sz w:val="14"/>
          <w:szCs w:val="14"/>
          <w:color w:val="auto"/>
        </w:rPr>
        <w:t xml:space="preserve">. The indemnification provisions of this Article IV shall be the sole and exclusive remedy of an Indemnitee for any monetary or compensatory damages or losses for any breach of any representation, warranty, covenant or other claim arising out of or relating to this Agreement or any other Transaction Document (other than the Merger Agreement and any other Transaction Documents that expressly provide otherwise) or the transactions contemplated hereby or thereby. In furtherance of the foregoing, each of the Parties hereby waives, for itself and its respective Group members, successors and assigns, to the fullest extent permitted under applicable Law, any and all rights, claims or remedies such Person or any of its Group members may have against the other Party and its Group members, successors and assigns for any monetary or compensatory damages or losses for any breach of any representation, warranty, covenant or other claim arising out of or relating to this Agreement or any other Transaction Document (other than the Merger Agreement and any other Transaction Documents that expressly provide otherwise) or the transactions contemplated hereby or thereby, other than the right to seek indemnity pursuant to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For the avoidance of doubt, the foregoing does not affect (a) a Party’s right to seek specific performance under this Agreement as provided in </w:t>
      </w:r>
      <w:r>
        <w:rPr>
          <w:rFonts w:ascii="Times New Roman" w:cs="Times New Roman" w:eastAsia="Times New Roman" w:hAnsi="Times New Roman"/>
          <w:sz w:val="14"/>
          <w:szCs w:val="14"/>
          <w:u w:val="single" w:color="auto"/>
          <w:color w:val="auto"/>
        </w:rPr>
        <w:t>Section 9.11</w:t>
      </w:r>
      <w:r>
        <w:rPr>
          <w:rFonts w:ascii="Times New Roman" w:cs="Times New Roman" w:eastAsia="Times New Roman" w:hAnsi="Times New Roman"/>
          <w:sz w:val="14"/>
          <w:szCs w:val="14"/>
          <w:color w:val="auto"/>
        </w:rPr>
        <w:t xml:space="preserve"> or under the Merger Agreement or any other Transaction Document, in each case, as provided therein, or to seek resolution of any disputes regarding indemnification hereunder as provided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(b) a Party’s right to exercise all of their rights and seek all damages available to them under Law in the event of claims or causes of action arising from fraud, (c) the resolution of the Final Cash Transfer Amount pursuant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and (d) the rights or obligations of any Person under any of the other Transaction Documents that expressly provide otherwise, or the Confidentiality Agreement. For the avoidance of doubt, the provisions of this </w:t>
      </w:r>
      <w:r>
        <w:rPr>
          <w:rFonts w:ascii="Times New Roman" w:cs="Times New Roman" w:eastAsia="Times New Roman" w:hAnsi="Times New Roman"/>
          <w:sz w:val="14"/>
          <w:szCs w:val="14"/>
          <w:u w:val="single" w:color="auto"/>
          <w:color w:val="auto"/>
        </w:rPr>
        <w:t>Section 4.10</w:t>
      </w:r>
      <w:r>
        <w:rPr>
          <w:rFonts w:ascii="Times New Roman" w:cs="Times New Roman" w:eastAsia="Times New Roman" w:hAnsi="Times New Roman"/>
          <w:sz w:val="14"/>
          <w:szCs w:val="14"/>
          <w:color w:val="auto"/>
        </w:rPr>
        <w:t xml:space="preserve"> are not intended to, and will not be deemed to, alter or supersede (i) the indemnification, damages or</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B-51</w:t>
      </w:r>
    </w:p>
    <w:p>
      <w:pPr>
        <w:sectPr>
          <w:pgSz w:w="11900" w:h="16838" w:orient="portrait"/>
          <w:cols w:equalWidth="0" w:num="1">
            <w:col w:w="10159"/>
          </w:cols>
          <w:pgMar w:left="300" w:top="386" w:right="1440"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 xml:space="preserve">remedy provisions contained in any other Transaction Document that expressly contains indemnification provisions, which shall be subject to the indemnification provisions contained therein and not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(ii) the rights and obligations of the Company and Gold to resolve disputes with respect to the Final Adjustment Statement pursuant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or (iii) the rights and obligations of the Parties or any insurers under any Covered Policy.</w:t>
      </w:r>
    </w:p>
    <w:p>
      <w:pPr>
        <w:spacing w:after="0" w:line="141" w:lineRule="exact"/>
        <w:rPr>
          <w:sz w:val="20"/>
          <w:szCs w:val="20"/>
          <w:color w:val="auto"/>
        </w:rPr>
      </w:pPr>
    </w:p>
    <w:p>
      <w:pPr>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Management of Actions</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 xml:space="preserve"> shall govern the direction of pending and future Actions in which members of the SpinCo Group or the Company Group are named as parties, but shall not alter the allocation of Liabilities set forth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unless expressly set forth in this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360" w:right="279" w:firstLine="767"/>
        <w:spacing w:after="0" w:line="256" w:lineRule="auto"/>
        <w:tabs>
          <w:tab w:leader="none" w:pos="2322"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Management of SpinCo-Controlled Actions. </w:t>
      </w:r>
      <w:r>
        <w:rPr>
          <w:rFonts w:ascii="Times New Roman" w:cs="Times New Roman" w:eastAsia="Times New Roman" w:hAnsi="Times New Roman"/>
          <w:sz w:val="14"/>
          <w:szCs w:val="14"/>
          <w:color w:val="auto"/>
        </w:rPr>
        <w:t>From and after the Distribution Time, the SpinCo Group shall direct the defense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prosecution of any Actions that constitute only SpinCo Liabilities, SpinCo Assets, Delayed SpinCo Assets or Delayed SpinCo Liabilities (“</w:t>
      </w:r>
      <w:r>
        <w:rPr>
          <w:rFonts w:ascii="Times New Roman" w:cs="Times New Roman" w:eastAsia="Times New Roman" w:hAnsi="Times New Roman"/>
          <w:sz w:val="14"/>
          <w:szCs w:val="14"/>
          <w:b w:val="1"/>
          <w:bCs w:val="1"/>
          <w:color w:val="auto"/>
        </w:rPr>
        <w:t>SpinCo-Controlled Actions</w:t>
      </w:r>
      <w:r>
        <w:rPr>
          <w:rFonts w:ascii="Times New Roman" w:cs="Times New Roman" w:eastAsia="Times New Roman" w:hAnsi="Times New Roman"/>
          <w:sz w:val="14"/>
          <w:szCs w:val="14"/>
          <w:color w:val="auto"/>
        </w:rPr>
        <w:t>”). If an Action that constitutes solely a SpinCo Liability, a SpinCo Asset, a Delayed SpinCo Asset or a Delayed SpinCo Liability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commenced after the Distribution Time naming a member of the Company Group as a party thereto, then SpinCo shall use its commercially reasonable efforts to cause such member of the Company Group to be removed as a party to such Action. Neither the Company, on the one hand, nor SpinCo or Gold, on the other hand, shall add the other to any Action pending as of or after the Distribution Time without the prior written consent of such other Party (which shall not be unreasonably withheld, conditioned or delayed).</w:t>
      </w:r>
    </w:p>
    <w:p>
      <w:pPr>
        <w:spacing w:after="0" w:line="143" w:lineRule="exact"/>
        <w:rPr>
          <w:rFonts w:ascii="Times New Roman" w:cs="Times New Roman" w:eastAsia="Times New Roman" w:hAnsi="Times New Roman"/>
          <w:sz w:val="14"/>
          <w:szCs w:val="14"/>
          <w:color w:val="auto"/>
        </w:rPr>
      </w:pPr>
    </w:p>
    <w:p>
      <w:pPr>
        <w:ind w:left="1360" w:right="259" w:firstLine="767"/>
        <w:spacing w:after="0" w:line="257" w:lineRule="auto"/>
        <w:tabs>
          <w:tab w:leader="none" w:pos="2330"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Management of Company-Controlled Actions. </w:t>
      </w:r>
      <w:r>
        <w:rPr>
          <w:rFonts w:ascii="Times New Roman" w:cs="Times New Roman" w:eastAsia="Times New Roman" w:hAnsi="Times New Roman"/>
          <w:sz w:val="14"/>
          <w:szCs w:val="14"/>
          <w:color w:val="auto"/>
        </w:rPr>
        <w:t>From and after the Distribution Time, the Company Group shall direct the defense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prosecution of (i) any Actions set forth on </w:t>
      </w:r>
      <w:r>
        <w:rPr>
          <w:rFonts w:ascii="Times New Roman" w:cs="Times New Roman" w:eastAsia="Times New Roman" w:hAnsi="Times New Roman"/>
          <w:sz w:val="14"/>
          <w:szCs w:val="14"/>
          <w:u w:val="single" w:color="auto"/>
          <w:color w:val="auto"/>
        </w:rPr>
        <w:t>Schedule 4.11(b)</w:t>
      </w:r>
      <w:r>
        <w:rPr>
          <w:rFonts w:ascii="Times New Roman" w:cs="Times New Roman" w:eastAsia="Times New Roman" w:hAnsi="Times New Roman"/>
          <w:sz w:val="14"/>
          <w:szCs w:val="14"/>
          <w:color w:val="auto"/>
        </w:rPr>
        <w:t xml:space="preserve"> and (ii) any other Actions that constitute only Company Liabilities, Company Assets, Delayed Company Liabilities or Delayed Company Assets (“</w:t>
      </w:r>
      <w:r>
        <w:rPr>
          <w:rFonts w:ascii="Times New Roman" w:cs="Times New Roman" w:eastAsia="Times New Roman" w:hAnsi="Times New Roman"/>
          <w:sz w:val="14"/>
          <w:szCs w:val="14"/>
          <w:b w:val="1"/>
          <w:bCs w:val="1"/>
          <w:color w:val="auto"/>
        </w:rPr>
        <w:t>Company-Controlled Actions</w:t>
      </w:r>
      <w:r>
        <w:rPr>
          <w:rFonts w:ascii="Times New Roman" w:cs="Times New Roman" w:eastAsia="Times New Roman" w:hAnsi="Times New Roman"/>
          <w:sz w:val="14"/>
          <w:szCs w:val="14"/>
          <w:color w:val="auto"/>
        </w:rPr>
        <w:t>”). If an Action that constitutes solely a Company Liability, Company Asset, Delayed Company Liability or Delayed Company Asset is commenced after the Distribution Time naming a member of the SpinCo Group as a party thereto, then the Company shall use its commercially reasonable efforts to cause such member of the SpinCo Group to be removed as a party to such Action.</w:t>
      </w:r>
    </w:p>
    <w:p>
      <w:pPr>
        <w:spacing w:after="0" w:line="143" w:lineRule="exact"/>
        <w:rPr>
          <w:rFonts w:ascii="Times New Roman" w:cs="Times New Roman" w:eastAsia="Times New Roman" w:hAnsi="Times New Roman"/>
          <w:sz w:val="14"/>
          <w:szCs w:val="14"/>
          <w:color w:val="auto"/>
        </w:rPr>
      </w:pPr>
    </w:p>
    <w:p>
      <w:pPr>
        <w:jc w:val="both"/>
        <w:ind w:left="1360" w:right="399" w:firstLine="767"/>
        <w:spacing w:after="0" w:line="259" w:lineRule="auto"/>
        <w:tabs>
          <w:tab w:leader="none" w:pos="2322"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Management of Actions Naming Both SpinCo and the Company. </w:t>
      </w:r>
      <w:r>
        <w:rPr>
          <w:rFonts w:ascii="Times New Roman" w:cs="Times New Roman" w:eastAsia="Times New Roman" w:hAnsi="Times New Roman"/>
          <w:sz w:val="14"/>
          <w:szCs w:val="14"/>
          <w:color w:val="auto"/>
        </w:rPr>
        <w:t>From and after the Distribution Time, in the event that one 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member(s) of the SpinCo Group and one or more member(s) of the Company Group is named in an Action that is neither a SpinCo-Controlled Action nor a Company-Controlled Action (a “</w:t>
      </w:r>
      <w:r>
        <w:rPr>
          <w:rFonts w:ascii="Times New Roman" w:cs="Times New Roman" w:eastAsia="Times New Roman" w:hAnsi="Times New Roman"/>
          <w:sz w:val="14"/>
          <w:szCs w:val="14"/>
          <w:b w:val="1"/>
          <w:bCs w:val="1"/>
          <w:color w:val="auto"/>
        </w:rPr>
        <w:t>Separate Action</w:t>
      </w:r>
      <w:r>
        <w:rPr>
          <w:rFonts w:ascii="Times New Roman" w:cs="Times New Roman" w:eastAsia="Times New Roman" w:hAnsi="Times New Roman"/>
          <w:sz w:val="14"/>
          <w:szCs w:val="14"/>
          <w:color w:val="auto"/>
        </w:rPr>
        <w:t>”), each of SpinCo and the Company shall be entitled to assume their own defense and select counsel of their own choosing to defend their respective interests in such Separate Action. SpinCo and the Company shall consult in good faith with each other regarding the management of the defense of each Separate Action.</w:t>
      </w:r>
    </w:p>
    <w:p>
      <w:pPr>
        <w:spacing w:after="0" w:line="140" w:lineRule="exact"/>
        <w:rPr>
          <w:rFonts w:ascii="Times New Roman" w:cs="Times New Roman" w:eastAsia="Times New Roman" w:hAnsi="Times New Roman"/>
          <w:sz w:val="14"/>
          <w:szCs w:val="14"/>
          <w:color w:val="auto"/>
        </w:rPr>
      </w:pPr>
    </w:p>
    <w:p>
      <w:pPr>
        <w:ind w:left="1360" w:right="239" w:firstLine="767"/>
        <w:spacing w:after="0" w:line="253" w:lineRule="auto"/>
        <w:tabs>
          <w:tab w:leader="none" w:pos="2330" w:val="left"/>
        </w:tabs>
        <w:numPr>
          <w:ilvl w:val="0"/>
          <w:numId w:val="4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Management of Mixed Actions. </w:t>
      </w:r>
      <w:r>
        <w:rPr>
          <w:rFonts w:ascii="Times New Roman" w:cs="Times New Roman" w:eastAsia="Times New Roman" w:hAnsi="Times New Roman"/>
          <w:sz w:val="14"/>
          <w:szCs w:val="14"/>
          <w:color w:val="auto"/>
        </w:rPr>
        <w:t>From and after the Distribution Time, any Action that constitutes both a SpinCo Liability, a SpinCo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 a Delayed SpinCo Asset or a Delayed SpinCo Liability, on the one hand, and a Company Liability or a Company Asset, on the other hand, and that does not constitute a SpinCo-Controlled Action, Company-Controlled Action or a Separate Action (“</w:t>
      </w:r>
      <w:r>
        <w:rPr>
          <w:rFonts w:ascii="Times New Roman" w:cs="Times New Roman" w:eastAsia="Times New Roman" w:hAnsi="Times New Roman"/>
          <w:sz w:val="14"/>
          <w:szCs w:val="14"/>
          <w:b w:val="1"/>
          <w:bCs w:val="1"/>
          <w:color w:val="auto"/>
        </w:rPr>
        <w:t>Mixed Action</w:t>
      </w:r>
      <w:r>
        <w:rPr>
          <w:rFonts w:ascii="Times New Roman" w:cs="Times New Roman" w:eastAsia="Times New Roman" w:hAnsi="Times New Roman"/>
          <w:sz w:val="14"/>
          <w:szCs w:val="14"/>
          <w:color w:val="auto"/>
        </w:rPr>
        <w:t xml:space="preserve">”) shall be managed by the Party with the greater financial exposure with respect thereto (taking into account the provisions of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as determined in good faith by the Company and SpinCo;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outside counsel employed by a Party managing the Action with respect thereto shall be subject to the approval of the other Party (such approval not to be unreasonably withheld, conditioned or delayed);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if the Action involves the pursuit of any criminal sanctions or penalties or seeks equitable or injunctive relief against any Party or Subsidiary of a Party, that Party shall be entitled to control the defense of the claim against such Party; </w:t>
      </w: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xml:space="preserve">, that any Action that seeks equitable or injunctive relief against multiple Parties or Subsidiaries of multiple Parties shall be deemed a Mixed Action and jointly managed in accordance with the remainder of this </w:t>
      </w:r>
      <w:r>
        <w:rPr>
          <w:rFonts w:ascii="Times New Roman" w:cs="Times New Roman" w:eastAsia="Times New Roman" w:hAnsi="Times New Roman"/>
          <w:sz w:val="14"/>
          <w:szCs w:val="14"/>
          <w:u w:val="single" w:color="auto"/>
          <w:color w:val="auto"/>
        </w:rPr>
        <w:t>Section 4.11(d)</w:t>
      </w:r>
      <w:r>
        <w:rPr>
          <w:rFonts w:ascii="Times New Roman" w:cs="Times New Roman" w:eastAsia="Times New Roman" w:hAnsi="Times New Roman"/>
          <w:sz w:val="14"/>
          <w:szCs w:val="14"/>
          <w:color w:val="auto"/>
        </w:rPr>
        <w:t>. The Company and SpinCo shall reasonably cooperate and consult with each other, and to the extent necessary or advisable, maintain a joint defense in a manner that would preserve for the Company and SpinCo and their respective Group members any attorney-client privilege, joint defense or other privilege with respect to Mixed Actions. The Party managing such Mixed Action shall on a quarterly basis, or if a</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B-52</w:t>
      </w:r>
    </w:p>
    <w:p>
      <w:pPr>
        <w:sectPr>
          <w:pgSz w:w="11900" w:h="16838" w:orient="portrait"/>
          <w:cols w:equalWidth="0" w:num="1">
            <w:col w:w="10159"/>
          </w:cols>
          <w:pgMar w:left="300" w:top="385" w:right="1440"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72" w:lineRule="auto"/>
        <w:rPr>
          <w:sz w:val="20"/>
          <w:szCs w:val="20"/>
          <w:color w:val="auto"/>
        </w:rPr>
      </w:pPr>
      <w:r>
        <w:rPr>
          <w:rFonts w:ascii="Times New Roman" w:cs="Times New Roman" w:eastAsia="Times New Roman" w:hAnsi="Times New Roman"/>
          <w:sz w:val="13"/>
          <w:szCs w:val="13"/>
          <w:color w:val="auto"/>
        </w:rPr>
        <w:t xml:space="preserve">material development occurs, as soon as reasonably practicable thereafter, inform the other Party of the status of and developments relating to any Mixed Action and provide copies of any material document, notices or other materials related to such Mixed Action;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failure to provide any such information shall not be a basis for liability of a Party managing such Mixed Action except and solely to the extent the other Party shall have been actually prejudiced thereby. Notwithstanding anything to the contrary herein, the Company and SpinCo may jointly retain counsel (in which case the cost of counsel shall be shared by the Company and SpinCo in proportion to their respective expected financial exposure (in the case of Actions that constitute both a SpinCo Liability or a Delayed SpinCo Liability, on the one hand, and a Company Liability or Delayed Company Liability, on the other hand), as determined in good faith by the Company and SpinCo, or respective expected financial recovery (in the case of Actions that constitute both a SpinCo Asset or a Delayed SpinCo Asset, on the one hand, and a Company Asset or Delayed Company Asset, on the other hand)) or retain separate counsel (in which case each Party will bear the cost of its separate counsel) with respect to any Mixed Action;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and SpinCo shall share discovery and other joint litigation costs in proportion to their respective expected financial exposure (in the case of Actions that constitute both a SpinCo Liability or a Delayed SpinCo Liability, on the one hand, and a Company Liability or Delayed Company Liability, on the other hand) or respective expected financial recovery (in the case of Actions that constitute both a SpinCo Asset or a Delayed SpinCo Asset, on the one hand, and a Company Asset or Delayed Company Asset, on the other hand). In any Mixed Action, each of the Company and SpinCo may pursue separate defenses, claims, counterclaims or settlements to those claims relating to the Company Business or the SpinCo Business, respectively;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each Party shall in good faith make all reasonable efforts to avoid adverse effects on the other Party. Notwithstanding anything to the contrary herein, (i) if a judgment is obtained with respect to a Mixed Action, the Company and SpinCo shall endeavor in good faith to allocate the Liabilities in respect of such judgment between them based on the proportion of such Liabilities attributable to the Company Business and the SpinCo Business and (ii) if a recovery is obtained with respect to a Mixed Action, the Company and SpinCo shall endeavor in good faith to allocate the Assets in respect of such recovery between them based on their respective injuries. A Party that is not named as a defendant in a Mixed Action may elect to become a party to such Mixed Action, and the Party named in such Mixed Action shall reasonably cooperate to have such first Party named in such Mixed Action.</w:t>
      </w:r>
    </w:p>
    <w:p>
      <w:pPr>
        <w:spacing w:after="0" w:line="311" w:lineRule="exact"/>
        <w:rPr>
          <w:sz w:val="20"/>
          <w:szCs w:val="20"/>
          <w:color w:val="auto"/>
        </w:rPr>
      </w:pPr>
    </w:p>
    <w:p>
      <w:pPr>
        <w:ind w:left="1360" w:right="239" w:firstLine="767"/>
        <w:spacing w:after="0" w:line="259" w:lineRule="auto"/>
        <w:tabs>
          <w:tab w:leader="none" w:pos="2322" w:val="left"/>
        </w:tabs>
        <w:numPr>
          <w:ilvl w:val="0"/>
          <w:numId w:val="4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Delegation of Rights of Recovery. </w:t>
      </w:r>
      <w:r>
        <w:rPr>
          <w:rFonts w:ascii="Times New Roman" w:cs="Times New Roman" w:eastAsia="Times New Roman" w:hAnsi="Times New Roman"/>
          <w:sz w:val="14"/>
          <w:szCs w:val="14"/>
          <w:color w:val="auto"/>
        </w:rPr>
        <w:t>To the maximum extent permitted by applicable Law, the rights to recovery of each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Subsidiaries or SpinCo’s Subsidiaries in respect of any past, present or future Action are hereby delegated to the Company or SpinCo, respectively.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w:t>
      </w:r>
    </w:p>
    <w:p>
      <w:pPr>
        <w:spacing w:after="0" w:line="14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Settlement of Actions</w:t>
      </w:r>
      <w:r>
        <w:rPr>
          <w:rFonts w:ascii="Times New Roman" w:cs="Times New Roman" w:eastAsia="Times New Roman" w:hAnsi="Times New Roman"/>
          <w:sz w:val="14"/>
          <w:szCs w:val="14"/>
          <w:color w:val="auto"/>
        </w:rPr>
        <w:t xml:space="preserve">. No Party managing an Action pursuant to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 xml:space="preserve"> shall settle or compromise such Action (other than the Company with respect to Company-Controlled Actions and SpinCo with respect to SpinCo-Controlled Actions) without the prior written consent of the other Party (such consent not to be unreasonably withheld, conditioned or delayed), except that if the Party managing the Action is indemnifying the other Party in full for all monetary damages arising out of or related to such Action, such managing Party may nevertheless settle such Action without such consent, unless such settlement or compromise would (a) result in any non-monetary remedy or relief being imposed upon any member of the other Party’s Group, (b) encumber any asset of any member of the other Party’s Group or (c) contain or involve an admission or statement providing for or acknowledging any liability or criminal wrongdoing on behalf of the other Party’s Group or any of its Affiliates;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settlement entered into by such managing Party must contain as a condition thereto, a complete release of the other Party being indemnified. No settlement or compromise in respect of any Action shall be made or consented to by any Party not managing an Action pursuant to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 xml:space="preserve"> without the express written consent of the Party managing such Action.</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B-53</w:t>
      </w:r>
    </w:p>
    <w:p>
      <w:pPr>
        <w:sectPr>
          <w:pgSz w:w="11900" w:h="16838" w:orient="portrait"/>
          <w:cols w:equalWidth="0" w:num="1">
            <w:col w:w="10159"/>
          </w:cols>
          <w:pgMar w:left="300" w:top="386" w:right="1440"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CERTAIN OTHER MATTERS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Insurance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6" w:lineRule="auto"/>
        <w:tabs>
          <w:tab w:leader="none" w:pos="2322"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Gold and SpinCo agree to cooperate in good faith to provide for an orderly transition of insurance coverage from the date hereof through the Distribution Time. In no event shall the Company, any other member of the Company Group or any Company Indemnitee have Liability or obligation whatsoever to any member of the Gold Group or SpinCo Group in the event that any (i) insurance policy or insurance policy-related contract shall be terminated or otherwise cease to be in effect for any reason, shall be unavailable or inadequate to cover any Liability of any member of the Gold Group or SpinCo Group for any reason whatsoever or shall be cancelled, not renewed or not extended beyond the current expiration date or (ii) any insurer declines, denies, delays or obstructs any claim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in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(a) shall relieve any Party of any liability or damages resulting from a breach of the Merger Agreement.</w:t>
      </w:r>
    </w:p>
    <w:p>
      <w:pPr>
        <w:spacing w:after="0" w:line="143" w:lineRule="exact"/>
        <w:rPr>
          <w:rFonts w:ascii="Times New Roman" w:cs="Times New Roman" w:eastAsia="Times New Roman" w:hAnsi="Times New Roman"/>
          <w:sz w:val="14"/>
          <w:szCs w:val="14"/>
          <w:color w:val="auto"/>
        </w:rPr>
      </w:pPr>
    </w:p>
    <w:p>
      <w:pPr>
        <w:ind w:left="1360" w:right="239" w:firstLine="767"/>
        <w:spacing w:after="0" w:line="253" w:lineRule="auto"/>
        <w:tabs>
          <w:tab w:leader="none" w:pos="2330" w:val="left"/>
        </w:tabs>
        <w:numPr>
          <w:ilvl w:val="0"/>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sole exception of claims, losses, damages or Liability based upon or arising from any acts, omissions, events or circumstances that occurred or existed prior to the Distribution Time and which would be otherwise covered under any occurrence-based insurance policies of the Company or any member of the Company Group (collectively, the “</w:t>
      </w:r>
      <w:r>
        <w:rPr>
          <w:rFonts w:ascii="Times New Roman" w:cs="Times New Roman" w:eastAsia="Times New Roman" w:hAnsi="Times New Roman"/>
          <w:sz w:val="14"/>
          <w:szCs w:val="14"/>
          <w:b w:val="1"/>
          <w:bCs w:val="1"/>
          <w:color w:val="auto"/>
        </w:rPr>
        <w:t>Covered Policies</w:t>
      </w:r>
      <w:r>
        <w:rPr>
          <w:rFonts w:ascii="Times New Roman" w:cs="Times New Roman" w:eastAsia="Times New Roman" w:hAnsi="Times New Roman"/>
          <w:sz w:val="14"/>
          <w:szCs w:val="14"/>
          <w:color w:val="auto"/>
        </w:rPr>
        <w:t xml:space="preserve">”), from and after the Distribution Time, SpinCo, any member of the SpinCo Group, Gold, any member of the Gold Group, or any of their respective employees (including former or inactive employees) shall cease to be insured by, shall have no access or availability to or under, shall not be entitled to make claims on or under and shall not be entitled to claim benefits from or seek coverage under, and shall not have any rights to or under, any of the Company’s or any member of the Company Group’s insurance policies or any of their respective self-insured programs in place immediately prior to the Distribution Time. Solely with respect to the Covered Policies, from and after the Distribution Time, with respect to any claims, losses, damages or Liability based upon or arising from acts, omissions, events or circumstances that occurred or existed prior to the Distribution Time, the Company will provide Gold and SpinCo with access to, and SpinCo and the SpinCo Group may make claims under, the Covered Policies, but solely to the extent that such policies provided coverage for members of the SpinCo Group or the SpinCo Business prior to the Distribution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access to, and the right to make claims under, such insurance policies, shall be subject to the terms, conditions and exclusions of such insurance policies, including any limits on coverage or scope, any deductibles, self-insured retentions and other fees and expenses, and shall be subject to the following additional conditions:</w:t>
      </w:r>
    </w:p>
    <w:p>
      <w:pPr>
        <w:spacing w:after="0" w:line="64" w:lineRule="exact"/>
        <w:rPr>
          <w:rFonts w:ascii="Times New Roman" w:cs="Times New Roman" w:eastAsia="Times New Roman" w:hAnsi="Times New Roman"/>
          <w:sz w:val="14"/>
          <w:szCs w:val="14"/>
          <w:color w:val="auto"/>
        </w:rPr>
      </w:pPr>
    </w:p>
    <w:p>
      <w:pPr>
        <w:jc w:val="both"/>
        <w:ind w:left="1700" w:right="279" w:firstLine="739"/>
        <w:spacing w:after="0" w:line="287" w:lineRule="auto"/>
        <w:tabs>
          <w:tab w:leader="none" w:pos="2608" w:val="left"/>
        </w:tabs>
        <w:numPr>
          <w:ilvl w:val="1"/>
          <w:numId w:val="4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SpinCo shall provide notice to the Company in accordance with </w:t>
      </w:r>
      <w:r>
        <w:rPr>
          <w:rFonts w:ascii="Times New Roman" w:cs="Times New Roman" w:eastAsia="Times New Roman" w:hAnsi="Times New Roman"/>
          <w:sz w:val="13"/>
          <w:szCs w:val="13"/>
          <w:u w:val="single" w:color="auto"/>
          <w:color w:val="auto"/>
        </w:rPr>
        <w:t>Section 9.6</w:t>
      </w:r>
      <w:r>
        <w:rPr>
          <w:rFonts w:ascii="Times New Roman" w:cs="Times New Roman" w:eastAsia="Times New Roman" w:hAnsi="Times New Roman"/>
          <w:sz w:val="13"/>
          <w:szCs w:val="13"/>
          <w:color w:val="auto"/>
        </w:rPr>
        <w:t xml:space="preserve">, reasonably promptly, of any incident, circumstance or occurrence that could reasonably be expected to lead to a claim made by SpinCo pursuant to this </w:t>
      </w:r>
      <w:r>
        <w:rPr>
          <w:rFonts w:ascii="Times New Roman" w:cs="Times New Roman" w:eastAsia="Times New Roman" w:hAnsi="Times New Roman"/>
          <w:sz w:val="13"/>
          <w:szCs w:val="13"/>
          <w:u w:val="single" w:color="auto"/>
          <w:color w:val="auto"/>
        </w:rPr>
        <w:t>Section 5.1(b</w:t>
      </w:r>
      <w:r>
        <w:rPr>
          <w:rFonts w:ascii="Times New Roman" w:cs="Times New Roman" w:eastAsia="Times New Roman" w:hAnsi="Times New Roman"/>
          <w:sz w:val="13"/>
          <w:szCs w:val="13"/>
          <w:color w:val="auto"/>
        </w:rPr>
        <w:t>) and in any event in sufficient time so that such claim may be made in accordance with the Company’s claim reporting procedures in effect immediately prior to the Distribution (or in accordance with any modifications to such procedures after the Distribution communicated by the Company to SpinCo in writing);</w:t>
      </w:r>
    </w:p>
    <w:p>
      <w:pPr>
        <w:spacing w:after="0" w:line="41" w:lineRule="exact"/>
        <w:rPr>
          <w:rFonts w:ascii="Times New Roman" w:cs="Times New Roman" w:eastAsia="Times New Roman" w:hAnsi="Times New Roman"/>
          <w:sz w:val="13"/>
          <w:szCs w:val="13"/>
          <w:color w:val="auto"/>
        </w:rPr>
      </w:pPr>
    </w:p>
    <w:p>
      <w:pPr>
        <w:ind w:left="1700" w:right="239" w:firstLine="739"/>
        <w:spacing w:after="0" w:line="254" w:lineRule="auto"/>
        <w:tabs>
          <w:tab w:leader="none" w:pos="2647" w:val="left"/>
        </w:tabs>
        <w:numPr>
          <w:ilvl w:val="1"/>
          <w:numId w:val="4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shall reimburse the Company and the members of the Company Group for all claim-related payments made by the Company or any member of the Company Group on or after the Distribution Time that arise from claims made by SpinCo, any member of the SpinCo Group, Gold, any member of the Gold Group, any of their respective employees or any Third Party under the Company’s or any member of the Company Group’s self-insured or large deductible insurance programs for occurrences prior to the Distribution Time, including overhead, claim handling and administrative costs, taxes, surcharges, state assessments and other related costs. SpinCo and the other members of the SpinCo Group shall indemnify, hold harmless and reimburse the Company and the members of the Company Group for any deductibles, self-insured retention, fees, indemnity payments, settlements, judgments, legal fees, allocated claims expenses and claim handling fees, and other expenses incurred by the Company or any members of the Company Group to the extent resulting from any access to, or any claims made by SpinCo or any other</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B-54</w:t>
      </w:r>
    </w:p>
    <w:p>
      <w:pPr>
        <w:sectPr>
          <w:pgSz w:w="11900" w:h="16838" w:orient="portrait"/>
          <w:cols w:equalWidth="0" w:num="1">
            <w:col w:w="10159"/>
          </w:cols>
          <w:pgMar w:left="300" w:top="385" w:right="1440"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700" w:right="239"/>
        <w:spacing w:after="0" w:line="258" w:lineRule="auto"/>
        <w:rPr>
          <w:sz w:val="20"/>
          <w:szCs w:val="20"/>
          <w:color w:val="auto"/>
        </w:rPr>
      </w:pPr>
      <w:r>
        <w:rPr>
          <w:rFonts w:ascii="Times New Roman" w:cs="Times New Roman" w:eastAsia="Times New Roman" w:hAnsi="Times New Roman"/>
          <w:sz w:val="14"/>
          <w:szCs w:val="14"/>
          <w:color w:val="auto"/>
        </w:rPr>
        <w:t xml:space="preserve">members of the SpinCo Group, Gold or any other members of the Gold Group under, any of the Company’s or a member of the Company Group’s insurance policies provided pursuant to this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whether such claims are made by SpinCo, its employees or Third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neither SpinCo nor any other member of the SpinCo Group shall owe any obligations of indemnification, reimbursement or otherwise pursuant to this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with respect to any claims resulting from or arising out of the gross negligence, bad faith, fraud or intentional misconduct of the Company or any other members of the Company Group; and</w:t>
      </w:r>
    </w:p>
    <w:p>
      <w:pPr>
        <w:spacing w:after="0" w:line="60" w:lineRule="exact"/>
        <w:rPr>
          <w:sz w:val="20"/>
          <w:szCs w:val="20"/>
          <w:color w:val="auto"/>
        </w:rPr>
      </w:pPr>
    </w:p>
    <w:p>
      <w:pPr>
        <w:ind w:left="1700" w:right="219" w:firstLine="739"/>
        <w:spacing w:after="0" w:line="252" w:lineRule="auto"/>
        <w:tabs>
          <w:tab w:leader="none" w:pos="2686" w:val="left"/>
        </w:tabs>
        <w:numPr>
          <w:ilvl w:val="1"/>
          <w:numId w:val="4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SpinCo shall exclusively bear (and neither the Company nor any members of the Company Group shall have any obligation to repay or reimburse SpinCo, any member of the SpinCo Group, Gold or any member of the Gold Group for) and shall be liable for all excluded, uninsured, uncovered, unavailable or uncollectible amounts (including where any insurer declines, denies, delays or obstructs any claim payment) of all such claims made by SpinCo, any member of the SpinCo Group, Gold or any member of the Gold Group under the policies as provided for in this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Where a policy includes a reinstatement of limits, in the event an insurance policy aggregate is exhausted, or believed likely to be exhausted, due to noticed claims, the SpinCo Group, on the one hand, and the Company Group, on the other hand, shall be responsible for their pro rata portion of the reinstatement premium, if any, based upon the losses of such Group submitted to the Company’s insurance carrier(s) (including any submissions prior to the Distribution Time). To the extent that the Company Group, on the one hand, or the SpinCo Group, on the other hand, is allocated more than its pro rata portion of such premium due to the timing of losses submitted to the Company’s insurance carrier(s), the other party shall promptly pay the first party an amount so that each Group has been properly allocated its pro rata portion of the reinstatement premium. Subject to the following sentence, the Company, on the one hand, or SpinCo, on the other hand, may elect not to reinstate the policy aggregate even if available. In the event that the Company, on the one hand, or SpinCo, on the other hand, elects not to reinstate the policy aggregate, it shall provide prompt written notice to the other Party and shall have no rights to claim against or have any benefit from the reinstated limits. If either the Company, on the one hand, or SpinCo, on the other hand, elects to reinstate the policy aggregate, such Party shall be responsible for all reinstatement premiums and other costs associated with such reinstatement to the extent such Party has received notice from the other Party that such other Party does not elect to reinstate the limits.</w:t>
      </w:r>
    </w:p>
    <w:p>
      <w:pPr>
        <w:spacing w:after="0" w:line="154" w:lineRule="exact"/>
        <w:rPr>
          <w:rFonts w:ascii="Times New Roman" w:cs="Times New Roman" w:eastAsia="Times New Roman" w:hAnsi="Times New Roman"/>
          <w:sz w:val="14"/>
          <w:szCs w:val="14"/>
          <w:color w:val="auto"/>
        </w:rPr>
      </w:pPr>
    </w:p>
    <w:p>
      <w:pPr>
        <w:ind w:left="1360" w:right="479" w:firstLine="767"/>
        <w:spacing w:after="0" w:line="267" w:lineRule="auto"/>
        <w:tabs>
          <w:tab w:leader="none" w:pos="2322"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Distribution Time, SpinCo shall have in effect, and Gold shall exercise its commercially reasonable efforts to cooperate with SpinCo in its efforts to obtain or effect, all insurance programs required to comply with SpinCo’s contractual obligations and such other policies required by Law or as reasonably necessary or appropriate for the SpinCo Business and the operation thereof by the SpinCo Group.</w:t>
      </w:r>
    </w:p>
    <w:p>
      <w:pPr>
        <w:spacing w:after="0" w:line="135" w:lineRule="exact"/>
        <w:rPr>
          <w:rFonts w:ascii="Times New Roman" w:cs="Times New Roman" w:eastAsia="Times New Roman" w:hAnsi="Times New Roman"/>
          <w:sz w:val="14"/>
          <w:szCs w:val="14"/>
          <w:color w:val="auto"/>
        </w:rPr>
      </w:pPr>
    </w:p>
    <w:p>
      <w:pPr>
        <w:ind w:left="1360" w:right="259" w:firstLine="767"/>
        <w:spacing w:after="0" w:line="254" w:lineRule="auto"/>
        <w:tabs>
          <w:tab w:leader="none" w:pos="2330"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SpinCo, Gold, any member of the SpinCo Group nor any member of the Gold Group, in connection with making a claim under any insurance policy of the Company or any member of the Company Group pursuant to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shall take any action that would be reasonably likely to: (i) have a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impact on the then-current relationship between the Company or any member of the Company Group, on the one hand, and the applicable insurance company, on the other hand; (ii) result in the applicable insurance company terminating or materially reducing coverage, or materially increasing the amount of any premium owed by the Company or any member of the Company Group under the applicable insurance policy; or (iii) otherwise compromise, jeopardize or interfere in any material respect with the rights of the Company or any member of the Company Group under the applicable insurance policy;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SpinCo’s, any member of the SpinCo Group’s, Gold’s, any member of the Gold Group’s, any of their respective employees’ or any Third Party’s making and pursuing of a claim to coverage pursuant to </w:t>
      </w:r>
      <w:r>
        <w:rPr>
          <w:rFonts w:ascii="Times New Roman" w:cs="Times New Roman" w:eastAsia="Times New Roman" w:hAnsi="Times New Roman"/>
          <w:sz w:val="14"/>
          <w:szCs w:val="14"/>
          <w:u w:val="single" w:color="auto"/>
          <w:color w:val="auto"/>
        </w:rPr>
        <w:t>Section 5.1(b)(ii)</w:t>
      </w:r>
      <w:r>
        <w:rPr>
          <w:rFonts w:ascii="Times New Roman" w:cs="Times New Roman" w:eastAsia="Times New Roman" w:hAnsi="Times New Roman"/>
          <w:sz w:val="14"/>
          <w:szCs w:val="14"/>
          <w:color w:val="auto"/>
        </w:rPr>
        <w:t xml:space="preserve"> shall not be deemed to be an action that triggers the foregoing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w:t>
      </w:r>
    </w:p>
    <w:p>
      <w:pPr>
        <w:spacing w:after="0" w:line="148" w:lineRule="exact"/>
        <w:rPr>
          <w:rFonts w:ascii="Times New Roman" w:cs="Times New Roman" w:eastAsia="Times New Roman" w:hAnsi="Times New Roman"/>
          <w:sz w:val="14"/>
          <w:szCs w:val="14"/>
          <w:color w:val="auto"/>
        </w:rPr>
      </w:pPr>
    </w:p>
    <w:p>
      <w:pPr>
        <w:ind w:left="1360" w:right="399" w:firstLine="767"/>
        <w:spacing w:after="0" w:line="267" w:lineRule="auto"/>
        <w:tabs>
          <w:tab w:leader="none" w:pos="2322" w:val="left"/>
        </w:tabs>
        <w:numPr>
          <w:ilvl w:val="0"/>
          <w:numId w:val="4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payments, costs, adjustments or reimbursements to be paid by SpinCo and/or Gold pursuant to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shall be billed quarterly and payable within thirty (30) days from receipt of an invoice from the Company. The Company shall retain the exclusive right to control its insurance policies and programs, including</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B-55</w:t>
      </w:r>
    </w:p>
    <w:p>
      <w:pPr>
        <w:sectPr>
          <w:pgSz w:w="11900" w:h="16838" w:orient="portrait"/>
          <w:cols w:equalWidth="0" w:num="1">
            <w:col w:w="10159"/>
          </w:cols>
          <w:pgMar w:left="300" w:top="386" w:right="1440"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 xml:space="preserve">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SpinCo Liabilities and/or claims SpinCo has made or could make in the future, and no member of the SpinCo Group or Gold Group shall erode, exhaust, settle, release, commute, buyback or otherwise resolve disputes with the Company’s insurers with respect to any of the Company’s insurance policies and programs, or amend, modify or waive any rights under any such insurance policies and programs;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Company shall not terminate or make any material amendments, modifications or waivers to, or concessions under, any of the Covered Policies without providing Gold with reasonable notice prior to taking any such actions. SpinCo and Gold shall cooperate with the Company and, upon reasonable request by the Company, share such information as is reasonably necessary in order to permit the Company to manage and conduct its insurance matters as the Company deems appropriate. Each of the Company, on the one hand, and SpinCo, on the other hand, and any member of its applicable Group has the sole right to settle or otherwise resolve Third-Party Claims made against it or any member of its applicable Group covered under an applicable insurance policy.</w:t>
      </w:r>
    </w:p>
    <w:p>
      <w:pPr>
        <w:spacing w:after="0" w:line="144" w:lineRule="exact"/>
        <w:rPr>
          <w:sz w:val="20"/>
          <w:szCs w:val="20"/>
          <w:color w:val="auto"/>
        </w:rPr>
      </w:pPr>
    </w:p>
    <w:p>
      <w:pPr>
        <w:ind w:left="1360" w:right="359" w:firstLine="767"/>
        <w:spacing w:after="0" w:line="267" w:lineRule="auto"/>
        <w:tabs>
          <w:tab w:leader="none" w:pos="2307" w:val="left"/>
        </w:tabs>
        <w:numPr>
          <w:ilvl w:val="0"/>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not be considered as an attempted assignment of any policy of insurance or as a contract of insurance and shall not be construed to waive any right or remedy of any member of the Company Group in respect of any insurance policy or any other contract or policy of insurance.</w:t>
      </w:r>
    </w:p>
    <w:p>
      <w:pPr>
        <w:spacing w:after="0" w:line="135" w:lineRule="exact"/>
        <w:rPr>
          <w:rFonts w:ascii="Times New Roman" w:cs="Times New Roman" w:eastAsia="Times New Roman" w:hAnsi="Times New Roman"/>
          <w:sz w:val="14"/>
          <w:szCs w:val="14"/>
          <w:color w:val="auto"/>
        </w:rPr>
      </w:pPr>
    </w:p>
    <w:p>
      <w:pPr>
        <w:ind w:left="1360" w:right="359" w:firstLine="767"/>
        <w:spacing w:after="0" w:line="257" w:lineRule="auto"/>
        <w:tabs>
          <w:tab w:leader="none" w:pos="2330" w:val="left"/>
        </w:tabs>
        <w:numPr>
          <w:ilvl w:val="0"/>
          <w:numId w:val="4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SpinCo and Gold do hereby, for itself and each other member of its Group, agree that no member of the Company Group shall have any Liability whatsoever for any acts, omissions, events or circumstances that occurred prior to the Distribution Time relating to the insurance policies and practices of the Company and the members of the Company Group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nothing in the foregoing shall be deemed in any way to limit any Party’s right under this Agreement, the Merger Agreement or any other Transaction Document.</w:t>
      </w:r>
    </w:p>
    <w:p>
      <w:pPr>
        <w:spacing w:after="0" w:line="14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Late Payments</w:t>
      </w:r>
      <w:r>
        <w:rPr>
          <w:rFonts w:ascii="Times New Roman" w:cs="Times New Roman" w:eastAsia="Times New Roman" w:hAnsi="Times New Roman"/>
          <w:sz w:val="14"/>
          <w:szCs w:val="14"/>
          <w:color w:val="auto"/>
        </w:rPr>
        <w:t xml:space="preserve">. Except as expressly provided to the contrary in this Agreement or in any Transaction Document, any amount not paid when due pursuant to this Agreement or any Transaction Document (and any amounts billed or otherwise invoiced or demanded and properly payable that are not paid within ten (10) days of a notice of non-payment) shall accrue interest at a rate per annum equal to the prime rate published in the </w:t>
      </w:r>
      <w:r>
        <w:rPr>
          <w:rFonts w:ascii="Times New Roman" w:cs="Times New Roman" w:eastAsia="Times New Roman" w:hAnsi="Times New Roman"/>
          <w:sz w:val="14"/>
          <w:szCs w:val="14"/>
          <w:i w:val="1"/>
          <w:iCs w:val="1"/>
          <w:color w:val="auto"/>
        </w:rPr>
        <w:t>Wall Street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Journal </w:t>
      </w:r>
      <w:r>
        <w:rPr>
          <w:rFonts w:ascii="Times New Roman" w:cs="Times New Roman" w:eastAsia="Times New Roman" w:hAnsi="Times New Roman"/>
          <w:sz w:val="14"/>
          <w:szCs w:val="14"/>
          <w:color w:val="auto"/>
        </w:rPr>
        <w:t>for the relevant period plus two percent (2%).</w:t>
      </w:r>
    </w:p>
    <w:p>
      <w:pPr>
        <w:spacing w:after="0" w:line="141"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Treatment of Payments for Tax Purposes</w:t>
      </w:r>
      <w:r>
        <w:rPr>
          <w:rFonts w:ascii="Times New Roman" w:cs="Times New Roman" w:eastAsia="Times New Roman" w:hAnsi="Times New Roman"/>
          <w:sz w:val="14"/>
          <w:szCs w:val="14"/>
          <w:color w:val="auto"/>
        </w:rPr>
        <w:t xml:space="preserve">. Except as provided in </w:t>
      </w:r>
      <w:r>
        <w:rPr>
          <w:rFonts w:ascii="Times New Roman" w:cs="Times New Roman" w:eastAsia="Times New Roman" w:hAnsi="Times New Roman"/>
          <w:sz w:val="14"/>
          <w:szCs w:val="14"/>
          <w:u w:val="single" w:color="auto"/>
          <w:color w:val="auto"/>
        </w:rPr>
        <w:t>Section 2.11(k)</w:t>
      </w:r>
      <w:r>
        <w:rPr>
          <w:rFonts w:ascii="Times New Roman" w:cs="Times New Roman" w:eastAsia="Times New Roman" w:hAnsi="Times New Roman"/>
          <w:sz w:val="14"/>
          <w:szCs w:val="14"/>
          <w:color w:val="auto"/>
        </w:rPr>
        <w:t>, for all applicable Tax purposes, the Parties agree to treat any payment required by this Agreement as set forth in Section 12 of the Tax Matters Agreement.</w:t>
      </w:r>
    </w:p>
    <w:p>
      <w:pPr>
        <w:spacing w:after="0" w:line="125"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Inducement</w:t>
      </w:r>
      <w:r>
        <w:rPr>
          <w:rFonts w:ascii="Times New Roman" w:cs="Times New Roman" w:eastAsia="Times New Roman" w:hAnsi="Times New Roman"/>
          <w:sz w:val="14"/>
          <w:szCs w:val="14"/>
          <w:color w:val="auto"/>
        </w:rPr>
        <w:t xml:space="preserve">. SpinCo and Gold acknowledge and agree that the Company’s willingness to cause, effect and consummate the Reorganization and the Distribution has been conditioned upon and induced by SpinCo’s and Gold’s covenants and agreements in this Agreement, the Merger Agreement and the other Transaction Documents, including SpinCo’s assumption of the SpinCo Liabilities pursuant to the Reorganization and the provisions of this Agreement and SpinCo’s covenants and agreements contained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The Company acknowledges and agrees that SpinCo’s and Gold’s willingness to cause, effect and consummate the Reorganization and the Distribution, as applicable, has been conditioned upon and induced by the Company’s covenants and agreements in this Agreement, the Merger Agreement and the other Transaction Documents, including the Company’s assumption of the Company Liabilities pursuant to the Reorganization and the provisions of this Agreement and the Company’s covenants and agreements contained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Post-Distribution Time Conduct</w:t>
      </w:r>
      <w:r>
        <w:rPr>
          <w:rFonts w:ascii="Times New Roman" w:cs="Times New Roman" w:eastAsia="Times New Roman" w:hAnsi="Times New Roman"/>
          <w:sz w:val="14"/>
          <w:szCs w:val="14"/>
          <w:color w:val="auto"/>
        </w:rPr>
        <w:t>. The Parties acknowledge that, after the Distribution Time, each Party shall be independent of the other Party, with responsibility for its own actions and inactions and its own Liabilities relating to, arising out of or resulting from the conduct of its business, operations and activities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B-56</w:t>
      </w:r>
    </w:p>
    <w:p>
      <w:pPr>
        <w:sectPr>
          <w:pgSz w:w="11900" w:h="16838" w:orient="portrait"/>
          <w:cols w:equalWidth="0" w:num="1">
            <w:col w:w="10159"/>
          </w:cols>
          <w:pgMar w:left="300" w:top="385" w:right="1440"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99"/>
        <w:spacing w:after="0" w:line="267" w:lineRule="auto"/>
        <w:rPr>
          <w:sz w:val="20"/>
          <w:szCs w:val="20"/>
          <w:color w:val="auto"/>
        </w:rPr>
      </w:pPr>
      <w:r>
        <w:rPr>
          <w:rFonts w:ascii="Times New Roman" w:cs="Times New Roman" w:eastAsia="Times New Roman" w:hAnsi="Times New Roman"/>
          <w:sz w:val="14"/>
          <w:szCs w:val="14"/>
          <w:color w:val="auto"/>
        </w:rPr>
        <w:t xml:space="preserve">following the Distribution Time, except as may otherwise be provided in the Merger Agreement or any Transaction Document, and each Party shall (except as otherwise provided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use commercially reasonable efforts to prevent such Liabilities from being inappropriately borne by the other Party.</w:t>
      </w:r>
    </w:p>
    <w:p>
      <w:pPr>
        <w:spacing w:after="0" w:line="136"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SpinCo Group Employee Roster</w:t>
      </w:r>
      <w:r>
        <w:rPr>
          <w:rFonts w:ascii="Times New Roman" w:cs="Times New Roman" w:eastAsia="Times New Roman" w:hAnsi="Times New Roman"/>
          <w:sz w:val="14"/>
          <w:szCs w:val="14"/>
          <w:color w:val="auto"/>
        </w:rPr>
        <w:t>. As promptly as reasonably practicable after February 1, 2026, the Company shall deliver to Gold a complete and correct copy of the SpinCo Group Employee Roster and the Specified Company Employee Roster as of February 1, 2026.</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EXCHANGE OF INFORMATION; CONFIDENTIALITY</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Agreement for Exchange of Information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2" w:lineRule="auto"/>
        <w:tabs>
          <w:tab w:leader="none" w:pos="2322"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and any other applicable confidentiality obligations, each of the Company, Gold and SpinCo, on behalf of itself and each member of its Group, agrees to use commercially reasonable efforts to provide or make available, or cause to be provided or made available, to the other Party and the members of such other Party’s Group, at any time before, on or after the Distribution Time, reasonably promptly after written request therefor, any information (or a copy thereof) in the possession or under the control of such Party or its Group which the requesting Party or its Group requests to the extent that: (i) such information relates to the SpinCo Business, or any SpinCo Asset or SpinCo Liability, if SpinCo or Gold is the requesting Party, or to the Company Business, or any Company Asset or Company Liability, if the Company is the requesting Party; (ii) such information is required by the requesting Party to comply with its obligations under this Agreement or the other Transaction Documents; or (iii) such information is required by the requesting Party to comply with any obligation imposed by any Governmental Authority;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 the Company and the members of the Company Group shall be permitted to redact any portion of such information that does not relate to the SpinCo Business and (B) SpinCo and Gold and the members of their respective Groups shall be permitted to redact any portion of such information that does not relate to the Company Business, and in the event that the Party to whom the request has been made determines in good faith that any such provision of information could reasonably be expected to violate any Law or agreement, waive any legal privilege available under applicable Law, including any attorney-client privilege, attorney work product privilege, and confidentiality privileges applying to federally authorized tax practitioners under Section 7525 of the Code (or any similar provision of state, local, foreign or other tax law), or breach any duty of confidentiality or other obligation owed to any Person, then the Parties shall use commercially reasonable efforts to permit compliance with such obligations to the extent and in a manner that avoids any such harm or consequence. The Party providing information pursuant to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shall expand the obligations of either Party under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w:t>
      </w:r>
    </w:p>
    <w:p>
      <w:pPr>
        <w:spacing w:after="0" w:line="321" w:lineRule="exact"/>
        <w:rPr>
          <w:rFonts w:ascii="Times New Roman" w:cs="Times New Roman" w:eastAsia="Times New Roman" w:hAnsi="Times New Roman"/>
          <w:sz w:val="14"/>
          <w:szCs w:val="14"/>
          <w:color w:val="auto"/>
        </w:rPr>
      </w:pPr>
    </w:p>
    <w:p>
      <w:pPr>
        <w:ind w:left="1360" w:right="219" w:firstLine="767"/>
        <w:spacing w:after="0" w:line="254" w:lineRule="auto"/>
        <w:tabs>
          <w:tab w:leader="none" w:pos="2330" w:val="left"/>
        </w:tabs>
        <w:numPr>
          <w:ilvl w:val="0"/>
          <w:numId w:val="4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until the end of the first full fiscal year of either Party occurring after the Distribution Date (and for a reasonable period of time thereafter for either Party to prepare consolidated financial statements or complete a financial statement audit for any period during which the financial results of the SpinCo Group were consolidated with those of the Company, which period shall not exceed the date on which each Party’s audited financial statements for the first full fiscal year after the Distribution Date are filed with the SEC), each Party shall use its commercially reasonable efforts to cooperate with the other Party’s information requests and, if reasonably requested by the other Party and at the requesting Party’s expense, provide such other cooperation as such Party may reasonably require, in each case to enable (i) 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(ii) the other Party’s accountants to timely complete their review of the quarterly</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B-57</w:t>
      </w:r>
    </w:p>
    <w:p>
      <w:pPr>
        <w:sectPr>
          <w:pgSz w:w="11900" w:h="16838" w:orient="portrait"/>
          <w:cols w:equalWidth="0" w:num="1">
            <w:col w:w="10159"/>
          </w:cols>
          <w:pgMar w:left="300" w:top="386" w:right="1440"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 xml:space="preserve">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 and (iii) such other Party to respond to any written request or official comment from a Governmental Authority including in connection with responding to a comment letter from the SEC;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connection with this clause (iii), each Party shall provide reasonable assistance on the terms set forth in this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for a period of three years following the Distribution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any assistance sought by a Party pursuant to this </w:t>
      </w:r>
      <w:r>
        <w:rPr>
          <w:rFonts w:ascii="Times New Roman" w:cs="Times New Roman" w:eastAsia="Times New Roman" w:hAnsi="Times New Roman"/>
          <w:sz w:val="14"/>
          <w:szCs w:val="14"/>
          <w:u w:val="single" w:color="auto"/>
          <w:color w:val="auto"/>
        </w:rPr>
        <w:t>Section 6.1(b)(iii)</w:t>
      </w:r>
      <w:r>
        <w:rPr>
          <w:rFonts w:ascii="Times New Roman" w:cs="Times New Roman" w:eastAsia="Times New Roman" w:hAnsi="Times New Roman"/>
          <w:sz w:val="14"/>
          <w:szCs w:val="14"/>
          <w:color w:val="auto"/>
        </w:rPr>
        <w:t xml:space="preserve"> will only be if such Party receives a written request or an official comment from a Governmental Authority and such assistance will not be unreasonably disruptive to the business and affairs of the other Party.</w:t>
      </w:r>
    </w:p>
    <w:p>
      <w:pPr>
        <w:spacing w:after="0" w:line="145" w:lineRule="exact"/>
        <w:rPr>
          <w:sz w:val="20"/>
          <w:szCs w:val="20"/>
          <w:color w:val="auto"/>
        </w:rPr>
      </w:pPr>
    </w:p>
    <w:p>
      <w:pPr>
        <w:ind w:left="1360" w:right="239" w:firstLine="767"/>
        <w:spacing w:after="0" w:line="254" w:lineRule="auto"/>
        <w:tabs>
          <w:tab w:leader="none" w:pos="2322" w:val="left"/>
        </w:tabs>
        <w:numPr>
          <w:ilvl w:val="0"/>
          <w:numId w:val="4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furtherance of the foregoing, subject to the confidentiality provisions of this Agreement (including, for the avoidance of doubt, those set forth in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and to such Party’s confidentiality obligations to third parties and to the extent it relates to the time prior to the Distribution, at the requesting Party’s expense, each Party shall authorize and request its respective auditors to make available to the other Party’s auditors (the “</w:t>
      </w:r>
      <w:r>
        <w:rPr>
          <w:rFonts w:ascii="Times New Roman" w:cs="Times New Roman" w:eastAsia="Times New Roman" w:hAnsi="Times New Roman"/>
          <w:sz w:val="14"/>
          <w:szCs w:val="14"/>
          <w:b w:val="1"/>
          <w:bCs w:val="1"/>
          <w:color w:val="auto"/>
        </w:rPr>
        <w:t>Other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Party’s Auditors</w:t>
      </w:r>
      <w:r>
        <w:rPr>
          <w:rFonts w:ascii="Times New Roman" w:cs="Times New Roman" w:eastAsia="Times New Roman" w:hAnsi="Times New Roman"/>
          <w:sz w:val="14"/>
          <w:szCs w:val="14"/>
          <w:color w:val="auto"/>
        </w:rPr>
        <w:t>”) both the personnel who performed or are performing the annual audits of such audited Party (each such Party with respect to its 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audit, the “</w:t>
      </w:r>
      <w:r>
        <w:rPr>
          <w:rFonts w:ascii="Times New Roman" w:cs="Times New Roman" w:eastAsia="Times New Roman" w:hAnsi="Times New Roman"/>
          <w:sz w:val="14"/>
          <w:szCs w:val="14"/>
          <w:b w:val="1"/>
          <w:bCs w:val="1"/>
          <w:color w:val="auto"/>
        </w:rPr>
        <w:t>Audited Party</w:t>
      </w:r>
      <w:r>
        <w:rPr>
          <w:rFonts w:ascii="Times New Roman" w:cs="Times New Roman" w:eastAsia="Times New Roman" w:hAnsi="Times New Roman"/>
          <w:sz w:val="14"/>
          <w:szCs w:val="14"/>
          <w:color w:val="auto"/>
        </w:rPr>
        <w:t>”) and work papers related to the annual audits of such Audited Party, in all cases within a reasonable time prior to such Audited Parties’ auditors’ opinion date, so that the Other Parties’ Auditors are able to perform the procedures they reasonably consider necessary to take responsibility for the work of the Audited Parties’ auditors as it relates to their auditors’ report on such other Parties’ financial statements, all within sufficient time to enable such other Party to meet its timetable for the filing of its annual financial statements with the SEC for the fiscal year in which the Distribution occurs (or, if the Distribution occurs in the first quarter of a fiscal year, the previous fiscal year).</w:t>
      </w:r>
    </w:p>
    <w:p>
      <w:pPr>
        <w:spacing w:after="0" w:line="149" w:lineRule="exact"/>
        <w:rPr>
          <w:sz w:val="20"/>
          <w:szCs w:val="20"/>
          <w:color w:val="auto"/>
        </w:rPr>
      </w:pPr>
    </w:p>
    <w:p>
      <w:pPr>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Ownership of Information</w:t>
      </w:r>
      <w:r>
        <w:rPr>
          <w:rFonts w:ascii="Times New Roman" w:cs="Times New Roman" w:eastAsia="Times New Roman" w:hAnsi="Times New Roman"/>
          <w:sz w:val="14"/>
          <w:szCs w:val="14"/>
          <w:color w:val="auto"/>
        </w:rPr>
        <w:t xml:space="preserve">. The provision of any information pursuant to </w:t>
      </w:r>
      <w:r>
        <w:rPr>
          <w:rFonts w:ascii="Times New Roman" w:cs="Times New Roman" w:eastAsia="Times New Roman" w:hAnsi="Times New Roman"/>
          <w:sz w:val="14"/>
          <w:szCs w:val="14"/>
          <w:u w:val="single" w:color="auto"/>
          <w:color w:val="auto"/>
        </w:rPr>
        <w:t>Section 6.1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shall not affect the ownership of such information (which shall be determined solely in accordance with the terms of this Agreement, the Merger Agreement and the other Transaction Documents) or constitute a grant of rights in or to any such information.</w:t>
      </w:r>
    </w:p>
    <w:p>
      <w:pPr>
        <w:spacing w:after="0" w:line="136"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Compensation for Providing Information</w:t>
      </w:r>
      <w:r>
        <w:rPr>
          <w:rFonts w:ascii="Times New Roman" w:cs="Times New Roman" w:eastAsia="Times New Roman" w:hAnsi="Times New Roman"/>
          <w:sz w:val="14"/>
          <w:szCs w:val="14"/>
          <w:color w:val="auto"/>
        </w:rPr>
        <w:t>. The Party requesting information agrees to reimburse the other Party for the reasonable out-of-pocket costs, if any, of creating, gathering, copying, transporting and otherwise complying with the request with respect to such information (including any reasonable out-of-pocket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the Merger Agreement or any other Transaction Document or any other agreement between the Parties, such costs shall be computed in accordance with the providing Party’s standard methodology and procedures.</w:t>
      </w:r>
    </w:p>
    <w:p>
      <w:pPr>
        <w:spacing w:after="0" w:line="14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6.4 </w:t>
      </w:r>
      <w:r>
        <w:rPr>
          <w:rFonts w:ascii="Times New Roman" w:cs="Times New Roman" w:eastAsia="Times New Roman" w:hAnsi="Times New Roman"/>
          <w:sz w:val="14"/>
          <w:szCs w:val="14"/>
          <w:u w:val="single" w:color="auto"/>
          <w:color w:val="auto"/>
        </w:rPr>
        <w:t>Record Retention</w:t>
      </w:r>
      <w:r>
        <w:rPr>
          <w:rFonts w:ascii="Times New Roman" w:cs="Times New Roman" w:eastAsia="Times New Roman" w:hAnsi="Times New Roman"/>
          <w:sz w:val="14"/>
          <w:szCs w:val="14"/>
          <w:color w:val="auto"/>
        </w:rPr>
        <w:t>. Until the seven (7)-year anniversary of the Distribution Date, each Party agrees that it shall not destroy or otherwise dispose of, or permit the destruction or disposal of, any SpinCo Books and Records or any Company Books and Records in its or its Subsidiaries’ possession without first giving SpinCo and Gold, on the one hand, or the Company, on the other hand, written notice of such intended destruction or disposition no later than twenty (20) days prior to the date of such destruction or disposition and offering such other Party the opportunity to copy such SpinCo Books and Records or Company Books and Records, as applicable, or to deliver to such other Party, at such other Party’s expense, custody of such SpinCo Books and Records or Company Books and Records, as applicable. Notwithstanding anything to the contrary in the foregoing, the Tax Matters Agreement will exclusively govern the retention of Tax-related records and the exchange of Tax-related information, and the Employee Matters Agreement will exclusively govern the retention of employment and benefits-related records.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B-58</w:t>
      </w:r>
    </w:p>
    <w:p>
      <w:pPr>
        <w:sectPr>
          <w:pgSz w:w="11900" w:h="16838" w:orient="portrait"/>
          <w:cols w:equalWidth="0" w:num="1">
            <w:col w:w="10159"/>
          </w:cols>
          <w:pgMar w:left="300" w:top="386" w:right="1440"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 xml:space="preserve">6.5 </w:t>
      </w:r>
      <w:r>
        <w:rPr>
          <w:rFonts w:ascii="Times New Roman" w:cs="Times New Roman" w:eastAsia="Times New Roman" w:hAnsi="Times New Roman"/>
          <w:sz w:val="14"/>
          <w:szCs w:val="14"/>
          <w:u w:val="single" w:color="auto"/>
          <w:color w:val="auto"/>
        </w:rPr>
        <w:t>Limitations of Liability</w:t>
      </w:r>
      <w:r>
        <w:rPr>
          <w:rFonts w:ascii="Times New Roman" w:cs="Times New Roman" w:eastAsia="Times New Roman" w:hAnsi="Times New Roman"/>
          <w:sz w:val="14"/>
          <w:szCs w:val="14"/>
          <w:color w:val="auto"/>
        </w:rPr>
        <w:t xml:space="preserve">. Neither Party shall have any Liability to the other Party in the event that any information exchanged or provided pursuant to this Agreement is found to be inaccurate in the absence of gross negligence, bad faith, fraud or willful misconduct by the Party providing such information. Neither Party shall have any Liability to any other Party if any information is destroyed after commercially reasonable efforts by such Party to comply with the provisions of </w:t>
      </w:r>
      <w:r>
        <w:rPr>
          <w:rFonts w:ascii="Times New Roman" w:cs="Times New Roman" w:eastAsia="Times New Roman" w:hAnsi="Times New Roman"/>
          <w:sz w:val="14"/>
          <w:szCs w:val="14"/>
          <w:u w:val="single" w:color="auto"/>
          <w:color w:val="auto"/>
        </w:rPr>
        <w:t>Section 6.4</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6.6 </w:t>
      </w:r>
      <w:r>
        <w:rPr>
          <w:rFonts w:ascii="Times New Roman" w:cs="Times New Roman" w:eastAsia="Times New Roman" w:hAnsi="Times New Roman"/>
          <w:sz w:val="14"/>
          <w:szCs w:val="14"/>
          <w:u w:val="single" w:color="auto"/>
          <w:color w:val="auto"/>
        </w:rPr>
        <w:t>Other Agreements Providing for Exchange of Information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99" w:firstLine="767"/>
        <w:spacing w:after="0" w:line="323" w:lineRule="auto"/>
        <w:tabs>
          <w:tab w:leader="none" w:pos="2322" w:val="left"/>
        </w:tabs>
        <w:numPr>
          <w:ilvl w:val="0"/>
          <w:numId w:val="4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rights and obligations granted under this </w:t>
      </w:r>
      <w:r>
        <w:rPr>
          <w:rFonts w:ascii="Times New Roman" w:cs="Times New Roman" w:eastAsia="Times New Roman" w:hAnsi="Times New Roman"/>
          <w:sz w:val="13"/>
          <w:szCs w:val="13"/>
          <w:u w:val="single" w:color="auto"/>
          <w:color w:val="auto"/>
        </w:rPr>
        <w:t>Article VI</w:t>
      </w:r>
      <w:r>
        <w:rPr>
          <w:rFonts w:ascii="Times New Roman" w:cs="Times New Roman" w:eastAsia="Times New Roman" w:hAnsi="Times New Roman"/>
          <w:sz w:val="13"/>
          <w:szCs w:val="13"/>
          <w:color w:val="auto"/>
        </w:rPr>
        <w:t xml:space="preserve"> are subject to any specific limitations, qualifications or additional provisions on the sharing, exchange, retention or confidential treatment of information set forth in the Merger Agreement and any Transaction Document.</w:t>
      </w:r>
    </w:p>
    <w:p>
      <w:pPr>
        <w:spacing w:after="0" w:line="102" w:lineRule="exact"/>
        <w:rPr>
          <w:rFonts w:ascii="Times New Roman" w:cs="Times New Roman" w:eastAsia="Times New Roman" w:hAnsi="Times New Roman"/>
          <w:sz w:val="13"/>
          <w:szCs w:val="13"/>
          <w:color w:val="auto"/>
        </w:rPr>
      </w:pPr>
    </w:p>
    <w:p>
      <w:pPr>
        <w:ind w:left="1360" w:right="259" w:firstLine="767"/>
        <w:spacing w:after="0" w:line="261" w:lineRule="auto"/>
        <w:tabs>
          <w:tab w:leader="none" w:pos="2330" w:val="left"/>
        </w:tabs>
        <w:numPr>
          <w:ilvl w:val="0"/>
          <w:numId w:val="4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party that receives, pursuant to a request for information in accordance with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Tangible Information that is not relevant to its request shall, at the written request of the providing Party, (i) return it to the providing Party or, at the providing Party’s written request, destroy such Tangible Information and (ii) deliver to the providing Party written confirmation that such Tangible Information was returned or destroyed, as the case may be, which confirmation shall be signed by an authorized representative of the requesting Party.</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6.7 </w:t>
      </w:r>
      <w:r>
        <w:rPr>
          <w:rFonts w:ascii="Times New Roman" w:cs="Times New Roman" w:eastAsia="Times New Roman" w:hAnsi="Times New Roman"/>
          <w:sz w:val="14"/>
          <w:szCs w:val="14"/>
          <w:u w:val="single" w:color="auto"/>
          <w:color w:val="auto"/>
        </w:rPr>
        <w:t>Production of Witnesses; Records; Cooperation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19" w:firstLine="767"/>
        <w:spacing w:after="0" w:line="254" w:lineRule="auto"/>
        <w:tabs>
          <w:tab w:leader="none" w:pos="2322" w:val="left"/>
        </w:tabs>
        <w:numPr>
          <w:ilvl w:val="0"/>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After the Distribution Time, subject to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and any other applicable confidentiality obligations, except in the case of a Dispute between the Company, Gold and/or SpinCo, or any members of their respective Groups, each of the Company, on the one hand, and Gold and/or SpinCo, on the other hand,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w:t>
      </w:r>
    </w:p>
    <w:p>
      <w:pPr>
        <w:spacing w:after="0" w:line="148" w:lineRule="exact"/>
        <w:rPr>
          <w:rFonts w:ascii="Times New Roman" w:cs="Times New Roman" w:eastAsia="Times New Roman" w:hAnsi="Times New Roman"/>
          <w:sz w:val="14"/>
          <w:szCs w:val="14"/>
          <w:color w:val="auto"/>
        </w:rPr>
      </w:pPr>
    </w:p>
    <w:p>
      <w:pPr>
        <w:ind w:left="1360" w:right="279" w:firstLine="767"/>
        <w:spacing w:after="0" w:line="256" w:lineRule="auto"/>
        <w:tabs>
          <w:tab w:leader="none" w:pos="2330" w:val="left"/>
        </w:tabs>
        <w:numPr>
          <w:ilvl w:val="0"/>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 Indemnifying Party chooses to defend or to seek to compromise or settle any Third-Party Claim, then, subject to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and any other applicable confidentiality obligations,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w:t>
      </w:r>
    </w:p>
    <w:p>
      <w:pPr>
        <w:spacing w:after="0" w:line="143"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4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foregoing, the Parties shall cooperate and consult to the extent reasonably necessary with respect to any Actions.</w:t>
      </w:r>
    </w:p>
    <w:p>
      <w:pPr>
        <w:spacing w:after="0" w:line="175" w:lineRule="exact"/>
        <w:rPr>
          <w:rFonts w:ascii="Times New Roman" w:cs="Times New Roman" w:eastAsia="Times New Roman" w:hAnsi="Times New Roman"/>
          <w:sz w:val="14"/>
          <w:szCs w:val="14"/>
          <w:color w:val="auto"/>
        </w:rPr>
      </w:pPr>
    </w:p>
    <w:p>
      <w:pPr>
        <w:jc w:val="both"/>
        <w:ind w:left="1360" w:right="359" w:firstLine="767"/>
        <w:spacing w:after="0" w:line="296" w:lineRule="auto"/>
        <w:tabs>
          <w:tab w:leader="none" w:pos="2330" w:val="left"/>
        </w:tabs>
        <w:numPr>
          <w:ilvl w:val="0"/>
          <w:numId w:val="4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Without limiting any provision of this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w:t>
      </w:r>
    </w:p>
    <w:p>
      <w:pPr>
        <w:spacing w:after="0" w:line="6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B-59</w:t>
      </w:r>
    </w:p>
    <w:p>
      <w:pPr>
        <w:sectPr>
          <w:pgSz w:w="11900" w:h="16838" w:orient="portrait"/>
          <w:cols w:equalWidth="0" w:num="1">
            <w:col w:w="10159"/>
          </w:cols>
          <w:pgMar w:left="300" w:top="385" w:right="1440"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Third Party in a manner that would adversely affect or undermine the defense of such infringement or similar claim.</w:t>
      </w:r>
    </w:p>
    <w:p>
      <w:pPr>
        <w:spacing w:after="0" w:line="175" w:lineRule="exact"/>
        <w:rPr>
          <w:sz w:val="20"/>
          <w:szCs w:val="20"/>
          <w:color w:val="auto"/>
        </w:rPr>
      </w:pPr>
    </w:p>
    <w:p>
      <w:pPr>
        <w:jc w:val="both"/>
        <w:ind w:left="1360" w:right="219" w:firstLine="767"/>
        <w:spacing w:after="0" w:line="258" w:lineRule="auto"/>
        <w:tabs>
          <w:tab w:leader="none" w:pos="2322" w:val="left"/>
        </w:tabs>
        <w:numPr>
          <w:ilvl w:val="0"/>
          <w:numId w:val="4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obligation of the Parties to provide witnesses pursuant to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 business conflict (subject to the exception set forth in the first sentence of</w:t>
      </w:r>
    </w:p>
    <w:p>
      <w:pPr>
        <w:ind w:left="1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6.7(a)</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6.8 </w:t>
      </w:r>
      <w:r>
        <w:rPr>
          <w:rFonts w:ascii="Times New Roman" w:cs="Times New Roman" w:eastAsia="Times New Roman" w:hAnsi="Times New Roman"/>
          <w:sz w:val="14"/>
          <w:szCs w:val="14"/>
          <w:u w:val="single" w:color="auto"/>
          <w:color w:val="auto"/>
        </w:rPr>
        <w:t>Privileged Matters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767"/>
        <w:spacing w:after="0" w:line="255" w:lineRule="auto"/>
        <w:tabs>
          <w:tab w:leader="none" w:pos="2322"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recognize that legal and other professional services that have been and will be provided prior to the Distribution Time have been and will be rendered for the collective benefit of each of the members of the Company Group and the SpinCo Group, and that each of the members of the Company Group and the SpinCo Group should be deemed to be the client with respect to such services for the purposes of asserting all privileges which may be asserted under applicable Law in connection therewith. The Parties recognize that legal and other professional services will be provided following the Distribution Time, which services will be rendered solely for the benefit of the Company Group, on the one hand, or the SpinCo Group and the Gold Group, on the other hand, as the case may be. In furtherance of the foregoing, each of the Company, on the one hand, and SpinCo and Gold, on the other hand, shall authorize the delivery to and/or retention by the other Party of materials existing as of the Distribution Time that are necessary for such other Party to perform such services.</w:t>
      </w:r>
    </w:p>
    <w:p>
      <w:pPr>
        <w:spacing w:after="0" w:line="145" w:lineRule="exact"/>
        <w:rPr>
          <w:rFonts w:ascii="Times New Roman" w:cs="Times New Roman" w:eastAsia="Times New Roman" w:hAnsi="Times New Roman"/>
          <w:sz w:val="14"/>
          <w:szCs w:val="14"/>
          <w:color w:val="auto"/>
        </w:rPr>
      </w:pPr>
    </w:p>
    <w:p>
      <w:pPr>
        <w:ind w:left="2320" w:hanging="193"/>
        <w:spacing w:after="0"/>
        <w:tabs>
          <w:tab w:leader="none" w:pos="2320" w:val="left"/>
        </w:tabs>
        <w:numPr>
          <w:ilvl w:val="0"/>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agree as follows:</w:t>
      </w:r>
    </w:p>
    <w:p>
      <w:pPr>
        <w:spacing w:after="0" w:line="91" w:lineRule="exact"/>
        <w:rPr>
          <w:rFonts w:ascii="Times New Roman" w:cs="Times New Roman" w:eastAsia="Times New Roman" w:hAnsi="Times New Roman"/>
          <w:sz w:val="14"/>
          <w:szCs w:val="14"/>
          <w:color w:val="auto"/>
        </w:rPr>
      </w:pPr>
    </w:p>
    <w:p>
      <w:pPr>
        <w:ind w:left="1700" w:right="239" w:firstLine="739"/>
        <w:spacing w:after="0" w:line="256" w:lineRule="auto"/>
        <w:tabs>
          <w:tab w:leader="none" w:pos="2608" w:val="left"/>
        </w:tabs>
        <w:numPr>
          <w:ilvl w:val="1"/>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be entitled, in perpetuity, to control the assertion or waiver of all privileges and immunities in connection with any Privileged Information that relates solely to the Company Business and not to the SpinCo Business, whether or not the Privileged Information is in the possession or under the control of any member of the Company Group, on the one hand, or any member of the SpinCo Group or the Gold Group, on the other hand. The Company shall also be entitled, in perpetuity, to control the assertion or waiver of all privileges and immunities in connection with any Privileged Information that relates solely to any Company Liabilities resulting from any Actions that are now pending or may be asserted in the future, whether or not the Privileged Information is in the possession or under the control of any member of the Company Group, on the one hand, or any member of the SpinCo Group or the Gold Group, on the other hand;</w:t>
      </w:r>
    </w:p>
    <w:p>
      <w:pPr>
        <w:spacing w:after="0" w:line="59" w:lineRule="exact"/>
        <w:rPr>
          <w:rFonts w:ascii="Times New Roman" w:cs="Times New Roman" w:eastAsia="Times New Roman" w:hAnsi="Times New Roman"/>
          <w:sz w:val="14"/>
          <w:szCs w:val="14"/>
          <w:color w:val="auto"/>
        </w:rPr>
      </w:pPr>
    </w:p>
    <w:p>
      <w:pPr>
        <w:ind w:left="1700" w:right="259" w:firstLine="739"/>
        <w:spacing w:after="0" w:line="254" w:lineRule="auto"/>
        <w:tabs>
          <w:tab w:leader="none" w:pos="2647" w:val="left"/>
        </w:tabs>
        <w:numPr>
          <w:ilvl w:val="1"/>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Gold and SpinCo shall be entitled, in perpetuity, to control the assertion or waiver of all privileges and immunities in connection with any Privileged Information that relates solely to the SpinCo Business and not to the Company Business, whether or not the Privileged Information is in the possession or under the control of any member of the SpinCo Group or the Gold Group, on the one hand, or any member of the Company Group, on the other hand. Notwithstanding anything to the contrary in the foregoing, the Company shall be entitled, in perpetuity, to control the assertion or waiver of all privileges and immunities in connection with any proposed sale, spin-off or other disposition of the SpinCo Business or the preparation, negotiation or execution of this Agreement, the Merger Agreement or any other Transaction Document or any other transaction including or regarding the SpinCo Business in lieu of any of the foregoing. Gold and SpinCo shall also be entitled, in perpetuity, to control the assertion or waiver of all privileges and immunities in connection with any Privileged Information that relates solely to any SpinCo Liabilities resulting from any Actions that are now pending or may be asserted in the future, whether or not the Privileged Information is in the possession or under the control of any member of the SpinCo Group or the Gold Group, on the one hand, or any member of the Company Group, on the other hand; and</w:t>
      </w:r>
    </w:p>
    <w:p>
      <w:pPr>
        <w:spacing w:after="0" w:line="60" w:lineRule="exact"/>
        <w:rPr>
          <w:rFonts w:ascii="Times New Roman" w:cs="Times New Roman" w:eastAsia="Times New Roman" w:hAnsi="Times New Roman"/>
          <w:sz w:val="14"/>
          <w:szCs w:val="14"/>
          <w:color w:val="auto"/>
        </w:rPr>
      </w:pPr>
    </w:p>
    <w:p>
      <w:pPr>
        <w:ind w:left="1700" w:right="359" w:firstLine="739"/>
        <w:spacing w:after="0" w:line="267" w:lineRule="auto"/>
        <w:tabs>
          <w:tab w:leader="none" w:pos="2686" w:val="left"/>
        </w:tabs>
        <w:numPr>
          <w:ilvl w:val="1"/>
          <w:numId w:val="4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B-60</w:t>
      </w:r>
    </w:p>
    <w:p>
      <w:pPr>
        <w:sectPr>
          <w:pgSz w:w="11900" w:h="16838" w:orient="portrait"/>
          <w:cols w:equalWidth="0" w:num="1">
            <w:col w:w="10159"/>
          </w:cols>
          <w:pgMar w:left="300" w:top="386" w:right="1440"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700" w:right="299"/>
        <w:spacing w:after="0" w:line="267" w:lineRule="auto"/>
        <w:rPr>
          <w:sz w:val="20"/>
          <w:szCs w:val="20"/>
          <w:color w:val="auto"/>
        </w:rPr>
      </w:pPr>
      <w:r>
        <w:rPr>
          <w:rFonts w:ascii="Times New Roman" w:cs="Times New Roman" w:eastAsia="Times New Roman" w:hAnsi="Times New Roman"/>
          <w:sz w:val="14"/>
          <w:szCs w:val="14"/>
          <w:color w:val="auto"/>
        </w:rPr>
        <w:t xml:space="preserve">in connection with any such information unless the Parties otherwise agree. The Parties shall use the procedures set forth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to resolve any disputes as to whether any information relates solely to the Company Business, solely to the SpinCo Business, or to both the Company Business and the SpinCo Business.</w:t>
      </w:r>
    </w:p>
    <w:p>
      <w:pPr>
        <w:spacing w:after="0" w:line="136" w:lineRule="exact"/>
        <w:rPr>
          <w:sz w:val="20"/>
          <w:szCs w:val="20"/>
          <w:color w:val="auto"/>
        </w:rPr>
      </w:pPr>
    </w:p>
    <w:p>
      <w:pPr>
        <w:ind w:left="1360" w:right="259" w:firstLine="767"/>
        <w:spacing w:after="0" w:line="258" w:lineRule="auto"/>
        <w:tabs>
          <w:tab w:leader="none" w:pos="2322"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remaining provisions of this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the Parties agree that they shall have a shared privilege or immunity with respect to all privileges and immunities not allocated pursuant to </w:t>
      </w:r>
      <w:r>
        <w:rPr>
          <w:rFonts w:ascii="Times New Roman" w:cs="Times New Roman" w:eastAsia="Times New Roman" w:hAnsi="Times New Roman"/>
          <w:sz w:val="14"/>
          <w:szCs w:val="14"/>
          <w:u w:val="single" w:color="auto"/>
          <w:color w:val="auto"/>
        </w:rPr>
        <w:t>Section 6.8(b)</w:t>
      </w:r>
      <w:r>
        <w:rPr>
          <w:rFonts w:ascii="Times New Roman" w:cs="Times New Roman" w:eastAsia="Times New Roman" w:hAnsi="Times New Roman"/>
          <w:sz w:val="14"/>
          <w:szCs w:val="14"/>
          <w:color w:val="auto"/>
        </w:rPr>
        <w:t xml:space="preserve"> and all privileges and immunities relating to any Actions or other matters that involve both Parties (or one (1) or more members of their respective Groups) and in respect of which both Parties have Liabilities under this Agreement, and that no such shared privilege or immunity may be waived by either Party without the consent of the other Party (which shall not be unreasonably withheld, conditioned or delayed).</w:t>
      </w:r>
    </w:p>
    <w:p>
      <w:pPr>
        <w:spacing w:after="0" w:line="143" w:lineRule="exact"/>
        <w:rPr>
          <w:rFonts w:ascii="Times New Roman" w:cs="Times New Roman" w:eastAsia="Times New Roman" w:hAnsi="Times New Roman"/>
          <w:sz w:val="14"/>
          <w:szCs w:val="14"/>
          <w:color w:val="auto"/>
        </w:rPr>
      </w:pPr>
    </w:p>
    <w:p>
      <w:pPr>
        <w:ind w:left="1360" w:right="239" w:firstLine="767"/>
        <w:spacing w:after="0" w:line="258" w:lineRule="auto"/>
        <w:tabs>
          <w:tab w:leader="none" w:pos="2330"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Dispute arises between the Parties or any members of their respective Groups regarding whether a privilege or immunity should be waived to protect or advance the interests of either Party and/or any member of their respective Groups, each Party agrees that it shall: (i) negotiate with the other Parties in good faith; (ii) endeavor to minimize any prejudice to the rights of the other Parties; and (iii) not unreasonably withhold consent to any request for waiver by the other Parties. Further, each Party specifically agrees that it shall not withhold its consent to the waiver of a privilege or immunity for any purpose except in good faith to protect its own legitimate interests.</w:t>
      </w:r>
    </w:p>
    <w:p>
      <w:pPr>
        <w:spacing w:after="0" w:line="143" w:lineRule="exact"/>
        <w:rPr>
          <w:rFonts w:ascii="Times New Roman" w:cs="Times New Roman" w:eastAsia="Times New Roman" w:hAnsi="Times New Roman"/>
          <w:sz w:val="14"/>
          <w:szCs w:val="14"/>
          <w:color w:val="auto"/>
        </w:rPr>
      </w:pPr>
    </w:p>
    <w:p>
      <w:pPr>
        <w:ind w:left="1360" w:right="359" w:firstLine="767"/>
        <w:spacing w:after="0" w:line="258" w:lineRule="auto"/>
        <w:tabs>
          <w:tab w:leader="none" w:pos="2322"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any Dispute between the Company and SpinCo or Gold, or any members of their respective Groups, either Party may waive a privilege in which the other Party or member of such other Party’s Group has a shared privilege, without obtaining consent pursuant to </w:t>
      </w:r>
      <w:r>
        <w:rPr>
          <w:rFonts w:ascii="Times New Roman" w:cs="Times New Roman" w:eastAsia="Times New Roman" w:hAnsi="Times New Roman"/>
          <w:sz w:val="14"/>
          <w:szCs w:val="14"/>
          <w:u w:val="single" w:color="auto"/>
          <w:color w:val="auto"/>
        </w:rPr>
        <w:t>Section 6.8(c)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Parties intend such waiver of a shared privilege to be effective only as to the use of information with respect to the Action between the Parties and/or the applicable members of their respective Groups, and is not intended to operate as a waiver of the shared privilege with respect to any Third Party.</w:t>
      </w:r>
    </w:p>
    <w:p>
      <w:pPr>
        <w:spacing w:after="0" w:line="143" w:lineRule="exact"/>
        <w:rPr>
          <w:rFonts w:ascii="Times New Roman" w:cs="Times New Roman" w:eastAsia="Times New Roman" w:hAnsi="Times New Roman"/>
          <w:sz w:val="14"/>
          <w:szCs w:val="14"/>
          <w:color w:val="auto"/>
        </w:rPr>
      </w:pPr>
    </w:p>
    <w:p>
      <w:pPr>
        <w:ind w:left="1360" w:right="239" w:firstLine="767"/>
        <w:spacing w:after="0" w:line="255" w:lineRule="auto"/>
        <w:tabs>
          <w:tab w:leader="none" w:pos="2307"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receipt by either Party, or by any member of its respective Group, of any subpoena, discovery or other request that may reasonably be expected to result in the production or disclosure of Privileged Information subject to a shared privilege or immunity or as to which another Party has the sole right hereunder to assert a privilege or immunity, or if either Party obtains knowledge that any of its, or any member of its respective Group’s, current or former directors, officers, agents or employees have received any subpoena, discovery or other requests that may reasonably be expected to result in the production or disclosure of such Privileged Information, such Party shall promptly notify the other Party or Parties of the existence of the request (which notice shall be delivered to such other Party no later than five (5) Business Days following the receipt of any such subpoena, discovery or other request) and shall provide the other Party or Parties a reasonable opportunity to review the Privileged Information and to assert any rights it or they may have under this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or otherwise to prevent the production or disclosure of such Privileged Information.</w:t>
      </w:r>
    </w:p>
    <w:p>
      <w:pPr>
        <w:spacing w:after="0" w:line="145" w:lineRule="exact"/>
        <w:rPr>
          <w:rFonts w:ascii="Times New Roman" w:cs="Times New Roman" w:eastAsia="Times New Roman" w:hAnsi="Times New Roman"/>
          <w:sz w:val="14"/>
          <w:szCs w:val="14"/>
          <w:color w:val="auto"/>
        </w:rPr>
      </w:pPr>
    </w:p>
    <w:p>
      <w:pPr>
        <w:ind w:left="1360" w:right="419" w:firstLine="767"/>
        <w:spacing w:after="0" w:line="257" w:lineRule="auto"/>
        <w:tabs>
          <w:tab w:leader="none" w:pos="2330"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furnishing of, or access or transfer of, any information pursuant to this Agreement is made in reliance on the agreement of the Parties set forth in this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w:t>
      </w:r>
    </w:p>
    <w:p>
      <w:pPr>
        <w:spacing w:after="0" w:line="143" w:lineRule="exact"/>
        <w:rPr>
          <w:rFonts w:ascii="Times New Roman" w:cs="Times New Roman" w:eastAsia="Times New Roman" w:hAnsi="Times New Roman"/>
          <w:sz w:val="14"/>
          <w:szCs w:val="14"/>
          <w:color w:val="auto"/>
        </w:rPr>
      </w:pPr>
    </w:p>
    <w:p>
      <w:pPr>
        <w:ind w:left="1360" w:right="359" w:firstLine="767"/>
        <w:spacing w:after="0" w:line="267" w:lineRule="auto"/>
        <w:tabs>
          <w:tab w:leader="none" w:pos="2330" w:val="left"/>
        </w:tabs>
        <w:numPr>
          <w:ilvl w:val="0"/>
          <w:numId w:val="4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any matter contemplated by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or this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the Parties agree to, and to cause the applicable members of their Group to, use commercially reasonable efforts to maintain their respective separate and joint privileges and immunities, including by executing joint defense and/or common interest agreements where necessary or useful for this purpose.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B-61</w:t>
      </w:r>
    </w:p>
    <w:p>
      <w:pPr>
        <w:sectPr>
          <w:pgSz w:w="11900" w:h="16838" w:orient="portrait"/>
          <w:cols w:equalWidth="0" w:num="1">
            <w:col w:w="10159"/>
          </w:cols>
          <w:pgMar w:left="300" w:top="385" w:right="1440"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6.9 </w:t>
      </w:r>
      <w:r>
        <w:rPr>
          <w:rFonts w:ascii="Times New Roman" w:cs="Times New Roman" w:eastAsia="Times New Roman" w:hAnsi="Times New Roman"/>
          <w:sz w:val="14"/>
          <w:szCs w:val="14"/>
          <w:u w:val="single" w:color="auto"/>
          <w:color w:val="auto"/>
        </w:rPr>
        <w:t>Confidentiality</w:t>
      </w:r>
      <w:r>
        <w:rPr>
          <w:rFonts w:ascii="Times New Roman" w:cs="Times New Roman" w:eastAsia="Times New Roman" w:hAnsi="Times New Roman"/>
          <w:sz w:val="14"/>
          <w:szCs w:val="14"/>
          <w:color w:val="auto"/>
        </w:rPr>
        <w:t xml:space="preserve">. Notwithstanding anything to the contrary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(i) to the extent that the Merger Agreement, a Transaction Document or other Contract other than this Agreement pursuant to which a Party or another Person in its respective Group is bound or its confidential and proprietary information is subject provides that certain information shall be confidentially maintained on a basis that is more protective of such information or for a longer period of time than provided for herein, then the applicable provisions contained in the Merger Agreement, the Confidentiality Agreement, such Transaction Document or other Contract shall control with respect thereto and (ii) a Party and the applicable members of its respective Group shall have no right to use any confidential or proprietary information of the disclosing Party unless otherwise provided for in this Agreement, the Merger Agreement, the Confidentiality Agreement, another Transaction Document or a Contract between the Parties or a member of its respective Group. Each Party further acknowledges and agrees that, notwithstanding anything in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xml:space="preserve"> to the contrary, (i) representatives of the Company and the members of the Company Group may retain certain residual knowledge of the confidential and proprietary information concerning SpinCo or a member of the SpinCo Group and (ii) representatives of SpinCo and the members of the SpinCo Group may retain certain residual knowledge of the Company or a member of the Company Group, in each case, that are or may be indistinguishable from generalized industry knowledge and, accordingly, each Party acknowledges and agrees that nothing herein shall prohibit any Party (or its Group) from using or otherwise exploiting for its own benefit or for the benefit of any third Person such residual knowledge;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such residual knowledge has been retained solely in the unaided memory of the Company, SpinCo or such representatives, as applicable (in each case, without intentional memorization) in intangible form and without use, copying or reference to any documented or tangible copies of the other Party’s or the members of its Group’s confidential and proprietary information, and is not intentionally used in a manner that would breach, or would reasonably be expected to encourage a breach, of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(B) the foregoing will not be deemed in any event to provide any right for any member of the Company Group to infringe any SpinCo Intellectual Property or any rights of any third parties that have licensed or provided materials to the SpinCo Business, or otherwise to grant any license with respect to any SpinCo Intellectual Property, (C) the foregoing will not be deemed in any event to provide SpinCo with any right to infringe any Intellectual Property of the Company or any rights of any third parties that have licensed or provided material to the Company, or otherwise to grant any license with respect to any Intellectual Property of the Company, and (D) other than as expressly set forth in the Merger Agreement or any Transaction Document, any use of such residual knowledge is on an “as-is, where-is” basis, with all faults and all representations and warranties disclaimed and at the sole risk of such Representatives, the Company, SpinCo and each Parties’ Group, as applicable.</w:t>
      </w:r>
    </w:p>
    <w:p>
      <w:pPr>
        <w:spacing w:after="0" w:line="147" w:lineRule="exact"/>
        <w:rPr>
          <w:sz w:val="20"/>
          <w:szCs w:val="20"/>
          <w:color w:val="auto"/>
        </w:rPr>
      </w:pPr>
    </w:p>
    <w:p>
      <w:pPr>
        <w:ind w:left="1360" w:right="239" w:firstLine="767"/>
        <w:spacing w:after="0" w:line="253" w:lineRule="auto"/>
        <w:tabs>
          <w:tab w:leader="none" w:pos="2322" w:val="left"/>
        </w:tabs>
        <w:numPr>
          <w:ilvl w:val="0"/>
          <w:numId w:val="5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Confidentiality. </w:t>
      </w:r>
      <w:r>
        <w:rPr>
          <w:rFonts w:ascii="Times New Roman" w:cs="Times New Roman" w:eastAsia="Times New Roman" w:hAnsi="Times New Roman"/>
          <w:sz w:val="14"/>
          <w:szCs w:val="14"/>
          <w:color w:val="auto"/>
        </w:rPr>
        <w:t>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and except as contemplated by this Agreement, the Merger Agreement, any other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Document, from and after the Distribution Time until the three (3) year anniversary of the Distribution Time, each of the Company, Gold and SpinCo, on behalf of itself and each member of its respective Group, agrees to hold, and to cause its respective Representatives to hold, in strict confidence, with at least the same degree of care that applies to its own confidential and proprietary information pursuant to policies in effect as of the Distribution Time,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the Merger Agreement or any other Transaction Document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 or other contractual, legal or fiduciary obligation of confidentiality with respect to such confidential or proprietary information, (ii) later lawfully acquired from other sources by such Party (or any member of such Party’s Group) which sources are not themselves known by such Party (or any member of such Party’s Group) to be bound by a confidentiality obligation or other contractual, legal or fiduciary obligation of confidentiality with respect to such confidential and proprietary information, or (iii) independently developed or generated without reference to or use of any proprietary or confidential</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B-62</w:t>
      </w:r>
    </w:p>
    <w:p>
      <w:pPr>
        <w:sectPr>
          <w:pgSz w:w="11900" w:h="16838" w:orient="portrait"/>
          <w:cols w:equalWidth="0" w:num="1">
            <w:col w:w="10159"/>
          </w:cols>
          <w:pgMar w:left="300" w:top="386" w:right="1440"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information of the other Party or any member of such Party’s Group. Notwithstanding the foregoing three (3) year period, the Company’s, Gold’s and SpinCo’s obligations with respect to confidential and proprietary information that constitutes Trade Secrets shall survive and continue for so long as such confidential and proprietary information retains its status as a Trade Secret. If any confidential and proprietary information of one Party or any member of its Group is disclosed to the other Party or any member of such other Party’s Group in connection with providing services to such first Party or any member of such first Party’s Group under this Agreement, the Merger Agreement or any other Transaction Document, then such disclosed confidential and proprietary information shall be used only as required to perform such services.</w:t>
      </w:r>
    </w:p>
    <w:p>
      <w:pPr>
        <w:spacing w:after="0" w:line="141" w:lineRule="exact"/>
        <w:rPr>
          <w:sz w:val="20"/>
          <w:szCs w:val="20"/>
          <w:color w:val="auto"/>
        </w:rPr>
      </w:pPr>
    </w:p>
    <w:p>
      <w:pPr>
        <w:ind w:left="1360" w:right="319" w:firstLine="767"/>
        <w:spacing w:after="0" w:line="254" w:lineRule="auto"/>
        <w:tabs>
          <w:tab w:leader="none" w:pos="233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No Release; Return or Destruction. </w:t>
      </w:r>
      <w:r>
        <w:rPr>
          <w:rFonts w:ascii="Times New Roman" w:cs="Times New Roman" w:eastAsia="Times New Roman" w:hAnsi="Times New Roman"/>
          <w:sz w:val="14"/>
          <w:szCs w:val="14"/>
          <w:color w:val="auto"/>
        </w:rPr>
        <w:t>Each Party agrees not to release or disclose, or permit to be released or disclosed, any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the other Party or any member of the other Party’s Group or their respective businesses addressed in </w:t>
      </w:r>
      <w:r>
        <w:rPr>
          <w:rFonts w:ascii="Times New Roman" w:cs="Times New Roman" w:eastAsia="Times New Roman" w:hAnsi="Times New Roman"/>
          <w:sz w:val="14"/>
          <w:szCs w:val="14"/>
          <w:u w:val="single" w:color="auto"/>
          <w:color w:val="auto"/>
        </w:rPr>
        <w:t>Section 6.9(a)</w:t>
      </w:r>
      <w:r>
        <w:rPr>
          <w:rFonts w:ascii="Times New Roman" w:cs="Times New Roman" w:eastAsia="Times New Roman" w:hAnsi="Times New Roman"/>
          <w:sz w:val="14"/>
          <w:szCs w:val="14"/>
          <w:color w:val="auto"/>
        </w:rPr>
        <w:t xml:space="preserve"> to any other Person, except its Representatives who reasonably need to know such information in their capacities as such (who shall be advised of their obligations hereunder with respect to such information), and except in compliance with </w:t>
      </w:r>
      <w:r>
        <w:rPr>
          <w:rFonts w:ascii="Times New Roman" w:cs="Times New Roman" w:eastAsia="Times New Roman" w:hAnsi="Times New Roman"/>
          <w:sz w:val="14"/>
          <w:szCs w:val="14"/>
          <w:u w:val="single" w:color="auto"/>
          <w:color w:val="auto"/>
        </w:rPr>
        <w:t>Section 6.10</w:t>
      </w:r>
      <w:r>
        <w:rPr>
          <w:rFonts w:ascii="Times New Roman" w:cs="Times New Roman" w:eastAsia="Times New Roman" w:hAnsi="Times New Roman"/>
          <w:sz w:val="14"/>
          <w:szCs w:val="14"/>
          <w:color w:val="auto"/>
        </w:rPr>
        <w:t xml:space="preserve">. Without limiting the foregoing, when any such information is no longer needed for the purposes contemplated by this Agreement, the Merger Agreement or any other Transaction Document, and is no longer subject to any legal hold or other document preservation obligation, each Party will promptly after written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Parties may retain electronic back-up versions of such information maintained on routine computer system backup tapes, disks or other backup storage devices;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such information so retained shall remain subject to the confidentiality provisions of this Agreement, the Merger Agreement or any other Transaction Document.</w:t>
      </w:r>
    </w:p>
    <w:p>
      <w:pPr>
        <w:spacing w:after="0" w:line="144" w:lineRule="exact"/>
        <w:rPr>
          <w:rFonts w:ascii="Times New Roman" w:cs="Times New Roman" w:eastAsia="Times New Roman" w:hAnsi="Times New Roman"/>
          <w:sz w:val="14"/>
          <w:szCs w:val="14"/>
          <w:color w:val="auto"/>
        </w:rPr>
      </w:pPr>
    </w:p>
    <w:p>
      <w:pPr>
        <w:ind w:left="1360" w:right="239" w:firstLine="767"/>
        <w:spacing w:after="0" w:line="253" w:lineRule="auto"/>
        <w:tabs>
          <w:tab w:leader="none" w:pos="2322"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Third-Party Information; Privacy or Data Protection Laws. </w:t>
      </w:r>
      <w:r>
        <w:rPr>
          <w:rFonts w:ascii="Times New Roman" w:cs="Times New Roman" w:eastAsia="Times New Roman" w:hAnsi="Times New Roman"/>
          <w:sz w:val="14"/>
          <w:szCs w:val="14"/>
          <w:color w:val="auto"/>
        </w:rPr>
        <w:t>Each Party acknowledges that it and members of its Group may presently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and, following the Distribution Time, may gain access to or possession of confidential or proprietary information of, or legally protected Personal Information (including personal health information) relating to, Third Parties (i) that was received under privacy policies or notices and/or confidentiality or non-disclosure agreements entered into between such Third Parties, on the one hand, and the other Party or members of such other Party’s Group, on the other hand, prior to the Distribution Time; or (ii) that, as between the two Parties, was originally collected by the other Party or members of such other Party’s Group and that may be subject to and protected by privacy policies or notices, as well as applicable data privacy Laws or other applicable Laws. Each Party agrees that it shall hold, protect and use, and shall cause the members of its Group and its and their respective Representatives to hold, protect and use, in strict confidence the confidential and proprietary information of, or legally protected Personal Information (including personal health information) relating to, Third Parties in accordance with the obligations outlined in the applicable privacy policies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policies were made available to the other Party prior to the receipt of such confidential and proprietary information or Personal Information) or notices and applicable data privacy Laws or other applicable Laws and the terms of any agreements that were either entered into before the Distribution Time or affirmative commitments or representations that were made before the Distribution Time by, between or among the other Party or members of the other Party’s Group, on the one hand, and such Third Parties, on the other hand.</w:t>
      </w:r>
    </w:p>
    <w:p>
      <w:pPr>
        <w:spacing w:after="0" w:line="150" w:lineRule="exact"/>
        <w:rPr>
          <w:rFonts w:ascii="Times New Roman" w:cs="Times New Roman" w:eastAsia="Times New Roman" w:hAnsi="Times New Roman"/>
          <w:sz w:val="14"/>
          <w:szCs w:val="14"/>
          <w:color w:val="auto"/>
        </w:rPr>
      </w:pPr>
    </w:p>
    <w:p>
      <w:pPr>
        <w:ind w:left="1360" w:right="359" w:firstLine="767"/>
        <w:spacing w:after="0" w:line="261" w:lineRule="auto"/>
        <w:tabs>
          <w:tab w:leader="none" w:pos="2330" w:val="left"/>
        </w:tabs>
        <w:numPr>
          <w:ilvl w:val="0"/>
          <w:numId w:val="5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6.9</w:t>
      </w:r>
      <w:r>
        <w:rPr>
          <w:rFonts w:ascii="Times New Roman" w:cs="Times New Roman" w:eastAsia="Times New Roman" w:hAnsi="Times New Roman"/>
          <w:sz w:val="14"/>
          <w:szCs w:val="14"/>
          <w:color w:val="auto"/>
        </w:rPr>
        <w:t>, to the extent that the treatment, maintenance, use, non-use, disclosure or non-disclosure of any confidential and proprietary information concerning a Party or any member of the other Party’s Group or their respective businesses is expressly addressed in the Merger Agreement or in any Transaction Document, the applicable terms of such document or agreement will control in such situations.</w:t>
      </w:r>
    </w:p>
    <w:p>
      <w:pPr>
        <w:spacing w:after="0" w:line="141" w:lineRule="exact"/>
        <w:rPr>
          <w:sz w:val="20"/>
          <w:szCs w:val="20"/>
          <w:color w:val="auto"/>
        </w:rPr>
      </w:pPr>
    </w:p>
    <w:p>
      <w:pPr>
        <w:jc w:val="both"/>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6.10 </w:t>
      </w:r>
      <w:r>
        <w:rPr>
          <w:rFonts w:ascii="Times New Roman" w:cs="Times New Roman" w:eastAsia="Times New Roman" w:hAnsi="Times New Roman"/>
          <w:sz w:val="14"/>
          <w:szCs w:val="14"/>
          <w:u w:val="single" w:color="auto"/>
          <w:color w:val="auto"/>
        </w:rPr>
        <w:t>Protective Arrangements</w:t>
      </w:r>
      <w:r>
        <w:rPr>
          <w:rFonts w:ascii="Times New Roman" w:cs="Times New Roman" w:eastAsia="Times New Roman" w:hAnsi="Times New Roman"/>
          <w:sz w:val="14"/>
          <w:szCs w:val="14"/>
          <w:color w:val="auto"/>
        </w:rPr>
        <w:t>. In the event that the Company or any member of its Group, on the one hand, or SpinCo or Gold or any member of their respective Groups, on the other hand, either is requested or required to disclose any information pursuant to applicable Law or receives any request or demand under lawful process or from any Governmental Authority to disclose or provide information of the other Party(ies) (or any member of</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B-63</w:t>
      </w:r>
    </w:p>
    <w:p>
      <w:pPr>
        <w:sectPr>
          <w:pgSz w:w="11900" w:h="16838" w:orient="portrait"/>
          <w:cols w:equalWidth="0" w:num="1">
            <w:col w:w="10159"/>
          </w:cols>
          <w:pgMar w:left="300" w:top="386" w:right="1440"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other Party(ies)’s Group) that is subject to the confidentiality provisions hereof, such Party(ies) shall notify the other Party(ies) (to the extent legally permitted) as promptly as practicable under the circumstances and shall cooperate, at the expense of the other Party(ies), in seeking any appropriate protective order. The Party(ies) receiving the request or demand shall exercise commercially reasonable efforts to take, at the expense of the other Party(ies), reasonable steps necessary to obtain confidential treatment of such information. Subject to the foregoing, the Party(ies) that received such request or demand may thereafter disclose or provide information to the extent requested or required by such Law or by lawful process or such Governmental Authority.</w:t>
      </w: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FURTHER ASSURANCES AND ADDITIONAL COVENANTS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1360" w:right="679" w:firstLine="767"/>
        <w:spacing w:after="0" w:line="261" w:lineRule="auto"/>
        <w:tabs>
          <w:tab w:leader="none" w:pos="2322" w:val="left"/>
        </w:tabs>
        <w:numPr>
          <w:ilvl w:val="0"/>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actions provided for elsewhere in this Agreement, each of the Parties shall (and will cause their respective Subsidiaries to), prior to, on and after the Distribution Time, to take, or cause to be taken, all actions, and to do, or cause to be done, all things reasonably necessary, proper or advisable under applicable Laws, regulations and agreements to consummate and make effective the transactions contemplated by this Agreement and the other Transaction Documents.</w:t>
      </w:r>
    </w:p>
    <w:p>
      <w:pPr>
        <w:spacing w:after="0" w:line="140" w:lineRule="exact"/>
        <w:rPr>
          <w:rFonts w:ascii="Times New Roman" w:cs="Times New Roman" w:eastAsia="Times New Roman" w:hAnsi="Times New Roman"/>
          <w:sz w:val="14"/>
          <w:szCs w:val="14"/>
          <w:color w:val="auto"/>
        </w:rPr>
      </w:pPr>
    </w:p>
    <w:p>
      <w:pPr>
        <w:ind w:left="1360" w:right="279" w:firstLine="767"/>
        <w:spacing w:after="0" w:line="254" w:lineRule="auto"/>
        <w:tabs>
          <w:tab w:leader="none" w:pos="2330" w:val="left"/>
        </w:tabs>
        <w:numPr>
          <w:ilvl w:val="0"/>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foregoing, prior to, on and after the Distribution Time, each Party hereto shall cooperate with the other Parties, and without any further consideration, but at the expense of the requesting Party, to execute and deliver, or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Parties from time to time, consistent with the terms of this Agreement, and the other Transaction Documents, in order to effectuate the provisions and purposes of this Agreement and the other Transaction Documents and the transfers of the SpinCo Assets and the Company Assets and the assignment and assumption of the SpinCo Liabilities and the Company Liabilities and the other transactions contemplated hereby and thereby. Without limiting the foregoing, each Party will, at the reasonable request, cost and expense of the requesting Party, take such other actions as may be reasonably necessary to vest in the Company or SpinCo, as the case may be, good and marketable title to the Assets allocated to such Party under this Agreement or any of the other Transaction Documents, free and clear of any Security Interest, if and to the extent it is practicable to do so.</w:t>
      </w:r>
    </w:p>
    <w:p>
      <w:pPr>
        <w:spacing w:after="0" w:line="144" w:lineRule="exact"/>
        <w:rPr>
          <w:rFonts w:ascii="Times New Roman" w:cs="Times New Roman" w:eastAsia="Times New Roman" w:hAnsi="Times New Roman"/>
          <w:sz w:val="14"/>
          <w:szCs w:val="14"/>
          <w:color w:val="auto"/>
        </w:rPr>
      </w:pPr>
    </w:p>
    <w:p>
      <w:pPr>
        <w:ind w:left="1360" w:right="379" w:firstLine="767"/>
        <w:spacing w:after="0" w:line="261" w:lineRule="auto"/>
        <w:tabs>
          <w:tab w:leader="none" w:pos="2322" w:val="left"/>
        </w:tabs>
        <w:numPr>
          <w:ilvl w:val="0"/>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prior to the Distribution Time, the Company and SpinCo in their respective capacities as direct and indirect stockholders of the members of their Groups shall each ratify any actions which are reasonably necessary or desirable to be taken by the Company, SpinCo or any of the members of their respective Groups, as the case may be, to effectuate the transactions contemplated by this Agreement and the other Transaction Documents.</w:t>
      </w:r>
    </w:p>
    <w:p>
      <w:pPr>
        <w:spacing w:after="0" w:line="140" w:lineRule="exact"/>
        <w:rPr>
          <w:rFonts w:ascii="Times New Roman" w:cs="Times New Roman" w:eastAsia="Times New Roman" w:hAnsi="Times New Roman"/>
          <w:sz w:val="14"/>
          <w:szCs w:val="14"/>
          <w:color w:val="auto"/>
        </w:rPr>
      </w:pPr>
    </w:p>
    <w:p>
      <w:pPr>
        <w:ind w:left="1360" w:right="239" w:firstLine="767"/>
        <w:spacing w:after="0" w:line="255" w:lineRule="auto"/>
        <w:tabs>
          <w:tab w:leader="none" w:pos="2330" w:val="left"/>
        </w:tabs>
        <w:numPr>
          <w:ilvl w:val="0"/>
          <w:numId w:val="5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Time, SpinCo shall be responsible for preparing and, if desired by SpinCo, recording the applicable assignment of SpinCo Intellectual Property to SpinCo or its designees following execution thereof by the Company and the applicable member of its Group with the intellectual property offices and registrars and other similar authorities where SpinCo Intellectual Property is still recorded or held in the name of the Company or any of its Affiliates (other than another member of the SpinCo Group). Following SpinCo’s reasonable request, following the Distribution Time, the Company shall, and shall cause the other members of its Group to, execute and deliver all such assignments and other instruments and take such other actions as may be required to effect, evidence or perfect the assignment of the SpinCo Intellectual Property to SpinCo or its designees. In the event that the Company is required to take any other action in order for SpinCo to complete recordation of such SpinCo Intellectual Property in accordance with the first sentence of this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B-64</w:t>
      </w:r>
    </w:p>
    <w:p>
      <w:pPr>
        <w:sectPr>
          <w:pgSz w:w="11900" w:h="16838" w:orient="portrait"/>
          <w:cols w:equalWidth="0" w:num="1">
            <w:col w:w="10159"/>
          </w:cols>
          <w:pgMar w:left="300" w:top="386" w:right="1440"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u w:val="single" w:color="auto"/>
          <w:color w:val="auto"/>
        </w:rPr>
        <w:t>Section 7.1(d)</w:t>
      </w:r>
      <w:r>
        <w:rPr>
          <w:rFonts w:ascii="Times New Roman" w:cs="Times New Roman" w:eastAsia="Times New Roman" w:hAnsi="Times New Roman"/>
          <w:sz w:val="14"/>
          <w:szCs w:val="14"/>
          <w:color w:val="auto"/>
        </w:rPr>
        <w:t xml:space="preserve"> then following SpinCo’s reasonable request, the Company shall, and shall cause the other members of its Group to, exercise its reasonable efforts to cooperate with SpinCo as may be required to effectuate such recordation. The Company and Gold shall share equally any and all reasonable and documented out-of-pocket government filing fees and expenses incurred in connection with the preparation of such assignment and other instruments and the initial recordation of ownership in the name of SpinCo or its designees;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fees are incurred and invoiced to the Company within twelve (12) months following the Distribution Date.</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Use of the House Marks</w:t>
      </w:r>
      <w:r>
        <w:rPr>
          <w:rFonts w:ascii="Times New Roman" w:cs="Times New Roman" w:eastAsia="Times New Roman" w:hAnsi="Times New Roman"/>
          <w:sz w:val="14"/>
          <w:szCs w:val="14"/>
          <w:color w:val="auto"/>
        </w:rPr>
        <w:t xml:space="preserve">. Except as expressly provided in this </w:t>
      </w:r>
      <w:r>
        <w:rPr>
          <w:rFonts w:ascii="Times New Roman" w:cs="Times New Roman" w:eastAsia="Times New Roman" w:hAnsi="Times New Roman"/>
          <w:sz w:val="14"/>
          <w:szCs w:val="14"/>
          <w:u w:val="single" w:color="auto"/>
          <w:color w:val="auto"/>
        </w:rPr>
        <w:t>Section 7.2</w:t>
      </w:r>
      <w:r>
        <w:rPr>
          <w:rFonts w:ascii="Times New Roman" w:cs="Times New Roman" w:eastAsia="Times New Roman" w:hAnsi="Times New Roman"/>
          <w:sz w:val="14"/>
          <w:szCs w:val="14"/>
          <w:color w:val="auto"/>
        </w:rPr>
        <w:t>, the Transition Services Agreement or the Trademark Matters Agreement, the Company covenants that, from and after the Distribution Time, it shall, and shall cause the other members of the Company Group to, cease and discontinue any and all use of the House Marks. Within six (6) months following the Distribution Date, the Company agrees to cause each member of the Company Group to change the legal names of the members of the Company Group to names that do not include any House Mark. Except as expressly permitted in the Trademark Matters Agreement, the Company shall not, and shall cause the members of the Company Group not to, form any new entity or conduct any new business using any House Mark.</w:t>
      </w:r>
    </w:p>
    <w:p>
      <w:pPr>
        <w:spacing w:after="0" w:line="143" w:lineRule="exact"/>
        <w:rPr>
          <w:sz w:val="20"/>
          <w:szCs w:val="20"/>
          <w:color w:val="auto"/>
        </w:rPr>
      </w:pPr>
    </w:p>
    <w:p>
      <w:pPr>
        <w:ind w:left="1360" w:right="319" w:firstLine="767"/>
        <w:spacing w:after="0" w:line="258" w:lineRule="auto"/>
        <w:tabs>
          <w:tab w:leader="none" w:pos="2322"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foregoing, the Company and the other members of the Company Group shall not be prohibited from using the House Marks after the applicable transition periods in the Transaction Documents (i) as required by applicable Law; (ii) on internal business, legal, and archival documents not visible to the public; and (iii) in a neutral, non-trademark manner to accurately describe the history of the Company Business (e.g., “formerly the XYZ division of SpinCo”),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such use is consistent with fair use principles and does not suggest sponsorship, endorsement, or affiliation with the Company or the members of its Group or give rise to a likelihood of confusion with same.</w:t>
      </w:r>
    </w:p>
    <w:p>
      <w:pPr>
        <w:spacing w:after="0" w:line="143" w:lineRule="exact"/>
        <w:rPr>
          <w:rFonts w:ascii="Times New Roman" w:cs="Times New Roman" w:eastAsia="Times New Roman" w:hAnsi="Times New Roman"/>
          <w:sz w:val="14"/>
          <w:szCs w:val="14"/>
          <w:color w:val="auto"/>
        </w:rPr>
      </w:pPr>
    </w:p>
    <w:p>
      <w:pPr>
        <w:ind w:left="1360" w:right="239" w:firstLine="767"/>
        <w:spacing w:after="0" w:line="254" w:lineRule="auto"/>
        <w:tabs>
          <w:tab w:leader="none" w:pos="2330" w:val="left"/>
        </w:tabs>
        <w:numPr>
          <w:ilvl w:val="0"/>
          <w:numId w:val="5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Distribution Date, SpinCo shall own and retain all right, title, and interest in the trademark registrations covering the Trademark “Modine Manufacturing Company – Engineering a Cleaner, Healthier World”, provided that SpinCo shall use commercially reasonable efforts to obtain registrations for the Modine Manufacturing Company logo without the “Engineering a Cleaner, Healthier World” tagline within a commercially reasonable time following the Distribution Date. Upon obtaining such registrations, SpinCo shall use commercially reasonable efforts to phase out use of the Trademark “Modine Manufacturing Company – Engineering a Cleaner, Healthier World” in the SpinCo Business within a reasonable time period, not to exceed within twelve (12) months following the Distribution Date. Promptly following the conclusion of the transition period set forth in the Trademark Matters Agreement for the Company’s use of such mark, the Company covenants and agrees to cease all use of the Trademark “Modine Manufacturing Company – Engineering a Cleaner, Healthier World” and shall, following receipt of written request from SpinCo, provide to SpinCo evidence of the same.</w:t>
      </w:r>
    </w:p>
    <w:p>
      <w:pPr>
        <w:spacing w:after="0" w:line="1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Separation Planning</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1360" w:right="259" w:firstLine="767"/>
        <w:spacing w:after="0" w:line="255" w:lineRule="auto"/>
        <w:tabs>
          <w:tab w:leader="none" w:pos="2322" w:val="left"/>
        </w:tabs>
        <w:numPr>
          <w:ilvl w:val="0"/>
          <w:numId w:val="5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Between the date hereof and the earlier of the Distribution Date and valid termination of this Agreement, the Parties shall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shall cause their respective Groups to, cooperate and work together in good faith to prepare and plan for the smooth and orderly transition of the SpinCo Business to SpinCo and Gold;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for the avoidance of doubt, that neither Party shall be required to agree to (a) any amendment, modification or other change to this Agreement, the Merger Agreement or any other Transaction Document or (b) any non-</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payment, out-of-pocket expenses or consent fees (other than any payment, out-of-pocket expenses or consent fee that is expressly contemplated to be paid or otherwise shared by a Party in accordance with the express provisions of Section 2.4(k) and </w:t>
      </w:r>
      <w:r>
        <w:rPr>
          <w:rFonts w:ascii="Times New Roman" w:cs="Times New Roman" w:eastAsia="Times New Roman" w:hAnsi="Times New Roman"/>
          <w:sz w:val="14"/>
          <w:szCs w:val="14"/>
          <w:u w:val="single" w:color="auto"/>
          <w:color w:val="auto"/>
        </w:rPr>
        <w:t>Section 7.3(d)</w:t>
      </w:r>
      <w:r>
        <w:rPr>
          <w:rFonts w:ascii="Times New Roman" w:cs="Times New Roman" w:eastAsia="Times New Roman" w:hAnsi="Times New Roman"/>
          <w:sz w:val="14"/>
          <w:szCs w:val="14"/>
          <w:color w:val="auto"/>
        </w:rPr>
        <w:t xml:space="preserve"> of this Agreement or the express provisions of the other Transaction Documents), in each case, in connection with the cooperation process described in this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 In furtherance of the foregoing, each of the Company and Gold shall ensure that appropriate representatives of the Company or Gold and their respective Groups (as applicable) with sufficient knowledge and qualifications to prepare and plan for the separation and transition of the operations of the SpinCo Business</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B-65</w:t>
      </w:r>
    </w:p>
    <w:p>
      <w:pPr>
        <w:sectPr>
          <w:pgSz w:w="11900" w:h="16838" w:orient="portrait"/>
          <w:cols w:equalWidth="0" w:num="1">
            <w:col w:w="10159"/>
          </w:cols>
          <w:pgMar w:left="300" w:top="385" w:right="1440"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shall participate in transition planning meetings (in-person or virtually) on a regular basis as reasonably agreed between the Company and Gold, to discuss the overall status and plans for the separation of the SpinCo Business from the Company Business and the transition of the SpinCo Business to Gold, including the status of, and any delays known or reasonably expected, or any other legal or operational issues, in relation to implementation and completion of the Final Separation Plan (as defined below), and such other matters as may be reasonably agreed between Gold and the Company.</w:t>
      </w:r>
    </w:p>
    <w:p>
      <w:pPr>
        <w:spacing w:after="0" w:line="139" w:lineRule="exact"/>
        <w:rPr>
          <w:sz w:val="20"/>
          <w:szCs w:val="20"/>
          <w:color w:val="auto"/>
        </w:rPr>
      </w:pPr>
    </w:p>
    <w:p>
      <w:pPr>
        <w:ind w:left="1360" w:right="239" w:firstLine="767"/>
        <w:spacing w:after="0" w:line="253" w:lineRule="auto"/>
        <w:tabs>
          <w:tab w:leader="none" w:pos="2330"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Base Level Separation Plan</w:t>
      </w:r>
      <w:r>
        <w:rPr>
          <w:rFonts w:ascii="Times New Roman" w:cs="Times New Roman" w:eastAsia="Times New Roman" w:hAnsi="Times New Roman"/>
          <w:sz w:val="14"/>
          <w:szCs w:val="14"/>
          <w:color w:val="auto"/>
        </w:rPr>
        <w:t>. In furtherance and not in limitation of the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7.3(a)</w:t>
      </w:r>
      <w:r>
        <w:rPr>
          <w:rFonts w:ascii="Times New Roman" w:cs="Times New Roman" w:eastAsia="Times New Roman" w:hAnsi="Times New Roman"/>
          <w:sz w:val="14"/>
          <w:szCs w:val="14"/>
          <w:color w:val="auto"/>
        </w:rPr>
        <w:t>, as promptly as practicable (and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event within forty-five (45) days following the date hereof), the Company shall prepare and deliver to Gold a written separation plan, in form and substance customary in the circumstances (the “</w:t>
      </w:r>
      <w:r>
        <w:rPr>
          <w:rFonts w:ascii="Times New Roman" w:cs="Times New Roman" w:eastAsia="Times New Roman" w:hAnsi="Times New Roman"/>
          <w:sz w:val="14"/>
          <w:szCs w:val="14"/>
          <w:b w:val="1"/>
          <w:bCs w:val="1"/>
          <w:color w:val="auto"/>
        </w:rPr>
        <w:t>Base Level Separation Plan</w:t>
      </w:r>
      <w:r>
        <w:rPr>
          <w:rFonts w:ascii="Times New Roman" w:cs="Times New Roman" w:eastAsia="Times New Roman" w:hAnsi="Times New Roman"/>
          <w:sz w:val="14"/>
          <w:szCs w:val="14"/>
          <w:color w:val="auto"/>
        </w:rPr>
        <w:t>”), setting forth in reasonable detail the actions to be taken by the Company Group and the SpinCo Group prior to the Distribution Date to effect the separation of the SpinCo Business and SpinCo Assets from the Company Business and Company Assets, including separation of the Spinco Information Technology from the Company Group’s Information Technology and migration thereof to standalone SpinCo Group systems, and replication or substantially equivalent replacement of Information Technology for the SpinCo Business that is shared with the Company Business and is not SpinCo Information Technology, to enable the SpinCo Business to operate without material reliance on the Company Group as of the Distribution Date in substantially the same manner as currently operated, except solely with respect to the services expressly designated in the Transition Services Agreement (“</w:t>
      </w:r>
      <w:r>
        <w:rPr>
          <w:rFonts w:ascii="Times New Roman" w:cs="Times New Roman" w:eastAsia="Times New Roman" w:hAnsi="Times New Roman"/>
          <w:sz w:val="14"/>
          <w:szCs w:val="14"/>
          <w:b w:val="1"/>
          <w:bCs w:val="1"/>
          <w:color w:val="auto"/>
        </w:rPr>
        <w:t>Day-One Base Level Readiness</w:t>
      </w:r>
      <w:r>
        <w:rPr>
          <w:rFonts w:ascii="Times New Roman" w:cs="Times New Roman" w:eastAsia="Times New Roman" w:hAnsi="Times New Roman"/>
          <w:sz w:val="14"/>
          <w:szCs w:val="14"/>
          <w:color w:val="auto"/>
        </w:rPr>
        <w:t>”). The Base Level Separation Plan shall address, but not be limited to, detailed plans for data migration, system testing and validation, and a cutover and rollback plan, with respect to all material Information Technology and data used in the SpinCo Business. The Company shall prepare the Base Level Separation Plan in consultation with Gold, provided, that such consultation does not impede the Company’s ability to prepare, or delay the Company’s delivery of, the Base Level Separation Plan.</w:t>
      </w:r>
    </w:p>
    <w:p>
      <w:pPr>
        <w:spacing w:after="0" w:line="148" w:lineRule="exact"/>
        <w:rPr>
          <w:rFonts w:ascii="Times New Roman" w:cs="Times New Roman" w:eastAsia="Times New Roman" w:hAnsi="Times New Roman"/>
          <w:sz w:val="14"/>
          <w:szCs w:val="14"/>
          <w:color w:val="auto"/>
        </w:rPr>
      </w:pPr>
    </w:p>
    <w:p>
      <w:pPr>
        <w:ind w:left="1360" w:right="259" w:firstLine="767"/>
        <w:spacing w:after="0" w:line="252" w:lineRule="auto"/>
        <w:tabs>
          <w:tab w:leader="none" w:pos="2322" w:val="left"/>
        </w:tabs>
        <w:numPr>
          <w:ilvl w:val="0"/>
          <w:numId w:val="5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Final Separation Plan. </w:t>
      </w:r>
      <w:r>
        <w:rPr>
          <w:rFonts w:ascii="Times New Roman" w:cs="Times New Roman" w:eastAsia="Times New Roman" w:hAnsi="Times New Roman"/>
          <w:sz w:val="14"/>
          <w:szCs w:val="14"/>
          <w:color w:val="auto"/>
        </w:rPr>
        <w:t>As promptly as practicable following delivery to Gold of the Base Level Separation Plan, the Parties shall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cooperate in good faith to review and revise the Base Level Separation Plan to include additional details regarding the actions to be taken thereunder regarding the separation of the SpinCo Business and SpinCo Assets from the Company Business and Company Assets, including the separation of Spinco Information Technology and migration thereof to standalone SpinCo Group systems, and replication or substantially equivalent replacements of Information Technology for the SpinCo Business that is shared with the Company Business and is not SpinCo Information Technology, in order to achieve Day-One Base Level Readiness. The Company shall consider in good faith any changes to the Base Level Separation Plan requested by Gold and shall not unreasonably withhold, condition, or delay its approval of any such requested change; provided, that the Company shall not be obligated to approve any such requested changes that are reasonably likely to impede or delay the Company’s ability to prepare and implement the Base Level Separation Plan. The Base Level Separation Plan including any such additional details mutually agreed by the Company and Gold shall be referred to as the “</w:t>
      </w:r>
      <w:r>
        <w:rPr>
          <w:rFonts w:ascii="Times New Roman" w:cs="Times New Roman" w:eastAsia="Times New Roman" w:hAnsi="Times New Roman"/>
          <w:sz w:val="14"/>
          <w:szCs w:val="14"/>
          <w:b w:val="1"/>
          <w:bCs w:val="1"/>
          <w:color w:val="auto"/>
        </w:rPr>
        <w:t>Final Separation Plan</w:t>
      </w:r>
      <w:r>
        <w:rPr>
          <w:rFonts w:ascii="Times New Roman" w:cs="Times New Roman" w:eastAsia="Times New Roman" w:hAnsi="Times New Roman"/>
          <w:sz w:val="14"/>
          <w:szCs w:val="14"/>
          <w:color w:val="auto"/>
        </w:rPr>
        <w:t>”. During the review of the Base Level Separation Plan, Gold may request that the Company take additional actions not described in the Base Level Separation Plan to address specific customizations or unique requirements of Gold’s operating model, processes or infrastructure that are not necessary to achieve Day-One Base Level Readiness and the Company shall not unreasonably withhold, condition or delay its approval of any such additional actions (such additional actions that the Company agrees to take, the “</w:t>
      </w:r>
      <w:r>
        <w:rPr>
          <w:rFonts w:ascii="Times New Roman" w:cs="Times New Roman" w:eastAsia="Times New Roman" w:hAnsi="Times New Roman"/>
          <w:sz w:val="14"/>
          <w:szCs w:val="14"/>
          <w:b w:val="1"/>
          <w:bCs w:val="1"/>
          <w:color w:val="auto"/>
        </w:rPr>
        <w:t>Additional Readiness Requirements</w:t>
      </w:r>
      <w:r>
        <w:rPr>
          <w:rFonts w:ascii="Times New Roman" w:cs="Times New Roman" w:eastAsia="Times New Roman" w:hAnsi="Times New Roman"/>
          <w:sz w:val="14"/>
          <w:szCs w:val="14"/>
          <w:color w:val="auto"/>
        </w:rPr>
        <w:t>”). The Additional Readiness Requirements shall be incorporated into the Final Separation Plan. Each Party shall use commercially reasonable efforts to implement the tasks contemplated to be taken by it in the Final Separation Plan in all material respects and in accordance with any time periods set forth therein. Notwithstanding anything to the contrary in any of the Transaction Documents, the completion of the actions contemplated by the Base Level Separation Plan, the Final Separation Plan and any Additional Readiness Requirements shall not be considered a condition to the Closing of the Distribution or the Merger; provided, however, that if such activities are not completed by the Distribution Date, the Company will make available for the use of the applicable Information Technology or other shared asset or resource as a service to SpinCo and its Subsidiaries pursuant to the terms of the Transition Services Agreement (or implement such other substitute arrangement as may be agreed between the Parties with respect to such resource or asset), and the</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B-66</w:t>
      </w:r>
    </w:p>
    <w:p>
      <w:pPr>
        <w:sectPr>
          <w:pgSz w:w="11900" w:h="16838" w:orient="portrait"/>
          <w:cols w:equalWidth="0" w:num="1">
            <w:col w:w="10159"/>
          </w:cols>
          <w:pgMar w:left="300" w:top="386" w:right="1440"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schedules to the Transition Services Agreement shall be accordingly amended and supplemented by the Parties to reflect this arrangement.</w:t>
      </w:r>
    </w:p>
    <w:p>
      <w:pPr>
        <w:spacing w:after="0" w:line="173" w:lineRule="exact"/>
        <w:rPr>
          <w:sz w:val="20"/>
          <w:szCs w:val="20"/>
          <w:color w:val="auto"/>
        </w:rPr>
      </w:pPr>
    </w:p>
    <w:p>
      <w:pPr>
        <w:ind w:left="1360" w:right="299" w:firstLine="767"/>
        <w:spacing w:after="0" w:line="252" w:lineRule="auto"/>
        <w:tabs>
          <w:tab w:leader="none" w:pos="2330" w:val="left"/>
        </w:tabs>
        <w:numPr>
          <w:ilvl w:val="0"/>
          <w:numId w:val="5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Separation Planning Fees and Expenses</w:t>
      </w:r>
      <w:r>
        <w:rPr>
          <w:rFonts w:ascii="Times New Roman" w:cs="Times New Roman" w:eastAsia="Times New Roman" w:hAnsi="Times New Roman"/>
          <w:sz w:val="14"/>
          <w:szCs w:val="14"/>
          <w:color w:val="auto"/>
        </w:rPr>
        <w:t>. Each Party shall be responsible for its own out-of-pocket fees and expenses incurred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connection with the preparation, review and approval of the Base Level Separation Plan and the Final Separation Plan. With the exception of the Additional Requirements Costs, the Company shall pay eighty (80%) and Gold shall pay twenty percent (20%) of the reasonable and documented out-of-pocket fees and expenses (including consent, transfer and license fees and other expenses incurred to assign or replace Shared Contracts under which the SpinCo Business receives or uses Information Technology (directly or through the Company Group)) incurred in connection with implementation of the Final Separation Plan (including, for the avoidance of doubt, out-of-pocket fees and expenses incurred in connection with third party project management or implementation management (PMO or IMO) services rendered to the Company or SpinCo in connection with the implementation of the Systems Separation and Data Migration under the Final Separation Plan) (“</w:t>
      </w:r>
      <w:r>
        <w:rPr>
          <w:rFonts w:ascii="Times New Roman" w:cs="Times New Roman" w:eastAsia="Times New Roman" w:hAnsi="Times New Roman"/>
          <w:sz w:val="14"/>
          <w:szCs w:val="14"/>
          <w:b w:val="1"/>
          <w:bCs w:val="1"/>
          <w:color w:val="auto"/>
        </w:rPr>
        <w:t>Separation Costs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portion of Separation Costs to be borne by Gold shall not exceed one million dollars ($1,000,000) and the Company shall be responsible for any Separation Costs in excess of such amount. For the avoidance of doubt, “Separation Costs” shall not include internal costs and expenses incurred by the Company Group in connection with the implementation of the Final Separation Plan, except as set forth below with respect to the Additional Requirements Costs. Gold shall pay and be responsible for one hundred percent (100%) of any reasonable and documented incremental out-of-pocket fees and expenses, in each case, to the extent incurred in connection with the implementation of the Additional Readiness Requirements (the “</w:t>
      </w:r>
      <w:r>
        <w:rPr>
          <w:rFonts w:ascii="Times New Roman" w:cs="Times New Roman" w:eastAsia="Times New Roman" w:hAnsi="Times New Roman"/>
          <w:sz w:val="14"/>
          <w:szCs w:val="14"/>
          <w:b w:val="1"/>
          <w:bCs w:val="1"/>
          <w:color w:val="auto"/>
        </w:rPr>
        <w:t>Additional Requirements Costs</w:t>
      </w:r>
      <w:r>
        <w:rPr>
          <w:rFonts w:ascii="Times New Roman" w:cs="Times New Roman" w:eastAsia="Times New Roman" w:hAnsi="Times New Roman"/>
          <w:sz w:val="14"/>
          <w:szCs w:val="14"/>
          <w:color w:val="auto"/>
        </w:rPr>
        <w:t>”). The Company Group shall maintain reasonably detailed books and records reflecting the Separation Costs and the Additional Requirements Costs. The Company shall provide Gold and SpinCo with a detailed, itemized report at the end of each month summarizing all Separation Costs incurred or committed to be incurred in such month and the aggregate amount of Separation Costs incurred to date. The Parties shall work together in good faith in connection and use commercially reasonable efforts to reduce, mitigate and manage the amount of Separation Costs and the Additional Requirements Costs.</w:t>
      </w:r>
    </w:p>
    <w:p>
      <w:pPr>
        <w:spacing w:after="0" w:line="15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7.4 </w:t>
      </w:r>
      <w:r>
        <w:rPr>
          <w:rFonts w:ascii="Times New Roman" w:cs="Times New Roman" w:eastAsia="Times New Roman" w:hAnsi="Times New Roman"/>
          <w:sz w:val="14"/>
          <w:szCs w:val="14"/>
          <w:u w:val="single" w:color="auto"/>
          <w:color w:val="auto"/>
        </w:rPr>
        <w:t>Ancillary Agreements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339" w:firstLine="767"/>
        <w:spacing w:after="0" w:line="253" w:lineRule="auto"/>
        <w:tabs>
          <w:tab w:leader="none" w:pos="2322" w:val="left"/>
        </w:tabs>
        <w:numPr>
          <w:ilvl w:val="0"/>
          <w:numId w:val="5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Company, SpinCo and Gold agrees that it will use its reasonable best efforts to cooperate in good faith to finalize the Trademark Matters Agreement and Exhibit A to the Transition Services Agreement so that such agreements shall be executed on the Closing Date, taking into consideration the nature and circumstances of the transactions contemplated by this Agreement and any key terms or principles set forth on </w:t>
      </w:r>
      <w:r>
        <w:rPr>
          <w:rFonts w:ascii="Times New Roman" w:cs="Times New Roman" w:eastAsia="Times New Roman" w:hAnsi="Times New Roman"/>
          <w:sz w:val="14"/>
          <w:szCs w:val="14"/>
          <w:u w:val="single" w:color="auto"/>
          <w:color w:val="auto"/>
        </w:rPr>
        <w:t>Schedule 7.4(a)</w:t>
      </w:r>
      <w:r>
        <w:rPr>
          <w:rFonts w:ascii="Times New Roman" w:cs="Times New Roman" w:eastAsia="Times New Roman" w:hAnsi="Times New Roman"/>
          <w:sz w:val="14"/>
          <w:szCs w:val="14"/>
          <w:color w:val="auto"/>
        </w:rPr>
        <w:t xml:space="preserve">. In connection with the foregoing, between the date hereof and the Closing Date, the Company, SpinCo and Gold will cooperate reasonably and in good faith to finalize the scope and other terms of the Trademark Matters Agreement and Exhibit A to the Transition Services Agreement, which such cooperation shall include, to the extent reasonably requested by SpinCo or Gold, access to data and information reasonably available to the Company related to the applicable services and making appropriate, knowledgeable personnel of the Company, its Affiliates or SpinCo reasonably available to participate in meetings and other discussions relating to the foregoing. Notwithstanding the foregoing, the parties agree that, if the Company, SpinCo and Gold do not agree to Exhibit A of the Transition Services Agreement prior to the Closing, the terms and conditions set forth on </w:t>
      </w:r>
      <w:r>
        <w:rPr>
          <w:rFonts w:ascii="Times New Roman" w:cs="Times New Roman" w:eastAsia="Times New Roman" w:hAnsi="Times New Roman"/>
          <w:sz w:val="14"/>
          <w:szCs w:val="14"/>
          <w:u w:val="single" w:color="auto"/>
          <w:color w:val="auto"/>
        </w:rPr>
        <w:t>Schedule 7.4(a)</w:t>
      </w:r>
      <w:r>
        <w:rPr>
          <w:rFonts w:ascii="Times New Roman" w:cs="Times New Roman" w:eastAsia="Times New Roman" w:hAnsi="Times New Roman"/>
          <w:sz w:val="14"/>
          <w:szCs w:val="14"/>
          <w:color w:val="auto"/>
        </w:rPr>
        <w:t xml:space="preserve"> shall be effective as of the Closing as if it were part of the Transition Services Agreement, and shall be legally binding upon the Company, SpinCo and Gold, and the Parties shall continue to negotiate in good faith and finalize the Transition Services Agreement and Trademark Matters Agreement as soon as reasonably practicable after the Closing.</w:t>
      </w:r>
    </w:p>
    <w:p>
      <w:pPr>
        <w:spacing w:after="0" w:line="3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TERMINATION</w:t>
      </w:r>
    </w:p>
    <w:p>
      <w:pPr>
        <w:spacing w:after="0" w:line="161" w:lineRule="exact"/>
        <w:rPr>
          <w:sz w:val="20"/>
          <w:szCs w:val="20"/>
          <w:color w:val="auto"/>
        </w:rPr>
      </w:pPr>
    </w:p>
    <w:p>
      <w:pPr>
        <w:jc w:val="both"/>
        <w:ind w:left="1360" w:right="5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Prior to the Distribution, this Agreement shall terminate immediately upon termination of the Merger Agreement. After the Distribution, this Agreement may not be terminated except by an agreement in writing signed by a duly authorized officer of each of the Company, SpinCo and Gold.</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B-67</w:t>
      </w:r>
    </w:p>
    <w:p>
      <w:pPr>
        <w:sectPr>
          <w:pgSz w:w="11900" w:h="16838" w:orient="portrait"/>
          <w:cols w:equalWidth="0" w:num="1">
            <w:col w:w="10159"/>
          </w:cols>
          <w:pgMar w:left="300" w:top="386" w:right="1440"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In the event of any termination of this Agreement prior to the Distribution Time, no Party (nor any of its directors, officers or employees) shall have any Liability or further obligation to the other Party by reason of this Agreement; provided, that the Parties’ obligations regarding the payment of costs and expenses in </w:t>
      </w:r>
      <w:r>
        <w:rPr>
          <w:rFonts w:ascii="Times New Roman" w:cs="Times New Roman" w:eastAsia="Times New Roman" w:hAnsi="Times New Roman"/>
          <w:sz w:val="14"/>
          <w:szCs w:val="14"/>
          <w:u w:val="single" w:color="auto"/>
          <w:color w:val="auto"/>
        </w:rPr>
        <w:t>Section 2.4(k)</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7.3(d)</w:t>
      </w:r>
      <w:r>
        <w:rPr>
          <w:rFonts w:ascii="Times New Roman" w:cs="Times New Roman" w:eastAsia="Times New Roman" w:hAnsi="Times New Roman"/>
          <w:sz w:val="14"/>
          <w:szCs w:val="14"/>
          <w:color w:val="auto"/>
        </w:rPr>
        <w:t xml:space="preserve"> shall survive termination of the Agreement.</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Counterparts; Entire Agreement; Corporate Power</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59" w:firstLine="767"/>
        <w:spacing w:after="0" w:line="267" w:lineRule="auto"/>
        <w:tabs>
          <w:tab w:leader="none" w:pos="2322" w:val="left"/>
        </w:tabs>
        <w:numPr>
          <w:ilvl w:val="0"/>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each Transaction Document may be executed in one (1) or more counterparts, all of which shall be considered one and the same agreement, and shall become effective when one (1) or more counterparts have been signed by each of the Parties and delivered to the other Party.</w:t>
      </w:r>
    </w:p>
    <w:p>
      <w:pPr>
        <w:spacing w:after="0" w:line="135" w:lineRule="exact"/>
        <w:rPr>
          <w:rFonts w:ascii="Times New Roman" w:cs="Times New Roman" w:eastAsia="Times New Roman" w:hAnsi="Times New Roman"/>
          <w:sz w:val="14"/>
          <w:szCs w:val="14"/>
          <w:color w:val="auto"/>
        </w:rPr>
      </w:pPr>
    </w:p>
    <w:p>
      <w:pPr>
        <w:ind w:left="1360" w:right="299" w:firstLine="767"/>
        <w:spacing w:after="0" w:line="255" w:lineRule="auto"/>
        <w:tabs>
          <w:tab w:leader="none" w:pos="2330" w:val="left"/>
        </w:tabs>
        <w:numPr>
          <w:ilvl w:val="0"/>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the other Transaction Documents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and the other Transaction Documents together govern the arrangements in connection with the Reorganization and the Distribution and would not have been entered into independently. Notwithstanding any oral agreement or course of conduct of the Parties or their Representatives to the contrary, no Party to this Agreement shall be under any legal obligation to enter into or complete the Distribution or the transactions contemplated by the Merger Agreement unless and until this Agreement shall have been executed and delivered by each of the Parties.</w:t>
      </w:r>
    </w:p>
    <w:p>
      <w:pPr>
        <w:spacing w:after="0" w:line="145" w:lineRule="exact"/>
        <w:rPr>
          <w:rFonts w:ascii="Times New Roman" w:cs="Times New Roman" w:eastAsia="Times New Roman" w:hAnsi="Times New Roman"/>
          <w:sz w:val="14"/>
          <w:szCs w:val="14"/>
          <w:color w:val="auto"/>
        </w:rPr>
      </w:pPr>
    </w:p>
    <w:p>
      <w:pPr>
        <w:ind w:left="1360" w:right="359" w:firstLine="767"/>
        <w:spacing w:after="0" w:line="283" w:lineRule="auto"/>
        <w:tabs>
          <w:tab w:leader="none" w:pos="2322" w:val="left"/>
        </w:tabs>
        <w:numPr>
          <w:ilvl w:val="0"/>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represents on behalf of itself and each other member of the Company Group, Gold represents on behalf of itself and its Subsidiaries, and SpinCo represents on behalf of itself and each other member of the SpinCo Group, as follows:</w:t>
      </w:r>
    </w:p>
    <w:p>
      <w:pPr>
        <w:spacing w:after="0" w:line="40" w:lineRule="exact"/>
        <w:rPr>
          <w:rFonts w:ascii="Times New Roman" w:cs="Times New Roman" w:eastAsia="Times New Roman" w:hAnsi="Times New Roman"/>
          <w:sz w:val="14"/>
          <w:szCs w:val="14"/>
          <w:color w:val="auto"/>
        </w:rPr>
      </w:pPr>
    </w:p>
    <w:p>
      <w:pPr>
        <w:ind w:left="1700" w:right="319" w:firstLine="739"/>
        <w:spacing w:after="0" w:line="267" w:lineRule="auto"/>
        <w:tabs>
          <w:tab w:leader="none" w:pos="2608"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such Person has the requisite corporate or other power and authority and has taken all corporate or other action necessary in order to execute, deliver and perform its obligations under this Agreement and each other Transaction Document to which it is a party and to consummate the transactions contemplated hereby and thereby; and</w:t>
      </w:r>
    </w:p>
    <w:p>
      <w:pPr>
        <w:spacing w:after="0" w:line="51" w:lineRule="exact"/>
        <w:rPr>
          <w:rFonts w:ascii="Times New Roman" w:cs="Times New Roman" w:eastAsia="Times New Roman" w:hAnsi="Times New Roman"/>
          <w:sz w:val="14"/>
          <w:szCs w:val="14"/>
          <w:color w:val="auto"/>
        </w:rPr>
      </w:pPr>
    </w:p>
    <w:p>
      <w:pPr>
        <w:ind w:left="1700" w:right="659" w:firstLine="739"/>
        <w:spacing w:after="0" w:line="283" w:lineRule="auto"/>
        <w:tabs>
          <w:tab w:leader="none" w:pos="2647" w:val="left"/>
        </w:tabs>
        <w:numPr>
          <w:ilvl w:val="1"/>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each other Transaction Document to which it is a party has been duly executed and delivered by it and constitutes a valid and binding agreement of it enforceable in accordance with the terms thereof.</w:t>
      </w:r>
    </w:p>
    <w:p>
      <w:pPr>
        <w:spacing w:after="0" w:line="124" w:lineRule="exact"/>
        <w:rPr>
          <w:rFonts w:ascii="Times New Roman" w:cs="Times New Roman" w:eastAsia="Times New Roman" w:hAnsi="Times New Roman"/>
          <w:sz w:val="14"/>
          <w:szCs w:val="14"/>
          <w:color w:val="auto"/>
        </w:rPr>
      </w:pPr>
    </w:p>
    <w:p>
      <w:pPr>
        <w:ind w:left="1360" w:right="239" w:firstLine="767"/>
        <w:spacing w:after="0" w:line="254" w:lineRule="auto"/>
        <w:tabs>
          <w:tab w:leader="none" w:pos="2330" w:val="left"/>
        </w:tabs>
        <w:numPr>
          <w:ilvl w:val="0"/>
          <w:numId w:val="5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acknowledges that it and each other Party is executing this Agreement and certain of the Transaction Documents by facsimile, stamp, electronic or mechanical signature, and that delivery of an executed counterpart of a signature page to this Agreement or any other Transaction Document (whether executed by manual, stamp, electronic or mechanical signature) by facsimile or by electronic mail in portable document format (PDF) shall be effective as delivery of such executed counterpart of this Agreement or any other Transaction Document. Each Party expressly adopts and confirms each such facsimile, stamp, electronic or mechanical signature (regardless of whether delivered in person, by mail, by courier, by facsimile or by electronic 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each such Transaction Document to be manually executed (any such execution to be as of the date of the initial date thereof) and delivered in person, by mail or by courier.</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B-68</w:t>
      </w:r>
    </w:p>
    <w:p>
      <w:pPr>
        <w:sectPr>
          <w:pgSz w:w="11900" w:h="16838" w:orient="portrait"/>
          <w:cols w:equalWidth="0" w:num="1">
            <w:col w:w="10159"/>
          </w:cols>
          <w:pgMar w:left="300" w:top="386" w:right="1440"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19" w:firstLine="343"/>
        <w:spacing w:after="0" w:line="296" w:lineRule="auto"/>
        <w:rPr>
          <w:sz w:val="20"/>
          <w:szCs w:val="20"/>
          <w:color w:val="auto"/>
        </w:rPr>
      </w:pPr>
      <w:r>
        <w:rPr>
          <w:rFonts w:ascii="Times New Roman" w:cs="Times New Roman" w:eastAsia="Times New Roman" w:hAnsi="Times New Roman"/>
          <w:sz w:val="13"/>
          <w:szCs w:val="13"/>
          <w:color w:val="auto"/>
        </w:rPr>
        <w:t xml:space="preserve">9.2 </w:t>
      </w:r>
      <w:r>
        <w:rPr>
          <w:rFonts w:ascii="Times New Roman" w:cs="Times New Roman" w:eastAsia="Times New Roman" w:hAnsi="Times New Roman"/>
          <w:sz w:val="13"/>
          <w:szCs w:val="13"/>
          <w:u w:val="single" w:color="auto"/>
          <w:color w:val="auto"/>
        </w:rPr>
        <w:t>Survival of Covenants</w:t>
      </w:r>
      <w:r>
        <w:rPr>
          <w:rFonts w:ascii="Times New Roman" w:cs="Times New Roman" w:eastAsia="Times New Roman" w:hAnsi="Times New Roman"/>
          <w:sz w:val="13"/>
          <w:szCs w:val="13"/>
          <w:color w:val="auto"/>
        </w:rPr>
        <w:t>. Except as expressly set forth in this Agreement or any other Transaction Document, the covenants and other agreements contained in this Agreement and each other Transaction Document, and liability for the breach of any covenants and other agreements contained herein or therein, shall survive each of the Reorganization, the Distribution and the Merger, and shall remain in full force and effect.</w:t>
      </w:r>
    </w:p>
    <w:p>
      <w:pPr>
        <w:spacing w:after="0" w:line="1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Governing Law; Submission to Jurisdiction; Waiver of Jury Trial</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360" w:right="239" w:firstLine="767"/>
        <w:spacing w:after="0" w:line="258" w:lineRule="auto"/>
        <w:tabs>
          <w:tab w:leader="none" w:pos="2322" w:val="left"/>
        </w:tabs>
        <w:numPr>
          <w:ilvl w:val="1"/>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and, unless expressly provided therein, each other Transaction Document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43" w:lineRule="exact"/>
        <w:rPr>
          <w:rFonts w:ascii="Times New Roman" w:cs="Times New Roman" w:eastAsia="Times New Roman" w:hAnsi="Times New Roman"/>
          <w:sz w:val="14"/>
          <w:szCs w:val="14"/>
          <w:color w:val="auto"/>
        </w:rPr>
      </w:pPr>
    </w:p>
    <w:p>
      <w:pPr>
        <w:ind w:left="1360" w:right="219" w:firstLine="767"/>
        <w:spacing w:after="0" w:line="252" w:lineRule="auto"/>
        <w:tabs>
          <w:tab w:leader="none" w:pos="2330" w:val="left"/>
        </w:tabs>
        <w:numPr>
          <w:ilvl w:val="1"/>
          <w:numId w:val="5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cs="Times New Roman" w:eastAsia="Times New Roman" w:hAnsi="Times New Roman"/>
          <w:sz w:val="14"/>
          <w:szCs w:val="14"/>
          <w:b w:val="1"/>
          <w:bCs w:val="1"/>
          <w:color w:val="auto"/>
        </w:rPr>
        <w:t>Chosen Courts</w:t>
      </w:r>
      <w:r>
        <w:rPr>
          <w:rFonts w:ascii="Times New Roman" w:cs="Times New Roman" w:eastAsia="Times New Roman" w:hAnsi="Times New Roman"/>
          <w:sz w:val="14"/>
          <w:szCs w:val="14"/>
          <w:color w:val="auto"/>
        </w:rPr>
        <w:t>”).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w:t>
      </w:r>
    </w:p>
    <w:p>
      <w:pPr>
        <w:spacing w:after="0" w:line="5" w:lineRule="exact"/>
        <w:rPr>
          <w:rFonts w:ascii="Times New Roman" w:cs="Times New Roman" w:eastAsia="Times New Roman" w:hAnsi="Times New Roman"/>
          <w:sz w:val="14"/>
          <w:szCs w:val="14"/>
          <w:color w:val="auto"/>
        </w:rPr>
      </w:pPr>
    </w:p>
    <w:p>
      <w:pPr>
        <w:ind w:left="1360" w:right="239" w:hanging="5"/>
        <w:spacing w:after="0" w:line="252" w:lineRule="auto"/>
        <w:tabs>
          <w:tab w:leader="none" w:pos="1605" w:val="left"/>
        </w:tabs>
        <w:numPr>
          <w:ilvl w:val="0"/>
          <w:numId w:val="5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cs="Times New Roman" w:eastAsia="Times New Roman" w:hAnsi="Times New Roman"/>
          <w:sz w:val="14"/>
          <w:szCs w:val="14"/>
          <w:u w:val="single" w:color="auto"/>
          <w:color w:val="auto"/>
        </w:rPr>
        <w:t>Section 9.6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nothing herein shall affect the right of any Party to serve legal process in any other manner permitted by Law and (II) each such Party’s consent to jurisdiction and service contained in this </w:t>
      </w:r>
      <w:r>
        <w:rPr>
          <w:rFonts w:ascii="Times New Roman" w:cs="Times New Roman" w:eastAsia="Times New Roman" w:hAnsi="Times New Roman"/>
          <w:sz w:val="14"/>
          <w:szCs w:val="14"/>
          <w:u w:val="single" w:color="auto"/>
          <w:color w:val="auto"/>
        </w:rPr>
        <w:t>Section 9.3(b)</w:t>
      </w:r>
      <w:r>
        <w:rPr>
          <w:rFonts w:ascii="Times New Roman" w:cs="Times New Roman" w:eastAsia="Times New Roman" w:hAnsi="Times New Roman"/>
          <w:sz w:val="14"/>
          <w:szCs w:val="14"/>
          <w:color w:val="auto"/>
        </w:rPr>
        <w:t xml:space="preserve"> is solely for the purpose referred to in this </w:t>
      </w:r>
      <w:r>
        <w:rPr>
          <w:rFonts w:ascii="Times New Roman" w:cs="Times New Roman" w:eastAsia="Times New Roman" w:hAnsi="Times New Roman"/>
          <w:sz w:val="14"/>
          <w:szCs w:val="14"/>
          <w:u w:val="single" w:color="auto"/>
          <w:color w:val="auto"/>
        </w:rPr>
        <w:t>Section 9.3(b)</w:t>
      </w:r>
      <w:r>
        <w:rPr>
          <w:rFonts w:ascii="Times New Roman" w:cs="Times New Roman" w:eastAsia="Times New Roman" w:hAnsi="Times New Roman"/>
          <w:sz w:val="14"/>
          <w:szCs w:val="14"/>
          <w:color w:val="auto"/>
        </w:rPr>
        <w:t xml:space="preserve"> and shall not be deemed to be a general submission to said courts or in the State of Delaware other than for such purpose.</w:t>
      </w:r>
    </w:p>
    <w:p>
      <w:pPr>
        <w:spacing w:after="0" w:line="148" w:lineRule="exact"/>
        <w:rPr>
          <w:rFonts w:ascii="Times New Roman" w:cs="Times New Roman" w:eastAsia="Times New Roman" w:hAnsi="Times New Roman"/>
          <w:sz w:val="14"/>
          <w:szCs w:val="14"/>
          <w:color w:val="auto"/>
        </w:rPr>
      </w:pPr>
    </w:p>
    <w:p>
      <w:pPr>
        <w:ind w:left="1360" w:right="359" w:firstLine="767"/>
        <w:spacing w:after="0" w:line="283" w:lineRule="auto"/>
        <w:tabs>
          <w:tab w:leader="none" w:pos="2322" w:val="left"/>
        </w:tabs>
        <w:numPr>
          <w:ilvl w:val="1"/>
          <w:numId w:val="5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HERETO IRREVOCABLY WAIVES ANY AND ALL RIGHT TO TRIAL BY JURY IN ANY DISPUTE ARISING OUT OF OR RELATING TO THIS AGREEMENT OR THE TRANSACTIONS CONTEMPLATED HEREBY.</w:t>
      </w:r>
    </w:p>
    <w:p>
      <w:pPr>
        <w:spacing w:after="0" w:line="125"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Assignability</w:t>
      </w:r>
      <w:r>
        <w:rPr>
          <w:rFonts w:ascii="Times New Roman" w:cs="Times New Roman" w:eastAsia="Times New Roman" w:hAnsi="Times New Roman"/>
          <w:sz w:val="14"/>
          <w:szCs w:val="14"/>
          <w:color w:val="auto"/>
        </w:rPr>
        <w:t xml:space="preserve">. Except as set forth in this Agreement or any other Transaction Document, this Agreement and each other Transaction Document shall be binding upon and inure to the benefit of the Parties and the parties thereto, respectively, and their respective successors and permitted assigns;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neither Party nor any such party thereto may assign its rights or delegate its obligations under this Agreement or any other Transaction Document without the express prior written consent of the other Party hereto or other parties thereto, as applicable.</w:t>
      </w:r>
    </w:p>
    <w:p>
      <w:pPr>
        <w:spacing w:after="0" w:line="141"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Third-Party Beneficiaries</w:t>
      </w:r>
      <w:r>
        <w:rPr>
          <w:rFonts w:ascii="Times New Roman" w:cs="Times New Roman" w:eastAsia="Times New Roman" w:hAnsi="Times New Roman"/>
          <w:sz w:val="14"/>
          <w:szCs w:val="14"/>
          <w:color w:val="auto"/>
        </w:rPr>
        <w:t>. Except for the indemnification rights under this Agreement or any of the other Transaction Documents of any Company Indemnitee or SpinCo Indemnitee in their respective capacities as</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B-69</w:t>
      </w:r>
    </w:p>
    <w:p>
      <w:pPr>
        <w:sectPr>
          <w:pgSz w:w="11900" w:h="16838" w:orient="portrait"/>
          <w:cols w:equalWidth="0" w:num="1">
            <w:col w:w="10159"/>
          </w:cols>
          <w:pgMar w:left="300" w:top="386" w:right="1440"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such, and except as otherwise set forth in the Merger Agreement, (a) the provisions of this Agreement and the other Transaction Documents are solely for the benefit of the Parties and are not intended to confer upon any Person except the Parties any rights or remedies hereunder and (b) there are no third-party beneficiaries of this Agreement or any Transaction Document and none of this Agreement or any of the other Transaction Documents shall provide any Third Party with any remedy, claim, Liability, reimbursement, claim of action or other right in excess of those existing without reference to this Agreement or any Transaction Document, as applicable.</w:t>
      </w:r>
    </w:p>
    <w:p>
      <w:pPr>
        <w:spacing w:after="0" w:line="144"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 xml:space="preserve">9.6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xml:space="preserve">. All notices, requests, claims, demands or other communications under, this Agreement and, to the extent applicable and unless otherwise provided therein, under this Agreement and each of the Transaction Documents, shall be in writing and shall be given or made (and except as provided herein, shall be deemed to have been duly given or made upon receipt) by delivery in person, by overnight courier service, by certified mail, return receipt requested, by electronic mail upon transmission (provided no “bounceback” or notice of nondelivery is received), to the respective Parties at the following addresses (or at such other address for a Party as shall be specified in a notice given in accordance with this </w:t>
      </w:r>
      <w:r>
        <w:rPr>
          <w:rFonts w:ascii="Times New Roman" w:cs="Times New Roman" w:eastAsia="Times New Roman" w:hAnsi="Times New Roman"/>
          <w:sz w:val="14"/>
          <w:szCs w:val="14"/>
          <w:u w:val="single" w:color="auto"/>
          <w:color w:val="auto"/>
        </w:rPr>
        <w:t>Section 9.6</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the Company or, prior to the Distribution Date, to SpinCo, to:</w:t>
      </w:r>
    </w:p>
    <w:p>
      <w:pPr>
        <w:spacing w:after="0" w:line="1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Modine Manufacturing Company 1500 De Koven Ave</w:t>
      </w:r>
    </w:p>
    <w:p>
      <w:pPr>
        <w:spacing w:after="0" w:line="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Racine, Wisconsin 53403</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Gibson, Dunn &amp; Crutcher LLP 200 Park Avenue</w:t>
      </w:r>
    </w:p>
    <w:p>
      <w:pPr>
        <w:spacing w:after="0" w:line="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New York, NY 10166</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Telephone: [redacted]</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Attention:   Andrew Kaplan</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If to Gold or, following the Distribution Date, to SpinCo, then to:</w:t>
      </w:r>
    </w:p>
    <w:p>
      <w:pPr>
        <w:spacing w:after="0" w:line="1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Gentherm Incorporated</w:t>
      </w:r>
    </w:p>
    <w:p>
      <w:pPr>
        <w:spacing w:after="0" w:line="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28875 Cabot Drive</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Novi, MI 48377</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Attention:    Wayne Kauffman; Jon Douyard</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Email:        [redacted]; [redacted]</w:t>
      </w:r>
    </w:p>
    <w:p>
      <w:pPr>
        <w:spacing w:after="0" w:line="1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330 N Wabash Ave, Suite 2800</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Chicago, IL 60611</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Attention:    Bradley C. Faris; Jason Morelli</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E-mail:        [redacted]; [redacted]</w:t>
      </w:r>
    </w:p>
    <w:p>
      <w:pPr>
        <w:spacing w:after="0" w:line="7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and</w:t>
      </w:r>
    </w:p>
    <w:p>
      <w:pPr>
        <w:spacing w:after="0" w:line="1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Honigman LLP</w:t>
      </w:r>
    </w:p>
    <w:p>
      <w:pPr>
        <w:spacing w:after="0" w:line="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2290 First National Building</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660 Woodward Avenue</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Detroit, MI 48226</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Attention:       Michael S. Ben; Matt VanWasshnova</w:t>
      </w:r>
    </w:p>
    <w:p>
      <w:pPr>
        <w:spacing w:after="0" w:line="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color w:val="auto"/>
        </w:rPr>
        <w:t>Email:           [redacted]; [redacted]</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B-70</w:t>
      </w:r>
    </w:p>
    <w:p>
      <w:pPr>
        <w:sectPr>
          <w:pgSz w:w="11900" w:h="16838" w:orient="portrait"/>
          <w:cols w:equalWidth="0" w:num="1">
            <w:col w:w="10159"/>
          </w:cols>
          <w:pgMar w:left="300" w:top="386" w:right="1440"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 Party may, by notice to the other Party, change the address to which such notices are to be given or made.</w:t>
      </w:r>
    </w:p>
    <w:p>
      <w:pPr>
        <w:spacing w:after="0" w:line="175"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9.7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or any other Transaction Document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44" w:lineRule="exact"/>
        <w:rPr>
          <w:sz w:val="20"/>
          <w:szCs w:val="20"/>
          <w:color w:val="auto"/>
        </w:rPr>
      </w:pPr>
    </w:p>
    <w:p>
      <w:pPr>
        <w:jc w:val="both"/>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9.8 </w:t>
      </w:r>
      <w:r>
        <w:rPr>
          <w:rFonts w:ascii="Times New Roman" w:cs="Times New Roman" w:eastAsia="Times New Roman" w:hAnsi="Times New Roman"/>
          <w:sz w:val="14"/>
          <w:szCs w:val="14"/>
          <w:u w:val="single" w:color="auto"/>
          <w:color w:val="auto"/>
        </w:rPr>
        <w:t>No Set-Off</w:t>
      </w:r>
      <w:r>
        <w:rPr>
          <w:rFonts w:ascii="Times New Roman" w:cs="Times New Roman" w:eastAsia="Times New Roman" w:hAnsi="Times New Roman"/>
          <w:sz w:val="14"/>
          <w:szCs w:val="14"/>
          <w:color w:val="auto"/>
        </w:rPr>
        <w:t>. Except as expressly set forth in any Transaction Document or as otherwise mutually agreed to in writing by the Parties, neither Party nor any member of such Party’s group shall have any right of set-off or other similar rights with respect to (a) any amounts received pursuant to this Agreement or any other Transaction Document or (b) any other amounts claimed to be owed to the other Party or any member of its Group arising out of this Agreement or any other Transaction Document.</w:t>
      </w:r>
    </w:p>
    <w:p>
      <w:pPr>
        <w:spacing w:after="0" w:line="141"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9.9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article, section and paragraph headings contained in this Agreement and in the Transaction Documents are for reference purposes only and shall not affect in any way the meaning or interpretation of this Agreement or any other Transaction Document.</w:t>
      </w:r>
    </w:p>
    <w:p>
      <w:pPr>
        <w:spacing w:after="0" w:line="125"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 xml:space="preserve">9.10 </w:t>
      </w:r>
      <w:r>
        <w:rPr>
          <w:rFonts w:ascii="Times New Roman" w:cs="Times New Roman" w:eastAsia="Times New Roman" w:hAnsi="Times New Roman"/>
          <w:sz w:val="14"/>
          <w:szCs w:val="14"/>
          <w:u w:val="single" w:color="auto"/>
          <w:color w:val="auto"/>
        </w:rPr>
        <w:t>Waivers of Default</w:t>
      </w:r>
      <w:r>
        <w:rPr>
          <w:rFonts w:ascii="Times New Roman" w:cs="Times New Roman" w:eastAsia="Times New Roman" w:hAnsi="Times New Roman"/>
          <w:sz w:val="14"/>
          <w:szCs w:val="14"/>
          <w:color w:val="auto"/>
        </w:rPr>
        <w:t xml:space="preserve">. Waiver by a Party of any default by the other Party of any provision of this Agreement or any other Transaction Document shall not be deemed a waiver by the waiving Party of any subsequent or other default, nor shall it prejudice the rights of the other Party. No failure or delay by a Party in exercising any right, power or privilege under this Agreement or any Transaction Document shall operate as a waiver thereof, nor shall a single or partial exercise thereof prejudice any other or further exercise thereof or the exercise of any other right, power or privilege. No waiver by any Party of any provision of this Agreement shall be effective unless explicitly set forth in writing and executed by the Party so waiving;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prior to the Effective Time, unless the Merger Agreement shall have been terminated in accordance with its terms, any waiver by SpinCo that is adverse in any material respect to Gold shall require the prior written consent of Gold.</w:t>
      </w:r>
    </w:p>
    <w:p>
      <w:pPr>
        <w:spacing w:after="0" w:line="144"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9.11 </w:t>
      </w: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 In the event of any actual or threatened default in, or breach of, any of the terms, conditions and provisions of any Transaction Document (except as otherwise provided therein), the Party or Parties who are, or are to be, thereby aggrieved shall have the right to specific performance and injunctive or other equitable relief in respect of its or their rights under such Transaction Documents,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Nothing in this section is intended to limit or waive the aggrieved party’s ability to pursue any other remedy to which it is entitled.</w:t>
      </w:r>
    </w:p>
    <w:p>
      <w:pPr>
        <w:spacing w:after="0" w:line="145"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9.12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No provisions of this Agreement or any other Transaction Document (except as otherwise provided therein) shall be deemed waived, amended, supplemented or modified by a Party, unless such waiver, amendment, supplement or modification is in writing and signed by each of the parties hereto and thereto.</w:t>
      </w:r>
    </w:p>
    <w:p>
      <w:pPr>
        <w:spacing w:after="0" w:line="136"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9.13 </w:t>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In any Transaction Document, unless the context of the applicable Transaction Document otherwise requires: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the applicable Transaction Document as a whole (including all of the Schedules, Exhibits and Appendices hereto and thereto) and not to any particular provision of any Transaction Document; (c) Article, Annex, Section, Schedule,</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B-71</w:t>
      </w:r>
    </w:p>
    <w:p>
      <w:pPr>
        <w:sectPr>
          <w:pgSz w:w="11900" w:h="16838" w:orient="portrait"/>
          <w:cols w:equalWidth="0" w:num="1">
            <w:col w:w="10159"/>
          </w:cols>
          <w:pgMar w:left="300" w:top="386" w:right="1440"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 xml:space="preserve">Exhibit and Appendix references are to the Articles, Annexes, Sections, Schedules, Exhibits and Appendices to the applicable Transaction Document unless otherwise specified; (d) unless otherwise stated, all references to any agreement (including each Transaction Document) shall be deemed to include the exhibits, schedules and annexes (including all Schedules, Exhibits and Appendices) to such agreement; (e) the word “including” and words of similar import when used in the applicable Transaction Document shall mean “including, without limitation,” unless otherwise specified; (f) the word “or” shall be disjunctive but is not exclusive; (g) the word “extent” in the phrase “to the extent” shall mean the degree to which a subject or other thing extends, and such phrase shall not mean simply “if;” (h) references to “ordinary course of business” refers to the ordinary course of business of the Company and its Subsidiaries taken as a whole and consistent with past practice (i) unless otherwise specified in a particular case, the word “days” refers to calendar days;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any action is to be taken or given on or by a particular calendar day, and such calendar day is not a Business Day, then such action may be deferred until the next Business Day; (j) when calculating the period of time before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(k) references herein to this Agreement or any other agreement contemplated herein shall be deemed to refer to this Agreement or such other agreement as of the date on which it is executed and as it may be amended, modified or supplemented thereafter, unless otherwise specified; (l) unless expressly stated to the contrary in any Transaction Document, all references to “the date hereof,” “the date of this Agreement,” “hereby” and “hereupon” and words of similar import shall all be references to January 29, 2026; (m) references to “paragraphs” or “clauses” shall be to separate paragraphs or clauses of the Section or subsection in which the reference occurs; (n) derivative forms of defined terms will have correlative meanings; (o)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(p) references to any federal, state, local or foreign statute or Law shall include all rules and regulations promulgated thereunder; (q) references to any Person include references to such Person’s successors and permitted assigns, and in the case of any Governmental Authority, to any Person succeeding to its functions and capacities; (r) the terms “writing,” “written” and comparable terms refer to printing, typing and other means of reproducing words (including electronic media) in a visible form; (s) all monetary figures shall be in United States dollars unless otherwise specified; and (t) all accounting terms used herein and not expressly defined herein shall have the meanings given to them under GAAP, unless the context otherwise requires.</w:t>
      </w:r>
    </w:p>
    <w:p>
      <w:pPr>
        <w:spacing w:after="0" w:line="149"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 xml:space="preserve">9.14 </w:t>
      </w:r>
      <w:r>
        <w:rPr>
          <w:rFonts w:ascii="Times New Roman" w:cs="Times New Roman" w:eastAsia="Times New Roman" w:hAnsi="Times New Roman"/>
          <w:sz w:val="14"/>
          <w:szCs w:val="14"/>
          <w:u w:val="single" w:color="auto"/>
          <w:color w:val="auto"/>
        </w:rPr>
        <w:t>Negotiation</w:t>
      </w:r>
      <w:r>
        <w:rPr>
          <w:rFonts w:ascii="Times New Roman" w:cs="Times New Roman" w:eastAsia="Times New Roman" w:hAnsi="Times New Roman"/>
          <w:sz w:val="14"/>
          <w:szCs w:val="14"/>
          <w:color w:val="auto"/>
        </w:rPr>
        <w:t>. Following the Closing, any Party seeking resolution of any dispute, controversy or claim arising out of or relating to this Agreement or any other Transaction Document (including regarding whether any Assets are SpinCo Assets or Company Assets, any Liabilities are SpinCo Liabilities or Company Liabilities) or the validity, interpretation, breach or termination of this Agreement or any Transaction Document (a “</w:t>
      </w:r>
      <w:r>
        <w:rPr>
          <w:rFonts w:ascii="Times New Roman" w:cs="Times New Roman" w:eastAsia="Times New Roman" w:hAnsi="Times New Roman"/>
          <w:sz w:val="14"/>
          <w:szCs w:val="14"/>
          <w:b w:val="1"/>
          <w:bCs w:val="1"/>
          <w:color w:val="auto"/>
        </w:rPr>
        <w:t>Dispute</w:t>
      </w:r>
      <w:r>
        <w:rPr>
          <w:rFonts w:ascii="Times New Roman" w:cs="Times New Roman" w:eastAsia="Times New Roman" w:hAnsi="Times New Roman"/>
          <w:sz w:val="14"/>
          <w:szCs w:val="14"/>
          <w:color w:val="auto"/>
        </w:rPr>
        <w:t>”), shall provide written notice thereof to the General Counsel of the Company or Gold, as applicable, with a copy provided to the Chief Financial Officer of the Company or Gold, as applicable (the “</w:t>
      </w:r>
      <w:r>
        <w:rPr>
          <w:rFonts w:ascii="Times New Roman" w:cs="Times New Roman" w:eastAsia="Times New Roman" w:hAnsi="Times New Roman"/>
          <w:sz w:val="14"/>
          <w:szCs w:val="14"/>
          <w:b w:val="1"/>
          <w:bCs w:val="1"/>
          <w:color w:val="auto"/>
        </w:rPr>
        <w:t>Negotiation Request</w:t>
      </w:r>
      <w:r>
        <w:rPr>
          <w:rFonts w:ascii="Times New Roman" w:cs="Times New Roman" w:eastAsia="Times New Roman" w:hAnsi="Times New Roman"/>
          <w:sz w:val="14"/>
          <w:szCs w:val="14"/>
          <w:color w:val="auto"/>
        </w:rPr>
        <w:t xml:space="preserve">”). As soon as reasonably practicable following receipt of a Negotiation Request, an appropriate executive or other representative at a senior level of management of each of the Company and Gold (or, if the Parties, agree, of the appropriate strategic business unit or division within such entity) identified by the Chief Financial Officers of each of the Company and Gold, as applicable, shall begin conducting good faith negotiations with respect to such Dispute. All such negotiations shall be confidential and shall be treated as compromise and settlement negotiations for purposes of applicable rules of evidence. If the Company and Gold are unable for any reason to resolve a Dispute through such negotiations within thirty (30) days of receipt of a Negotiation Request, and such thirty (30)-day period is not extended by mutual written consent of the Company and Gold, the Dispute may be submitted to the applicable courts in accordance with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9.15 </w:t>
      </w:r>
      <w:r>
        <w:rPr>
          <w:rFonts w:ascii="Times New Roman" w:cs="Times New Roman" w:eastAsia="Times New Roman" w:hAnsi="Times New Roman"/>
          <w:sz w:val="14"/>
          <w:szCs w:val="14"/>
          <w:u w:val="single" w:color="auto"/>
          <w:color w:val="auto"/>
        </w:rPr>
        <w:t>Limitation on Liability</w:t>
      </w:r>
      <w:r>
        <w:rPr>
          <w:rFonts w:ascii="Times New Roman" w:cs="Times New Roman" w:eastAsia="Times New Roman" w:hAnsi="Times New Roman"/>
          <w:sz w:val="14"/>
          <w:szCs w:val="14"/>
          <w:color w:val="auto"/>
        </w:rPr>
        <w:t>. Notwithstanding anything in this Agreement to the contrary, no Party or any member of its respective Group shall be liable under this Agreement to any other Party for any punitive, exemplary, speculative or similar damages in excess of compensatory damages of the other arising in connection with the transactions contemplated hereby, whether or not advised of the possibility of such damages and</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B-72</w:t>
      </w:r>
    </w:p>
    <w:p>
      <w:pPr>
        <w:sectPr>
          <w:pgSz w:w="11900" w:h="16838" w:orient="portrait"/>
          <w:cols w:equalWidth="0" w:num="1">
            <w:col w:w="10159"/>
          </w:cols>
          <w:pgMar w:left="300" w:top="385" w:right="1440"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whether or not such damages are reasonably foreseeable (other than any such Liability (a) with respect to a Third-Party Claim with respect to which such losses are found by a court of competent jurisdiction to be owed to an unaffiliated third party or (b) arising under or otherwise governed by any other Transaction Agreement, including the Transition Services Agreement or the Technical Services Agreement, in each case, to the extent expressly set forth therein).</w:t>
      </w:r>
    </w:p>
    <w:p>
      <w:pPr>
        <w:spacing w:after="0" w:line="141"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9.16 </w:t>
      </w:r>
      <w:r>
        <w:rPr>
          <w:rFonts w:ascii="Times New Roman" w:cs="Times New Roman" w:eastAsia="Times New Roman" w:hAnsi="Times New Roman"/>
          <w:sz w:val="14"/>
          <w:szCs w:val="14"/>
          <w:u w:val="single" w:color="auto"/>
          <w:color w:val="auto"/>
        </w:rPr>
        <w:t>Performance</w:t>
      </w:r>
      <w:r>
        <w:rPr>
          <w:rFonts w:ascii="Times New Roman" w:cs="Times New Roman" w:eastAsia="Times New Roman" w:hAnsi="Times New Roman"/>
          <w:sz w:val="14"/>
          <w:szCs w:val="14"/>
          <w:color w:val="auto"/>
        </w:rPr>
        <w:t xml:space="preserve">. The Company will cause to be performed, and hereby guarantees the performance of, all actions, agreements and obligations set forth in this Agreement and the other Transaction Documents to be performed by any member of the Company Group. SpinCo will cause to be performed, and hereby guarantees the performance of, all actions, agreements and obligations set forth in this Agreement and the other Transaction Documents to be performed by any member of the SpinCo Group. Gold will cause to be performed, and hereby guarantees the performance of, all actions, agreements and obligations set forth in this Agreement and the other Transaction Documents to be performed by Gold or any Subsidiary of Gold (including, from and after the Distribution Time of the Merger, the members of the SpinCo Group). Each Party (including its permitted successors and assigns) further agrees that it will (a) give timely notice of the terms, conditions and continuing obligations contained in this </w:t>
      </w:r>
      <w:r>
        <w:rPr>
          <w:rFonts w:ascii="Times New Roman" w:cs="Times New Roman" w:eastAsia="Times New Roman" w:hAnsi="Times New Roman"/>
          <w:sz w:val="14"/>
          <w:szCs w:val="14"/>
          <w:u w:val="single" w:color="auto"/>
          <w:color w:val="auto"/>
        </w:rPr>
        <w:t>Section 9.16</w:t>
      </w:r>
      <w:r>
        <w:rPr>
          <w:rFonts w:ascii="Times New Roman" w:cs="Times New Roman" w:eastAsia="Times New Roman" w:hAnsi="Times New Roman"/>
          <w:sz w:val="14"/>
          <w:szCs w:val="14"/>
          <w:color w:val="auto"/>
        </w:rPr>
        <w:t xml:space="preserve"> to all of the other members of its Group and (b) cause all of the other members of its Group not to take any action inconsistent with such Party’s obligations under this Agreement and the other Transaction Documents or the transactions contemplated hereby or thereby.</w:t>
      </w:r>
    </w:p>
    <w:p>
      <w:pPr>
        <w:spacing w:after="0" w:line="14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 xml:space="preserve">9.17 </w:t>
      </w:r>
      <w:r>
        <w:rPr>
          <w:rFonts w:ascii="Times New Roman" w:cs="Times New Roman" w:eastAsia="Times New Roman" w:hAnsi="Times New Roman"/>
          <w:sz w:val="14"/>
          <w:szCs w:val="14"/>
          <w:u w:val="single" w:color="auto"/>
          <w:color w:val="auto"/>
        </w:rPr>
        <w:t>Mutual Drafting; Precedence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1360" w:right="559" w:firstLine="767"/>
        <w:spacing w:after="0" w:line="296" w:lineRule="auto"/>
        <w:tabs>
          <w:tab w:leader="none" w:pos="2322" w:val="left"/>
        </w:tabs>
        <w:numPr>
          <w:ilvl w:val="0"/>
          <w:numId w:val="5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SpinCo and Gold acknowledges that each Party to this Agreement has been represented by legal counsel in connection with this Agreement and that this Agreement and the other Transaction Documents shall be deemed to be the joint work product of the Parties and any rule of construction that a document shall be interpreted or construed against a drafter of such document shall not be applicable.</w:t>
      </w:r>
    </w:p>
    <w:p>
      <w:pPr>
        <w:spacing w:after="0" w:line="119" w:lineRule="exact"/>
        <w:rPr>
          <w:rFonts w:ascii="Times New Roman" w:cs="Times New Roman" w:eastAsia="Times New Roman" w:hAnsi="Times New Roman"/>
          <w:sz w:val="13"/>
          <w:szCs w:val="13"/>
          <w:color w:val="auto"/>
        </w:rPr>
      </w:pPr>
    </w:p>
    <w:p>
      <w:pPr>
        <w:ind w:left="1360" w:right="259" w:firstLine="767"/>
        <w:spacing w:after="0" w:line="256" w:lineRule="auto"/>
        <w:tabs>
          <w:tab w:leader="none" w:pos="2330" w:val="left"/>
        </w:tabs>
        <w:numPr>
          <w:ilvl w:val="0"/>
          <w:numId w:val="5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conflict or inconsistency between, on the one hand, the terms of this Agreement and, on the other hand, the terms of the Merger Agreement or any of the other Transaction Documents (other than the Transfer Documents) (each, a “</w:t>
      </w:r>
      <w:r>
        <w:rPr>
          <w:rFonts w:ascii="Times New Roman" w:cs="Times New Roman" w:eastAsia="Times New Roman" w:hAnsi="Times New Roman"/>
          <w:sz w:val="14"/>
          <w:szCs w:val="14"/>
          <w:b w:val="1"/>
          <w:bCs w:val="1"/>
          <w:color w:val="auto"/>
        </w:rPr>
        <w:t>Specified Agreement</w:t>
      </w:r>
      <w:r>
        <w:rPr>
          <w:rFonts w:ascii="Times New Roman" w:cs="Times New Roman" w:eastAsia="Times New Roman" w:hAnsi="Times New Roman"/>
          <w:sz w:val="14"/>
          <w:szCs w:val="14"/>
          <w:color w:val="auto"/>
        </w:rPr>
        <w:t>”), the terms of the applicable Specified Agreement shall control with respect to the subject matter specifically addressed by such Specified Agreement to the extent of such conflict or inconsistency. In the event of any conflict or inconsistency between the terms of the Merger Agreement and any other Specified Agreement, the terms of the Merger Agreement shall control with respect to the subject matter specifically addressed by such Merger Agreement to the extent of such conflict or inconsistency. In the event of any conflict or inconsistency between the terms of this Agreement and the terms of the Transfer Documents, the terms of this Agreement shall control to the extent of such conflict or inconsistency.</w:t>
      </w:r>
    </w:p>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B-73</w:t>
      </w:r>
    </w:p>
    <w:p>
      <w:pPr>
        <w:sectPr>
          <w:pgSz w:w="11900" w:h="16838" w:orient="portrait"/>
          <w:cols w:equalWidth="0" w:num="1">
            <w:col w:w="10159"/>
          </w:cols>
          <w:pgMar w:left="300" w:top="386" w:right="1440"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Separation Agreement to be executed by their duly authorized representatives as of the date first written above.</w:t>
      </w:r>
    </w:p>
    <w:p>
      <w:pPr>
        <w:spacing w:after="0" w:line="1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MODINE MANUFACTURING COMPANY</w:t>
      </w:r>
    </w:p>
    <w:p>
      <w:pPr>
        <w:spacing w:after="0" w:line="1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Erin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199580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Erin Roth</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Vice President, General Counsel and Chief</w:t>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Compliance Officer</w:t>
      </w:r>
    </w:p>
    <w:p>
      <w:pPr>
        <w:spacing w:after="0" w:line="18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1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Michael Rathburn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199580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Michael Rathburn</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1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Separation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5" w:right="1440"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IN WITNESS WHEREOF, the Parties have caused this Separation Agreement to be executed by their duly authorized representatives as of the date first written above.</w:t>
      </w:r>
    </w:p>
    <w:p>
      <w:pPr>
        <w:spacing w:after="0" w:line="1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GENTHERM INCORPORATED</w:t>
      </w:r>
    </w:p>
    <w:p>
      <w:pPr>
        <w:spacing w:after="0" w:line="1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William Presley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199580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William Presley</w:t>
      </w:r>
    </w:p>
    <w:p>
      <w:pPr>
        <w:spacing w:after="0" w:line="2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1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Separation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6" w:right="1440"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Annex C</w:t>
      </w:r>
    </w:p>
    <w:p>
      <w:pPr>
        <w:spacing w:after="0" w:line="196"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745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-90805</wp:posOffset>
            </wp:positionV>
            <wp:extent cx="1528445" cy="2533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1528445" cy="253365"/>
                    </a:xfrm>
                    <a:prstGeom prst="rect">
                      <a:avLst/>
                    </a:prstGeom>
                    <a:noFill/>
                  </pic:spPr>
                </pic:pic>
              </a:graphicData>
            </a:graphic>
          </wp:anchor>
        </w:drawing>
      </w:r>
    </w:p>
    <w:p>
      <w:pPr>
        <w:spacing w:after="0" w:line="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New York, NY 10019</w:t>
      </w:r>
    </w:p>
    <w:p>
      <w:pPr>
        <w:spacing w:after="0" w:line="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24"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January 29, 2026</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Gentherm Incorporated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28875 Cabot Drive, Novi, MI 48377</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Members of the Board of Directors:</w:t>
      </w:r>
    </w:p>
    <w:p>
      <w:pPr>
        <w:spacing w:after="0" w:line="175" w:lineRule="exact"/>
        <w:rPr>
          <w:sz w:val="20"/>
          <w:szCs w:val="20"/>
          <w:color w:val="auto"/>
        </w:rPr>
      </w:pPr>
    </w:p>
    <w:p>
      <w:pPr>
        <w:ind w:left="1360" w:right="279" w:firstLine="343"/>
        <w:spacing w:after="0" w:line="275" w:lineRule="auto"/>
        <w:rPr>
          <w:sz w:val="20"/>
          <w:szCs w:val="20"/>
          <w:color w:val="auto"/>
        </w:rPr>
      </w:pPr>
      <w:r>
        <w:rPr>
          <w:rFonts w:ascii="Times New Roman" w:cs="Times New Roman" w:eastAsia="Times New Roman" w:hAnsi="Times New Roman"/>
          <w:sz w:val="13"/>
          <w:szCs w:val="13"/>
          <w:color w:val="auto"/>
        </w:rPr>
        <w:t>We understand that Gentherm Incorporated, a Michigan corporation (the “Company”) intends to enter into a transaction with Modine Manufacturing Company, a Wisconsin corporation (“Modine”), and Platinum SpinCo Inc., a Delaware corporation and a wholly owned subsidiary of Modine (“SpinCo”), pursuant to which (1) Platinum Gold Merger Sub Inc., a Delaware corporation and a wholly owned subsidiary of the Company (“Merger Sub”), will merge with and into SpinCo, with SpinCo surviving the merger (the “Merger”) as a wholly owned subsidiary of the Company, and</w:t>
      </w:r>
    </w:p>
    <w:p>
      <w:pPr>
        <w:spacing w:after="0" w:line="2" w:lineRule="exact"/>
        <w:rPr>
          <w:sz w:val="20"/>
          <w:szCs w:val="20"/>
          <w:color w:val="auto"/>
        </w:rPr>
      </w:pPr>
    </w:p>
    <w:p>
      <w:pPr>
        <w:ind w:left="1360" w:right="259" w:hanging="5"/>
        <w:spacing w:after="0" w:line="251" w:lineRule="auto"/>
        <w:tabs>
          <w:tab w:leader="none" w:pos="1558" w:val="left"/>
        </w:tabs>
        <w:numPr>
          <w:ilvl w:val="0"/>
          <w:numId w:val="5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of the Merger, each share of common stock of SpinCo, par value $0.001 per share (“SpinCo Common Stock”), that is issued and outstanding immediately prior to the Merger (other than shares of SpinCo Common Stock to be cancelled pursuant to the Agreement and Plan of Merger, dated as of January 29, 2026, by and among the Company, Modine, Merger Sub and SpinCo (the “Merger Agreement”)) will be converted into the right to receive a number of shares of common stock, par value $0.01 per share, of the Company (“Company Common Stock”), equal to the quotient obtained by dividing (A) the Fully Diluted SpinCo Shares by (B) the number of shares of SpinCo Common Stock issued and outstanding immediately following the Distribution (as defined in the Separation Agreement, dated as of January 29, 2026, by and among Modine, SpinCo and the Company (the “Separation Agreement,” and together with the Merger Agreement, the “Agreements”)), such quotient being subject to adjustment in certain circumstances, including to cause the percentage of issued and outstanding shares of Company Common Stock to be received by the former holders of SpinCo Common Stock, together with all Overlap Shares (as defined in the Merger Agreement), to be equal to at least 50.5% of all issued and outstanding shares of Company Common Stock as of immediately following the SpinCo Cash Distribution and the Gold Special Dividend (each, as defined in the Merger Agreement), if any, and any adjustment thereof, in each case, pursuant to Section 3.1(c) of the Merger Agreement (such quotient, as it may be adjusted pursuant to Section 3.1(c) of the Merger Agreement, the “Exchange Ratio”).</w:t>
      </w:r>
    </w:p>
    <w:p>
      <w:pPr>
        <w:spacing w:after="0" w:line="152"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Prior to the effective time of the Merger, pursuant to the Separation Agreement entered into concurrently with the Merger Agreement, (1) Modine will cause the SpinCo Assets to be transferred to SpinCo and other members of the SpinCo Group and the SpinCo Liabilities to be assumed by SpinCo and other members of the SpinCo Group (as such terms are defined in the Separation Agreement); (2) SpinCo will make the SpinCo Cash Distribution, as adjusted in accordance with the Merger Agreement, to Modine; and (3) Modine will distribute to its stockholders all the shares of SpinCo Common Stock without consideration on a pro rata basis (the “Distribution”).</w:t>
      </w:r>
    </w:p>
    <w:p>
      <w:pPr>
        <w:spacing w:after="0" w:line="144"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Merger, Distribution and other transactions contemplated by the Agreements are collectively referred to herein as the “Proposed Transaction.” The terms and conditions of the Proposed Transaction are set forth in more detail in the Agreements. The summary of the Proposed Transaction set forth above is qualified in its entirety by the terms of the Agreements.</w:t>
      </w:r>
    </w:p>
    <w:p>
      <w:pPr>
        <w:spacing w:after="0" w:line="8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Restricted - External</w:t>
      </w:r>
    </w:p>
    <w:p>
      <w:pPr>
        <w:spacing w:after="0" w:line="12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C-1</w:t>
      </w:r>
    </w:p>
    <w:p>
      <w:pPr>
        <w:sectPr>
          <w:pgSz w:w="11900" w:h="16838" w:orient="portrait"/>
          <w:cols w:equalWidth="0" w:num="1">
            <w:col w:w="10159"/>
          </w:cols>
          <w:pgMar w:left="300" w:top="386" w:right="1440"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168910</wp:posOffset>
            </wp:positionV>
            <wp:extent cx="828040" cy="1403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828040" cy="14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Page 2 of 4</w:t>
      </w:r>
    </w:p>
    <w:p>
      <w:pPr>
        <w:spacing w:after="0" w:line="123" w:lineRule="exact"/>
        <w:rPr>
          <w:sz w:val="20"/>
          <w:szCs w:val="20"/>
          <w:color w:val="auto"/>
        </w:rPr>
      </w:pPr>
    </w:p>
    <w:p>
      <w:pPr>
        <w:ind w:left="1360" w:right="379" w:firstLine="343"/>
        <w:spacing w:after="0" w:line="256" w:lineRule="auto"/>
        <w:rPr>
          <w:sz w:val="20"/>
          <w:szCs w:val="20"/>
          <w:color w:val="auto"/>
        </w:rPr>
      </w:pPr>
      <w:r>
        <w:rPr>
          <w:rFonts w:ascii="Times New Roman" w:cs="Times New Roman" w:eastAsia="Times New Roman" w:hAnsi="Times New Roman"/>
          <w:sz w:val="14"/>
          <w:szCs w:val="14"/>
          <w:color w:val="auto"/>
        </w:rPr>
        <w:t>We have been requested by the Board of Directors of the Company to render our opinion with respect to the fairness, from a financial point of view, to the Company of the Exchange Ratio in the Proposed Transaction. We have not been requested to opine as to, and our opinion does not in any manner address, the Company’s underlying business decision to proceed with or effect the Proposed Transaction or the likelihood of consummation of the Proposed Transaction. In addition, we express no opinion on, and our opinion does not in any manner address, the fairness of the amount or the nature of any compensation to any officers, directors or employees of any parties to the Proposed Transaction, or any class of such persons, relative to the consideration paid in the Proposed Transaction or otherwise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Our opinion does not address the relative merits of the Proposed Transaction as compared to any other transaction or business strategy in which the Company might engage.</w:t>
      </w:r>
    </w:p>
    <w:p>
      <w:pPr>
        <w:spacing w:after="0" w:line="144" w:lineRule="exact"/>
        <w:rPr>
          <w:sz w:val="20"/>
          <w:szCs w:val="20"/>
          <w:color w:val="auto"/>
        </w:rPr>
      </w:pPr>
    </w:p>
    <w:p>
      <w:pPr>
        <w:ind w:left="1360" w:right="219" w:firstLine="343"/>
        <w:spacing w:after="0" w:line="252" w:lineRule="auto"/>
        <w:rPr>
          <w:sz w:val="20"/>
          <w:szCs w:val="20"/>
          <w:color w:val="auto"/>
        </w:rPr>
      </w:pPr>
      <w:r>
        <w:rPr>
          <w:rFonts w:ascii="Times New Roman" w:cs="Times New Roman" w:eastAsia="Times New Roman" w:hAnsi="Times New Roman"/>
          <w:sz w:val="14"/>
          <w:szCs w:val="14"/>
          <w:color w:val="auto"/>
        </w:rPr>
        <w:t>In arriving at our opinion, we reviewed and analyzed: (1) the Merger Agreement, the Separation Agreement, the specific terms of the Proposed Transaction and certain other related documents; (2) publicly available information concerning the Company, Modine and the SpinCo Business (as defined in the Merger Agreement) that we believe to be relevant to our analysis, including the Company’s and Modine’s Annual Reports on Form 10-K for the fiscal years ended December 31, 2024 and March 31, 2025, respectively and the Company’s and Modine’s Quarterly Reports on Form 10-Q for the fiscal quarter ended September 30, 2025; (3) financial and operating information with respect to the business, operations and prospects of the Company and the SpinCo Business furnished to us by the Company and Modine, including financial projections for SpinCo prepared by Modine and adjusted by management of the Company (the “SpinCo Projections”) and financial projections for the Company prepared by the Company (the “Company Projections”); (4) a trading history of the Company Common Stock from January 23, 2025 to January 23, 2026 and a comparison of that trading history with those of other companies that we deemed relevant; (5) a comparison of the historical financial results and present financial condition of the Company and the SpinCo Business with each other and with those of other companies that we deemed relevant; (6) a comparison of the financial terms of the Proposed Transaction with the financial terms of certain other transactions that we deemed relevant; (7) the pro forma impact of the Proposed Transaction on the future financial performance of the combined company, including the estimated operating synergies expected by the management of the Company to result from a combination of the Company and the SpinCo Business (the “Expected Synergies”); and (8) the relative contributions of the Company and the SpinCo Business to the future financial performance of the combined company on a pro forma basis. In addition, we have had discussions with the management of the Company concerning its business, operations, assets, liabilities, financial condition and prospects and have undertaken such other studies, analyses and investigations as we deemed appropriate.</w:t>
      </w:r>
    </w:p>
    <w:p>
      <w:pPr>
        <w:spacing w:after="0" w:line="155" w:lineRule="exact"/>
        <w:rPr>
          <w:sz w:val="20"/>
          <w:szCs w:val="20"/>
          <w:color w:val="auto"/>
        </w:rPr>
      </w:pPr>
    </w:p>
    <w:p>
      <w:pPr>
        <w:ind w:left="1360" w:right="339" w:firstLine="343"/>
        <w:spacing w:after="0" w:line="254" w:lineRule="auto"/>
        <w:rPr>
          <w:sz w:val="20"/>
          <w:szCs w:val="20"/>
          <w:color w:val="auto"/>
        </w:rPr>
      </w:pPr>
      <w:r>
        <w:rPr>
          <w:rFonts w:ascii="Times New Roman" w:cs="Times New Roman" w:eastAsia="Times New Roman" w:hAnsi="Times New Roman"/>
          <w:sz w:val="14"/>
          <w:szCs w:val="14"/>
          <w:color w:val="auto"/>
        </w:rPr>
        <w:t>In arriving at our opinion, we have assumed and relied upon the accuracy and completeness of the financial and other information used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Company Projections and the SpinCo Projections, upon the advice of the Company, we have assumed that such projections have been reasonably prepared on a basis reflecting the best currently available estimates and judgments of the management of the Company as to the future financial performance of the Company and the SpinCo Business, respectively, and that the Company and the SpinCo Business will perform substantially in accordance with such projections. Furthermore, upon the advice of the Company, we have assumed that the amounts and timing of the Expected Synergies are reasonable and that the Expected Synergies will be realized in accordance with such estimates. We assume no responsibility for and we express no view as to any such projections or estimates or the assumptions on which they are based. In arriving at our opinion, we have not conducted a physical inspection of the properties and facilities of the Company and have not made or obtained any evaluations or appraisals of the assets or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C-2</w:t>
      </w:r>
    </w:p>
    <w:p>
      <w:pPr>
        <w:sectPr>
          <w:pgSz w:w="11900" w:h="16838" w:orient="portrait"/>
          <w:cols w:equalWidth="0" w:num="1">
            <w:col w:w="10159"/>
          </w:cols>
          <w:pgMar w:left="300" w:top="385" w:right="1440"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168275</wp:posOffset>
            </wp:positionV>
            <wp:extent cx="828040" cy="1403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828040" cy="14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Page 3 of 4</w:t>
      </w:r>
    </w:p>
    <w:p>
      <w:pPr>
        <w:spacing w:after="0" w:line="12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liabilities of the Company. Our opinion, as set forth herein, relates to the relative values of the Company and the SpinCo Business as of the date hereof, giving effect to the Proposed Transaction. Our opinion necessarily is based upon market, economic and other conditions as they exist on, and can be evaluated as of, the date of this letter. We assume no responsibility for updating or revising our opinion based on events or circumstances that may occur after the date of this letter.</w:t>
      </w:r>
    </w:p>
    <w:p>
      <w:pPr>
        <w:spacing w:after="0" w:line="141"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We express no opinion as to the prices at which shares of Company Common Stock or common stock of Modine (“Modine Common Stock”) would trade following the announcement of the Proposed Transaction. Our opinion should not be viewed as providing any assurance that the market value of the shares of Company Common Stock or Modine Common Stock to be held by the stockholders of the Company or Modine after the consummation of the Proposed Transaction will be in excess of the market value of Company Common Stock or Modine Common Stock owned by such stockholders at any time prior to the announcement or consummation of the Proposed Transaction.</w:t>
      </w:r>
    </w:p>
    <w:p>
      <w:pPr>
        <w:spacing w:after="0" w:line="144"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We have assumed the accuracy of the representations and warranties contained in the Agreements, as applicable, and all other agreements related thereto. We have also assumed, upon the advice of the Company, that all material governmental, regulatory and third party approvals, consents and releases for the Proposed Transaction will be obtained within the constraints contemplated by the Agreements and that the Proposed Transaction will be consummated in accordance with the terms of the Agreements without waiver, modification or amendment of any material term, condition or agreement thereof. We have also assumed that there will be no adjustment to the Exchange Ratio other than as expressly provided in, and solely to the extent required by and in accordance with, Section 3.1(c) of the Merger Agreement, and that any adjustment to the Exchange Ratio will not be in excess of the Final Adjustment Cap (as defined in the Merger Agreement). We do not express any opinion as to any tax or other consequences that might result from the Proposed Transaction, nor does our opinion address any legal, tax, regulatory or accounting matters, as to which we understand that the Company has obtained such advice as it deemed necessary from qualified professionals. We have assumed that the Merger will qualify for U.S. Federal income tax purposes as a reorganization under the provisions of Section 368(a) of the Internal Revenue Code of 1986, as amended (the “Code”), and that the Distribution will be tax-free to Modine and the shareholders of Modine pursuant to Section 355 of the Code. We have not independently verified that this tax treatment will be available in respect of the Proposed Transaction, and we express no view with respect to the tax treatment or consequences that will apply to or result from the Proposed Transaction.</w:t>
      </w:r>
    </w:p>
    <w:p>
      <w:pPr>
        <w:spacing w:after="0" w:line="149" w:lineRule="exact"/>
        <w:rPr>
          <w:sz w:val="20"/>
          <w:szCs w:val="20"/>
          <w:color w:val="auto"/>
        </w:rPr>
      </w:pPr>
    </w:p>
    <w:p>
      <w:pPr>
        <w:ind w:left="1360" w:right="259" w:firstLine="343"/>
        <w:spacing w:after="0" w:line="283" w:lineRule="auto"/>
        <w:rPr>
          <w:sz w:val="20"/>
          <w:szCs w:val="20"/>
          <w:color w:val="auto"/>
        </w:rPr>
      </w:pPr>
      <w:r>
        <w:rPr>
          <w:rFonts w:ascii="Times New Roman" w:cs="Times New Roman" w:eastAsia="Times New Roman" w:hAnsi="Times New Roman"/>
          <w:sz w:val="14"/>
          <w:szCs w:val="14"/>
          <w:color w:val="auto"/>
        </w:rPr>
        <w:t>Based upon and subject to the foregoing, we are of the opinion as of the date hereof that, the Exchange Ratio in the Proposed Transaction is fair to the Company from a financial point of view.</w:t>
      </w:r>
    </w:p>
    <w:p>
      <w:pPr>
        <w:spacing w:after="0" w:line="125"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We are acting as financial advisor to the Company in connection with the Proposed Transaction and will receive fees for our services, a portion of which is payable upon rendering this opinion and a substantial portion of which is contingent upon the consummation of the Proposed Transaction. In addition, the Company has agreed to reimburse a portion of our expenses and indemnify us for certain liabilities that may arise out of our engagement and the rendering of this opinion. We have performed various investment banking services for the Company and Modine in the past, and expect to perform such services in the future, and have received, and expect to receive, customary fees for such services. Specifically, in the past two years, (a) for the Company, we have not performed any investment banking and financial services for which we received a fee and (b) for Modine, we acted as a financial advisor in connection with its acquisition of Scott Springfield Manufacturing in February 2024 and have been a lender in Modine’s credit facilities for which we have received customary fees. In addition, we are currently engaged as a financial advisor to Modine in connection with services unrelated to the Proposed Transaction for which we may receive customary fees, and are currently a lender in Modine’s credit</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C-3</w:t>
      </w:r>
    </w:p>
    <w:p>
      <w:pPr>
        <w:sectPr>
          <w:pgSz w:w="11900" w:h="16838" w:orient="portrait"/>
          <w:cols w:equalWidth="0" w:num="1">
            <w:col w:w="10159"/>
          </w:cols>
          <w:pgMar w:left="300" w:top="386" w:right="1440"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168910</wp:posOffset>
            </wp:positionV>
            <wp:extent cx="828040" cy="1403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828040" cy="14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Page 4 of 4</w:t>
      </w:r>
    </w:p>
    <w:p>
      <w:pPr>
        <w:spacing w:after="0" w:line="12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facilities for which we will receive customary fees. We have also been engaged by the Company in connection with the financing transactions related to the Proposed Transaction for which we will receive customary fees.</w:t>
      </w:r>
    </w:p>
    <w:p>
      <w:pPr>
        <w:spacing w:after="0" w:line="125" w:lineRule="exact"/>
        <w:rPr>
          <w:sz w:val="20"/>
          <w:szCs w:val="20"/>
          <w:color w:val="auto"/>
        </w:rPr>
      </w:pPr>
    </w:p>
    <w:p>
      <w:pPr>
        <w:ind w:left="1360" w:right="439" w:firstLine="343"/>
        <w:spacing w:after="0" w:line="258" w:lineRule="auto"/>
        <w:rPr>
          <w:sz w:val="20"/>
          <w:szCs w:val="20"/>
          <w:color w:val="auto"/>
        </w:rPr>
      </w:pPr>
      <w:r>
        <w:rPr>
          <w:rFonts w:ascii="Times New Roman" w:cs="Times New Roman" w:eastAsia="Times New Roman" w:hAnsi="Times New Roman"/>
          <w:sz w:val="14"/>
          <w:szCs w:val="14"/>
          <w:color w:val="auto"/>
        </w:rPr>
        <w:t>Barclays Capital Inc., its subsidiaries and its affiliates engage in a wide range of businesses from investment and commercial banking, lending, asset management and other financial and non-financial services. In the ordinary course of our business, we and our affiliates may actively trade and effect transactions in the equity, debt and/or other securities (and any derivatives thereof) and financial instruments (including loans and other obligations) of the Company and Modine for our own account and for the accounts of our customers and, accordingly, may at any time hold long or short positions and investments in such securities and financial instruments.</w:t>
      </w:r>
    </w:p>
    <w:p>
      <w:pPr>
        <w:spacing w:after="0" w:line="144"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This opinion, the issuance of which has been approved by our Fairness Opinion Committee, is for the use and benefit of the Board of Directors of the Company and is rendered to the Board of Directors in connection with its consideration of the Proposed Transaction. This opinion is not intended to be and does not constitute a recommendation to any stockholder of the Company as to how such stockholder should vote with respect to the Proposed Transaction.</w:t>
      </w:r>
    </w:p>
    <w:p>
      <w:pPr>
        <w:spacing w:after="0" w:line="16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 Barclays Capital Inc.</w:t>
      </w:r>
    </w:p>
    <w:p>
      <w:pPr>
        <w:spacing w:after="0" w:line="1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BARCLAYS CAPITAL INC.</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C-4</w:t>
      </w:r>
    </w:p>
    <w:p>
      <w:pPr>
        <w:sectPr>
          <w:pgSz w:w="11900" w:h="16838" w:orient="portrait"/>
          <w:cols w:equalWidth="0" w:num="1">
            <w:col w:w="10159"/>
          </w:cols>
          <w:pgMar w:left="300" w:top="385" w:right="1440"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ANNEX D</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CERTIFICATE OF AMENDMENT TO THE</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SECOND AMENDED AND RESTATED ARTICLES OF INCORPORATION</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i w:val="1"/>
          <w:iCs w:val="1"/>
          <w:color w:val="auto"/>
        </w:rPr>
        <w:t>For use by Domestic Profit and Nonprofit Corporations</w:t>
      </w:r>
    </w:p>
    <w:p>
      <w:pPr>
        <w:spacing w:after="0" w:line="161" w:lineRule="exact"/>
        <w:rPr>
          <w:sz w:val="20"/>
          <w:szCs w:val="20"/>
          <w:color w:val="auto"/>
        </w:rPr>
      </w:pPr>
    </w:p>
    <w:p>
      <w:pPr>
        <w:ind w:left="1360" w:right="219"/>
        <w:spacing w:after="0" w:line="283" w:lineRule="auto"/>
        <w:rPr>
          <w:sz w:val="20"/>
          <w:szCs w:val="20"/>
          <w:color w:val="auto"/>
        </w:rPr>
      </w:pPr>
      <w:r>
        <w:rPr>
          <w:rFonts w:ascii="Times New Roman" w:cs="Times New Roman" w:eastAsia="Times New Roman" w:hAnsi="Times New Roman"/>
          <w:sz w:val="14"/>
          <w:szCs w:val="14"/>
          <w:color w:val="auto"/>
        </w:rPr>
        <w:t>Pursuant to the provisions of Act 284, Public Acts of 1972 (profit corporations) (the “Michigan Business Corporation Act”), the undersigned corporation executes the following Certificate:</w:t>
      </w:r>
    </w:p>
    <w:p>
      <w:pPr>
        <w:spacing w:after="0" w:line="125" w:lineRule="exact"/>
        <w:rPr>
          <w:sz w:val="20"/>
          <w:szCs w:val="20"/>
          <w:color w:val="auto"/>
        </w:rPr>
      </w:pPr>
    </w:p>
    <w:p>
      <w:pPr>
        <w:ind w:left="1840" w:hanging="142"/>
        <w:spacing w:after="0"/>
        <w:tabs>
          <w:tab w:leader="none" w:pos="1840"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name of the corporation is: Gentherm Incorporated (the “</w:t>
      </w:r>
      <w:r>
        <w:rPr>
          <w:rFonts w:ascii="Times New Roman" w:cs="Times New Roman" w:eastAsia="Times New Roman" w:hAnsi="Times New Roman"/>
          <w:sz w:val="14"/>
          <w:szCs w:val="14"/>
          <w:u w:val="single" w:color="auto"/>
          <w:color w:val="auto"/>
        </w:rPr>
        <w:t>Corporation</w:t>
      </w:r>
      <w:r>
        <w:rPr>
          <w:rFonts w:ascii="Times New Roman" w:cs="Times New Roman" w:eastAsia="Times New Roman" w:hAnsi="Times New Roman"/>
          <w:sz w:val="14"/>
          <w:szCs w:val="14"/>
          <w:color w:val="auto"/>
        </w:rPr>
        <w:t>”).</w:t>
      </w:r>
    </w:p>
    <w:p>
      <w:pPr>
        <w:spacing w:after="0" w:line="175" w:lineRule="exact"/>
        <w:rPr>
          <w:rFonts w:ascii="Times New Roman" w:cs="Times New Roman" w:eastAsia="Times New Roman" w:hAnsi="Times New Roman"/>
          <w:sz w:val="14"/>
          <w:szCs w:val="14"/>
          <w:color w:val="auto"/>
        </w:rPr>
      </w:pPr>
    </w:p>
    <w:p>
      <w:pPr>
        <w:ind w:left="1840" w:hanging="142"/>
        <w:spacing w:after="0"/>
        <w:tabs>
          <w:tab w:leader="none" w:pos="1840"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identification number assigned by the Bureau is: 545-27C.</w:t>
      </w:r>
    </w:p>
    <w:p>
      <w:pPr>
        <w:spacing w:after="0" w:line="175" w:lineRule="exact"/>
        <w:rPr>
          <w:rFonts w:ascii="Times New Roman" w:cs="Times New Roman" w:eastAsia="Times New Roman" w:hAnsi="Times New Roman"/>
          <w:sz w:val="14"/>
          <w:szCs w:val="14"/>
          <w:color w:val="auto"/>
        </w:rPr>
      </w:pPr>
    </w:p>
    <w:p>
      <w:pPr>
        <w:ind w:left="1360" w:right="479" w:firstLine="338"/>
        <w:spacing w:after="0" w:line="283" w:lineRule="auto"/>
        <w:tabs>
          <w:tab w:leader="none" w:pos="1843" w:val="left"/>
        </w:tabs>
        <w:numPr>
          <w:ilvl w:val="0"/>
          <w:numId w:val="5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at 5:00 p.m. Eastern time on the date of filing of this Certificate of Amendment with the State of Michigan (the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Section A of Article III of the Second Amended and Restated Articles is hereby amended and restated to read as follows:</w:t>
      </w:r>
    </w:p>
    <w:p>
      <w:pPr>
        <w:spacing w:after="0" w:line="41" w:lineRule="exact"/>
        <w:rPr>
          <w:sz w:val="20"/>
          <w:szCs w:val="20"/>
          <w:color w:val="auto"/>
        </w:rPr>
      </w:pPr>
    </w:p>
    <w:tbl>
      <w:tblPr>
        <w:tblLayout w:type="fixed"/>
        <w:tblInd w:w="136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“The total number of shares which the corporation is authorized to issue is            , of which       </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shall be Common Stock, without par</w:t>
            </w:r>
          </w:p>
        </w:tc>
      </w:tr>
      <w:tr>
        <w:trPr>
          <w:trHeight w:val="183"/>
        </w:trPr>
        <w:tc>
          <w:tcPr>
            <w:tcW w:w="240" w:type="dxa"/>
            <w:vAlign w:val="bottom"/>
          </w:tcPr>
          <w:p>
            <w:pPr>
              <w:spacing w:after="0"/>
              <w:rPr>
                <w:sz w:val="15"/>
                <w:szCs w:val="15"/>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value, and 4,991,000 shall be Preferred Stock, without par value.</w:t>
            </w:r>
          </w:p>
        </w:tc>
        <w:tc>
          <w:tcPr>
            <w:tcW w:w="1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22"/>
        </w:trPr>
        <w:tc>
          <w:tcPr>
            <w:tcW w:w="240" w:type="dxa"/>
            <w:vAlign w:val="bottom"/>
          </w:tcPr>
          <w:p>
            <w:pPr>
              <w:spacing w:after="0"/>
              <w:rPr>
                <w:sz w:val="24"/>
                <w:szCs w:val="24"/>
                <w:color w:val="auto"/>
              </w:rPr>
            </w:pPr>
          </w:p>
        </w:tc>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98"/>
              </w:rPr>
              <w:t>4. The foregoing amendment to the Restated Articles proposed by the board was duly adopted on the 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day of            ,            by the</w:t>
            </w:r>
          </w:p>
        </w:tc>
      </w:tr>
      <w:tr>
        <w:trPr>
          <w:trHeight w:val="183"/>
        </w:trPr>
        <w:tc>
          <w:tcPr>
            <w:tcW w:w="6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shareholders at a meeting in accordance with Section 611(3) of the Michigan Business Corporation Act.</w:t>
            </w:r>
          </w:p>
        </w:tc>
        <w:tc>
          <w:tcPr>
            <w:tcW w:w="1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57"/>
        </w:trPr>
        <w:tc>
          <w:tcPr>
            <w:tcW w:w="6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Signed this            day of            ,          </w:t>
            </w: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6"/>
        </w:trPr>
        <w:tc>
          <w:tcPr>
            <w:tcW w:w="6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w:t>
            </w: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44"/>
        </w:trPr>
        <w:tc>
          <w:tcPr>
            <w:tcW w:w="240" w:type="dxa"/>
            <w:vAlign w:val="bottom"/>
          </w:tcPr>
          <w:p>
            <w:pPr>
              <w:spacing w:after="0"/>
              <w:rPr>
                <w:sz w:val="12"/>
                <w:szCs w:val="12"/>
                <w:color w:val="auto"/>
              </w:rPr>
            </w:pPr>
          </w:p>
        </w:tc>
        <w:tc>
          <w:tcPr>
            <w:tcW w:w="3180" w:type="dxa"/>
            <w:vAlign w:val="bottom"/>
            <w:tcBorders>
              <w:top w:val="single" w:sz="8" w:color="auto"/>
            </w:tcBorders>
          </w:tcPr>
          <w:p>
            <w:pPr>
              <w:ind w:left="40"/>
              <w:spacing w:after="0" w:line="144" w:lineRule="exact"/>
              <w:rPr>
                <w:sz w:val="20"/>
                <w:szCs w:val="20"/>
                <w:color w:val="auto"/>
              </w:rPr>
            </w:pPr>
            <w:r>
              <w:rPr>
                <w:rFonts w:ascii="Times New Roman" w:cs="Times New Roman" w:eastAsia="Times New Roman" w:hAnsi="Times New Roman"/>
                <w:sz w:val="14"/>
                <w:szCs w:val="14"/>
                <w:color w:val="auto"/>
              </w:rPr>
              <w:t>Wayne Kauffman</w:t>
            </w: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83"/>
        </w:trPr>
        <w:tc>
          <w:tcPr>
            <w:tcW w:w="240" w:type="dxa"/>
            <w:vAlign w:val="bottom"/>
          </w:tcPr>
          <w:p>
            <w:pPr>
              <w:spacing w:after="0"/>
              <w:rPr>
                <w:sz w:val="15"/>
                <w:szCs w:val="15"/>
                <w:color w:val="auto"/>
              </w:rPr>
            </w:pPr>
          </w:p>
        </w:tc>
        <w:tc>
          <w:tcPr>
            <w:tcW w:w="58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Senior Vice President, General Counsel and Secretary</w:t>
            </w:r>
          </w:p>
        </w:tc>
        <w:tc>
          <w:tcPr>
            <w:tcW w:w="1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84"/>
        </w:trPr>
        <w:tc>
          <w:tcPr>
            <w:tcW w:w="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D-1</w:t>
            </w: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395605</wp:posOffset>
            </wp:positionV>
            <wp:extent cx="1041400" cy="2400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104140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6"/>
          <w:szCs w:val="6"/>
          <w:i w:val="1"/>
          <w:iCs w:val="1"/>
          <w:color w:val="auto"/>
        </w:rPr>
        <w:t>GENTHERM INCORPORATED</w:t>
      </w:r>
    </w:p>
    <w:p>
      <w:pPr>
        <w:spacing w:after="0" w:line="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7"/>
          <w:szCs w:val="7"/>
          <w:i w:val="1"/>
          <w:iCs w:val="1"/>
          <w:color w:val="auto"/>
        </w:rPr>
        <w:t>28875 CABOT DRIVE</w:t>
      </w:r>
    </w:p>
    <w:p>
      <w:pPr>
        <w:spacing w:after="0" w:line="1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7"/>
          <w:szCs w:val="7"/>
          <w:i w:val="1"/>
          <w:iCs w:val="1"/>
          <w:color w:val="auto"/>
        </w:rPr>
        <w:t>NOVI, MI 48377</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ANNEX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-518160</wp:posOffset>
            </wp:positionV>
            <wp:extent cx="7201535" cy="330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135255</wp:posOffset>
            </wp:positionV>
            <wp:extent cx="1442085" cy="3403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1442085" cy="34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8"/>
          <w:szCs w:val="8"/>
          <w:b w:val="1"/>
          <w:bCs w:val="1"/>
          <w:color w:val="auto"/>
        </w:rPr>
        <w:t>VOTE BY INTERNET</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8"/>
          <w:szCs w:val="8"/>
          <w:i w:val="1"/>
          <w:iCs w:val="1"/>
          <w:color w:val="auto"/>
        </w:rPr>
        <w:t xml:space="preserve">Before The Meeting </w:t>
      </w:r>
      <w:r>
        <w:rPr>
          <w:rFonts w:ascii="Times New Roman" w:cs="Times New Roman" w:eastAsia="Times New Roman" w:hAnsi="Times New Roman"/>
          <w:sz w:val="8"/>
          <w:szCs w:val="8"/>
          <w:color w:val="auto"/>
        </w:rPr>
        <w:t>- Go to</w:t>
      </w:r>
      <w:r>
        <w:rPr>
          <w:rFonts w:ascii="Times New Roman" w:cs="Times New Roman" w:eastAsia="Times New Roman" w:hAnsi="Times New Roman"/>
          <w:sz w:val="8"/>
          <w:szCs w:val="8"/>
          <w:i w:val="1"/>
          <w:iCs w:val="1"/>
          <w:color w:val="auto"/>
        </w:rPr>
        <w:t xml:space="preserve"> </w:t>
      </w:r>
      <w:r>
        <w:rPr>
          <w:rFonts w:ascii="Times New Roman" w:cs="Times New Roman" w:eastAsia="Times New Roman" w:hAnsi="Times New Roman"/>
          <w:sz w:val="8"/>
          <w:szCs w:val="8"/>
          <w:b w:val="1"/>
          <w:bCs w:val="1"/>
          <w:u w:val="single" w:color="auto"/>
          <w:color w:val="auto"/>
        </w:rPr>
        <w:t>www.proxyvote.com</w:t>
      </w:r>
      <w:r>
        <w:rPr>
          <w:rFonts w:ascii="Times New Roman" w:cs="Times New Roman" w:eastAsia="Times New Roman" w:hAnsi="Times New Roman"/>
          <w:sz w:val="8"/>
          <w:szCs w:val="8"/>
          <w:i w:val="1"/>
          <w:iCs w:val="1"/>
          <w:color w:val="auto"/>
        </w:rPr>
        <w:t xml:space="preserve"> </w:t>
      </w:r>
      <w:r>
        <w:rPr>
          <w:rFonts w:ascii="Times New Roman" w:cs="Times New Roman" w:eastAsia="Times New Roman" w:hAnsi="Times New Roman"/>
          <w:sz w:val="8"/>
          <w:szCs w:val="8"/>
          <w:b w:val="1"/>
          <w:bCs w:val="1"/>
          <w:color w:val="auto"/>
        </w:rPr>
        <w:t>or scan the QR Barcode above</w:t>
      </w:r>
    </w:p>
    <w:p>
      <w:pPr>
        <w:spacing w:after="0" w:line="89" w:lineRule="exact"/>
        <w:rPr>
          <w:sz w:val="20"/>
          <w:szCs w:val="20"/>
          <w:color w:val="auto"/>
        </w:rPr>
      </w:pPr>
    </w:p>
    <w:p>
      <w:pPr>
        <w:jc w:val="both"/>
        <w:ind w:left="560" w:right="239"/>
        <w:spacing w:after="0" w:line="266" w:lineRule="auto"/>
        <w:rPr>
          <w:sz w:val="20"/>
          <w:szCs w:val="20"/>
          <w:color w:val="auto"/>
        </w:rPr>
      </w:pPr>
      <w:r>
        <w:rPr>
          <w:rFonts w:ascii="Times New Roman" w:cs="Times New Roman" w:eastAsia="Times New Roman" w:hAnsi="Times New Roman"/>
          <w:sz w:val="8"/>
          <w:szCs w:val="8"/>
          <w:color w:val="auto"/>
        </w:rPr>
        <w:t>Use the Internet to transmit your voting instructions and for electronic delivery of information. Vote by 11:59 PM EDT on [__], 2026. Have your proxy card in hand when you access the web site and follow the instructions to obtain your records and to create an electronic voting instruction form.</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8"/>
          <w:szCs w:val="8"/>
          <w:i w:val="1"/>
          <w:iCs w:val="1"/>
          <w:color w:val="auto"/>
        </w:rPr>
        <w:t xml:space="preserve">During The Meeting </w:t>
      </w:r>
      <w:r>
        <w:rPr>
          <w:rFonts w:ascii="Times New Roman" w:cs="Times New Roman" w:eastAsia="Times New Roman" w:hAnsi="Times New Roman"/>
          <w:sz w:val="8"/>
          <w:szCs w:val="8"/>
          <w:color w:val="auto"/>
        </w:rPr>
        <w:t>- Go to</w:t>
      </w:r>
      <w:r>
        <w:rPr>
          <w:rFonts w:ascii="Times New Roman" w:cs="Times New Roman" w:eastAsia="Times New Roman" w:hAnsi="Times New Roman"/>
          <w:sz w:val="8"/>
          <w:szCs w:val="8"/>
          <w:i w:val="1"/>
          <w:iCs w:val="1"/>
          <w:color w:val="auto"/>
        </w:rPr>
        <w:t xml:space="preserve"> </w:t>
      </w:r>
      <w:r>
        <w:rPr>
          <w:rFonts w:ascii="Times New Roman" w:cs="Times New Roman" w:eastAsia="Times New Roman" w:hAnsi="Times New Roman"/>
          <w:sz w:val="8"/>
          <w:szCs w:val="8"/>
          <w:b w:val="1"/>
          <w:bCs w:val="1"/>
          <w:u w:val="single" w:color="auto"/>
          <w:color w:val="auto"/>
        </w:rPr>
        <w:t>www.virtualshareholdermeeting.com/[__]</w:t>
      </w:r>
    </w:p>
    <w:p>
      <w:pPr>
        <w:spacing w:after="0" w:line="99" w:lineRule="exact"/>
        <w:rPr>
          <w:sz w:val="20"/>
          <w:szCs w:val="20"/>
          <w:color w:val="auto"/>
        </w:rPr>
      </w:pPr>
    </w:p>
    <w:p>
      <w:pPr>
        <w:jc w:val="both"/>
        <w:ind w:left="560" w:right="239"/>
        <w:spacing w:after="0" w:line="285" w:lineRule="auto"/>
        <w:rPr>
          <w:sz w:val="20"/>
          <w:szCs w:val="20"/>
          <w:color w:val="auto"/>
        </w:rPr>
      </w:pPr>
      <w:r>
        <w:rPr>
          <w:rFonts w:ascii="Times New Roman" w:cs="Times New Roman" w:eastAsia="Times New Roman" w:hAnsi="Times New Roman"/>
          <w:sz w:val="8"/>
          <w:szCs w:val="8"/>
          <w:color w:val="auto"/>
        </w:rPr>
        <w:t>You may attend the Special Meeting via the Internet and vote during the Special Meeting. Have the information that is printed in the box marked by the arrow available and follow the instructions.</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8"/>
          <w:szCs w:val="8"/>
          <w:b w:val="1"/>
          <w:bCs w:val="1"/>
          <w:color w:val="auto"/>
        </w:rPr>
        <w:t>VOTE BY PHONE - 1-800-690-6903</w:t>
      </w:r>
    </w:p>
    <w:p>
      <w:pPr>
        <w:spacing w:after="0" w:line="13" w:lineRule="exact"/>
        <w:rPr>
          <w:sz w:val="20"/>
          <w:szCs w:val="20"/>
          <w:color w:val="auto"/>
        </w:rPr>
      </w:pPr>
    </w:p>
    <w:p>
      <w:pPr>
        <w:jc w:val="both"/>
        <w:ind w:left="560" w:right="239"/>
        <w:spacing w:after="0" w:line="264" w:lineRule="auto"/>
        <w:rPr>
          <w:sz w:val="20"/>
          <w:szCs w:val="20"/>
          <w:color w:val="auto"/>
        </w:rPr>
      </w:pPr>
      <w:r>
        <w:rPr>
          <w:rFonts w:ascii="Times New Roman" w:cs="Times New Roman" w:eastAsia="Times New Roman" w:hAnsi="Times New Roman"/>
          <w:sz w:val="8"/>
          <w:szCs w:val="8"/>
          <w:color w:val="auto"/>
        </w:rPr>
        <w:t>Use any touch-tone telephone to transmit your voting instructions. Vote by 11:59 PM EDT on [__], 2026. Have your proxy card in hand when you call and then follow the instructions.</w:t>
      </w:r>
    </w:p>
    <w:p>
      <w:pPr>
        <w:spacing w:after="0" w:line="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8"/>
          <w:szCs w:val="8"/>
          <w:b w:val="1"/>
          <w:bCs w:val="1"/>
          <w:color w:val="auto"/>
        </w:rPr>
        <w:t>VOTE BY MAIL</w:t>
      </w:r>
    </w:p>
    <w:p>
      <w:pPr>
        <w:spacing w:after="0" w:line="13" w:lineRule="exact"/>
        <w:rPr>
          <w:sz w:val="20"/>
          <w:szCs w:val="20"/>
          <w:color w:val="auto"/>
        </w:rPr>
      </w:pPr>
    </w:p>
    <w:p>
      <w:pPr>
        <w:jc w:val="both"/>
        <w:ind w:left="560" w:right="239"/>
        <w:spacing w:after="0" w:line="264" w:lineRule="auto"/>
        <w:rPr>
          <w:sz w:val="20"/>
          <w:szCs w:val="20"/>
          <w:color w:val="auto"/>
        </w:rPr>
      </w:pPr>
      <w:r>
        <w:rPr>
          <w:rFonts w:ascii="Times New Roman" w:cs="Times New Roman" w:eastAsia="Times New Roman" w:hAnsi="Times New Roman"/>
          <w:sz w:val="8"/>
          <w:szCs w:val="8"/>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20" w:space="720"/>
            <w:col w:w="481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0"/>
          <w:szCs w:val="10"/>
          <w:color w:val="auto"/>
        </w:rPr>
        <w:t>TO VOTE, MARK BLOCKS BELOW IN BLUE OR BLACK INK AS FOLLOWS:</w:t>
      </w:r>
    </w:p>
    <w:p>
      <w:pPr>
        <w:spacing w:after="0" w:line="33" w:lineRule="exact"/>
        <w:rPr>
          <w:sz w:val="20"/>
          <w:szCs w:val="20"/>
          <w:color w:val="auto"/>
        </w:rPr>
      </w:pPr>
    </w:p>
    <w:tbl>
      <w:tblPr>
        <w:tblLayout w:type="fixed"/>
        <w:tblInd w:w="1360" w:type="dxa"/>
        <w:tblCellMar>
          <w:top w:w="0" w:type="dxa"/>
          <w:left w:w="0" w:type="dxa"/>
          <w:bottom w:w="0" w:type="dxa"/>
          <w:right w:w="0" w:type="dxa"/>
        </w:tblCellMar>
      </w:tblPr>
      <w:tr>
        <w:trPr>
          <w:trHeight w:val="127"/>
        </w:trPr>
        <w:tc>
          <w:tcPr>
            <w:tcW w:w="3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6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40" w:type="dxa"/>
            <w:vAlign w:val="bottom"/>
            <w:gridSpan w:val="5"/>
          </w:tcPr>
          <w:p>
            <w:pPr>
              <w:jc w:val="center"/>
              <w:spacing w:after="0"/>
              <w:rPr>
                <w:sz w:val="20"/>
                <w:szCs w:val="20"/>
                <w:color w:val="auto"/>
              </w:rPr>
            </w:pPr>
            <w:r>
              <w:rPr>
                <w:rFonts w:ascii="Times New Roman" w:cs="Times New Roman" w:eastAsia="Times New Roman" w:hAnsi="Times New Roman"/>
                <w:sz w:val="10"/>
                <w:szCs w:val="10"/>
                <w:color w:val="auto"/>
                <w:w w:val="97"/>
              </w:rPr>
              <w:t>KEEP THIS PORTION FOR YOUR RECORDS</w:t>
            </w:r>
          </w:p>
        </w:tc>
        <w:tc>
          <w:tcPr>
            <w:tcW w:w="0" w:type="dxa"/>
            <w:vAlign w:val="bottom"/>
          </w:tcPr>
          <w:p>
            <w:pPr>
              <w:spacing w:after="0"/>
              <w:rPr>
                <w:sz w:val="1"/>
                <w:szCs w:val="1"/>
                <w:color w:val="auto"/>
              </w:rPr>
            </w:pPr>
          </w:p>
        </w:tc>
      </w:tr>
      <w:tr>
        <w:trPr>
          <w:trHeight w:val="65"/>
        </w:trPr>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000" w:type="dxa"/>
            <w:vAlign w:val="bottom"/>
            <w:gridSpan w:val="6"/>
            <w:vMerge w:val="restart"/>
          </w:tcPr>
          <w:p>
            <w:pPr>
              <w:ind w:left="940"/>
              <w:spacing w:after="0"/>
              <w:rPr>
                <w:sz w:val="20"/>
                <w:szCs w:val="20"/>
                <w:color w:val="auto"/>
              </w:rPr>
            </w:pPr>
            <w:r>
              <w:rPr>
                <w:rFonts w:ascii="Times New Roman" w:cs="Times New Roman" w:eastAsia="Times New Roman" w:hAnsi="Times New Roman"/>
                <w:sz w:val="10"/>
                <w:szCs w:val="10"/>
                <w:color w:val="auto"/>
                <w:w w:val="97"/>
              </w:rPr>
              <w:t>DETACH AND RETURN THIS PORTION ONLY</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80" w:type="dxa"/>
            <w:vAlign w:val="bottom"/>
            <w:gridSpan w:val="7"/>
            <w:vMerge w:val="restart"/>
          </w:tcPr>
          <w:p>
            <w:pPr>
              <w:ind w:left="1480"/>
              <w:spacing w:after="0"/>
              <w:rPr>
                <w:sz w:val="20"/>
                <w:szCs w:val="20"/>
                <w:color w:val="auto"/>
              </w:rPr>
            </w:pPr>
            <w:r>
              <w:rPr>
                <w:rFonts w:ascii="Times New Roman" w:cs="Times New Roman" w:eastAsia="Times New Roman" w:hAnsi="Times New Roman"/>
                <w:sz w:val="11"/>
                <w:szCs w:val="11"/>
                <w:b w:val="1"/>
                <w:bCs w:val="1"/>
                <w:color w:val="auto"/>
              </w:rPr>
              <w:t>THIS PROXY CARD IS VALID ONLY WHEN SIGNED AND DATED.</w:t>
            </w:r>
          </w:p>
        </w:tc>
        <w:tc>
          <w:tcPr>
            <w:tcW w:w="30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5180" w:type="dxa"/>
            <w:vAlign w:val="bottom"/>
            <w:gridSpan w:val="7"/>
            <w:vMerge w:val="continue"/>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6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gridSpan w:val="2"/>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30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  GENTHERM INCORPORATED</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7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The Board of Directors recommends you vote FOR proposals 1, 2 and 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86"/>
              </w:rPr>
              <w:t>  For</w:t>
            </w:r>
          </w:p>
        </w:tc>
        <w:tc>
          <w:tcPr>
            <w:tcW w:w="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Against</w:t>
            </w:r>
          </w:p>
        </w:tc>
        <w:tc>
          <w:tcPr>
            <w:tcW w:w="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 xml:space="preserve">Abstain  </w:t>
            </w:r>
            <w:r>
              <w:rPr>
                <w:rFonts w:ascii="Times New Roman" w:cs="Times New Roman" w:eastAsia="Times New Roman" w:hAnsi="Times New Roman"/>
                <w:sz w:val="10"/>
                <w:szCs w:val="10"/>
                <w:color w:val="auto"/>
              </w:rPr>
              <w:t xml:space="preserve">     </w:t>
            </w:r>
          </w:p>
        </w:tc>
        <w:tc>
          <w:tcPr>
            <w:tcW w:w="0" w:type="dxa"/>
            <w:vAlign w:val="bottom"/>
          </w:tcPr>
          <w:p>
            <w:pPr>
              <w:spacing w:after="0"/>
              <w:rPr>
                <w:sz w:val="1"/>
                <w:szCs w:val="1"/>
                <w:color w:val="auto"/>
              </w:rPr>
            </w:pPr>
          </w:p>
        </w:tc>
      </w:tr>
      <w:tr>
        <w:trPr>
          <w:trHeight w:val="252"/>
        </w:trPr>
        <w:tc>
          <w:tcPr>
            <w:tcW w:w="3780" w:type="dxa"/>
            <w:vAlign w:val="bottom"/>
            <w:gridSpan w:val="5"/>
            <w:vMerge w:val="continue"/>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7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w w:val="79"/>
              </w:rPr>
              <w:t>1.</w:t>
            </w:r>
          </w:p>
        </w:tc>
        <w:tc>
          <w:tcPr>
            <w:tcW w:w="6520" w:type="dxa"/>
            <w:vAlign w:val="bottom"/>
            <w:gridSpan w:val="9"/>
          </w:tcPr>
          <w:p>
            <w:pPr>
              <w:ind w:left="320"/>
              <w:spacing w:after="0"/>
              <w:rPr>
                <w:sz w:val="20"/>
                <w:szCs w:val="20"/>
                <w:color w:val="auto"/>
              </w:rPr>
            </w:pPr>
            <w:r>
              <w:rPr>
                <w:rFonts w:ascii="Times New Roman" w:cs="Times New Roman" w:eastAsia="Times New Roman" w:hAnsi="Times New Roman"/>
                <w:sz w:val="10"/>
                <w:szCs w:val="10"/>
                <w:color w:val="auto"/>
              </w:rPr>
              <w:t>Approval of the issuance of shares of Gentherm Incorporated (“Gentherm”) common stock, no par value (“Gentherm Common Stock”) pursuant to the</w:t>
            </w:r>
          </w:p>
        </w:tc>
        <w:tc>
          <w:tcPr>
            <w:tcW w:w="480" w:type="dxa"/>
            <w:vAlign w:val="bottom"/>
          </w:tcPr>
          <w:p>
            <w:pPr>
              <w:jc w:val="center"/>
              <w:ind w:right="31"/>
              <w:spacing w:after="0" w:line="101" w:lineRule="exact"/>
              <w:rPr>
                <w:sz w:val="20"/>
                <w:szCs w:val="20"/>
                <w:color w:val="auto"/>
              </w:rPr>
            </w:pPr>
            <w:r>
              <w:rPr>
                <w:rFonts w:ascii="MS PGothic" w:cs="MS PGothic" w:eastAsia="MS PGothic" w:hAnsi="MS PGothic"/>
                <w:sz w:val="10"/>
                <w:szCs w:val="10"/>
                <w:color w:val="auto"/>
                <w:w w:val="79"/>
              </w:rPr>
              <w:t>☐</w:t>
            </w:r>
          </w:p>
        </w:tc>
        <w:tc>
          <w:tcPr>
            <w:tcW w:w="40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9"/>
                <w:szCs w:val="9"/>
                <w:color w:val="auto"/>
                <w:w w:val="75"/>
              </w:rPr>
              <w:t xml:space="preserve">  </w:t>
            </w:r>
            <w:r>
              <w:rPr>
                <w:rFonts w:ascii="MS PGothic" w:cs="MS PGothic" w:eastAsia="MS PGothic" w:hAnsi="MS PGothic"/>
                <w:sz w:val="9"/>
                <w:szCs w:val="9"/>
                <w:color w:val="auto"/>
                <w:w w:val="75"/>
              </w:rPr>
              <w:t>☐</w:t>
            </w:r>
          </w:p>
        </w:tc>
        <w:tc>
          <w:tcPr>
            <w:tcW w:w="780" w:type="dxa"/>
            <w:vAlign w:val="bottom"/>
            <w:tcBorders>
              <w:right w:val="single" w:sz="8" w:color="auto"/>
            </w:tcBorders>
          </w:tcPr>
          <w:p>
            <w:pPr>
              <w:ind w:left="22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520" w:type="dxa"/>
            <w:vAlign w:val="bottom"/>
            <w:gridSpan w:val="9"/>
          </w:tcPr>
          <w:p>
            <w:pPr>
              <w:ind w:left="320"/>
              <w:spacing w:after="0" w:line="105" w:lineRule="exact"/>
              <w:rPr>
                <w:sz w:val="20"/>
                <w:szCs w:val="20"/>
                <w:color w:val="auto"/>
              </w:rPr>
            </w:pPr>
            <w:r>
              <w:rPr>
                <w:rFonts w:ascii="Times New Roman" w:cs="Times New Roman" w:eastAsia="Times New Roman" w:hAnsi="Times New Roman"/>
                <w:sz w:val="10"/>
                <w:szCs w:val="10"/>
                <w:color w:val="auto"/>
              </w:rPr>
              <w:t>Agreement and Plan of Merger, dated as of January 29, 2026, by and among Gentherm, Modine Manufacturing Co., Platinum SpinCo Inc. and Platinum</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180" w:type="dxa"/>
            <w:vAlign w:val="bottom"/>
            <w:gridSpan w:val="7"/>
          </w:tcPr>
          <w:p>
            <w:pPr>
              <w:ind w:left="320"/>
              <w:spacing w:after="0"/>
              <w:rPr>
                <w:sz w:val="20"/>
                <w:szCs w:val="20"/>
                <w:color w:val="auto"/>
              </w:rPr>
            </w:pPr>
            <w:r>
              <w:rPr>
                <w:rFonts w:ascii="Times New Roman" w:cs="Times New Roman" w:eastAsia="Times New Roman" w:hAnsi="Times New Roman"/>
                <w:sz w:val="10"/>
                <w:szCs w:val="10"/>
                <w:color w:val="auto"/>
                <w:w w:val="99"/>
              </w:rPr>
              <w:t>Gold Merger Sub Inc. (as may be amended from time to time, the “Merger Agreement”) (the “Share Issuance Proposal”).</w:t>
            </w: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w w:val="79"/>
              </w:rPr>
              <w:t>2.</w:t>
            </w:r>
          </w:p>
        </w:tc>
        <w:tc>
          <w:tcPr>
            <w:tcW w:w="6520" w:type="dxa"/>
            <w:vAlign w:val="bottom"/>
            <w:gridSpan w:val="9"/>
          </w:tcPr>
          <w:p>
            <w:pPr>
              <w:ind w:left="320"/>
              <w:spacing w:after="0"/>
              <w:rPr>
                <w:sz w:val="20"/>
                <w:szCs w:val="20"/>
                <w:color w:val="auto"/>
              </w:rPr>
            </w:pPr>
            <w:r>
              <w:rPr>
                <w:rFonts w:ascii="Times New Roman" w:cs="Times New Roman" w:eastAsia="Times New Roman" w:hAnsi="Times New Roman"/>
                <w:sz w:val="10"/>
                <w:szCs w:val="10"/>
                <w:color w:val="auto"/>
                <w:w w:val="98"/>
              </w:rPr>
              <w:t>Approval of an amendment to the Gentherm Second Amended and Restated Articles of Incorporation to effect an increase to the number of authorized shares</w:t>
            </w:r>
          </w:p>
        </w:tc>
        <w:tc>
          <w:tcPr>
            <w:tcW w:w="480" w:type="dxa"/>
            <w:vAlign w:val="bottom"/>
          </w:tcPr>
          <w:p>
            <w:pPr>
              <w:jc w:val="center"/>
              <w:ind w:right="31"/>
              <w:spacing w:after="0" w:line="101" w:lineRule="exact"/>
              <w:rPr>
                <w:sz w:val="20"/>
                <w:szCs w:val="20"/>
                <w:color w:val="auto"/>
              </w:rPr>
            </w:pPr>
            <w:r>
              <w:rPr>
                <w:rFonts w:ascii="MS PGothic" w:cs="MS PGothic" w:eastAsia="MS PGothic" w:hAnsi="MS PGothic"/>
                <w:sz w:val="10"/>
                <w:szCs w:val="10"/>
                <w:color w:val="auto"/>
                <w:w w:val="79"/>
              </w:rPr>
              <w:t>☐</w:t>
            </w:r>
          </w:p>
        </w:tc>
        <w:tc>
          <w:tcPr>
            <w:tcW w:w="40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9"/>
                <w:szCs w:val="9"/>
                <w:color w:val="auto"/>
                <w:w w:val="75"/>
              </w:rPr>
              <w:t xml:space="preserve">  </w:t>
            </w:r>
            <w:r>
              <w:rPr>
                <w:rFonts w:ascii="MS PGothic" w:cs="MS PGothic" w:eastAsia="MS PGothic" w:hAnsi="MS PGothic"/>
                <w:sz w:val="9"/>
                <w:szCs w:val="9"/>
                <w:color w:val="auto"/>
                <w:w w:val="75"/>
              </w:rPr>
              <w:t>☐</w:t>
            </w:r>
          </w:p>
        </w:tc>
        <w:tc>
          <w:tcPr>
            <w:tcW w:w="780" w:type="dxa"/>
            <w:vAlign w:val="bottom"/>
            <w:tcBorders>
              <w:right w:val="single" w:sz="8" w:color="auto"/>
            </w:tcBorders>
          </w:tcPr>
          <w:p>
            <w:pPr>
              <w:ind w:left="22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127"/>
        </w:trPr>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180" w:type="dxa"/>
            <w:vAlign w:val="bottom"/>
            <w:gridSpan w:val="7"/>
          </w:tcPr>
          <w:p>
            <w:pPr>
              <w:ind w:left="320"/>
              <w:spacing w:after="0"/>
              <w:rPr>
                <w:sz w:val="20"/>
                <w:szCs w:val="20"/>
                <w:color w:val="auto"/>
              </w:rPr>
            </w:pPr>
            <w:r>
              <w:rPr>
                <w:rFonts w:ascii="Times New Roman" w:cs="Times New Roman" w:eastAsia="Times New Roman" w:hAnsi="Times New Roman"/>
                <w:sz w:val="10"/>
                <w:szCs w:val="10"/>
                <w:color w:val="auto"/>
              </w:rPr>
              <w:t>of Gentherm Common Stock pursuant to the Merger Agreement (the “Charter Amendment Proposal”).</w:t>
            </w: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40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w w:val="79"/>
              </w:rPr>
              <w:t>3.</w:t>
            </w:r>
          </w:p>
        </w:tc>
        <w:tc>
          <w:tcPr>
            <w:tcW w:w="6520" w:type="dxa"/>
            <w:vAlign w:val="bottom"/>
            <w:gridSpan w:val="9"/>
          </w:tcPr>
          <w:p>
            <w:pPr>
              <w:ind w:left="320"/>
              <w:spacing w:after="0"/>
              <w:rPr>
                <w:sz w:val="20"/>
                <w:szCs w:val="20"/>
                <w:color w:val="auto"/>
              </w:rPr>
            </w:pPr>
            <w:r>
              <w:rPr>
                <w:rFonts w:ascii="Times New Roman" w:cs="Times New Roman" w:eastAsia="Times New Roman" w:hAnsi="Times New Roman"/>
                <w:sz w:val="10"/>
                <w:szCs w:val="10"/>
                <w:color w:val="auto"/>
              </w:rPr>
              <w:t>Approval of the adjournment of the Special Meeting, if necessary, (a) to solicit additional proxies if there are not sufficient votes at the time of the Special</w:t>
            </w:r>
          </w:p>
        </w:tc>
        <w:tc>
          <w:tcPr>
            <w:tcW w:w="480" w:type="dxa"/>
            <w:vAlign w:val="bottom"/>
          </w:tcPr>
          <w:p>
            <w:pPr>
              <w:jc w:val="center"/>
              <w:ind w:right="31"/>
              <w:spacing w:after="0" w:line="101" w:lineRule="exact"/>
              <w:rPr>
                <w:sz w:val="20"/>
                <w:szCs w:val="20"/>
                <w:color w:val="auto"/>
              </w:rPr>
            </w:pPr>
            <w:r>
              <w:rPr>
                <w:rFonts w:ascii="MS PGothic" w:cs="MS PGothic" w:eastAsia="MS PGothic" w:hAnsi="MS PGothic"/>
                <w:sz w:val="10"/>
                <w:szCs w:val="10"/>
                <w:color w:val="auto"/>
                <w:w w:val="79"/>
              </w:rPr>
              <w:t>☐</w:t>
            </w:r>
          </w:p>
        </w:tc>
        <w:tc>
          <w:tcPr>
            <w:tcW w:w="40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9"/>
                <w:szCs w:val="9"/>
                <w:color w:val="auto"/>
                <w:w w:val="75"/>
              </w:rPr>
              <w:t xml:space="preserve">  </w:t>
            </w:r>
            <w:r>
              <w:rPr>
                <w:rFonts w:ascii="MS PGothic" w:cs="MS PGothic" w:eastAsia="MS PGothic" w:hAnsi="MS PGothic"/>
                <w:sz w:val="9"/>
                <w:szCs w:val="9"/>
                <w:color w:val="auto"/>
                <w:w w:val="75"/>
              </w:rPr>
              <w:t>☐</w:t>
            </w:r>
          </w:p>
        </w:tc>
        <w:tc>
          <w:tcPr>
            <w:tcW w:w="780" w:type="dxa"/>
            <w:vAlign w:val="bottom"/>
            <w:tcBorders>
              <w:right w:val="single" w:sz="8" w:color="auto"/>
            </w:tcBorders>
          </w:tcPr>
          <w:p>
            <w:pPr>
              <w:ind w:left="22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520" w:type="dxa"/>
            <w:vAlign w:val="bottom"/>
            <w:gridSpan w:val="9"/>
          </w:tcPr>
          <w:p>
            <w:pPr>
              <w:ind w:left="320"/>
              <w:spacing w:after="0" w:line="103" w:lineRule="exact"/>
              <w:rPr>
                <w:sz w:val="20"/>
                <w:szCs w:val="20"/>
                <w:color w:val="auto"/>
              </w:rPr>
            </w:pPr>
            <w:r>
              <w:rPr>
                <w:rFonts w:ascii="Times New Roman" w:cs="Times New Roman" w:eastAsia="Times New Roman" w:hAnsi="Times New Roman"/>
                <w:sz w:val="10"/>
                <w:szCs w:val="10"/>
                <w:color w:val="auto"/>
              </w:rPr>
              <w:t>Meeting to approve the Share Issuance Proposal and the Charter Amendment Proposal, (b) if there are insufficient shares of Gentherm Common Stock</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520" w:type="dxa"/>
            <w:vAlign w:val="bottom"/>
            <w:gridSpan w:val="9"/>
          </w:tcPr>
          <w:p>
            <w:pPr>
              <w:ind w:left="320"/>
              <w:spacing w:after="0" w:line="105" w:lineRule="exact"/>
              <w:rPr>
                <w:sz w:val="20"/>
                <w:szCs w:val="20"/>
                <w:color w:val="auto"/>
              </w:rPr>
            </w:pPr>
            <w:r>
              <w:rPr>
                <w:rFonts w:ascii="Times New Roman" w:cs="Times New Roman" w:eastAsia="Times New Roman" w:hAnsi="Times New Roman"/>
                <w:sz w:val="10"/>
                <w:szCs w:val="10"/>
                <w:color w:val="auto"/>
              </w:rPr>
              <w:t>represented (either in person via the Internet or by proxy) to constitute a quorum necessary to conduct business at the Special Meeting or (c) to allow</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520" w:type="dxa"/>
            <w:vAlign w:val="bottom"/>
            <w:gridSpan w:val="9"/>
          </w:tcPr>
          <w:p>
            <w:pPr>
              <w:ind w:left="320"/>
              <w:spacing w:after="0" w:line="105" w:lineRule="exact"/>
              <w:rPr>
                <w:sz w:val="20"/>
                <w:szCs w:val="20"/>
                <w:color w:val="auto"/>
              </w:rPr>
            </w:pPr>
            <w:r>
              <w:rPr>
                <w:rFonts w:ascii="Times New Roman" w:cs="Times New Roman" w:eastAsia="Times New Roman" w:hAnsi="Times New Roman"/>
                <w:sz w:val="10"/>
                <w:szCs w:val="10"/>
                <w:color w:val="auto"/>
              </w:rPr>
              <w:t>reasonable time for the filing or mailing of any supplemental or amended disclosures that Gentherm has determined, based on the advice of outside legal</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520" w:type="dxa"/>
            <w:vAlign w:val="bottom"/>
            <w:gridSpan w:val="9"/>
          </w:tcPr>
          <w:p>
            <w:pPr>
              <w:ind w:left="320"/>
              <w:spacing w:after="0" w:line="105" w:lineRule="exact"/>
              <w:rPr>
                <w:sz w:val="20"/>
                <w:szCs w:val="20"/>
                <w:color w:val="auto"/>
              </w:rPr>
            </w:pPr>
            <w:r>
              <w:rPr>
                <w:rFonts w:ascii="Times New Roman" w:cs="Times New Roman" w:eastAsia="Times New Roman" w:hAnsi="Times New Roman"/>
                <w:sz w:val="10"/>
                <w:szCs w:val="10"/>
                <w:color w:val="auto"/>
              </w:rPr>
              <w:t>counsel, are reasonably likely to be required under applicable law and for such supplemental or amended disclosures to be disseminated and reviewed by</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4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Gentherm shareholders prior to the Special Meeting.</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72"/>
        </w:trPr>
        <w:tc>
          <w:tcPr>
            <w:tcW w:w="8580" w:type="dxa"/>
            <w:vAlign w:val="bottom"/>
            <w:tcBorders>
              <w:right w:val="single" w:sz="8" w:color="auto"/>
            </w:tcBorders>
            <w:gridSpan w:val="15"/>
          </w:tcPr>
          <w:p>
            <w:pPr>
              <w:ind w:left="320"/>
              <w:spacing w:after="0"/>
              <w:rPr>
                <w:sz w:val="20"/>
                <w:szCs w:val="20"/>
                <w:color w:val="auto"/>
              </w:rPr>
            </w:pPr>
            <w:r>
              <w:rPr>
                <w:rFonts w:ascii="Times New Roman" w:cs="Times New Roman" w:eastAsia="Times New Roman" w:hAnsi="Times New Roman"/>
                <w:sz w:val="10"/>
                <w:szCs w:val="10"/>
                <w:color w:val="auto"/>
                <w:w w:val="99"/>
              </w:rPr>
              <w:t>Please sign exactly as your name(s) appear(s) hereon. When signing as attorney, executor, administrator, or other fiduciary, please give full title as such. Joint owners should each sign personally. All holders</w:t>
            </w:r>
          </w:p>
        </w:tc>
        <w:tc>
          <w:tcPr>
            <w:tcW w:w="0" w:type="dxa"/>
            <w:vAlign w:val="bottom"/>
          </w:tcPr>
          <w:p>
            <w:pPr>
              <w:spacing w:after="0"/>
              <w:rPr>
                <w:sz w:val="1"/>
                <w:szCs w:val="1"/>
                <w:color w:val="auto"/>
              </w:rPr>
            </w:pPr>
          </w:p>
        </w:tc>
      </w:tr>
      <w:tr>
        <w:trPr>
          <w:trHeight w:val="127"/>
        </w:trPr>
        <w:tc>
          <w:tcPr>
            <w:tcW w:w="5580" w:type="dxa"/>
            <w:vAlign w:val="bottom"/>
            <w:gridSpan w:val="9"/>
          </w:tcPr>
          <w:p>
            <w:pPr>
              <w:ind w:left="320"/>
              <w:spacing w:after="0"/>
              <w:rPr>
                <w:sz w:val="20"/>
                <w:szCs w:val="20"/>
                <w:color w:val="auto"/>
              </w:rPr>
            </w:pPr>
            <w:r>
              <w:rPr>
                <w:rFonts w:ascii="Times New Roman" w:cs="Times New Roman" w:eastAsia="Times New Roman" w:hAnsi="Times New Roman"/>
                <w:sz w:val="10"/>
                <w:szCs w:val="10"/>
                <w:color w:val="auto"/>
              </w:rPr>
              <w:t>must sign. If a corporation or partnership, please sign in full corporate or partnership name by authorized officer.</w:t>
            </w: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268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bottom w:val="single" w:sz="8" w:color="auto"/>
            </w:tcBorders>
            <w:gridSpan w:val="3"/>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Borders>
              <w:right w:val="single" w:sz="8" w:color="auto"/>
            </w:tcBorders>
          </w:tcPr>
          <w:p>
            <w:pPr>
              <w:spacing w:after="0"/>
              <w:rPr>
                <w:sz w:val="18"/>
                <w:szCs w:val="18"/>
                <w:color w:val="auto"/>
              </w:rPr>
            </w:pPr>
          </w:p>
        </w:tc>
        <w:tc>
          <w:tcPr>
            <w:tcW w:w="2680" w:type="dxa"/>
            <w:vAlign w:val="bottom"/>
            <w:tcBorders>
              <w:bottom w:val="single" w:sz="8" w:color="auto"/>
            </w:tcBorders>
            <w:gridSpan w:val="2"/>
          </w:tcPr>
          <w:p>
            <w:pPr>
              <w:spacing w:after="0" w:line="212" w:lineRule="exact"/>
              <w:rPr>
                <w:sz w:val="20"/>
                <w:szCs w:val="20"/>
                <w:color w:val="auto"/>
              </w:rPr>
            </w:pPr>
            <w:r>
              <w:rPr>
                <w:rFonts w:ascii="Times New Roman" w:cs="Times New Roman" w:eastAsia="Times New Roman" w:hAnsi="Times New Roman"/>
                <w:sz w:val="21"/>
                <w:szCs w:val="21"/>
                <w:color w:val="auto"/>
              </w:rPr>
              <w:t xml:space="preserve">                             </w:t>
            </w:r>
          </w:p>
        </w:tc>
        <w:tc>
          <w:tcPr>
            <w:tcW w:w="3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line="212" w:lineRule="exact"/>
              <w:rPr>
                <w:sz w:val="20"/>
                <w:szCs w:val="20"/>
                <w:color w:val="auto"/>
              </w:rPr>
            </w:pPr>
            <w:r>
              <w:rPr>
                <w:rFonts w:ascii="Times New Roman" w:cs="Times New Roman" w:eastAsia="Times New Roman" w:hAnsi="Times New Roman"/>
                <w:sz w:val="21"/>
                <w:szCs w:val="21"/>
                <w:color w:val="auto"/>
              </w:rPr>
              <w:t>  </w:t>
            </w:r>
          </w:p>
        </w:tc>
        <w:tc>
          <w:tcPr>
            <w:tcW w:w="9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line="212" w:lineRule="exact"/>
              <w:rPr>
                <w:sz w:val="20"/>
                <w:szCs w:val="20"/>
                <w:color w:val="auto"/>
              </w:rPr>
            </w:pPr>
            <w:r>
              <w:rPr>
                <w:rFonts w:ascii="Times New Roman" w:cs="Times New Roman" w:eastAsia="Times New Roman" w:hAnsi="Times New Roman"/>
                <w:sz w:val="21"/>
                <w:szCs w:val="21"/>
                <w:color w:val="auto"/>
              </w:rPr>
              <w:t xml:space="preserve">             </w:t>
            </w:r>
          </w:p>
        </w:tc>
        <w:tc>
          <w:tcPr>
            <w:tcW w:w="160" w:type="dxa"/>
            <w:vAlign w:val="bottom"/>
            <w:tcBorders>
              <w:bottom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4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7"/>
                <w:szCs w:val="7"/>
                <w:color w:val="auto"/>
                <w:w w:val="85"/>
              </w:rPr>
              <w:t> </w:t>
            </w:r>
          </w:p>
        </w:tc>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  Signature [PLEASE SIGN WITHIN BOX]</w:t>
            </w:r>
          </w:p>
        </w:tc>
        <w:tc>
          <w:tcPr>
            <w:tcW w:w="7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0"/>
                <w:szCs w:val="10"/>
                <w:color w:val="auto"/>
              </w:rPr>
              <w:t>   Date</w:t>
            </w:r>
          </w:p>
        </w:tc>
        <w:tc>
          <w:tcPr>
            <w:tcW w:w="18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0"/>
                <w:szCs w:val="10"/>
                <w:color w:val="auto"/>
              </w:rPr>
              <w:t xml:space="preserve">     Signature (Joint Owners)              </w:t>
            </w: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color w:val="auto"/>
              </w:rPr>
              <w:t>      Date</w:t>
            </w: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-2268220</wp:posOffset>
            </wp:positionV>
            <wp:extent cx="12700" cy="22688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12700" cy="2268855"/>
                    </a:xfrm>
                    <a:prstGeom prst="rect">
                      <a:avLst/>
                    </a:prstGeom>
                    <a:noFill/>
                  </pic:spPr>
                </pic:pic>
              </a:graphicData>
            </a:graphic>
          </wp:anchor>
        </w:drawing>
      </w:r>
    </w:p>
    <w:p>
      <w:pPr>
        <w:spacing w:after="0" w:line="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E-1</w:t>
      </w:r>
    </w:p>
    <w:p>
      <w:pPr>
        <w:sectPr>
          <w:pgSz w:w="11900" w:h="16838" w:orient="portrait"/>
          <w:cols w:equalWidth="0" w:num="1">
            <w:col w:w="10159"/>
          </w:cols>
          <w:pgMar w:left="300" w:top="386" w:right="1440" w:bottom="1440" w:gutter="0" w:footer="0" w:header="0"/>
          <w:type w:val="continuous"/>
        </w:sectPr>
      </w:pPr>
    </w:p>
    <w:bookmarkStart w:id="475" w:name="page476"/>
    <w:bookmarkEnd w:id="4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Important Notice Regarding the Availability of Proxy Materials for the Special Meeting:</w:t>
      </w:r>
    </w:p>
    <w:p>
      <w:pPr>
        <w:spacing w:after="0" w:line="2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 xml:space="preserve">The Proxy Statement is available at </w:t>
      </w:r>
      <w:r>
        <w:rPr>
          <w:rFonts w:ascii="Times New Roman" w:cs="Times New Roman" w:eastAsia="Times New Roman" w:hAnsi="Times New Roman"/>
          <w:sz w:val="14"/>
          <w:szCs w:val="14"/>
          <w:u w:val="single" w:color="auto"/>
          <w:color w:val="auto"/>
        </w:rPr>
        <w:t>www.proxyvote.com</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1"/>
          <w:szCs w:val="11"/>
          <w:b w:val="1"/>
          <w:bCs w:val="1"/>
          <w:color w:val="auto"/>
        </w:rPr>
        <w:t>- - - - - - - - - - - - - - - - - - - - - - - - - - - - - - - - - - - - - - - - - -  - - - - - - - - - - - - - - - - - - - - - - - - - - - - - - - - - - - - - - - - - - - - - - - - - - - - - - - -</w:t>
      </w:r>
    </w:p>
    <w:p>
      <w:pPr>
        <w:spacing w:after="0" w:line="7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1"/>
          <w:szCs w:val="11"/>
          <w:color w:val="auto"/>
        </w:rPr>
        <w:t xml:space="preserve">V31325-P02501 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64135</wp:posOffset>
            </wp:positionV>
            <wp:extent cx="5460365" cy="3077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5460365" cy="3077210"/>
                    </a:xfrm>
                    <a:prstGeom prst="rect">
                      <a:avLst/>
                    </a:prstGeom>
                    <a:noFill/>
                  </pic:spPr>
                </pic:pic>
              </a:graphicData>
            </a:graphic>
          </wp:anchor>
        </w:drawing>
      </w:r>
    </w:p>
    <w:p>
      <w:pPr>
        <w:spacing w:after="0" w:line="85" w:lineRule="exact"/>
        <w:rPr>
          <w:sz w:val="20"/>
          <w:szCs w:val="20"/>
          <w:color w:val="auto"/>
        </w:rPr>
      </w:pPr>
    </w:p>
    <w:p>
      <w:pPr>
        <w:ind w:left="1480"/>
        <w:spacing w:after="0"/>
        <w:tabs>
          <w:tab w:leader="none" w:pos="9580" w:val="left"/>
        </w:tabs>
        <w:rPr>
          <w:sz w:val="20"/>
          <w:szCs w:val="20"/>
          <w:color w:val="auto"/>
        </w:rPr>
      </w:pPr>
      <w:r>
        <w:rPr>
          <w:rFonts w:ascii="Times New Roman" w:cs="Times New Roman" w:eastAsia="Times New Roman" w:hAnsi="Times New Roman"/>
          <w:sz w:val="14"/>
          <w:szCs w:val="14"/>
          <w:b w:val="1"/>
          <w:bCs w:val="1"/>
          <w:color w:val="auto"/>
        </w:rPr>
        <w:t xml:space="preserve">    </w:t>
      </w:r>
      <w:r>
        <w:rPr>
          <w:sz w:val="20"/>
          <w:szCs w:val="20"/>
          <w:color w:val="auto"/>
        </w:rPr>
        <w:tab/>
      </w:r>
      <w:r>
        <w:rPr>
          <w:rFonts w:ascii="Times New Roman" w:cs="Times New Roman" w:eastAsia="Times New Roman" w:hAnsi="Times New Roman"/>
          <w:sz w:val="14"/>
          <w:szCs w:val="14"/>
          <w:b w:val="1"/>
          <w:bCs w:val="1"/>
          <w:color w:val="auto"/>
        </w:rPr>
        <w:t xml:space="preserve">    </w:t>
      </w:r>
    </w:p>
    <w:p>
      <w:pPr>
        <w:spacing w:after="0" w:line="11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Gentherm Incorporated</w:t>
      </w:r>
    </w:p>
    <w:p>
      <w:pPr>
        <w:spacing w:after="0" w:line="9"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Special Meeting of Shareholders</w:t>
      </w:r>
    </w:p>
    <w:p>
      <w:pPr>
        <w:jc w:val="center"/>
        <w:ind w:right="-1180"/>
        <w:spacing w:after="0" w:line="232" w:lineRule="auto"/>
        <w:rPr>
          <w:sz w:val="20"/>
          <w:szCs w:val="20"/>
          <w:color w:val="auto"/>
        </w:rPr>
      </w:pPr>
      <w:r>
        <w:rPr>
          <w:rFonts w:ascii="Times New Roman" w:cs="Times New Roman" w:eastAsia="Times New Roman" w:hAnsi="Times New Roman"/>
          <w:sz w:val="17"/>
          <w:szCs w:val="17"/>
          <w:b w:val="1"/>
          <w:bCs w:val="1"/>
          <w:color w:val="auto"/>
        </w:rPr>
        <w:t>[__], 2026 [__] Eastern Time</w:t>
      </w: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This proxy is solicited by the Board of Directors</w:t>
      </w:r>
    </w:p>
    <w:p>
      <w:pPr>
        <w:spacing w:after="0" w:line="171" w:lineRule="exact"/>
        <w:rPr>
          <w:sz w:val="20"/>
          <w:szCs w:val="20"/>
          <w:color w:val="auto"/>
        </w:rPr>
      </w:pPr>
    </w:p>
    <w:p>
      <w:pPr>
        <w:jc w:val="both"/>
        <w:ind w:left="1840" w:right="659"/>
        <w:spacing w:after="0" w:line="257" w:lineRule="auto"/>
        <w:rPr>
          <w:sz w:val="20"/>
          <w:szCs w:val="20"/>
          <w:color w:val="auto"/>
        </w:rPr>
      </w:pPr>
      <w:r>
        <w:rPr>
          <w:rFonts w:ascii="Times New Roman" w:cs="Times New Roman" w:eastAsia="Times New Roman" w:hAnsi="Times New Roman"/>
          <w:sz w:val="14"/>
          <w:szCs w:val="14"/>
          <w:color w:val="auto"/>
        </w:rPr>
        <w:t xml:space="preserve">The shareholder(s) hereby appoint(s) William Presley, Jonathan Douyard and Wayne Kauffman, or any of them, as proxies, each with the power to appoint his substitute, and hereby authorize(s) them to represent and to vote as designated on the reverse side of this proxy card, and to vote in their judgment upon all other matters that may properly come before the Special Meeting, all of the shares of Gentherm Common Stock that the shareholder(s) is/are entitled to vote at the Special Meeting of Shareholders to be held at [__], Eastern Time on [__], 2026, virtually at </w:t>
      </w:r>
      <w:r>
        <w:rPr>
          <w:rFonts w:ascii="Times New Roman" w:cs="Times New Roman" w:eastAsia="Times New Roman" w:hAnsi="Times New Roman"/>
          <w:sz w:val="14"/>
          <w:szCs w:val="14"/>
          <w:u w:val="single" w:color="auto"/>
          <w:color w:val="auto"/>
        </w:rPr>
        <w:t>www.virtualshareholdermeeting.com/[__]</w:t>
      </w:r>
      <w:r>
        <w:rPr>
          <w:rFonts w:ascii="Times New Roman" w:cs="Times New Roman" w:eastAsia="Times New Roman" w:hAnsi="Times New Roman"/>
          <w:sz w:val="14"/>
          <w:szCs w:val="14"/>
          <w:color w:val="auto"/>
        </w:rPr>
        <w:t xml:space="preserve"> and any adjournment or postponement thereof. The undersigned hereby revokes any proxy previously given to vote at the Special Meeting.</w:t>
      </w:r>
    </w:p>
    <w:p>
      <w:pPr>
        <w:spacing w:after="0" w:line="162" w:lineRule="exact"/>
        <w:rPr>
          <w:sz w:val="20"/>
          <w:szCs w:val="20"/>
          <w:color w:val="auto"/>
        </w:rPr>
      </w:pPr>
    </w:p>
    <w:p>
      <w:pPr>
        <w:jc w:val="both"/>
        <w:ind w:left="1840" w:right="659"/>
        <w:spacing w:after="0" w:line="286" w:lineRule="auto"/>
        <w:rPr>
          <w:sz w:val="20"/>
          <w:szCs w:val="20"/>
          <w:color w:val="auto"/>
        </w:rPr>
      </w:pPr>
      <w:r>
        <w:rPr>
          <w:rFonts w:ascii="Times New Roman" w:cs="Times New Roman" w:eastAsia="Times New Roman" w:hAnsi="Times New Roman"/>
          <w:sz w:val="14"/>
          <w:szCs w:val="14"/>
          <w:b w:val="1"/>
          <w:bCs w:val="1"/>
          <w:color w:val="auto"/>
        </w:rPr>
        <w:t>This proxy, when properly executed, will be voted in the manner directed herein. If no such direction is made, this proxy will be voted in accordance with the Board of Directors’ recommendations, which are set forth on the reverse side of this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Continued and 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E-2</w:t>
      </w:r>
    </w:p>
    <w:p>
      <w:pPr>
        <w:sectPr>
          <w:pgSz w:w="11900" w:h="16838" w:orient="portrait"/>
          <w:cols w:equalWidth="0" w:num="1">
            <w:col w:w="10159"/>
          </w:cols>
          <w:pgMar w:left="300" w:top="386" w:right="1440"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The Gentherm Charter authorizes Gentherm to indemnify officers, employees or agents of Gentherm to the fullest extent permitted by the MBCA or any other applicable laws. The Gentherm Bylaws require Gentherm, to the maximum extent permitted by the MBCA, to indemnify each of its officers and directors against expenses, judgments, fines, settlements and other amounts actually and reasonably incurred in connection with any threatened, pending or completed action, suit or proceeding arising by reason of the fact that any such person is or was an agent of Gentherm, provided that generally such indemnification rights for proceedings initiated by any such person will only be available if such proceedings were authorized by the Gentherm Board. The Gentherm Bylaws authorize Gentherm to provide such other indemnification to directors, officers, employees and agents as permitted by law and authorized by the Gentherm Board. For purposes of the Gentherm Bylaws, an “agent” of Gentherm includes any person who is or was a director or officer of Gentherm; or a director or officer of Gentherm that is or was serving at the request of Gentherm as a director, officer, employee or agent of another corporation, partnership, joint venture, trust or other enterprise; or was a director, officer, employee or agent of a predecessor corporation of Gentherm or of another enterprise at the request of such predecessor corporation.</w:t>
      </w:r>
    </w:p>
    <w:p>
      <w:pPr>
        <w:spacing w:after="0" w:line="146" w:lineRule="exact"/>
        <w:rPr>
          <w:sz w:val="20"/>
          <w:szCs w:val="20"/>
          <w:color w:val="auto"/>
        </w:rPr>
      </w:pPr>
    </w:p>
    <w:p>
      <w:pPr>
        <w:jc w:val="both"/>
        <w:ind w:left="1360" w:right="399" w:firstLine="343"/>
        <w:spacing w:after="0" w:line="267" w:lineRule="auto"/>
        <w:rPr>
          <w:sz w:val="20"/>
          <w:szCs w:val="20"/>
          <w:color w:val="auto"/>
        </w:rPr>
      </w:pPr>
      <w:r>
        <w:rPr>
          <w:rFonts w:ascii="Times New Roman" w:cs="Times New Roman" w:eastAsia="Times New Roman" w:hAnsi="Times New Roman"/>
          <w:sz w:val="14"/>
          <w:szCs w:val="14"/>
          <w:color w:val="auto"/>
        </w:rPr>
        <w:t>The Gentherm Charter provides that, to the full extent permitted by the MBCA, or any other applicable laws presently or hereafter in effect, no director of Gentherm will be personally liable to Gentherm or its shareholders for or with respect to any acts or omissions in the performance of his or her duties as a director of Gentherm.</w:t>
      </w:r>
    </w:p>
    <w:p>
      <w:pPr>
        <w:spacing w:after="0" w:line="136" w:lineRule="exact"/>
        <w:rPr>
          <w:sz w:val="20"/>
          <w:szCs w:val="20"/>
          <w:color w:val="auto"/>
        </w:rPr>
      </w:pPr>
    </w:p>
    <w:p>
      <w:pPr>
        <w:ind w:left="1360" w:right="219" w:firstLine="343"/>
        <w:spacing w:after="0" w:line="252" w:lineRule="auto"/>
        <w:rPr>
          <w:sz w:val="20"/>
          <w:szCs w:val="20"/>
          <w:color w:val="auto"/>
        </w:rPr>
      </w:pPr>
      <w:r>
        <w:rPr>
          <w:rFonts w:ascii="Times New Roman" w:cs="Times New Roman" w:eastAsia="Times New Roman" w:hAnsi="Times New Roman"/>
          <w:sz w:val="14"/>
          <w:szCs w:val="14"/>
          <w:color w:val="auto"/>
        </w:rPr>
        <w:t>Under Sections 561-571 of the MBCA, directors and officers of a Michigan corporation may be entitled to indemnification by the corporation against judgments, expenses, fines and amounts paid by the director or officer in settlement of claims brought against them by third persons or by or in the right of the corporation if the statutory standard (defined below) is met. In particular, Section 561 of the MBCA provides that a Michigan corporation has the power to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(provided that generally the director did not (i) receive a financial benefit to which he was not entitled, (ii) intentionally inflict harm on the corporation or its shareholders, (iii) violate Section 551 of the MBCA relating to loans, dividends and distributions, or (iv) intentionally commit a criminal act, collectively, the “statutory standard”), and with respect to a criminal action or proceeding, if the person had no reasonable cause to believe his or her conduct was unlawful. In addition, Section 562 of the MBCA provides that a Michigan corporation has the power to indemnify a person who was or is a party or is threatened to be made a party to a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and amounts paid in settlement actually and reasonably incurred by the person in connection with the action or suit if the statutory standard is met. The MBCA does not permit indemnification for a claim, issue or matter in which the person has been found liable to the corporation unless application for indemnification is made to, and ordered by, the court conducting the proceeding or another court of competent jurisdiction.</w:t>
      </w:r>
    </w:p>
    <w:p>
      <w:pPr>
        <w:spacing w:after="0" w:line="151"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Section 563 of the MBCA provides that a director or officer who has been successful on the merits or otherwise in defense of an action, suit or proceeding referred to in Sections 561 and 562 of the MBCA, or in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6" w:right="1440"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defense of a claim, issue, or matter in any such action, suit, or proceeding, shall be indemnified by the corporation against actual and reasonable expenses, including attorneys’ fees, incurred by him or her in connection with the action, suit or proceeding, and any action, suit, or proceeding brought to enforce this mandatory indemnification.</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foregoing statements are subject to the detailed provisions of the MBCA, the Gentherm Charter and the Gentherm Bylaws.</w:t>
      </w:r>
    </w:p>
    <w:p>
      <w:pPr>
        <w:spacing w:after="0" w:line="17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Exhibits and Financial Statements Schedules</w:t>
      </w:r>
    </w:p>
    <w:p>
      <w:pPr>
        <w:spacing w:after="0" w:line="99"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420" w:type="dxa"/>
            <w:vAlign w:val="bottom"/>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60" w:type="dxa"/>
            <w:vAlign w:val="bottom"/>
            <w:tcBorders>
              <w:bottom w:val="single" w:sz="8" w:color="auto"/>
            </w:tcBorders>
            <w:gridSpan w:val="13"/>
          </w:tcPr>
          <w:p>
            <w:pPr>
              <w:ind w:left="8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2.1</w:t>
            </w:r>
          </w:p>
        </w:tc>
        <w:tc>
          <w:tcPr>
            <w:tcW w:w="420" w:type="dxa"/>
            <w:vAlign w:val="bottom"/>
          </w:tcPr>
          <w:p>
            <w:pPr>
              <w:spacing w:after="0"/>
              <w:rPr>
                <w:sz w:val="17"/>
                <w:szCs w:val="17"/>
                <w:color w:val="auto"/>
              </w:rPr>
            </w:pPr>
          </w:p>
        </w:tc>
        <w:tc>
          <w:tcPr>
            <w:tcW w:w="760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rPr>
            </w:pPr>
            <w:hyperlink r:id="rId568">
              <w:r>
                <w:rPr>
                  <w:rFonts w:ascii="Times New Roman" w:cs="Times New Roman" w:eastAsia="Times New Roman" w:hAnsi="Times New Roman"/>
                  <w:sz w:val="14"/>
                  <w:szCs w:val="14"/>
                  <w:color w:val="0000EE"/>
                </w:rPr>
                <w:t>Separation Agreement, dated as of January 29, 2026, by and among Modine Manufacturing Company, Gentherm Incorporated, and the</w:t>
              </w:r>
            </w:hyperlink>
          </w:p>
        </w:tc>
        <w:tc>
          <w:tcPr>
            <w:tcW w:w="200" w:type="dxa"/>
            <w:vAlign w:val="bottom"/>
            <w:gridSpan w:val="3"/>
          </w:tcPr>
          <w:p>
            <w:pPr>
              <w:spacing w:after="0"/>
              <w:rPr>
                <w:sz w:val="17"/>
                <w:szCs w:val="17"/>
                <w:color w:val="auto"/>
              </w:rPr>
            </w:pPr>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0" w:type="dxa"/>
            <w:vAlign w:val="bottom"/>
            <w:gridSpan w:val="18"/>
          </w:tcPr>
          <w:p>
            <w:pPr>
              <w:spacing w:after="0" w:line="148" w:lineRule="exact"/>
              <w:rPr>
                <w:rFonts w:ascii="Times New Roman" w:cs="Times New Roman" w:eastAsia="Times New Roman" w:hAnsi="Times New Roman"/>
                <w:sz w:val="14"/>
                <w:szCs w:val="14"/>
                <w:color w:val="0000EE"/>
              </w:rPr>
            </w:pPr>
            <w:hyperlink r:id="rId568">
              <w:r>
                <w:rPr>
                  <w:rFonts w:ascii="Times New Roman" w:cs="Times New Roman" w:eastAsia="Times New Roman" w:hAnsi="Times New Roman"/>
                  <w:sz w:val="14"/>
                  <w:szCs w:val="14"/>
                  <w:color w:val="0000EE"/>
                </w:rPr>
                <w:t>other parties named therein (incorporated by reference to Exhibit 2.1 to Gentherm Incorporated’s Current Report on Form 8-K filed on</w:t>
              </w:r>
            </w:hyperlink>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540" w:type="dxa"/>
            <w:vAlign w:val="bottom"/>
            <w:tcBorders>
              <w:top w:val="single" w:sz="8" w:color="0000EE"/>
            </w:tcBorders>
            <w:gridSpan w:val="14"/>
          </w:tcPr>
          <w:p>
            <w:pPr>
              <w:spacing w:after="0" w:line="148" w:lineRule="exact"/>
              <w:rPr>
                <w:rFonts w:ascii="Times New Roman" w:cs="Times New Roman" w:eastAsia="Times New Roman" w:hAnsi="Times New Roman"/>
                <w:sz w:val="14"/>
                <w:szCs w:val="14"/>
                <w:color w:val="0000EE"/>
              </w:rPr>
            </w:pPr>
            <w:hyperlink r:id="rId568">
              <w:r>
                <w:rPr>
                  <w:rFonts w:ascii="Times New Roman" w:cs="Times New Roman" w:eastAsia="Times New Roman" w:hAnsi="Times New Roman"/>
                  <w:sz w:val="14"/>
                  <w:szCs w:val="14"/>
                  <w:color w:val="0000EE"/>
                </w:rPr>
                <w:t>January 29, 2026) (File No. 001-14010)).†</w:t>
              </w:r>
            </w:hyperlink>
          </w:p>
        </w:tc>
        <w:tc>
          <w:tcPr>
            <w:tcW w:w="260" w:type="dxa"/>
            <w:vAlign w:val="bottom"/>
            <w:gridSpan w:val="4"/>
          </w:tcPr>
          <w:p>
            <w:pPr>
              <w:spacing w:after="0"/>
              <w:rPr>
                <w:sz w:val="12"/>
                <w:szCs w:val="12"/>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2.2</w:t>
            </w:r>
          </w:p>
        </w:tc>
        <w:tc>
          <w:tcPr>
            <w:tcW w:w="420" w:type="dxa"/>
            <w:vAlign w:val="bottom"/>
          </w:tcPr>
          <w:p>
            <w:pPr>
              <w:spacing w:after="0"/>
              <w:rPr>
                <w:sz w:val="20"/>
                <w:szCs w:val="20"/>
                <w:color w:val="auto"/>
              </w:rPr>
            </w:pPr>
          </w:p>
        </w:tc>
        <w:tc>
          <w:tcPr>
            <w:tcW w:w="7800" w:type="dxa"/>
            <w:vAlign w:val="bottom"/>
            <w:gridSpan w:val="18"/>
          </w:tcPr>
          <w:p>
            <w:pPr>
              <w:spacing w:after="0"/>
              <w:rPr>
                <w:rFonts w:ascii="Times New Roman" w:cs="Times New Roman" w:eastAsia="Times New Roman" w:hAnsi="Times New Roman"/>
                <w:sz w:val="14"/>
                <w:szCs w:val="14"/>
                <w:color w:val="0000EE"/>
              </w:rPr>
            </w:pPr>
            <w:hyperlink r:id="rId569">
              <w:r>
                <w:rPr>
                  <w:rFonts w:ascii="Times New Roman" w:cs="Times New Roman" w:eastAsia="Times New Roman" w:hAnsi="Times New Roman"/>
                  <w:sz w:val="14"/>
                  <w:szCs w:val="14"/>
                  <w:color w:val="0000EE"/>
                </w:rPr>
                <w:t>Agreement and Plan of Merger, dated as of January 29, 2026, by and among Gentherm Incorporated, Modine Manufacturing Company,</w:t>
              </w:r>
            </w:hyperlink>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520" w:type="dxa"/>
            <w:vAlign w:val="bottom"/>
            <w:tcBorders>
              <w:top w:val="single" w:sz="8" w:color="0000EE"/>
              <w:bottom w:val="single" w:sz="8" w:color="0000EE"/>
            </w:tcBorders>
            <w:gridSpan w:val="13"/>
          </w:tcPr>
          <w:p>
            <w:pPr>
              <w:spacing w:after="0" w:line="148" w:lineRule="exact"/>
              <w:rPr>
                <w:rFonts w:ascii="Times New Roman" w:cs="Times New Roman" w:eastAsia="Times New Roman" w:hAnsi="Times New Roman"/>
                <w:sz w:val="14"/>
                <w:szCs w:val="14"/>
                <w:color w:val="0000EE"/>
                <w:w w:val="99"/>
              </w:rPr>
            </w:pPr>
            <w:hyperlink r:id="rId569">
              <w:r>
                <w:rPr>
                  <w:rFonts w:ascii="Times New Roman" w:cs="Times New Roman" w:eastAsia="Times New Roman" w:hAnsi="Times New Roman"/>
                  <w:sz w:val="14"/>
                  <w:szCs w:val="14"/>
                  <w:color w:val="0000EE"/>
                  <w:w w:val="99"/>
                </w:rPr>
                <w:t>and the other parties named therein (incorporated by reference to Exhibit 2.2 to Gentherm Incorporated’s Current Report on Form 8-K</w:t>
              </w:r>
            </w:hyperlink>
          </w:p>
        </w:tc>
        <w:tc>
          <w:tcPr>
            <w:tcW w:w="100" w:type="dxa"/>
            <w:vAlign w:val="bottom"/>
            <w:tcBorders>
              <w:top w:val="single" w:sz="8" w:color="0000EE"/>
            </w:tcBorders>
            <w:gridSpan w:val="3"/>
          </w:tcPr>
          <w:p>
            <w:pPr>
              <w:spacing w:after="0"/>
              <w:rPr>
                <w:sz w:val="12"/>
                <w:szCs w:val="12"/>
                <w:color w:val="auto"/>
              </w:rPr>
            </w:pPr>
          </w:p>
        </w:tc>
        <w:tc>
          <w:tcPr>
            <w:tcW w:w="180" w:type="dxa"/>
            <w:vAlign w:val="bottom"/>
            <w:gridSpan w:val="2"/>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0" w:type="dxa"/>
            <w:vAlign w:val="bottom"/>
            <w:gridSpan w:val="18"/>
          </w:tcPr>
          <w:p>
            <w:pPr>
              <w:spacing w:after="0" w:line="148" w:lineRule="exact"/>
              <w:rPr>
                <w:rFonts w:ascii="Times New Roman" w:cs="Times New Roman" w:eastAsia="Times New Roman" w:hAnsi="Times New Roman"/>
                <w:sz w:val="14"/>
                <w:szCs w:val="14"/>
                <w:color w:val="0000EE"/>
              </w:rPr>
            </w:pPr>
            <w:hyperlink r:id="rId569">
              <w:r>
                <w:rPr>
                  <w:rFonts w:ascii="Times New Roman" w:cs="Times New Roman" w:eastAsia="Times New Roman" w:hAnsi="Times New Roman"/>
                  <w:sz w:val="14"/>
                  <w:szCs w:val="14"/>
                  <w:color w:val="0000EE"/>
                </w:rPr>
                <w:t>filed on January 29, 2026) (File No. 001-14010)).†</w:t>
              </w:r>
            </w:hyperlink>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420" w:type="dxa"/>
            <w:vAlign w:val="bottom"/>
          </w:tcPr>
          <w:p>
            <w:pPr>
              <w:spacing w:after="0"/>
              <w:rPr>
                <w:sz w:val="20"/>
                <w:szCs w:val="20"/>
                <w:color w:val="auto"/>
              </w:rPr>
            </w:pPr>
          </w:p>
        </w:tc>
        <w:tc>
          <w:tcPr>
            <w:tcW w:w="7800" w:type="dxa"/>
            <w:vAlign w:val="bottom"/>
            <w:gridSpan w:val="18"/>
          </w:tcPr>
          <w:p>
            <w:pPr>
              <w:spacing w:after="0"/>
              <w:rPr>
                <w:rFonts w:ascii="Times New Roman" w:cs="Times New Roman" w:eastAsia="Times New Roman" w:hAnsi="Times New Roman"/>
                <w:sz w:val="14"/>
                <w:szCs w:val="14"/>
                <w:color w:val="0000EE"/>
              </w:rPr>
            </w:pPr>
            <w:hyperlink r:id="rId570">
              <w:r>
                <w:rPr>
                  <w:rFonts w:ascii="Times New Roman" w:cs="Times New Roman" w:eastAsia="Times New Roman" w:hAnsi="Times New Roman"/>
                  <w:sz w:val="14"/>
                  <w:szCs w:val="14"/>
                  <w:color w:val="0000EE"/>
                </w:rPr>
                <w:t>Second Amended and Restated Articles of Incorporation of Gentherm Incorporated, dated as of March 5, 2018 (Incorporated by reference</w:t>
              </w:r>
            </w:hyperlink>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760" w:type="dxa"/>
            <w:vAlign w:val="bottom"/>
            <w:tcBorders>
              <w:top w:val="single" w:sz="8" w:color="0000EE"/>
            </w:tcBorders>
            <w:gridSpan w:val="17"/>
          </w:tcPr>
          <w:p>
            <w:pPr>
              <w:spacing w:after="0" w:line="148" w:lineRule="exact"/>
              <w:rPr>
                <w:rFonts w:ascii="Times New Roman" w:cs="Times New Roman" w:eastAsia="Times New Roman" w:hAnsi="Times New Roman"/>
                <w:sz w:val="14"/>
                <w:szCs w:val="14"/>
                <w:color w:val="0000EE"/>
              </w:rPr>
            </w:pPr>
            <w:hyperlink r:id="rId570">
              <w:r>
                <w:rPr>
                  <w:rFonts w:ascii="Times New Roman" w:cs="Times New Roman" w:eastAsia="Times New Roman" w:hAnsi="Times New Roman"/>
                  <w:sz w:val="14"/>
                  <w:szCs w:val="14"/>
                  <w:color w:val="0000EE"/>
                </w:rPr>
                <w:t>to Gentherm Incorporated’s Current Report on Form 8-K dated March 5, 2018).</w:t>
              </w:r>
            </w:hyperlink>
          </w:p>
        </w:tc>
        <w:tc>
          <w:tcPr>
            <w:tcW w:w="40" w:type="dxa"/>
            <w:vAlign w:val="bottom"/>
          </w:tcPr>
          <w:p>
            <w:pPr>
              <w:spacing w:after="0"/>
              <w:rPr>
                <w:sz w:val="12"/>
                <w:szCs w:val="12"/>
                <w:color w:val="auto"/>
              </w:rPr>
            </w:pP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420" w:type="dxa"/>
            <w:vAlign w:val="bottom"/>
          </w:tcPr>
          <w:p>
            <w:pPr>
              <w:spacing w:after="0"/>
              <w:rPr>
                <w:sz w:val="20"/>
                <w:szCs w:val="20"/>
                <w:color w:val="auto"/>
              </w:rPr>
            </w:pPr>
          </w:p>
        </w:tc>
        <w:tc>
          <w:tcPr>
            <w:tcW w:w="7800" w:type="dxa"/>
            <w:vAlign w:val="bottom"/>
            <w:gridSpan w:val="18"/>
          </w:tcPr>
          <w:p>
            <w:pPr>
              <w:spacing w:after="0"/>
              <w:rPr>
                <w:rFonts w:ascii="Times New Roman" w:cs="Times New Roman" w:eastAsia="Times New Roman" w:hAnsi="Times New Roman"/>
                <w:sz w:val="14"/>
                <w:szCs w:val="14"/>
                <w:color w:val="0000EE"/>
              </w:rPr>
            </w:pPr>
            <w:hyperlink r:id="rId571">
              <w:r>
                <w:rPr>
                  <w:rFonts w:ascii="Times New Roman" w:cs="Times New Roman" w:eastAsia="Times New Roman" w:hAnsi="Times New Roman"/>
                  <w:sz w:val="14"/>
                  <w:szCs w:val="14"/>
                  <w:color w:val="0000EE"/>
                </w:rPr>
                <w:t>Amended and Restated Bylaws of Gentherm Incorporated, dated as of May 26, 2016 (Incorporated by reference to Gentherm</w:t>
              </w:r>
            </w:hyperlink>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40" w:type="dxa"/>
            <w:vAlign w:val="bottom"/>
            <w:tcBorders>
              <w:top w:val="single" w:sz="8" w:color="0000EE"/>
            </w:tcBorders>
            <w:gridSpan w:val="11"/>
          </w:tcPr>
          <w:p>
            <w:pPr>
              <w:spacing w:after="0" w:line="148" w:lineRule="exact"/>
              <w:rPr>
                <w:rFonts w:ascii="Times New Roman" w:cs="Times New Roman" w:eastAsia="Times New Roman" w:hAnsi="Times New Roman"/>
                <w:sz w:val="14"/>
                <w:szCs w:val="14"/>
                <w:color w:val="0000EE"/>
              </w:rPr>
            </w:pPr>
            <w:hyperlink r:id="rId571">
              <w:r>
                <w:rPr>
                  <w:rFonts w:ascii="Times New Roman" w:cs="Times New Roman" w:eastAsia="Times New Roman" w:hAnsi="Times New Roman"/>
                  <w:sz w:val="14"/>
                  <w:szCs w:val="14"/>
                  <w:color w:val="0000EE"/>
                </w:rPr>
                <w:t>Incorporated’s Current Report on Form 8-K dated May 26, 2016).</w:t>
              </w:r>
            </w:hyperlink>
          </w:p>
        </w:tc>
        <w:tc>
          <w:tcPr>
            <w:tcW w:w="760" w:type="dxa"/>
            <w:vAlign w:val="bottom"/>
            <w:gridSpan w:val="7"/>
          </w:tcPr>
          <w:p>
            <w:pPr>
              <w:spacing w:after="0"/>
              <w:rPr>
                <w:sz w:val="12"/>
                <w:szCs w:val="12"/>
                <w:color w:val="auto"/>
              </w:rPr>
            </w:pPr>
          </w:p>
        </w:tc>
      </w:tr>
      <w:tr>
        <w:trPr>
          <w:trHeight w:val="26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420" w:type="dxa"/>
            <w:vAlign w:val="bottom"/>
          </w:tcPr>
          <w:p>
            <w:pPr>
              <w:spacing w:after="0"/>
              <w:rPr>
                <w:sz w:val="22"/>
                <w:szCs w:val="22"/>
                <w:color w:val="auto"/>
              </w:rPr>
            </w:pPr>
          </w:p>
        </w:tc>
        <w:tc>
          <w:tcPr>
            <w:tcW w:w="36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auto"/>
              </w:rPr>
              <w:t>Opinion of Latham &amp; Watkins LLP.*</w:t>
            </w:r>
          </w:p>
        </w:tc>
        <w:tc>
          <w:tcPr>
            <w:tcW w:w="4120" w:type="dxa"/>
            <w:vAlign w:val="bottom"/>
            <w:gridSpan w:val="12"/>
          </w:tcPr>
          <w:p>
            <w:pPr>
              <w:spacing w:after="0"/>
              <w:rPr>
                <w:sz w:val="22"/>
                <w:szCs w:val="22"/>
                <w:color w:val="auto"/>
              </w:rPr>
            </w:pPr>
          </w:p>
        </w:tc>
      </w:tr>
      <w:tr>
        <w:trPr>
          <w:trHeight w:val="25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8.1</w:t>
            </w:r>
          </w:p>
        </w:tc>
        <w:tc>
          <w:tcPr>
            <w:tcW w:w="420" w:type="dxa"/>
            <w:vAlign w:val="bottom"/>
          </w:tcPr>
          <w:p>
            <w:pPr>
              <w:spacing w:after="0"/>
              <w:rPr>
                <w:sz w:val="21"/>
                <w:szCs w:val="21"/>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Form of Opinion of Latham &amp; Watkins LLP as to certain tax matters.*</w:t>
            </w:r>
          </w:p>
        </w:tc>
      </w:tr>
      <w:tr>
        <w:trPr>
          <w:trHeight w:val="25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  8.2</w:t>
            </w:r>
          </w:p>
        </w:tc>
        <w:tc>
          <w:tcPr>
            <w:tcW w:w="420" w:type="dxa"/>
            <w:vAlign w:val="bottom"/>
          </w:tcPr>
          <w:p>
            <w:pPr>
              <w:spacing w:after="0"/>
              <w:rPr>
                <w:sz w:val="21"/>
                <w:szCs w:val="21"/>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Form of Opinion of Gibson, Dunn &amp; Crutcher LLP as to certain tax matters.*</w:t>
            </w:r>
          </w:p>
        </w:tc>
      </w:tr>
      <w:tr>
        <w:trPr>
          <w:trHeight w:val="22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20" w:type="dxa"/>
            <w:vAlign w:val="bottom"/>
          </w:tcPr>
          <w:p>
            <w:pPr>
              <w:spacing w:after="0"/>
              <w:rPr>
                <w:sz w:val="19"/>
                <w:szCs w:val="19"/>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Form of Transition Services Agreement.†+</w:t>
            </w: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420" w:type="dxa"/>
            <w:vAlign w:val="bottom"/>
          </w:tcPr>
          <w:p>
            <w:pPr>
              <w:spacing w:after="0"/>
              <w:rPr>
                <w:sz w:val="20"/>
                <w:szCs w:val="20"/>
                <w:color w:val="auto"/>
              </w:rPr>
            </w:pPr>
          </w:p>
        </w:tc>
        <w:tc>
          <w:tcPr>
            <w:tcW w:w="20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8"/>
              </w:rPr>
              <w:t>Form of Tax Matters Agreement.†+</w:t>
            </w:r>
          </w:p>
        </w:tc>
        <w:tc>
          <w:tcPr>
            <w:tcW w:w="400" w:type="dxa"/>
            <w:vAlign w:val="bottom"/>
            <w:tcBorders>
              <w:top w:val="single" w:sz="8" w:color="0000EE"/>
            </w:tcBorders>
            <w:gridSpan w:val="2"/>
          </w:tcPr>
          <w:p>
            <w:pPr>
              <w:spacing w:after="0"/>
              <w:rPr>
                <w:sz w:val="20"/>
                <w:szCs w:val="20"/>
                <w:color w:val="auto"/>
              </w:rPr>
            </w:pPr>
          </w:p>
        </w:tc>
        <w:tc>
          <w:tcPr>
            <w:tcW w:w="5400" w:type="dxa"/>
            <w:vAlign w:val="bottom"/>
            <w:gridSpan w:val="15"/>
          </w:tcPr>
          <w:p>
            <w:pPr>
              <w:spacing w:after="0"/>
              <w:rPr>
                <w:sz w:val="20"/>
                <w:szCs w:val="20"/>
                <w:color w:val="auto"/>
              </w:rPr>
            </w:pPr>
          </w:p>
        </w:tc>
      </w:tr>
      <w:tr>
        <w:trPr>
          <w:trHeight w:val="26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420" w:type="dxa"/>
            <w:vAlign w:val="bottom"/>
          </w:tcPr>
          <w:p>
            <w:pPr>
              <w:spacing w:after="0"/>
              <w:rPr>
                <w:sz w:val="22"/>
                <w:szCs w:val="22"/>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Form of Intellectual Property Matters Agreement.†*</w:t>
            </w:r>
          </w:p>
        </w:tc>
      </w:tr>
      <w:tr>
        <w:trPr>
          <w:trHeight w:val="22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20" w:type="dxa"/>
            <w:vAlign w:val="bottom"/>
          </w:tcPr>
          <w:p>
            <w:pPr>
              <w:spacing w:after="0"/>
              <w:rPr>
                <w:sz w:val="19"/>
                <w:szCs w:val="19"/>
                <w:color w:val="auto"/>
              </w:rPr>
            </w:pPr>
          </w:p>
        </w:tc>
        <w:tc>
          <w:tcPr>
            <w:tcW w:w="2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9"/>
              </w:rPr>
              <w:t>Form of Employee Matters Agreement.†+</w:t>
            </w:r>
          </w:p>
        </w:tc>
        <w:tc>
          <w:tcPr>
            <w:tcW w:w="5420" w:type="dxa"/>
            <w:vAlign w:val="bottom"/>
            <w:gridSpan w:val="16"/>
          </w:tcPr>
          <w:p>
            <w:pPr>
              <w:spacing w:after="0"/>
              <w:rPr>
                <w:sz w:val="19"/>
                <w:szCs w:val="19"/>
                <w:color w:val="auto"/>
              </w:rPr>
            </w:pPr>
          </w:p>
        </w:tc>
      </w:tr>
      <w:tr>
        <w:trPr>
          <w:trHeight w:val="26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420" w:type="dxa"/>
            <w:vAlign w:val="bottom"/>
          </w:tcPr>
          <w:p>
            <w:pPr>
              <w:spacing w:after="0"/>
              <w:rPr>
                <w:sz w:val="22"/>
                <w:szCs w:val="22"/>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Form of Trademark Matters Agreement.†*</w:t>
            </w:r>
          </w:p>
        </w:tc>
      </w:tr>
      <w:tr>
        <w:trPr>
          <w:trHeight w:val="22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420" w:type="dxa"/>
            <w:vAlign w:val="bottom"/>
          </w:tcPr>
          <w:p>
            <w:pPr>
              <w:spacing w:after="0"/>
              <w:rPr>
                <w:sz w:val="19"/>
                <w:szCs w:val="19"/>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Credit Agreement, dated as of July 29, 2026, by and among Platinum SpinCo Inc., the guarantors and lenders from time to time party</w:t>
            </w:r>
          </w:p>
        </w:tc>
      </w:tr>
      <w:tr>
        <w:trPr>
          <w:trHeight w:val="148"/>
        </w:trPr>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60" w:type="dxa"/>
            <w:vAlign w:val="bottom"/>
            <w:tcBorders>
              <w:top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thereto and Bank of America, N. A., as administrative agent.†+</w:t>
            </w:r>
          </w:p>
        </w:tc>
        <w:tc>
          <w:tcPr>
            <w:tcW w:w="340" w:type="dxa"/>
            <w:vAlign w:val="bottom"/>
            <w:gridSpan w:val="6"/>
          </w:tcPr>
          <w:p>
            <w:pPr>
              <w:spacing w:after="0"/>
              <w:rPr>
                <w:sz w:val="12"/>
                <w:szCs w:val="12"/>
                <w:color w:val="auto"/>
              </w:rPr>
            </w:pPr>
          </w:p>
        </w:tc>
      </w:tr>
      <w:tr>
        <w:trPr>
          <w:trHeight w:val="264"/>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420" w:type="dxa"/>
            <w:vAlign w:val="bottom"/>
          </w:tcPr>
          <w:p>
            <w:pPr>
              <w:spacing w:after="0"/>
              <w:rPr>
                <w:sz w:val="22"/>
                <w:szCs w:val="22"/>
                <w:color w:val="auto"/>
              </w:rPr>
            </w:pPr>
          </w:p>
        </w:tc>
        <w:tc>
          <w:tcPr>
            <w:tcW w:w="35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auto"/>
              </w:rPr>
              <w:t>Subsidiaries of Gentherm Incorporated.*</w:t>
            </w:r>
          </w:p>
        </w:tc>
        <w:tc>
          <w:tcPr>
            <w:tcW w:w="4260" w:type="dxa"/>
            <w:vAlign w:val="bottom"/>
            <w:gridSpan w:val="13"/>
          </w:tcPr>
          <w:p>
            <w:pPr>
              <w:spacing w:after="0"/>
              <w:rPr>
                <w:sz w:val="22"/>
                <w:szCs w:val="22"/>
                <w:color w:val="auto"/>
              </w:rPr>
            </w:pPr>
          </w:p>
        </w:tc>
      </w:tr>
      <w:tr>
        <w:trPr>
          <w:trHeight w:val="25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420" w:type="dxa"/>
            <w:vAlign w:val="bottom"/>
          </w:tcPr>
          <w:p>
            <w:pPr>
              <w:spacing w:after="0"/>
              <w:rPr>
                <w:sz w:val="21"/>
                <w:szCs w:val="21"/>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Consent of Latham &amp; Watkins LLP (included as Exhibit 5.1).*</w:t>
            </w:r>
          </w:p>
        </w:tc>
      </w:tr>
      <w:tr>
        <w:trPr>
          <w:trHeight w:val="25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420" w:type="dxa"/>
            <w:vAlign w:val="bottom"/>
          </w:tcPr>
          <w:p>
            <w:pPr>
              <w:spacing w:after="0"/>
              <w:rPr>
                <w:sz w:val="21"/>
                <w:szCs w:val="21"/>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Consent of Latham &amp; Watkins LLP as to certain tax matters (included in Exhibit 8.1).*</w:t>
            </w:r>
          </w:p>
        </w:tc>
      </w:tr>
      <w:tr>
        <w:trPr>
          <w:trHeight w:val="25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420" w:type="dxa"/>
            <w:vAlign w:val="bottom"/>
          </w:tcPr>
          <w:p>
            <w:pPr>
              <w:spacing w:after="0"/>
              <w:rPr>
                <w:sz w:val="21"/>
                <w:szCs w:val="21"/>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Consent of Gibson, Dunn &amp; Crutcher LLP as to certain tax matters (included in Exhibit 8.2).*</w:t>
            </w:r>
          </w:p>
        </w:tc>
      </w:tr>
      <w:tr>
        <w:trPr>
          <w:trHeight w:val="221"/>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23.4</w:t>
            </w:r>
          </w:p>
        </w:tc>
        <w:tc>
          <w:tcPr>
            <w:tcW w:w="420" w:type="dxa"/>
            <w:vAlign w:val="bottom"/>
          </w:tcPr>
          <w:p>
            <w:pPr>
              <w:spacing w:after="0"/>
              <w:rPr>
                <w:sz w:val="19"/>
                <w:szCs w:val="19"/>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Consent of Ernst &amp; Young LLP as to the historical financial statements of Gentherm Incorporated.+</w:t>
            </w:r>
          </w:p>
        </w:tc>
      </w:tr>
      <w:tr>
        <w:trPr>
          <w:trHeight w:val="20"/>
        </w:trPr>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20" w:type="dxa"/>
            <w:vAlign w:val="bottom"/>
            <w:gridSpan w:val="8"/>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gridSpan w:val="8"/>
          </w:tcPr>
          <w:p>
            <w:pPr>
              <w:spacing w:after="0" w:line="20" w:lineRule="exact"/>
              <w:rPr>
                <w:sz w:val="1"/>
                <w:szCs w:val="1"/>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23.5</w:t>
            </w:r>
          </w:p>
        </w:tc>
        <w:tc>
          <w:tcPr>
            <w:tcW w:w="420" w:type="dxa"/>
            <w:vAlign w:val="bottom"/>
          </w:tcPr>
          <w:p>
            <w:pPr>
              <w:spacing w:after="0"/>
              <w:rPr>
                <w:sz w:val="20"/>
                <w:szCs w:val="20"/>
                <w:color w:val="auto"/>
              </w:rPr>
            </w:pPr>
          </w:p>
        </w:tc>
        <w:tc>
          <w:tcPr>
            <w:tcW w:w="780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Consent of KPMG LLP as to the audited financial statements of the Performance Technologies Business.+</w:t>
            </w: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420" w:type="dxa"/>
            <w:vAlign w:val="bottom"/>
          </w:tcPr>
          <w:p>
            <w:pPr>
              <w:spacing w:after="0"/>
              <w:rPr>
                <w:sz w:val="20"/>
                <w:szCs w:val="20"/>
                <w:color w:val="auto"/>
              </w:rPr>
            </w:pPr>
          </w:p>
        </w:tc>
        <w:tc>
          <w:tcPr>
            <w:tcW w:w="55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9"/>
              </w:rPr>
              <w:t>Power of Attorney (included on signature page to the initial filing of this Registration Statement).+</w:t>
            </w:r>
          </w:p>
        </w:tc>
        <w:tc>
          <w:tcPr>
            <w:tcW w:w="380" w:type="dxa"/>
            <w:vAlign w:val="bottom"/>
            <w:tcBorders>
              <w:top w:val="single" w:sz="8" w:color="0000EE"/>
            </w:tcBorders>
          </w:tcPr>
          <w:p>
            <w:pPr>
              <w:spacing w:after="0"/>
              <w:rPr>
                <w:sz w:val="20"/>
                <w:szCs w:val="20"/>
                <w:color w:val="auto"/>
              </w:rPr>
            </w:pPr>
          </w:p>
        </w:tc>
        <w:tc>
          <w:tcPr>
            <w:tcW w:w="1840" w:type="dxa"/>
            <w:vAlign w:val="bottom"/>
            <w:gridSpan w:val="8"/>
          </w:tcPr>
          <w:p>
            <w:pPr>
              <w:spacing w:after="0"/>
              <w:rPr>
                <w:sz w:val="20"/>
                <w:szCs w:val="20"/>
                <w:color w:val="auto"/>
              </w:rPr>
            </w:pPr>
          </w:p>
        </w:tc>
      </w:tr>
      <w:tr>
        <w:trPr>
          <w:trHeight w:val="23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420" w:type="dxa"/>
            <w:vAlign w:val="bottom"/>
          </w:tcPr>
          <w:p>
            <w:pPr>
              <w:spacing w:after="0"/>
              <w:rPr>
                <w:sz w:val="20"/>
                <w:szCs w:val="20"/>
                <w:color w:val="auto"/>
              </w:rPr>
            </w:pPr>
          </w:p>
        </w:tc>
        <w:tc>
          <w:tcPr>
            <w:tcW w:w="46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9"/>
              </w:rPr>
              <w:t>Consent of Barclays Capital, Inc., as financial advisor to Gentherm Incorporated.+</w:t>
            </w:r>
          </w:p>
        </w:tc>
        <w:tc>
          <w:tcPr>
            <w:tcW w:w="3180" w:type="dxa"/>
            <w:vAlign w:val="bottom"/>
            <w:gridSpan w:val="10"/>
          </w:tcPr>
          <w:p>
            <w:pPr>
              <w:spacing w:after="0"/>
              <w:rPr>
                <w:sz w:val="20"/>
                <w:szCs w:val="20"/>
                <w:color w:val="auto"/>
              </w:rPr>
            </w:pPr>
          </w:p>
        </w:tc>
      </w:tr>
    </w:tbl>
    <w:p>
      <w:pPr>
        <w:spacing w:after="0" w:line="90" w:lineRule="exact"/>
        <w:rPr>
          <w:sz w:val="20"/>
          <w:szCs w:val="20"/>
          <w:color w:val="auto"/>
        </w:rPr>
      </w:pPr>
    </w:p>
    <w:p>
      <w:pPr>
        <w:ind w:left="2140" w:hanging="785"/>
        <w:spacing w:after="0"/>
        <w:tabs>
          <w:tab w:leader="none" w:pos="2140" w:val="left"/>
        </w:tabs>
        <w:numPr>
          <w:ilvl w:val="0"/>
          <w:numId w:val="5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5" w:right="1440"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hanging="345"/>
        <w:spacing w:after="0"/>
        <w:tabs>
          <w:tab w:leader="none" w:pos="1700" w:val="left"/>
        </w:tabs>
        <w:numPr>
          <w:ilvl w:val="0"/>
          <w:numId w:val="5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2" w:lineRule="exact"/>
        <w:rPr>
          <w:sz w:val="20"/>
          <w:szCs w:val="20"/>
          <w:color w:val="auto"/>
        </w:rPr>
      </w:pPr>
    </w:p>
    <w:p>
      <w:pPr>
        <w:ind w:left="1700" w:hanging="345"/>
        <w:spacing w:after="0"/>
        <w:tabs>
          <w:tab w:leader="none" w:pos="1700" w:val="left"/>
        </w:tabs>
        <w:numPr>
          <w:ilvl w:val="0"/>
          <w:numId w:val="5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7" w:lineRule="exact"/>
        <w:rPr>
          <w:sz w:val="20"/>
          <w:szCs w:val="20"/>
          <w:color w:val="auto"/>
        </w:rPr>
      </w:pPr>
    </w:p>
    <w:p>
      <w:pPr>
        <w:ind w:left="1700" w:right="539" w:hanging="345"/>
        <w:spacing w:after="0" w:line="256" w:lineRule="auto"/>
        <w:tabs>
          <w:tab w:leader="none" w:pos="1700" w:val="left"/>
        </w:tabs>
        <w:numPr>
          <w:ilvl w:val="0"/>
          <w:numId w:val="5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(or similar attachments) to this Exhibit have been omitted in accordance with Items 601(a)(5) and/or 601(b) (2) of Regulation S-K. Gentherm Incorporated agrees to furnish supplementally a copy of all omitted schedules to the Securities and Exchange Commission on a confidential basis upon request.</w:t>
      </w:r>
    </w:p>
    <w:p>
      <w:pPr>
        <w:spacing w:after="0" w:line="14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Undertakings</w:t>
      </w:r>
    </w:p>
    <w:p>
      <w:pPr>
        <w:spacing w:after="0" w:line="9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02" w:lineRule="exact"/>
        <w:rPr>
          <w:sz w:val="20"/>
          <w:szCs w:val="20"/>
          <w:color w:val="auto"/>
        </w:rPr>
      </w:pPr>
    </w:p>
    <w:p>
      <w:pPr>
        <w:ind w:left="2120" w:right="299" w:hanging="429"/>
        <w:spacing w:after="0" w:line="258" w:lineRule="auto"/>
        <w:tabs>
          <w:tab w:leader="none" w:pos="212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Times New Roman" w:cs="Times New Roman" w:eastAsia="Times New Roman" w:hAnsi="Times New Roman"/>
          <w:sz w:val="14"/>
          <w:szCs w:val="14"/>
          <w:color w:val="auto"/>
        </w:rPr>
      </w:pPr>
    </w:p>
    <w:p>
      <w:pPr>
        <w:ind w:left="2120" w:right="279" w:hanging="429"/>
        <w:spacing w:after="0" w:line="261" w:lineRule="auto"/>
        <w:tabs>
          <w:tab w:leader="none" w:pos="212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7" w:lineRule="exact"/>
        <w:rPr>
          <w:rFonts w:ascii="Times New Roman" w:cs="Times New Roman" w:eastAsia="Times New Roman" w:hAnsi="Times New Roman"/>
          <w:sz w:val="14"/>
          <w:szCs w:val="14"/>
          <w:color w:val="auto"/>
        </w:rPr>
      </w:pPr>
    </w:p>
    <w:p>
      <w:pPr>
        <w:ind w:left="2120" w:right="319" w:hanging="429"/>
        <w:spacing w:after="0" w:line="258" w:lineRule="auto"/>
        <w:tabs>
          <w:tab w:leader="none" w:pos="212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every prospectus (i) that is filed pursuant to paragraph (2)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Times New Roman" w:cs="Times New Roman" w:eastAsia="Times New Roman" w:hAnsi="Times New Roman"/>
          <w:sz w:val="14"/>
          <w:szCs w:val="14"/>
          <w:color w:val="auto"/>
        </w:rPr>
      </w:pPr>
    </w:p>
    <w:p>
      <w:pPr>
        <w:ind w:left="2120" w:right="479" w:hanging="429"/>
        <w:spacing w:after="0" w:line="261" w:lineRule="auto"/>
        <w:tabs>
          <w:tab w:leader="none" w:pos="212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67" w:lineRule="exact"/>
        <w:rPr>
          <w:rFonts w:ascii="Times New Roman" w:cs="Times New Roman" w:eastAsia="Times New Roman" w:hAnsi="Times New Roman"/>
          <w:sz w:val="14"/>
          <w:szCs w:val="14"/>
          <w:color w:val="auto"/>
        </w:rPr>
      </w:pPr>
    </w:p>
    <w:p>
      <w:pPr>
        <w:ind w:left="2120" w:right="499" w:hanging="429"/>
        <w:spacing w:after="0" w:line="283" w:lineRule="auto"/>
        <w:tabs>
          <w:tab w:leader="none" w:pos="212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45" w:lineRule="exact"/>
        <w:rPr>
          <w:rFonts w:ascii="Times New Roman" w:cs="Times New Roman" w:eastAsia="Times New Roman" w:hAnsi="Times New Roman"/>
          <w:sz w:val="14"/>
          <w:szCs w:val="14"/>
          <w:color w:val="auto"/>
        </w:rPr>
      </w:pPr>
    </w:p>
    <w:p>
      <w:pPr>
        <w:ind w:left="2120" w:right="339" w:hanging="429"/>
        <w:spacing w:after="0" w:line="255" w:lineRule="auto"/>
        <w:tabs>
          <w:tab w:leader="none" w:pos="2120" w:val="left"/>
        </w:tabs>
        <w:numPr>
          <w:ilvl w:val="0"/>
          <w:numId w:val="5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a claim of indemnification against such liabilities (other than the payment by the registrant of expenses incurred or paid by a director, officer or controlling person of the registrant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6" w:right="1440"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has duly caused this registration statement to be signed on its behalf by the undersigned, thereunto duly authorized, in the Town of Novi, Michigan, on this 2nd day of July, 2026.</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GENTHERM INCORPORATED</w:t>
      </w:r>
    </w:p>
    <w:p>
      <w:pPr>
        <w:spacing w:after="0" w:line="17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William Presley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13970</wp:posOffset>
            </wp:positionV>
            <wp:extent cx="199580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4">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William Presley</w:t>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161"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We, the undersigned officers and directors of Gentherm Incorporated, hereby severally constitute and appoint William Presley, Jonathan Douyard and Wayne Kauffman, and each of them singly, our true and lawful attorneys with full power to them, and each of them singly, to sign for us and in our names in the capacities indicated below, the registration statement on Form S-4 filed herewith and any and all subsequent pre-effective and post-effective amendments to said registration statement, and generally to do all such things in our names and on our behalf in our capacities as officers and directors to enable Gentherm Incorporated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44"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indicated as of the 2nd day of July, 2026.</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60" w:type="dxa"/>
            <w:vAlign w:val="bottom"/>
          </w:tcPr>
          <w:p>
            <w:pPr>
              <w:spacing w:after="0"/>
              <w:rPr>
                <w:sz w:val="12"/>
                <w:szCs w:val="12"/>
                <w:color w:val="auto"/>
              </w:rPr>
            </w:pPr>
          </w:p>
        </w:tc>
        <w:tc>
          <w:tcPr>
            <w:tcW w:w="6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16"/>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William Presley</w:t>
            </w:r>
          </w:p>
        </w:tc>
        <w:tc>
          <w:tcPr>
            <w:tcW w:w="16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Director, President and Chief Executive Officer (Principal Executive Officer)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William Presley</w:t>
            </w:r>
          </w:p>
        </w:tc>
        <w:tc>
          <w:tcPr>
            <w:tcW w:w="160" w:type="dxa"/>
            <w:vAlign w:val="bottom"/>
          </w:tcPr>
          <w:p>
            <w:pPr>
              <w:spacing w:after="0"/>
              <w:rPr>
                <w:sz w:val="15"/>
                <w:szCs w:val="15"/>
                <w:color w:val="auto"/>
              </w:rPr>
            </w:pPr>
          </w:p>
        </w:tc>
        <w:tc>
          <w:tcPr>
            <w:tcW w:w="6120" w:type="dxa"/>
            <w:vAlign w:val="bottom"/>
          </w:tcPr>
          <w:p>
            <w:pPr>
              <w:spacing w:after="0"/>
              <w:rPr>
                <w:sz w:val="15"/>
                <w:szCs w:val="15"/>
                <w:color w:val="auto"/>
              </w:rPr>
            </w:pPr>
          </w:p>
        </w:tc>
      </w:tr>
      <w:tr>
        <w:trPr>
          <w:trHeight w:val="3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Jonathan Douyard</w:t>
            </w:r>
          </w:p>
        </w:tc>
        <w:tc>
          <w:tcPr>
            <w:tcW w:w="16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Executive Vice President, Chief Financial Officer and Treasurer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Jonathan Douyard</w:t>
            </w:r>
          </w:p>
        </w:tc>
        <w:tc>
          <w:tcPr>
            <w:tcW w:w="160" w:type="dxa"/>
            <w:vAlign w:val="bottom"/>
          </w:tcPr>
          <w:p>
            <w:pPr>
              <w:spacing w:after="0"/>
              <w:rPr>
                <w:sz w:val="15"/>
                <w:szCs w:val="15"/>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Nicholas Breisacher</w:t>
            </w:r>
          </w:p>
        </w:tc>
        <w:tc>
          <w:tcPr>
            <w:tcW w:w="16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Accounting Officer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Nicholas Breisacher</w:t>
            </w:r>
          </w:p>
        </w:tc>
        <w:tc>
          <w:tcPr>
            <w:tcW w:w="160" w:type="dxa"/>
            <w:vAlign w:val="bottom"/>
          </w:tcPr>
          <w:p>
            <w:pPr>
              <w:spacing w:after="0"/>
              <w:rPr>
                <w:sz w:val="15"/>
                <w:szCs w:val="15"/>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(Principal Accounting Officer)</w:t>
            </w:r>
          </w:p>
        </w:tc>
      </w:tr>
      <w:tr>
        <w:trPr>
          <w:trHeight w:val="3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Ronald Hundzinski</w:t>
            </w:r>
          </w:p>
        </w:tc>
        <w:tc>
          <w:tcPr>
            <w:tcW w:w="16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Director, Chair of the Board</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Ronald Hundzinski</w:t>
            </w:r>
          </w:p>
        </w:tc>
        <w:tc>
          <w:tcPr>
            <w:tcW w:w="160" w:type="dxa"/>
            <w:vAlign w:val="bottom"/>
          </w:tcPr>
          <w:p>
            <w:pPr>
              <w:spacing w:after="0"/>
              <w:rPr>
                <w:sz w:val="15"/>
                <w:szCs w:val="15"/>
                <w:color w:val="auto"/>
              </w:rPr>
            </w:pPr>
          </w:p>
        </w:tc>
        <w:tc>
          <w:tcPr>
            <w:tcW w:w="6120" w:type="dxa"/>
            <w:vAlign w:val="bottom"/>
          </w:tcPr>
          <w:p>
            <w:pPr>
              <w:spacing w:after="0"/>
              <w:rPr>
                <w:sz w:val="15"/>
                <w:szCs w:val="15"/>
                <w:color w:val="auto"/>
              </w:rPr>
            </w:pPr>
          </w:p>
        </w:tc>
      </w:tr>
      <w:tr>
        <w:trPr>
          <w:trHeight w:val="3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Sophie Desormière</w:t>
            </w:r>
          </w:p>
        </w:tc>
        <w:tc>
          <w:tcPr>
            <w:tcW w:w="16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Sophie Desormière</w:t>
            </w:r>
          </w:p>
        </w:tc>
        <w:tc>
          <w:tcPr>
            <w:tcW w:w="160" w:type="dxa"/>
            <w:vAlign w:val="bottom"/>
          </w:tcPr>
          <w:p>
            <w:pPr>
              <w:spacing w:after="0"/>
              <w:rPr>
                <w:sz w:val="15"/>
                <w:szCs w:val="15"/>
                <w:color w:val="auto"/>
              </w:rPr>
            </w:pPr>
          </w:p>
        </w:tc>
        <w:tc>
          <w:tcPr>
            <w:tcW w:w="6120" w:type="dxa"/>
            <w:vAlign w:val="bottom"/>
          </w:tcPr>
          <w:p>
            <w:pPr>
              <w:spacing w:after="0"/>
              <w:rPr>
                <w:sz w:val="15"/>
                <w:szCs w:val="15"/>
                <w:color w:val="auto"/>
              </w:rPr>
            </w:pPr>
          </w:p>
        </w:tc>
      </w:tr>
      <w:tr>
        <w:trPr>
          <w:trHeight w:val="3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David Heinzmann</w:t>
            </w:r>
          </w:p>
        </w:tc>
        <w:tc>
          <w:tcPr>
            <w:tcW w:w="16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David Heinzmann</w:t>
            </w:r>
          </w:p>
        </w:tc>
        <w:tc>
          <w:tcPr>
            <w:tcW w:w="160" w:type="dxa"/>
            <w:vAlign w:val="bottom"/>
          </w:tcPr>
          <w:p>
            <w:pPr>
              <w:spacing w:after="0"/>
              <w:rPr>
                <w:sz w:val="15"/>
                <w:szCs w:val="15"/>
                <w:color w:val="auto"/>
              </w:rPr>
            </w:pPr>
          </w:p>
        </w:tc>
        <w:tc>
          <w:tcPr>
            <w:tcW w:w="6120" w:type="dxa"/>
            <w:vAlign w:val="bottom"/>
          </w:tcPr>
          <w:p>
            <w:pPr>
              <w:spacing w:after="0"/>
              <w:rPr>
                <w:sz w:val="15"/>
                <w:szCs w:val="15"/>
                <w:color w:val="auto"/>
              </w:rPr>
            </w:pPr>
          </w:p>
        </w:tc>
      </w:tr>
      <w:tr>
        <w:trPr>
          <w:trHeight w:val="3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Laura Kowalchik</w:t>
            </w:r>
          </w:p>
        </w:tc>
        <w:tc>
          <w:tcPr>
            <w:tcW w:w="16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Laura Kowalchik</w:t>
            </w:r>
          </w:p>
        </w:tc>
        <w:tc>
          <w:tcPr>
            <w:tcW w:w="160" w:type="dxa"/>
            <w:vAlign w:val="bottom"/>
          </w:tcPr>
          <w:p>
            <w:pPr>
              <w:spacing w:after="0"/>
              <w:rPr>
                <w:sz w:val="15"/>
                <w:szCs w:val="15"/>
                <w:color w:val="auto"/>
              </w:rPr>
            </w:pPr>
          </w:p>
        </w:tc>
        <w:tc>
          <w:tcPr>
            <w:tcW w:w="6120" w:type="dxa"/>
            <w:vAlign w:val="bottom"/>
          </w:tcPr>
          <w:p>
            <w:pPr>
              <w:spacing w:after="0"/>
              <w:rPr>
                <w:sz w:val="15"/>
                <w:szCs w:val="15"/>
                <w:color w:val="auto"/>
              </w:rPr>
            </w:pPr>
          </w:p>
        </w:tc>
      </w:tr>
      <w:tr>
        <w:trPr>
          <w:trHeight w:val="3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Charles Kummeth</w:t>
            </w:r>
          </w:p>
        </w:tc>
        <w:tc>
          <w:tcPr>
            <w:tcW w:w="16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Charles Kummeth</w:t>
            </w:r>
          </w:p>
        </w:tc>
        <w:tc>
          <w:tcPr>
            <w:tcW w:w="160" w:type="dxa"/>
            <w:vAlign w:val="bottom"/>
          </w:tcPr>
          <w:p>
            <w:pPr>
              <w:spacing w:after="0"/>
              <w:rPr>
                <w:sz w:val="15"/>
                <w:szCs w:val="15"/>
                <w:color w:val="auto"/>
              </w:rPr>
            </w:pPr>
          </w:p>
        </w:tc>
        <w:tc>
          <w:tcPr>
            <w:tcW w:w="6120" w:type="dxa"/>
            <w:vAlign w:val="bottom"/>
          </w:tcPr>
          <w:p>
            <w:pPr>
              <w:spacing w:after="0"/>
              <w:rPr>
                <w:sz w:val="15"/>
                <w:szCs w:val="15"/>
                <w:color w:val="auto"/>
              </w:rPr>
            </w:pPr>
          </w:p>
        </w:tc>
      </w:tr>
      <w:tr>
        <w:trPr>
          <w:trHeight w:val="280"/>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II-4</w:t>
            </w:r>
          </w:p>
        </w:tc>
      </w:tr>
    </w:tbl>
    <w:p>
      <w:pPr>
        <w:sectPr>
          <w:pgSz w:w="11900" w:h="16838" w:orient="portrait"/>
          <w:cols w:equalWidth="0" w:num="1">
            <w:col w:w="10159"/>
          </w:cols>
          <w:pgMar w:left="300" w:top="386" w:right="1440"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Betsy Meter</w:t>
            </w:r>
          </w:p>
        </w:tc>
        <w:tc>
          <w:tcPr>
            <w:tcW w:w="3440" w:type="dxa"/>
            <w:vAlign w:val="bottom"/>
          </w:tcPr>
          <w:p>
            <w:pPr>
              <w:ind w:left="2980"/>
              <w:spacing w:after="0"/>
              <w:rPr>
                <w:sz w:val="20"/>
                <w:szCs w:val="20"/>
                <w:color w:val="auto"/>
              </w:rPr>
            </w:pPr>
            <w:r>
              <w:rPr>
                <w:rFonts w:ascii="Times New Roman" w:cs="Times New Roman" w:eastAsia="Times New Roman" w:hAnsi="Times New Roman"/>
                <w:sz w:val="14"/>
                <w:szCs w:val="14"/>
                <w:color w:val="auto"/>
                <w:w w:val="94"/>
              </w:rPr>
              <w:t>Director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Betsy Meter</w:t>
            </w:r>
          </w:p>
        </w:tc>
        <w:tc>
          <w:tcPr>
            <w:tcW w:w="3440" w:type="dxa"/>
            <w:vAlign w:val="bottom"/>
          </w:tcPr>
          <w:p>
            <w:pPr>
              <w:spacing w:after="0"/>
              <w:rPr>
                <w:sz w:val="15"/>
                <w:szCs w:val="15"/>
                <w:color w:val="auto"/>
              </w:rPr>
            </w:pPr>
          </w:p>
        </w:tc>
      </w:tr>
      <w:tr>
        <w:trPr>
          <w:trHeight w:val="3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John Stacey</w:t>
            </w:r>
          </w:p>
        </w:tc>
        <w:tc>
          <w:tcPr>
            <w:tcW w:w="3440" w:type="dxa"/>
            <w:vAlign w:val="bottom"/>
          </w:tcPr>
          <w:p>
            <w:pPr>
              <w:ind w:left="2980"/>
              <w:spacing w:after="0"/>
              <w:rPr>
                <w:sz w:val="20"/>
                <w:szCs w:val="20"/>
                <w:color w:val="auto"/>
              </w:rPr>
            </w:pPr>
            <w:r>
              <w:rPr>
                <w:rFonts w:ascii="Times New Roman" w:cs="Times New Roman" w:eastAsia="Times New Roman" w:hAnsi="Times New Roman"/>
                <w:sz w:val="14"/>
                <w:szCs w:val="14"/>
                <w:color w:val="auto"/>
                <w:w w:val="94"/>
              </w:rPr>
              <w:t>Director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Stacey</w:t>
            </w:r>
          </w:p>
        </w:tc>
        <w:tc>
          <w:tcPr>
            <w:tcW w:w="3440" w:type="dxa"/>
            <w:vAlign w:val="bottom"/>
          </w:tcPr>
          <w:p>
            <w:pPr>
              <w:spacing w:after="0"/>
              <w:rPr>
                <w:sz w:val="15"/>
                <w:szCs w:val="15"/>
                <w:color w:val="auto"/>
              </w:rPr>
            </w:pPr>
          </w:p>
        </w:tc>
      </w:tr>
      <w:tr>
        <w:trPr>
          <w:trHeight w:val="332"/>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Kenneth Washington</w:t>
            </w:r>
          </w:p>
        </w:tc>
        <w:tc>
          <w:tcPr>
            <w:tcW w:w="3440" w:type="dxa"/>
            <w:vAlign w:val="bottom"/>
          </w:tcPr>
          <w:p>
            <w:pPr>
              <w:ind w:left="2980"/>
              <w:spacing w:after="0"/>
              <w:rPr>
                <w:sz w:val="20"/>
                <w:szCs w:val="20"/>
                <w:color w:val="auto"/>
              </w:rPr>
            </w:pPr>
            <w:r>
              <w:rPr>
                <w:rFonts w:ascii="Times New Roman" w:cs="Times New Roman" w:eastAsia="Times New Roman" w:hAnsi="Times New Roman"/>
                <w:sz w:val="14"/>
                <w:szCs w:val="14"/>
                <w:color w:val="auto"/>
                <w:w w:val="94"/>
              </w:rPr>
              <w:t>Director</w:t>
            </w:r>
          </w:p>
        </w:tc>
      </w:t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Kenneth Washington</w:t>
            </w:r>
          </w:p>
        </w:tc>
        <w:tc>
          <w:tcPr>
            <w:tcW w:w="3440" w:type="dxa"/>
            <w:vAlign w:val="bottom"/>
          </w:tcPr>
          <w:p>
            <w:pPr>
              <w:spacing w:after="0"/>
              <w:rPr>
                <w:sz w:val="15"/>
                <w:szCs w:val="15"/>
                <w:color w:val="auto"/>
              </w:rPr>
            </w:pPr>
          </w:p>
        </w:tc>
      </w:tr>
      <w:tr>
        <w:trPr>
          <w:trHeight w:val="280"/>
        </w:trPr>
        <w:tc>
          <w:tcPr>
            <w:tcW w:w="2300" w:type="dxa"/>
            <w:vAlign w:val="bottom"/>
          </w:tcPr>
          <w:p>
            <w:pPr>
              <w:spacing w:after="0"/>
              <w:rPr>
                <w:sz w:val="24"/>
                <w:szCs w:val="24"/>
                <w:color w:val="auto"/>
              </w:rPr>
            </w:pPr>
          </w:p>
        </w:tc>
        <w:tc>
          <w:tcPr>
            <w:tcW w:w="3440" w:type="dxa"/>
            <w:vAlign w:val="bottom"/>
          </w:tcPr>
          <w:p>
            <w:pPr>
              <w:ind w:left="1880"/>
              <w:spacing w:after="0"/>
              <w:rPr>
                <w:sz w:val="20"/>
                <w:szCs w:val="20"/>
                <w:color w:val="auto"/>
              </w:rPr>
            </w:pPr>
            <w:r>
              <w:rPr>
                <w:rFonts w:ascii="Times New Roman" w:cs="Times New Roman" w:eastAsia="Times New Roman" w:hAnsi="Times New Roman"/>
                <w:sz w:val="14"/>
                <w:szCs w:val="14"/>
                <w:color w:val="auto"/>
              </w:rPr>
              <w:t>II-5</w:t>
            </w:r>
          </w:p>
        </w:tc>
      </w:tr>
    </w:tbl>
    <w:p>
      <w:pPr>
        <w:sectPr>
          <w:pgSz w:w="11900" w:h="16838" w:orient="portrait"/>
          <w:cols w:equalWidth="0" w:num="1">
            <w:col w:w="10159"/>
          </w:cols>
          <w:pgMar w:left="300" w:top="386" w:right="1440" w:bottom="1440" w:gutter="0" w:footer="0" w:header="0"/>
        </w:sectPr>
      </w:pPr>
    </w:p>
    <w:bookmarkStart w:id="481" w:name="page482"/>
    <w:bookmarkEnd w:id="481"/>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75"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t>Final Form</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FORM OF TRANSITION SERVICES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BY AND BETWEEN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MODINE MANUFACTURING COMPANY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AS OF [●], 2026</w:t>
      </w:r>
    </w:p>
    <w:p>
      <w:pPr>
        <w:sectPr>
          <w:pgSz w:w="11900" w:h="16838" w:orient="portrait"/>
          <w:cols w:equalWidth="0" w:num="1">
            <w:col w:w="9019"/>
          </w:cols>
          <w:pgMar w:left="1440" w:top="123" w:right="1440" w:bottom="1440" w:gutter="0" w:footer="0" w:header="0"/>
        </w:sectPr>
      </w:pPr>
    </w:p>
    <w:bookmarkStart w:id="482" w:name="page483"/>
    <w:bookmarkEnd w:id="482"/>
    <w:tbl>
      <w:tblPr>
        <w:tblLayout w:type="fixed"/>
        <w:tblInd w:w="220" w:type="dxa"/>
        <w:tblCellMar>
          <w:top w:w="0" w:type="dxa"/>
          <w:left w:w="0" w:type="dxa"/>
          <w:bottom w:w="0" w:type="dxa"/>
          <w:right w:w="0" w:type="dxa"/>
        </w:tblCellMar>
      </w:tblPr>
      <w:tr>
        <w:trPr>
          <w:trHeight w:val="183"/>
        </w:trPr>
        <w:tc>
          <w:tcPr>
            <w:tcW w:w="240" w:type="dxa"/>
            <w:vAlign w:val="bottom"/>
          </w:tcPr>
          <w:p>
            <w:pPr>
              <w:spacing w:after="0"/>
              <w:rPr>
                <w:sz w:val="15"/>
                <w:szCs w:val="15"/>
                <w:color w:val="auto"/>
              </w:rPr>
            </w:pPr>
          </w:p>
        </w:tc>
        <w:tc>
          <w:tcPr>
            <w:tcW w:w="6460" w:type="dxa"/>
            <w:vAlign w:val="bottom"/>
          </w:tcPr>
          <w:p>
            <w:pPr>
              <w:ind w:left="3340"/>
              <w:spacing w:after="0"/>
              <w:rPr>
                <w:sz w:val="20"/>
                <w:szCs w:val="20"/>
                <w:color w:val="auto"/>
              </w:rPr>
            </w:pPr>
            <w:r>
              <w:rPr>
                <w:rFonts w:ascii="Times New Roman" w:cs="Times New Roman" w:eastAsia="Times New Roman" w:hAnsi="Times New Roman"/>
                <w:sz w:val="14"/>
                <w:szCs w:val="14"/>
                <w:color w:val="auto"/>
              </w:rPr>
              <w:t>TABLE OF CONTENTS</w:t>
            </w:r>
          </w:p>
        </w:tc>
        <w:tc>
          <w:tcPr>
            <w:tcW w:w="1840" w:type="dxa"/>
            <w:vAlign w:val="bottom"/>
          </w:tcPr>
          <w:p>
            <w:pPr>
              <w:spacing w:after="0"/>
              <w:rPr>
                <w:sz w:val="15"/>
                <w:szCs w:val="15"/>
                <w:color w:val="auto"/>
              </w:rPr>
            </w:pPr>
          </w:p>
        </w:tc>
      </w:tr>
      <w:tr>
        <w:trPr>
          <w:trHeight w:val="400"/>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64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7"/>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I DEFINITIONS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36"/>
        </w:trPr>
        <w:tc>
          <w:tcPr>
            <w:tcW w:w="240" w:type="dxa"/>
            <w:vAlign w:val="bottom"/>
          </w:tcPr>
          <w:p>
            <w:pPr>
              <w:spacing w:after="0"/>
              <w:rPr>
                <w:sz w:val="24"/>
                <w:szCs w:val="2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1.01 Definitions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3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II SERVICES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22"/>
        </w:trPr>
        <w:tc>
          <w:tcPr>
            <w:tcW w:w="240" w:type="dxa"/>
            <w:vAlign w:val="bottom"/>
          </w:tcPr>
          <w:p>
            <w:pPr>
              <w:spacing w:after="0"/>
              <w:rPr>
                <w:sz w:val="24"/>
                <w:szCs w:val="2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2.01 Services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2.02 Performance of Services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2.03 Charges for Services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2.04 Reimbursement for Out-of-Pocket Costs and Expenses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2.05 Changes in the Performance of Services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2.06 Transitional Nature of Services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2.07 Subcontracting</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2.08 Local Agreements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2.09 Service Limitations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2.10 System Shut Down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2.11 Use of Services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24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2.12 Service Managers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3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III OTHER ARRANGEMENTS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22"/>
        </w:trPr>
        <w:tc>
          <w:tcPr>
            <w:tcW w:w="240" w:type="dxa"/>
            <w:vAlign w:val="bottom"/>
          </w:tcPr>
          <w:p>
            <w:pPr>
              <w:spacing w:after="0"/>
              <w:rPr>
                <w:sz w:val="24"/>
                <w:szCs w:val="2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3.01 Access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24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3.02 Transition Period Employees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33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IV BILLING; TAXES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322"/>
        </w:trPr>
        <w:tc>
          <w:tcPr>
            <w:tcW w:w="240" w:type="dxa"/>
            <w:vAlign w:val="bottom"/>
          </w:tcPr>
          <w:p>
            <w:pPr>
              <w:spacing w:after="0"/>
              <w:rPr>
                <w:sz w:val="24"/>
                <w:szCs w:val="2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4.01 Procedure</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4.02 Late Payments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4.03 Taxes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4.04 No Set-Off</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3"/>
        </w:trPr>
        <w:tc>
          <w:tcPr>
            <w:tcW w:w="24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4.05 Audit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33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V TERM AND TERMINATION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322"/>
        </w:trPr>
        <w:tc>
          <w:tcPr>
            <w:tcW w:w="240" w:type="dxa"/>
            <w:vAlign w:val="bottom"/>
          </w:tcPr>
          <w:p>
            <w:pPr>
              <w:spacing w:after="0"/>
              <w:rPr>
                <w:sz w:val="24"/>
                <w:szCs w:val="2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5.01 Term</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5.02 Early Termination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5.03 Extension of Services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5.04 Interdependencies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5.05 Effect of Termination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3"/>
        </w:trPr>
        <w:tc>
          <w:tcPr>
            <w:tcW w:w="24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5.06 Information Transmission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3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VI CONFIDENTIALITY; PROTECTIVE ARRANGEMENTS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22"/>
        </w:trPr>
        <w:tc>
          <w:tcPr>
            <w:tcW w:w="240" w:type="dxa"/>
            <w:vAlign w:val="bottom"/>
          </w:tcPr>
          <w:p>
            <w:pPr>
              <w:spacing w:after="0"/>
              <w:rPr>
                <w:sz w:val="24"/>
                <w:szCs w:val="2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6.01 Company and SpinCo Obligations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6.02 No Release; Return or Destruction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6.03 Privacy and Data Protection Laws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3"/>
        </w:trPr>
        <w:tc>
          <w:tcPr>
            <w:tcW w:w="24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6.04 Protective Arrangements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336"/>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ARTICLE VII LIMITED LIABILITY AND INDEMNIFICATION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322"/>
        </w:trPr>
        <w:tc>
          <w:tcPr>
            <w:tcW w:w="240" w:type="dxa"/>
            <w:vAlign w:val="bottom"/>
          </w:tcPr>
          <w:p>
            <w:pPr>
              <w:spacing w:after="0"/>
              <w:rPr>
                <w:sz w:val="24"/>
                <w:szCs w:val="2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7.01 Limitations on Liability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240" w:type="dxa"/>
            <w:vAlign w:val="bottom"/>
          </w:tcPr>
          <w:p>
            <w:pPr>
              <w:spacing w:after="0"/>
              <w:rPr>
                <w:sz w:val="14"/>
                <w:szCs w:val="14"/>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7.02 Third-Party Claims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3"/>
        </w:trPr>
        <w:tc>
          <w:tcPr>
            <w:tcW w:w="240" w:type="dxa"/>
            <w:vAlign w:val="bottom"/>
          </w:tcPr>
          <w:p>
            <w:pPr>
              <w:spacing w:after="0"/>
              <w:rPr>
                <w:sz w:val="15"/>
                <w:szCs w:val="15"/>
                <w:color w:val="auto"/>
              </w:rPr>
            </w:pPr>
          </w:p>
        </w:tc>
        <w:tc>
          <w:tcPr>
            <w:tcW w:w="6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Section 7.03 Indemnification Procedures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41" w:right="1440" w:bottom="1440" w:gutter="0" w:footer="0" w:header="0"/>
        </w:sectPr>
      </w:pPr>
    </w:p>
    <w:bookmarkStart w:id="483" w:name="page484"/>
    <w:bookmarkEnd w:id="483"/>
    <w:tbl>
      <w:tblPr>
        <w:tblLayout w:type="fixed"/>
        <w:tblInd w:w="220" w:type="dxa"/>
        <w:tblCellMar>
          <w:top w:w="0" w:type="dxa"/>
          <w:left w:w="0" w:type="dxa"/>
          <w:bottom w:w="0" w:type="dxa"/>
          <w:right w:w="0" w:type="dxa"/>
        </w:tblCellMar>
      </w:tblPr>
      <w:tr>
        <w:trPr>
          <w:trHeight w:val="185"/>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ARTICLE VIII 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322"/>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8.01 Mutual Cooperation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8.02 Further Assurances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8.03 Audit Assistance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8.04 Title to Intellectual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8.05 Independent Contractors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8.06 Counterparts; Entire Agreement; Corporate Power</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8.07 Governing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8.08 Assignability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8.09 Third-Party Beneficiaries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8.10 Notices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8.11 Severability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8.12 Force Majeure</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8.13 Headings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8.14 Waivers of Default</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8.15 Dispute Resolution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8.16 Specific Performance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8.17 Amendments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8.18 Precedence of Schedules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8.19 Interpretation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6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8.20 Mutual Drafting</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407" w:right="1440" w:bottom="1440" w:gutter="0" w:footer="0" w:header="0"/>
        </w:sectPr>
      </w:pPr>
    </w:p>
    <w:bookmarkStart w:id="484" w:name="page485"/>
    <w:bookmarkEnd w:id="48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TRANSITION SERVICES AGREEMENT</w:t>
      </w:r>
    </w:p>
    <w:p>
      <w:pPr>
        <w:spacing w:after="0" w:line="177" w:lineRule="exact"/>
        <w:rPr>
          <w:sz w:val="20"/>
          <w:szCs w:val="20"/>
          <w:color w:val="auto"/>
        </w:rPr>
      </w:pPr>
    </w:p>
    <w:p>
      <w:pPr>
        <w:ind w:left="220" w:right="359" w:firstLine="772"/>
        <w:spacing w:after="0" w:line="267" w:lineRule="auto"/>
        <w:rPr>
          <w:sz w:val="20"/>
          <w:szCs w:val="20"/>
          <w:color w:val="auto"/>
        </w:rPr>
      </w:pPr>
      <w:r>
        <w:rPr>
          <w:rFonts w:ascii="Times New Roman" w:cs="Times New Roman" w:eastAsia="Times New Roman" w:hAnsi="Times New Roman"/>
          <w:sz w:val="14"/>
          <w:szCs w:val="14"/>
          <w:color w:val="auto"/>
        </w:rPr>
        <w:t>This TRANSITION SERVICES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 2026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is entered into by and between Modine Manufacturing Company, a Wisconsin corporation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Platinum SpinCo Inc., a Delaware corporation (“</w:t>
      </w:r>
      <w:r>
        <w:rPr>
          <w:rFonts w:ascii="Times New Roman" w:cs="Times New Roman" w:eastAsia="Times New Roman" w:hAnsi="Times New Roman"/>
          <w:sz w:val="14"/>
          <w:szCs w:val="14"/>
          <w:u w:val="single" w:color="auto"/>
          <w:color w:val="auto"/>
        </w:rPr>
        <w:t>SpinCo</w:t>
      </w:r>
      <w:r>
        <w:rPr>
          <w:rFonts w:ascii="Times New Roman" w:cs="Times New Roman" w:eastAsia="Times New Roman" w:hAnsi="Times New Roman"/>
          <w:sz w:val="14"/>
          <w:szCs w:val="14"/>
          <w:color w:val="auto"/>
        </w:rPr>
        <w:t>”, and, together with the Company,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and each, individually,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 E C I T A L S:</w:t>
      </w:r>
    </w:p>
    <w:p>
      <w:pPr>
        <w:spacing w:after="0" w:line="177" w:lineRule="exact"/>
        <w:rPr>
          <w:sz w:val="20"/>
          <w:szCs w:val="20"/>
          <w:color w:val="auto"/>
        </w:rPr>
      </w:pPr>
    </w:p>
    <w:p>
      <w:pPr>
        <w:ind w:left="220" w:right="239" w:firstLine="772"/>
        <w:spacing w:after="0" w:line="261" w:lineRule="auto"/>
        <w:rPr>
          <w:sz w:val="20"/>
          <w:szCs w:val="20"/>
          <w:color w:val="auto"/>
        </w:rPr>
      </w:pPr>
      <w:r>
        <w:rPr>
          <w:rFonts w:ascii="Times New Roman" w:cs="Times New Roman" w:eastAsia="Times New Roman" w:hAnsi="Times New Roman"/>
          <w:sz w:val="14"/>
          <w:szCs w:val="14"/>
          <w:color w:val="auto"/>
        </w:rPr>
        <w:t>WHEREAS, the Company, Gentherm Incorporated, a Michigan corporation (“</w:t>
      </w:r>
      <w:r>
        <w:rPr>
          <w:rFonts w:ascii="Times New Roman" w:cs="Times New Roman" w:eastAsia="Times New Roman" w:hAnsi="Times New Roman"/>
          <w:sz w:val="14"/>
          <w:szCs w:val="14"/>
          <w:u w:val="single" w:color="auto"/>
          <w:color w:val="auto"/>
        </w:rPr>
        <w:t>Gold</w:t>
      </w:r>
      <w:r>
        <w:rPr>
          <w:rFonts w:ascii="Times New Roman" w:cs="Times New Roman" w:eastAsia="Times New Roman" w:hAnsi="Times New Roman"/>
          <w:sz w:val="14"/>
          <w:szCs w:val="14"/>
          <w:color w:val="auto"/>
        </w:rPr>
        <w:t>”), and SpinCo are parties to that certain Separation Agreement, dated as of January 29, 2026 (the “</w:t>
      </w:r>
      <w:r>
        <w:rPr>
          <w:rFonts w:ascii="Times New Roman" w:cs="Times New Roman" w:eastAsia="Times New Roman" w:hAnsi="Times New Roman"/>
          <w:sz w:val="14"/>
          <w:szCs w:val="14"/>
          <w:u w:val="single" w:color="auto"/>
          <w:color w:val="auto"/>
        </w:rPr>
        <w:t>Separation Agreement</w:t>
      </w:r>
      <w:r>
        <w:rPr>
          <w:rFonts w:ascii="Times New Roman" w:cs="Times New Roman" w:eastAsia="Times New Roman" w:hAnsi="Times New Roman"/>
          <w:sz w:val="14"/>
          <w:szCs w:val="14"/>
          <w:color w:val="auto"/>
        </w:rPr>
        <w:t>”) pursuant to which, subject to the terms and conditions set forth therein, the Company has agreed to transfer, and cause certain of its Subsidiaries to transfer, to the SpinCo Group, and SpinCo has agreed to accept and assume from the Company and such Subsidiaries, the SpinCo Assets and the SpinCo Liabilities (the “</w:t>
      </w:r>
      <w:r>
        <w:rPr>
          <w:rFonts w:ascii="Times New Roman" w:cs="Times New Roman" w:eastAsia="Times New Roman" w:hAnsi="Times New Roman"/>
          <w:sz w:val="14"/>
          <w:szCs w:val="14"/>
          <w:u w:val="single" w:color="auto"/>
          <w:color w:val="auto"/>
        </w:rPr>
        <w:t>Separation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left="220" w:right="239" w:firstLine="772"/>
        <w:spacing w:after="0" w:line="261" w:lineRule="auto"/>
        <w:rPr>
          <w:sz w:val="20"/>
          <w:szCs w:val="20"/>
          <w:color w:val="auto"/>
        </w:rPr>
      </w:pPr>
      <w:r>
        <w:rPr>
          <w:rFonts w:ascii="Times New Roman" w:cs="Times New Roman" w:eastAsia="Times New Roman" w:hAnsi="Times New Roman"/>
          <w:sz w:val="14"/>
          <w:szCs w:val="14"/>
          <w:color w:val="auto"/>
        </w:rPr>
        <w:t>WHEREAS, the Company, Gold, SpinCo and Platinum Gold Merger Sub Inc., a Delaware corporation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and wholly owned Subsidiary of Gold, are parties to that certain Agreement and Plan of Merger, dated as of January 29, 2026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pursuant to which, subject to the terms and conditions set forth therein, Merger Sub will merge with and into SpinCo, with SpinCo surviving the merger as a wholly owned Subsidiary of Gold;</w:t>
      </w:r>
    </w:p>
    <w:p>
      <w:pPr>
        <w:spacing w:after="0" w:line="141" w:lineRule="exact"/>
        <w:rPr>
          <w:sz w:val="20"/>
          <w:szCs w:val="20"/>
          <w:color w:val="auto"/>
        </w:rPr>
      </w:pPr>
    </w:p>
    <w:p>
      <w:pPr>
        <w:ind w:left="220" w:right="439" w:firstLine="772"/>
        <w:spacing w:after="0" w:line="283" w:lineRule="auto"/>
        <w:rPr>
          <w:sz w:val="20"/>
          <w:szCs w:val="20"/>
          <w:color w:val="auto"/>
        </w:rPr>
      </w:pPr>
      <w:r>
        <w:rPr>
          <w:rFonts w:ascii="Times New Roman" w:cs="Times New Roman" w:eastAsia="Times New Roman" w:hAnsi="Times New Roman"/>
          <w:sz w:val="14"/>
          <w:szCs w:val="14"/>
          <w:color w:val="auto"/>
        </w:rPr>
        <w:t>WHEREAS, in order to facilitate and provide for an orderly transition in connection with the Separation, the Parties desire to enter into this Agreement which sets forth the terms of certain relationships and other agreements among the Parties as set forth herein; and</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WHEREAS, this Agreement is a “Transaction Document” pursuant to the Separation Agreement and the Merger Agreement.</w:t>
      </w:r>
    </w:p>
    <w:p>
      <w:pPr>
        <w:spacing w:after="0" w:line="175" w:lineRule="exact"/>
        <w:rPr>
          <w:sz w:val="20"/>
          <w:szCs w:val="20"/>
          <w:color w:val="auto"/>
        </w:rPr>
      </w:pPr>
    </w:p>
    <w:p>
      <w:pPr>
        <w:ind w:left="220" w:right="479" w:firstLine="772"/>
        <w:spacing w:after="0" w:line="323" w:lineRule="auto"/>
        <w:rPr>
          <w:sz w:val="20"/>
          <w:szCs w:val="20"/>
          <w:color w:val="auto"/>
        </w:rPr>
      </w:pPr>
      <w:r>
        <w:rPr>
          <w:rFonts w:ascii="Times New Roman" w:cs="Times New Roman" w:eastAsia="Times New Roman" w:hAnsi="Times New Roman"/>
          <w:sz w:val="13"/>
          <w:szCs w:val="13"/>
          <w:color w:val="auto"/>
        </w:rPr>
        <w:t>NOW, THEREFORE, in consideration of the premises and mutual covenants contained in this Agreement and other good and valuable consideration, the receipt and sufficiency of which are hereby acknowledged, the Parties, intending to be legally bound, hereby agree as follows: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61"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Unless otherwise defined in this Agreement, capitalized terms used in this Agreement have the meaning ascribed to such terms in the Separation Agreement. For purposes of this Agreement, the following terms shall have the following meanings:</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Services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has the meaning set forth in the Preamble.</w:t>
      </w:r>
    </w:p>
    <w:p>
      <w:pPr>
        <w:spacing w:after="0" w:line="175" w:lineRule="exact"/>
        <w:rPr>
          <w:sz w:val="20"/>
          <w:szCs w:val="20"/>
          <w:color w:val="auto"/>
        </w:rPr>
      </w:pPr>
    </w:p>
    <w:p>
      <w:pPr>
        <w:ind w:left="220" w:right="41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Applications</w:t>
      </w:r>
      <w:r>
        <w:rPr>
          <w:rFonts w:ascii="Times New Roman" w:cs="Times New Roman" w:eastAsia="Times New Roman" w:hAnsi="Times New Roman"/>
          <w:sz w:val="14"/>
          <w:szCs w:val="14"/>
          <w:color w:val="auto"/>
        </w:rPr>
        <w:t>” shall mean those software applications used in the operation of the SpinCo Business or Company Business, or otherwise accessed in connection with this Agreement, as applicable.</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Baseline Period</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Charge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Charges</w:t>
      </w:r>
      <w:r>
        <w:rPr>
          <w:rFonts w:ascii="Times New Roman" w:cs="Times New Roman" w:eastAsia="Times New Roman" w:hAnsi="Times New Roman"/>
          <w:sz w:val="14"/>
          <w:szCs w:val="14"/>
          <w:color w:val="auto"/>
        </w:rPr>
        <w:t xml:space="preserve">” have the meaning set forth in </w:t>
      </w: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has the meaning set forth in the Preamble.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Secondee Indemnifiable Action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3.02(e)</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39" w:right="1440" w:bottom="1440" w:gutter="0" w:footer="0" w:header="0"/>
        </w:sectPr>
      </w:pPr>
    </w:p>
    <w:bookmarkStart w:id="485" w:name="page486"/>
    <w:bookmarkEnd w:id="485"/>
    <w:p>
      <w:pPr>
        <w:ind w:left="220" w:right="239" w:firstLine="772"/>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shall mean, with respect to a Party, all business or technical information (and documentation) of such Party and its Affiliates and its and their clients, customers, suppliers (including contractors) and other third parties doing business with such Party or its Affiliates, that is disclosed to, accessed by or otherwise learned by the other Party in connection with this Agreement, including (a) the terms and conditions of this Agreement; (b) all information marked as confidential (or with words of similar meaning); and (c) “inside information”, including material, non-public, price-sensitive corporate or market information relating to such Party and its Affiliates and its and their clients, customers, suppliers (including contractors) and other third parties doing business with such Party, that is acquired in connection with this Agreement.</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Consents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2.02(b)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Cutover</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8.15(a)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Distribution</w:t>
      </w:r>
      <w:r>
        <w:rPr>
          <w:rFonts w:ascii="Times New Roman" w:cs="Times New Roman" w:eastAsia="Times New Roman" w:hAnsi="Times New Roman"/>
          <w:sz w:val="14"/>
          <w:szCs w:val="14"/>
          <w:color w:val="auto"/>
        </w:rPr>
        <w:t>” has the meaning set forth in the Recitals.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e-mail</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8.10</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has the meaning set forth in the Preamble.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shall mean [12:01] [a].m., New York City time, on the Distribution Date.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Employee Costs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3.02(f)</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Employee Secondment Services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3.02(a)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65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Service</w:t>
      </w:r>
      <w:r>
        <w:rPr>
          <w:rFonts w:ascii="Times New Roman" w:cs="Times New Roman" w:eastAsia="Times New Roman" w:hAnsi="Times New Roman"/>
          <w:sz w:val="14"/>
          <w:szCs w:val="14"/>
          <w:color w:val="auto"/>
        </w:rPr>
        <w:t xml:space="preserve">” shall mean any service or function set forth in </w:t>
      </w:r>
      <w:r>
        <w:rPr>
          <w:rFonts w:ascii="Times New Roman" w:cs="Times New Roman" w:eastAsia="Times New Roman" w:hAnsi="Times New Roman"/>
          <w:sz w:val="14"/>
          <w:szCs w:val="14"/>
          <w:u w:val="single" w:color="auto"/>
          <w:color w:val="auto"/>
        </w:rPr>
        <w:t>Section 2.09(b)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A-2</w:t>
      </w:r>
      <w:r>
        <w:rPr>
          <w:rFonts w:ascii="Times New Roman" w:cs="Times New Roman" w:eastAsia="Times New Roman" w:hAnsi="Times New Roman"/>
          <w:sz w:val="14"/>
          <w:szCs w:val="14"/>
          <w:color w:val="auto"/>
        </w:rPr>
        <w:t xml:space="preserve"> hereto, and any other service or function that the Parties mutually agree in writing after the date of this Agreement will not be provided under the terms of this Agreement.</w:t>
      </w:r>
    </w:p>
    <w:p>
      <w:pPr>
        <w:spacing w:after="0" w:line="1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Exit and Migration Plan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77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war, riots, insurrections, fires, explosions, earthquakes, floods, unusually severe weather conditions, or labor problems. Notwithstanding the foregoing, the receipt by a Party of an unsolicited takeover offer or other acquisition proposal, even if unforeseen or unavoidable, and such Party’s response thereto shall not be deemed an event of Force Majeure</w:t>
      </w:r>
      <w:r>
        <w:rPr>
          <w:rFonts w:ascii="Times New Roman" w:cs="Times New Roman" w:eastAsia="Times New Roman" w:hAnsi="Times New Roman"/>
          <w:sz w:val="14"/>
          <w:szCs w:val="14"/>
          <w:b w:val="1"/>
          <w:bCs w:val="1"/>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w:t>
      </w:r>
      <w:r>
        <w:rPr>
          <w:rFonts w:ascii="Times New Roman" w:cs="Times New Roman" w:eastAsia="Times New Roman" w:hAnsi="Times New Roman"/>
          <w:sz w:val="14"/>
          <w:szCs w:val="14"/>
          <w:color w:val="auto"/>
        </w:rPr>
        <w:t>” has the meaning set forth in the Recitals.</w:t>
      </w:r>
    </w:p>
    <w:p>
      <w:pPr>
        <w:spacing w:after="0" w:line="175" w:lineRule="exact"/>
        <w:rPr>
          <w:sz w:val="20"/>
          <w:szCs w:val="20"/>
          <w:color w:val="auto"/>
        </w:rPr>
      </w:pPr>
    </w:p>
    <w:p>
      <w:pPr>
        <w:ind w:left="220" w:right="579" w:firstLine="772"/>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Host Systems</w:t>
      </w:r>
      <w:r>
        <w:rPr>
          <w:rFonts w:ascii="Times New Roman" w:cs="Times New Roman" w:eastAsia="Times New Roman" w:hAnsi="Times New Roman"/>
          <w:sz w:val="14"/>
          <w:szCs w:val="14"/>
          <w:color w:val="auto"/>
        </w:rPr>
        <w:t>” shall mean those information technology systems and platforms (a) selected by Service Provider (i) to host the Applications or (ii) for use in connection with the performance of Services, or (b) otherwise utilized by Service Provider and necessary for Service Recipient to receive a Service in connection with this Agreement.</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Indemnitees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7.02</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486" w:name="page487"/>
    <w:bookmarkEnd w:id="486"/>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Individual Users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3.01(b)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59" w:firstLine="77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xml:space="preserve">” shall mean information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and other technical, financial, employee or business information or data;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Information does not include Intellectual Property.</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Local Agreement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2.08</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has the meaning set forth in the Recitals.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has the meaning set forth in the Recitals.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Omitted Services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has the meaning set forth in the Preamble.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Secondment Period</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3.02(b)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Separation</w:t>
      </w:r>
      <w:r>
        <w:rPr>
          <w:rFonts w:ascii="Times New Roman" w:cs="Times New Roman" w:eastAsia="Times New Roman" w:hAnsi="Times New Roman"/>
          <w:sz w:val="14"/>
          <w:szCs w:val="14"/>
          <w:color w:val="auto"/>
        </w:rPr>
        <w:t>” has the meaning set forth in the Recitals.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Separation Agreement</w:t>
      </w:r>
      <w:r>
        <w:rPr>
          <w:rFonts w:ascii="Times New Roman" w:cs="Times New Roman" w:eastAsia="Times New Roman" w:hAnsi="Times New Roman"/>
          <w:sz w:val="14"/>
          <w:szCs w:val="14"/>
          <w:color w:val="auto"/>
        </w:rPr>
        <w:t>” has the meaning set forth in the Recitals.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Service Extension Period</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Service Manager</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Service Period</w:t>
      </w:r>
      <w:r>
        <w:rPr>
          <w:rFonts w:ascii="Times New Roman" w:cs="Times New Roman" w:eastAsia="Times New Roman" w:hAnsi="Times New Roman"/>
          <w:sz w:val="14"/>
          <w:szCs w:val="14"/>
          <w:color w:val="auto"/>
        </w:rPr>
        <w:t>” shall mean, with respect to any Service, the period commencing on the Distribution Date and ending on the earliest of</w:t>
      </w:r>
    </w:p>
    <w:p>
      <w:pPr>
        <w:spacing w:after="0" w:line="22" w:lineRule="exact"/>
        <w:rPr>
          <w:sz w:val="20"/>
          <w:szCs w:val="20"/>
          <w:color w:val="auto"/>
        </w:rPr>
      </w:pPr>
    </w:p>
    <w:p>
      <w:pPr>
        <w:ind w:left="220" w:right="419" w:hanging="5"/>
        <w:spacing w:after="0" w:line="261" w:lineRule="auto"/>
        <w:tabs>
          <w:tab w:leader="none" w:pos="387" w:val="left"/>
        </w:tabs>
        <w:numPr>
          <w:ilvl w:val="0"/>
          <w:numId w:val="5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date that a Party terminates the provision of such Service pursuant to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and (ii) the date specified for termination of such Service in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hereto (as extended pursuant to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220" w:right="239" w:firstLine="77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Service Provider</w:t>
      </w:r>
      <w:r>
        <w:rPr>
          <w:rFonts w:ascii="Times New Roman" w:cs="Times New Roman" w:eastAsia="Times New Roman" w:hAnsi="Times New Roman"/>
          <w:sz w:val="14"/>
          <w:szCs w:val="14"/>
          <w:color w:val="auto"/>
        </w:rPr>
        <w:t>” shall mean, with respect to any Service, the Party providing such Service, which shall refer to (a) the Company with respect to Services to be provided by the Company or its Subsidiaries or (b) SpinCo with respect to Service to be provided by SpinCo or its Subsidiaries.</w:t>
      </w:r>
    </w:p>
    <w:p>
      <w:pPr>
        <w:spacing w:after="0" w:line="125" w:lineRule="exact"/>
        <w:rPr>
          <w:sz w:val="20"/>
          <w:szCs w:val="20"/>
          <w:color w:val="auto"/>
        </w:rPr>
      </w:pPr>
    </w:p>
    <w:p>
      <w:pPr>
        <w:ind w:left="220" w:right="299" w:firstLine="772"/>
        <w:spacing w:after="0" w:line="32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Service Recipient</w:t>
      </w:r>
      <w:r>
        <w:rPr>
          <w:rFonts w:ascii="Times New Roman" w:cs="Times New Roman" w:eastAsia="Times New Roman" w:hAnsi="Times New Roman"/>
          <w:sz w:val="13"/>
          <w:szCs w:val="13"/>
          <w:color w:val="auto"/>
        </w:rPr>
        <w:t>” shall mean, with respect to any Service, the Party receiving such Service, which shall refer to (a) SpinCo with respect to Services to be provided to SpinCo or its Subsidiaries or (b) the Company with respect to Services to be provided to the Company or its Subsidiaries.</w:t>
      </w:r>
    </w:p>
    <w:p>
      <w:pPr>
        <w:spacing w:after="0" w:line="1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Services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w:t>
      </w:r>
      <w:r>
        <w:rPr>
          <w:rFonts w:ascii="Times New Roman" w:cs="Times New Roman" w:eastAsia="Times New Roman" w:hAnsi="Times New Roman"/>
          <w:sz w:val="14"/>
          <w:szCs w:val="14"/>
          <w:color w:val="auto"/>
        </w:rPr>
        <w:t>” has the meaning set forth in the Preamble.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Business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487" w:name="page488"/>
    <w:bookmarkEnd w:id="487"/>
    <w:p>
      <w:pPr>
        <w:ind w:left="220" w:right="259" w:firstLine="772"/>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Termination Charges</w:t>
      </w:r>
      <w:r>
        <w:rPr>
          <w:rFonts w:ascii="Times New Roman" w:cs="Times New Roman" w:eastAsia="Times New Roman" w:hAnsi="Times New Roman"/>
          <w:sz w:val="14"/>
          <w:szCs w:val="14"/>
          <w:color w:val="auto"/>
        </w:rPr>
        <w:t xml:space="preserve">” shall mean, with respect to the termination of any Service pursuant to </w:t>
      </w:r>
      <w:r>
        <w:rPr>
          <w:rFonts w:ascii="Times New Roman" w:cs="Times New Roman" w:eastAsia="Times New Roman" w:hAnsi="Times New Roman"/>
          <w:sz w:val="14"/>
          <w:szCs w:val="14"/>
          <w:u w:val="single" w:color="auto"/>
          <w:color w:val="auto"/>
        </w:rPr>
        <w:t>Section 5.02(a)(i)</w:t>
      </w:r>
      <w:r>
        <w:rPr>
          <w:rFonts w:ascii="Times New Roman" w:cs="Times New Roman" w:eastAsia="Times New Roman" w:hAnsi="Times New Roman"/>
          <w:sz w:val="14"/>
          <w:szCs w:val="14"/>
          <w:color w:val="auto"/>
        </w:rPr>
        <w:t>, any and all costs, fees and expenses (other than any severance or retention costs, unless otherwise specified with respect to a particular Service on the Schedules hereto or in the other Transaction Documents) payable by Service Provider or its Subsidiaries to a Third Party which would not have been payable but for the early termination of such Service.</w:t>
      </w:r>
    </w:p>
    <w:p>
      <w:pPr>
        <w:spacing w:after="0" w:line="1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Party</w:t>
      </w:r>
      <w:r>
        <w:rPr>
          <w:rFonts w:ascii="Times New Roman" w:cs="Times New Roman" w:eastAsia="Times New Roman" w:hAnsi="Times New Roman"/>
          <w:sz w:val="14"/>
          <w:szCs w:val="14"/>
          <w:color w:val="auto"/>
        </w:rPr>
        <w:t>” shall mean any Person other than the Parties or any of their respective Affiliates.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Third-Party Claim</w:t>
      </w:r>
      <w:r>
        <w:rPr>
          <w:rFonts w:ascii="Times New Roman" w:cs="Times New Roman" w:eastAsia="Times New Roman" w:hAnsi="Times New Roman"/>
          <w:sz w:val="14"/>
          <w:szCs w:val="14"/>
          <w:color w:val="auto"/>
        </w:rPr>
        <w:t>” shall mean any Action commenced by any Third Party against any Party or any of its Affiliates.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Taxes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4.03(a)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Transition Period Employees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3.02(a)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Work Product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w:t>
      </w:r>
    </w:p>
    <w:p>
      <w:pPr>
        <w:spacing w:after="0" w:line="34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SERVICES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Services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79" w:firstLine="767"/>
        <w:spacing w:after="0" w:line="267" w:lineRule="auto"/>
        <w:tabs>
          <w:tab w:leader="none" w:pos="1182"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Commencing as of the Effective Time, Service Provider agrees to provide, or to cause one or more of its Subsidiaries to provide, to Service Recipient, or any Subsidiary of Service Recipient, the applicable services set forth on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hereto (together with the Employee Secondment Services, the “</w:t>
      </w:r>
      <w:r>
        <w:rPr>
          <w:rFonts w:ascii="Times New Roman" w:cs="Times New Roman" w:eastAsia="Times New Roman" w:hAnsi="Times New Roman"/>
          <w:sz w:val="14"/>
          <w:szCs w:val="14"/>
          <w:u w:val="single" w:color="auto"/>
          <w:color w:val="auto"/>
        </w:rPr>
        <w:t>Services</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220" w:right="239" w:firstLine="767"/>
        <w:spacing w:after="0" w:line="274" w:lineRule="auto"/>
        <w:tabs>
          <w:tab w:leader="none" w:pos="1190" w:val="left"/>
        </w:tabs>
        <w:numPr>
          <w:ilvl w:val="0"/>
          <w:numId w:val="5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within one hundred twenty (120) days after the date of this Agreement, Service Recipient identifies a service (other than a Service or an Excluded Service) (i) that Service Provider provided to Service Recipient within twelve (12) months prior to the Distribution Date (the “</w:t>
      </w:r>
      <w:r>
        <w:rPr>
          <w:rFonts w:ascii="Times New Roman" w:cs="Times New Roman" w:eastAsia="Times New Roman" w:hAnsi="Times New Roman"/>
          <w:sz w:val="13"/>
          <w:szCs w:val="13"/>
          <w:u w:val="single" w:color="auto"/>
          <w:color w:val="auto"/>
        </w:rPr>
        <w:t>Baseline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Period</w:t>
      </w:r>
      <w:r>
        <w:rPr>
          <w:rFonts w:ascii="Times New Roman" w:cs="Times New Roman" w:eastAsia="Times New Roman" w:hAnsi="Times New Roman"/>
          <w:sz w:val="13"/>
          <w:szCs w:val="13"/>
          <w:color w:val="auto"/>
        </w:rPr>
        <w:t>”), (ii) that is reasonably necessary in order for Service Recipient to continue operating the SpinCo Business or the Company Business, as applicable, in substantially the same manner in which the SpinCo Business or the Company Business, as applicable, operated prior to the Distribution Date, and (iii) where all or substantially all of the assets and resources used to provide such service have not been transferred to or retained by Service Recipient or its Affiliates, then following the written request of Service Recipient to Service Provider requesting such additional services, Service Provider shall commence providing such requested services (such additional services, the “</w:t>
      </w:r>
      <w:r>
        <w:rPr>
          <w:rFonts w:ascii="Times New Roman" w:cs="Times New Roman" w:eastAsia="Times New Roman" w:hAnsi="Times New Roman"/>
          <w:sz w:val="13"/>
          <w:szCs w:val="13"/>
          <w:u w:val="single" w:color="auto"/>
          <w:color w:val="auto"/>
        </w:rPr>
        <w:t>Omitted Services</w:t>
      </w:r>
      <w:r>
        <w:rPr>
          <w:rFonts w:ascii="Times New Roman" w:cs="Times New Roman" w:eastAsia="Times New Roman" w:hAnsi="Times New Roman"/>
          <w:sz w:val="13"/>
          <w:szCs w:val="13"/>
          <w:color w:val="auto"/>
        </w:rPr>
        <w:t xml:space="preserve">”). Service Recipient and Service Provider shall negotiate in good faith to agree on the terms for the provision of such Omitted Service as a “Service” under this Agreement, including the Fees, which shall be determined in the same manner as other then-existing Services, and the Service Period, which shall not extend beyond the longest Service Period for the then-existing Services. In connection with any Omitted Services, the Parties shall in good faith negotiate the terms of a supplement to </w:t>
      </w:r>
      <w:r>
        <w:rPr>
          <w:rFonts w:ascii="Times New Roman" w:cs="Times New Roman" w:eastAsia="Times New Roman" w:hAnsi="Times New Roman"/>
          <w:sz w:val="13"/>
          <w:szCs w:val="13"/>
          <w:u w:val="single" w:color="auto"/>
          <w:color w:val="auto"/>
        </w:rPr>
        <w:t>Schedule A-1</w:t>
      </w:r>
      <w:r>
        <w:rPr>
          <w:rFonts w:ascii="Times New Roman" w:cs="Times New Roman" w:eastAsia="Times New Roman" w:hAnsi="Times New Roman"/>
          <w:sz w:val="13"/>
          <w:szCs w:val="13"/>
          <w:color w:val="auto"/>
        </w:rPr>
        <w:t xml:space="preserve">, which terms shall be consistent with the terms of similar Services provided under this Agreement. Upon the mutual written agreement of the Parties, the supplement to </w:t>
      </w:r>
      <w:r>
        <w:rPr>
          <w:rFonts w:ascii="Times New Roman" w:cs="Times New Roman" w:eastAsia="Times New Roman" w:hAnsi="Times New Roman"/>
          <w:sz w:val="13"/>
          <w:szCs w:val="13"/>
          <w:u w:val="single" w:color="auto"/>
          <w:color w:val="auto"/>
        </w:rPr>
        <w:t>Schedule A-1</w:t>
      </w:r>
      <w:r>
        <w:rPr>
          <w:rFonts w:ascii="Times New Roman" w:cs="Times New Roman" w:eastAsia="Times New Roman" w:hAnsi="Times New Roman"/>
          <w:sz w:val="13"/>
          <w:szCs w:val="13"/>
          <w:color w:val="auto"/>
        </w:rPr>
        <w:t xml:space="preserve"> shall describe in reasonable detail the nature, scope, Service Period(s), termination provisions and other terms applicable to such Omitted Services in a manner similar to that in which the Services are described in the existing </w:t>
      </w:r>
      <w:r>
        <w:rPr>
          <w:rFonts w:ascii="Times New Roman" w:cs="Times New Roman" w:eastAsia="Times New Roman" w:hAnsi="Times New Roman"/>
          <w:sz w:val="13"/>
          <w:szCs w:val="13"/>
          <w:u w:val="single" w:color="auto"/>
          <w:color w:val="auto"/>
        </w:rPr>
        <w:t>Schedule A-1</w:t>
      </w:r>
      <w:r>
        <w:rPr>
          <w:rFonts w:ascii="Times New Roman" w:cs="Times New Roman" w:eastAsia="Times New Roman" w:hAnsi="Times New Roman"/>
          <w:sz w:val="13"/>
          <w:szCs w:val="13"/>
          <w:color w:val="auto"/>
        </w:rPr>
        <w:t xml:space="preserve">. Each supplement to </w:t>
      </w:r>
      <w:r>
        <w:rPr>
          <w:rFonts w:ascii="Times New Roman" w:cs="Times New Roman" w:eastAsia="Times New Roman" w:hAnsi="Times New Roman"/>
          <w:sz w:val="13"/>
          <w:szCs w:val="13"/>
          <w:u w:val="single" w:color="auto"/>
          <w:color w:val="auto"/>
        </w:rPr>
        <w:t>Schedule A-1</w:t>
      </w:r>
      <w:r>
        <w:rPr>
          <w:rFonts w:ascii="Times New Roman" w:cs="Times New Roman" w:eastAsia="Times New Roman" w:hAnsi="Times New Roman"/>
          <w:sz w:val="13"/>
          <w:szCs w:val="13"/>
          <w:color w:val="auto"/>
        </w:rPr>
        <w:t>, as agreed to in writing by the Parties, shall be deemed part of this Agreement as of the date of such agreement and the Omitted Services set forth therein shall be deemed “Services” provided under this Agreement, in each case subject to the terms and conditions of this Agreement.</w:t>
      </w:r>
    </w:p>
    <w:p>
      <w:pPr>
        <w:spacing w:after="0" w:line="301" w:lineRule="exact"/>
        <w:rPr>
          <w:rFonts w:ascii="Times New Roman" w:cs="Times New Roman" w:eastAsia="Times New Roman" w:hAnsi="Times New Roman"/>
          <w:sz w:val="13"/>
          <w:szCs w:val="13"/>
          <w:color w:val="auto"/>
        </w:rPr>
      </w:pPr>
    </w:p>
    <w:p>
      <w:pPr>
        <w:ind w:left="220" w:right="279" w:firstLine="767"/>
        <w:spacing w:after="0" w:line="256" w:lineRule="auto"/>
        <w:tabs>
          <w:tab w:leader="none" w:pos="1182" w:val="left"/>
        </w:tabs>
        <w:numPr>
          <w:ilvl w:val="0"/>
          <w:numId w:val="5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Service Recipient identifies services (including special projects) other than those set forth on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Excluded Services or Omitted Services that Service Recipient desires that Service Provider provide to Service Recipient (an “</w:t>
      </w:r>
      <w:r>
        <w:rPr>
          <w:rFonts w:ascii="Times New Roman" w:cs="Times New Roman" w:eastAsia="Times New Roman" w:hAnsi="Times New Roman"/>
          <w:sz w:val="14"/>
          <w:szCs w:val="14"/>
          <w:u w:val="single" w:color="auto"/>
          <w:color w:val="auto"/>
        </w:rPr>
        <w:t>Additional Service</w:t>
      </w:r>
      <w:r>
        <w:rPr>
          <w:rFonts w:ascii="Times New Roman" w:cs="Times New Roman" w:eastAsia="Times New Roman" w:hAnsi="Times New Roman"/>
          <w:sz w:val="14"/>
          <w:szCs w:val="14"/>
          <w:color w:val="auto"/>
        </w:rPr>
        <w:t xml:space="preserve">”), then Service Recipient may submit a written request to supplement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hereto to include such Additional Services to Service Provider and Service Provider agrees to consider such request in good faith. If Service Provider, acting reasonably and in good faith, agrees to provide such Additional Service, then the Parties shall negotiate the terms for the provision of any such Additional Service and the payment therefor in good faith and document such agreed terms in a supplement to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which shall describe in reasonable detail the nature, scope, Fees, Service Period(s), termination provisions and other terms applicable to such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488" w:name="page489"/>
    <w:bookmarkEnd w:id="488"/>
    <w:p>
      <w:pPr>
        <w:ind w:left="220" w:right="39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Additional Services in a manner similar to that in which the Services are described in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Any supplement to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as agreed to in writing by the Parties, shall be deemed part of this Agreement as of the date of such agreement and the Additional Services set forth therein shall be deemed “Services” provided under this Agreement, in each case subject to the terms and conditions of this Agreement.</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Performance of Services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359" w:firstLine="767"/>
        <w:spacing w:after="0" w:line="257" w:lineRule="auto"/>
        <w:tabs>
          <w:tab w:leader="none" w:pos="1182"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Service Provider shall perform, or shall cause one or more of its Subsidiaries to perform, all Services with reasonable skill and care and in a manner that is based on its past practice and that is substantially similar in care, diligence, skill, nature, quality and timeliness to analogous services provided by Service Provider during the Baseline Period and in accordance with any other requirements set forth on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with respect to such Services. If Service Provider fails to complete or perform a Service consistent with such standards, Service Recipient shall give written notice to Service Provider and Service Recipient shall be entitled to require Service Provider to commence re-performance of the applicable Service as promptly as practicable, at no additional charge to Service Recipient.</w:t>
      </w:r>
    </w:p>
    <w:p>
      <w:pPr>
        <w:spacing w:after="0" w:line="143" w:lineRule="exact"/>
        <w:rPr>
          <w:rFonts w:ascii="Times New Roman" w:cs="Times New Roman" w:eastAsia="Times New Roman" w:hAnsi="Times New Roman"/>
          <w:sz w:val="14"/>
          <w:szCs w:val="14"/>
          <w:color w:val="auto"/>
        </w:rPr>
      </w:pPr>
    </w:p>
    <w:p>
      <w:pPr>
        <w:ind w:left="220" w:right="219" w:firstLine="767"/>
        <w:spacing w:after="0" w:line="252" w:lineRule="auto"/>
        <w:tabs>
          <w:tab w:leader="none" w:pos="1190"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Agreement shall require Service Provider to perform or cause to be performed any Service to the extent that the manner of such performance would constitute a violation of any applicable Law. If Service Provider is or becomes aware of the potential for any such violation, Service Provider shall promptly advise Service Recipient of such potential violation, and the Parties will mutually seek an alternative that addresses such potential violation. Service Provider shall use commercially reasonable efforts to obtain, and Service Recipient agrees to cooperate in good faith in connection with Service Provider’s efforts to obtain, any necessary Third Party consents, authorizations, waivers, approvals, or sublicenses (“</w:t>
      </w:r>
      <w:r>
        <w:rPr>
          <w:rFonts w:ascii="Times New Roman" w:cs="Times New Roman" w:eastAsia="Times New Roman" w:hAnsi="Times New Roman"/>
          <w:sz w:val="14"/>
          <w:szCs w:val="14"/>
          <w:u w:val="single" w:color="auto"/>
          <w:color w:val="auto"/>
        </w:rPr>
        <w:t>Consents</w:t>
      </w:r>
      <w:r>
        <w:rPr>
          <w:rFonts w:ascii="Times New Roman" w:cs="Times New Roman" w:eastAsia="Times New Roman" w:hAnsi="Times New Roman"/>
          <w:sz w:val="14"/>
          <w:szCs w:val="14"/>
          <w:color w:val="auto"/>
        </w:rPr>
        <w:t xml:space="preserve">”) required under any contract or agreement with a Third Party to allow Service Provider to perform, or cause to be performed, or to allow Service Recipient to receive, all Services to be provided hereunder. All reasonable and documented out-of-pocket costs and expenses (if any) incurred by Service Provider or any of its Subsidiaries in connection with obtaining any such Consent [that are not identified and quantified in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hereto] shall be borne equally by Service Provider and Service Recipient (i.e., fifty percent (50%) each). If, with respect to a Service, the Service Provider, despite the use of such commercially reasonable efforts, is unable to obtain a required Consent, Service Provider shall promptly notify Service Recipient and will use commercially reasonable efforts to seek to arrange a reasonable alternative for the provision of such Service that is substantially the same in all material respects as the benefit provided under or by the relevant Service for which the Consent was required. Unless otherwise provided with respect to a specific Service on the Schedules, Service Provider shall not be obligated to perform or to cause to be performed any Service in a manner that is materially more burdensome (with respect to service quality or quantity) than analogous services provided to Service Recipient or its applicable functional group or Subsidiary during the Baseline Period and, if no commercially feasible alternative for a Service for which Service Recipient agrees to pay any related fees is available or capable of being reasonably implemented, Service Provider shall not be liable for a failure to provide such Service hereunder.</w:t>
      </w:r>
    </w:p>
    <w:p>
      <w:pPr>
        <w:spacing w:after="0" w:line="153" w:lineRule="exact"/>
        <w:rPr>
          <w:rFonts w:ascii="Times New Roman" w:cs="Times New Roman" w:eastAsia="Times New Roman" w:hAnsi="Times New Roman"/>
          <w:sz w:val="14"/>
          <w:szCs w:val="14"/>
          <w:color w:val="auto"/>
        </w:rPr>
      </w:pPr>
    </w:p>
    <w:p>
      <w:pPr>
        <w:ind w:left="220" w:right="279" w:firstLine="767"/>
        <w:spacing w:after="0" w:line="255" w:lineRule="auto"/>
        <w:tabs>
          <w:tab w:leader="none" w:pos="1182"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Neither Service Provider nor any of its Subsidiaries shall be required to perform or to cause to be performed any of the Services for the benefit of any Third Party or any other Person other than Service Recipient and its Subsidiaries, and (ii) EXCEPT AS EXPRESSLY PROVIDED IN THIS AGREEMENT AND WITHOUT LIMITING ANY REPRESENTATIONS OR WARRANTIES IN THE MERGER AGREEMENT, EACH PARTY ACKNOWLEDGES AND AGREES THAT SERVICE PROVIDER MAKES NO OTHER REPRESENTATIONS OR GRANTS ANY WARRANTIES, EXPRESS OR IMPLIED, EITHER IN FACT OR BY OPERATION OF LAW, BY STATUTE OR OTHERWISE, WITH RESPECT TO THE SERVICES. SERVICE PROVIDER SPECIFICALLY DISCLAIMS ANY OTHER WARRANTIES, WHETHER WRITTEN OR ORAL, OR EXPRESS OR IMPLIED, INCLUDING ANY WARRANTY OF QUALITY, MERCHANTABILITY, OR FITNESS FOR A PARTICULAR USE OR PURPOSE OR THE NON-INFRINGEMENT OF ANY INTELLECTUAL PROPERTY RIGHTS OF THIRD PARTIES.</w:t>
      </w:r>
    </w:p>
    <w:p>
      <w:pPr>
        <w:spacing w:after="0" w:line="145" w:lineRule="exact"/>
        <w:rPr>
          <w:rFonts w:ascii="Times New Roman" w:cs="Times New Roman" w:eastAsia="Times New Roman" w:hAnsi="Times New Roman"/>
          <w:sz w:val="14"/>
          <w:szCs w:val="14"/>
          <w:color w:val="auto"/>
        </w:rPr>
      </w:pPr>
    </w:p>
    <w:p>
      <w:pPr>
        <w:ind w:left="220" w:right="259" w:firstLine="767"/>
        <w:spacing w:after="0" w:line="257" w:lineRule="auto"/>
        <w:tabs>
          <w:tab w:leader="none" w:pos="1190" w:val="left"/>
        </w:tabs>
        <w:numPr>
          <w:ilvl w:val="0"/>
          <w:numId w:val="5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shall be responsible for its own compliance with any and all Laws applicable to its performance under this Agreement. No Party shall knowingly take any action in violation of any such applicable Law that results in Liability being imposed on the other Party. In the event any Service is provided by or to a Subsidiary of any Party, such Party shall (i) cause each such Subsidiary to comply with its obligations as a Service Provider or a Service Recipient, as applicable, as set forth in this Agreement in respect of such Services and (ii) remain fully responsible for its and each such Subsidiary’s compliance with their respective obligations (including, if applicable, the performance of such Subsidiary as Service Provider) under this Agreement and applicable Law.</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489" w:name="page490"/>
    <w:bookmarkEnd w:id="489"/>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2.03 </w:t>
      </w:r>
      <w:r>
        <w:rPr>
          <w:rFonts w:ascii="Times New Roman" w:cs="Times New Roman" w:eastAsia="Times New Roman" w:hAnsi="Times New Roman"/>
          <w:sz w:val="14"/>
          <w:szCs w:val="14"/>
          <w:u w:val="single" w:color="auto"/>
          <w:color w:val="auto"/>
        </w:rPr>
        <w:t>Charges for Services</w:t>
      </w:r>
      <w:r>
        <w:rPr>
          <w:rFonts w:ascii="Times New Roman" w:cs="Times New Roman" w:eastAsia="Times New Roman" w:hAnsi="Times New Roman"/>
          <w:sz w:val="14"/>
          <w:szCs w:val="14"/>
          <w:color w:val="auto"/>
        </w:rPr>
        <w:t xml:space="preserve">. Service Recipient shall pay Service Provider the fees set forth in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for the Services (collectively, “</w:t>
      </w:r>
      <w:r>
        <w:rPr>
          <w:rFonts w:ascii="Times New Roman" w:cs="Times New Roman" w:eastAsia="Times New Roman" w:hAnsi="Times New Roman"/>
          <w:sz w:val="14"/>
          <w:szCs w:val="14"/>
          <w:u w:val="single" w:color="auto"/>
          <w:color w:val="auto"/>
        </w:rPr>
        <w:t>Charges</w:t>
      </w:r>
      <w:r>
        <w:rPr>
          <w:rFonts w:ascii="Times New Roman" w:cs="Times New Roman" w:eastAsia="Times New Roman" w:hAnsi="Times New Roman"/>
          <w:sz w:val="14"/>
          <w:szCs w:val="14"/>
          <w:color w:val="auto"/>
        </w:rPr>
        <w:t>”), which Charges shall equal the fully burdened cost to Service Provider and its Subsidiaries in providing such Services, without markup.</w:t>
      </w:r>
    </w:p>
    <w:p>
      <w:pPr>
        <w:spacing w:after="0" w:line="136" w:lineRule="exact"/>
        <w:rPr>
          <w:sz w:val="20"/>
          <w:szCs w:val="20"/>
          <w:color w:val="auto"/>
        </w:rPr>
      </w:pPr>
    </w:p>
    <w:p>
      <w:pPr>
        <w:ind w:left="220" w:right="4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2.04 </w:t>
      </w:r>
      <w:r>
        <w:rPr>
          <w:rFonts w:ascii="Times New Roman" w:cs="Times New Roman" w:eastAsia="Times New Roman" w:hAnsi="Times New Roman"/>
          <w:sz w:val="14"/>
          <w:szCs w:val="14"/>
          <w:u w:val="single" w:color="auto"/>
          <w:color w:val="auto"/>
        </w:rPr>
        <w:t>Reimbursement for Out-of-Pocket Costs and Expenses</w:t>
      </w:r>
      <w:r>
        <w:rPr>
          <w:rFonts w:ascii="Times New Roman" w:cs="Times New Roman" w:eastAsia="Times New Roman" w:hAnsi="Times New Roman"/>
          <w:sz w:val="14"/>
          <w:szCs w:val="14"/>
          <w:color w:val="auto"/>
        </w:rPr>
        <w:t xml:space="preserve">. Service Recipient shall reimburse Service Provider for reasonable, documented out-of-pocket costs and expenses incurred by Service Provider or any of its Subsidiaries in connection with providing the Services (including reasonable travel-related expenses) to the extent that such costs and expenses were not taken into account when the initial Charges were determined and are identified in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(as applicable) as reimbursable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provided that any Expenses that exceed $30,000 shall require Service Recipient’s prior written approval.</w:t>
      </w:r>
    </w:p>
    <w:p>
      <w:pPr>
        <w:spacing w:after="0" w:line="144" w:lineRule="exact"/>
        <w:rPr>
          <w:sz w:val="20"/>
          <w:szCs w:val="20"/>
          <w:color w:val="auto"/>
        </w:rPr>
      </w:pPr>
    </w:p>
    <w:p>
      <w:pPr>
        <w:ind w:left="220" w:right="2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2.05 </w:t>
      </w:r>
      <w:r>
        <w:rPr>
          <w:rFonts w:ascii="Times New Roman" w:cs="Times New Roman" w:eastAsia="Times New Roman" w:hAnsi="Times New Roman"/>
          <w:sz w:val="14"/>
          <w:szCs w:val="14"/>
          <w:u w:val="single" w:color="auto"/>
          <w:color w:val="auto"/>
        </w:rPr>
        <w:t>Changes in the Performance of Services</w:t>
      </w:r>
      <w:r>
        <w:rPr>
          <w:rFonts w:ascii="Times New Roman" w:cs="Times New Roman" w:eastAsia="Times New Roman" w:hAnsi="Times New Roman"/>
          <w:sz w:val="14"/>
          <w:szCs w:val="14"/>
          <w:color w:val="auto"/>
        </w:rPr>
        <w:t xml:space="preserve">. Subject to the performance standards for Services set forth in </w:t>
      </w: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Service Provider may make changes from time to time in the manner of performing the Services if Service Provider is making similar changes in performing analogous services for itself and if Service Provider furnishes to Service Recipient reasonable prior written notice (in content and timing) of such changes; provided, however, that (i) Service Provider shall be responsible for any increase in Fees as a result of such changes and (ii) such changes shall not result in a breach of this Agreement in any material respect. At Service Provider’s request, Service Recipient shall perform any software or process validation updates or processes to test any change in the Services that are reasonably necessary in order for Service Recipient to receive the Services. Service Recipient may request changes from time to time to the manner in which a Service is provided, and Service Provider shall not unreasonably withhold, condition or delay its approval of such change; provided, that, it will not be deemed unreasonable to withhold consent where Service Recipient refuses to bear the increase in Service Provider’s cost of performance from implementing the change.</w:t>
      </w:r>
    </w:p>
    <w:p>
      <w:pPr>
        <w:spacing w:after="0" w:line="149" w:lineRule="exact"/>
        <w:rPr>
          <w:sz w:val="20"/>
          <w:szCs w:val="20"/>
          <w:color w:val="auto"/>
        </w:rPr>
      </w:pPr>
    </w:p>
    <w:p>
      <w:pPr>
        <w:ind w:left="220" w:right="239" w:firstLine="343"/>
        <w:spacing w:after="0" w:line="272" w:lineRule="auto"/>
        <w:rPr>
          <w:sz w:val="20"/>
          <w:szCs w:val="20"/>
          <w:color w:val="auto"/>
        </w:rPr>
      </w:pPr>
      <w:r>
        <w:rPr>
          <w:rFonts w:ascii="Times New Roman" w:cs="Times New Roman" w:eastAsia="Times New Roman" w:hAnsi="Times New Roman"/>
          <w:sz w:val="13"/>
          <w:szCs w:val="13"/>
          <w:color w:val="auto"/>
        </w:rPr>
        <w:t xml:space="preserve">Section 2.06 </w:t>
      </w:r>
      <w:r>
        <w:rPr>
          <w:rFonts w:ascii="Times New Roman" w:cs="Times New Roman" w:eastAsia="Times New Roman" w:hAnsi="Times New Roman"/>
          <w:sz w:val="13"/>
          <w:szCs w:val="13"/>
          <w:u w:val="single" w:color="auto"/>
          <w:color w:val="auto"/>
        </w:rPr>
        <w:t>Transitional Nature of Services</w:t>
      </w:r>
      <w:r>
        <w:rPr>
          <w:rFonts w:ascii="Times New Roman" w:cs="Times New Roman" w:eastAsia="Times New Roman" w:hAnsi="Times New Roman"/>
          <w:sz w:val="13"/>
          <w:szCs w:val="13"/>
          <w:color w:val="auto"/>
        </w:rPr>
        <w:t>. The Parties acknowledge the transitional nature of the Services and that Service Recipient shall be ultimately responsible for planning and preparing the transition to its own internal organization or other Third Parties the provision of the Services provided to it hereunder (the “</w:t>
      </w:r>
      <w:r>
        <w:rPr>
          <w:rFonts w:ascii="Times New Roman" w:cs="Times New Roman" w:eastAsia="Times New Roman" w:hAnsi="Times New Roman"/>
          <w:sz w:val="13"/>
          <w:szCs w:val="13"/>
          <w:u w:val="single" w:color="auto"/>
          <w:color w:val="auto"/>
        </w:rPr>
        <w:t>Cutover</w:t>
      </w:r>
      <w:r>
        <w:rPr>
          <w:rFonts w:ascii="Times New Roman" w:cs="Times New Roman" w:eastAsia="Times New Roman" w:hAnsi="Times New Roman"/>
          <w:sz w:val="13"/>
          <w:szCs w:val="13"/>
          <w:color w:val="auto"/>
        </w:rPr>
        <w:t>”). At Service Recipient’s request, Service Provider shall meet with Service Recipient to assist Service Recipient with the initial development of a plan for Cutover (the “</w:t>
      </w:r>
      <w:r>
        <w:rPr>
          <w:rFonts w:ascii="Times New Roman" w:cs="Times New Roman" w:eastAsia="Times New Roman" w:hAnsi="Times New Roman"/>
          <w:sz w:val="13"/>
          <w:szCs w:val="13"/>
          <w:u w:val="single" w:color="auto"/>
          <w:color w:val="auto"/>
        </w:rPr>
        <w:t>Exit and Migration Plan</w:t>
      </w:r>
      <w:r>
        <w:rPr>
          <w:rFonts w:ascii="Times New Roman" w:cs="Times New Roman" w:eastAsia="Times New Roman" w:hAnsi="Times New Roman"/>
          <w:sz w:val="13"/>
          <w:szCs w:val="13"/>
          <w:color w:val="auto"/>
        </w:rPr>
        <w:t xml:space="preserve">”) and shall provide Service Recipient with information reasonably requested by it in connection with the development and implementation of the Exit and Migration Plan. Service Recipient shall use commercially reasonable efforts to complete the Cutover and transition off, and eliminate its and its Affiliates’ dependency on, each Service consistent with the Exit and Migration Plan in all material respects. Service Provider shall have no obligation to perform any Services following the Term. Service Provider shall, and shall reasonably request its Third Party providers to, at Service Recipient’s cost, reasonably cooperate with Service Recipient in its implementation of the Exit and Migration Plan. The Parties will complete their responsibilities under the Exit and Migration Plan within the Term and in accordance with the performance standard for Services set forth in </w:t>
      </w:r>
      <w:r>
        <w:rPr>
          <w:rFonts w:ascii="Times New Roman" w:cs="Times New Roman" w:eastAsia="Times New Roman" w:hAnsi="Times New Roman"/>
          <w:sz w:val="13"/>
          <w:szCs w:val="13"/>
          <w:u w:val="single" w:color="auto"/>
          <w:color w:val="auto"/>
        </w:rPr>
        <w:t>Sections 2.02(a)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2.02(b)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2.02(c)</w:t>
      </w:r>
      <w:r>
        <w:rPr>
          <w:rFonts w:ascii="Times New Roman" w:cs="Times New Roman" w:eastAsia="Times New Roman" w:hAnsi="Times New Roman"/>
          <w:sz w:val="13"/>
          <w:szCs w:val="13"/>
          <w:color w:val="auto"/>
        </w:rPr>
        <w:t>. The Parties shall (i) devote reasonably adequate time and resources, including by providing personnel resources with sufficient knowledge and experience, to fulfill the Exit and Migration Plan, and</w:t>
      </w:r>
    </w:p>
    <w:p>
      <w:pPr>
        <w:spacing w:after="0" w:line="1" w:lineRule="exact"/>
        <w:rPr>
          <w:sz w:val="20"/>
          <w:szCs w:val="20"/>
          <w:color w:val="auto"/>
        </w:rPr>
      </w:pPr>
    </w:p>
    <w:p>
      <w:pPr>
        <w:ind w:left="220" w:right="279" w:hanging="5"/>
        <w:spacing w:after="0" w:line="261" w:lineRule="auto"/>
        <w:tabs>
          <w:tab w:leader="none" w:pos="426" w:val="left"/>
        </w:tabs>
        <w:numPr>
          <w:ilvl w:val="0"/>
          <w:numId w:val="5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good faith, work together to review and update the Exit and Migration Plan. Each Party shall promptly notify the other Parties in the event that it is unable to (or has reasonable grounds to suspect that it may be unable to) meet its obligations under or in connection with the Exit and Migration Plan.</w:t>
      </w:r>
    </w:p>
    <w:p>
      <w:pPr>
        <w:spacing w:after="0" w:line="140" w:lineRule="exact"/>
        <w:rPr>
          <w:sz w:val="20"/>
          <w:szCs w:val="20"/>
          <w:color w:val="auto"/>
        </w:rPr>
      </w:pPr>
    </w:p>
    <w:p>
      <w:pPr>
        <w:ind w:left="220" w:right="51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2.07 </w:t>
      </w:r>
      <w:r>
        <w:rPr>
          <w:rFonts w:ascii="Times New Roman" w:cs="Times New Roman" w:eastAsia="Times New Roman" w:hAnsi="Times New Roman"/>
          <w:sz w:val="14"/>
          <w:szCs w:val="14"/>
          <w:u w:val="single" w:color="auto"/>
          <w:color w:val="auto"/>
        </w:rPr>
        <w:t>Subcontracting</w:t>
      </w:r>
      <w:r>
        <w:rPr>
          <w:rFonts w:ascii="Times New Roman" w:cs="Times New Roman" w:eastAsia="Times New Roman" w:hAnsi="Times New Roman"/>
          <w:sz w:val="14"/>
          <w:szCs w:val="14"/>
          <w:color w:val="auto"/>
        </w:rPr>
        <w:t xml:space="preserve">. Service Provider may hire or engage one or more Third Parties to perform any or all of its obligations under this Agreement to the extent (i) such Third Party is selected by Service Provider acting with the same degree of care in selecting any Third Parties as it would if such Third Party was being retained to provide similar services to Service Provider, provided that Service Recipient’s consent for such engagement is obtained for any Service identified in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as expressly requiring such consent to subcontract the Service;</w:t>
      </w:r>
    </w:p>
    <w:p>
      <w:pPr>
        <w:spacing w:after="0" w:line="1" w:lineRule="exact"/>
        <w:rPr>
          <w:sz w:val="20"/>
          <w:szCs w:val="20"/>
          <w:color w:val="auto"/>
        </w:rPr>
      </w:pPr>
    </w:p>
    <w:p>
      <w:pPr>
        <w:ind w:left="220" w:right="239" w:hanging="5"/>
        <w:spacing w:after="0" w:line="253" w:lineRule="auto"/>
        <w:tabs>
          <w:tab w:leader="none" w:pos="426" w:val="left"/>
        </w:tabs>
        <w:numPr>
          <w:ilvl w:val="0"/>
          <w:numId w:val="5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Third Party is a Subsidiary of Service Provider, (iii) such Service was delegated or subcontracted to such Third Party with respect to the SpinCo Business or the Company Business, as applicable, as of the date of the Separation Agreement or as of immediately prior to the Distribution Date consistent with the Final Separation Plan, or (iv) following the Distribution Date, Service Provider uses such Third Party to provide the same or substantially similar service to Service Provider’s own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in each case of (i) – (iv), (a) such delegation does not result in any increase in Fees and (b) in the case of any engagement of a Third Party that is not engaged to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490" w:name="page491"/>
    <w:bookmarkEnd w:id="490"/>
    <w:p>
      <w:pPr>
        <w:ind w:left="220" w:right="2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provide Services as of the date hereof, Service Provider provides reasonable advance written notice to Service Recipient of any Third Party so engaged. Service Provider shall in all cases remain responsible (as primary obligor) for all of its obligations under this Agreement with respect to the scope of the Services, the performance standard for Services set forth in </w:t>
      </w:r>
      <w:r>
        <w:rPr>
          <w:rFonts w:ascii="Times New Roman" w:cs="Times New Roman" w:eastAsia="Times New Roman" w:hAnsi="Times New Roman"/>
          <w:sz w:val="14"/>
          <w:szCs w:val="14"/>
          <w:u w:val="single" w:color="auto"/>
          <w:color w:val="auto"/>
        </w:rPr>
        <w:t>Sections 2.02(a)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2.02(b)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2.02(c)</w:t>
      </w:r>
      <w:r>
        <w:rPr>
          <w:rFonts w:ascii="Times New Roman" w:cs="Times New Roman" w:eastAsia="Times New Roman" w:hAnsi="Times New Roman"/>
          <w:sz w:val="14"/>
          <w:szCs w:val="14"/>
          <w:color w:val="auto"/>
        </w:rPr>
        <w:t xml:space="preserve"> and the content of the Services provided to Service Recipient. Service Provider shall be liable for any breach of its obligations under this Agreement due to an act or omission by any Third Party service provider engaged by Service Provider.</w:t>
      </w:r>
    </w:p>
    <w:p>
      <w:pPr>
        <w:spacing w:after="0" w:line="144"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2.08 </w:t>
      </w:r>
      <w:r>
        <w:rPr>
          <w:rFonts w:ascii="Times New Roman" w:cs="Times New Roman" w:eastAsia="Times New Roman" w:hAnsi="Times New Roman"/>
          <w:sz w:val="14"/>
          <w:szCs w:val="14"/>
          <w:u w:val="single" w:color="auto"/>
          <w:color w:val="auto"/>
        </w:rPr>
        <w:t>Local Agreements</w:t>
      </w:r>
      <w:r>
        <w:rPr>
          <w:rFonts w:ascii="Times New Roman" w:cs="Times New Roman" w:eastAsia="Times New Roman" w:hAnsi="Times New Roman"/>
          <w:sz w:val="14"/>
          <w:szCs w:val="14"/>
          <w:color w:val="auto"/>
        </w:rPr>
        <w:t>. Each Party recognizes and agrees that it may be necessary or desirable to separately document certain matters relating to the Services provided hereunder in various jurisdictions from time to time or to otherwise modify the scope or nature of such Services, in each case to the extent necessary to comply with applicable Law. If such an agreement or modification of any of the Services is required by applicable Law, or if the applicable Parties mutually determine entry into such an agreement or modification of Services would be desirable, in each case in order for Service Provider or its Subsidiaries to provide any of the Services in a particular jurisdiction, Service Provider and Service Recipient shall, or shall cause their applicable Subsidiaries to, enter into local implementing agreements (as each may be amended and in effect from time to time, each a “</w:t>
      </w:r>
      <w:r>
        <w:rPr>
          <w:rFonts w:ascii="Times New Roman" w:cs="Times New Roman" w:eastAsia="Times New Roman" w:hAnsi="Times New Roman"/>
          <w:sz w:val="14"/>
          <w:szCs w:val="14"/>
          <w:u w:val="single" w:color="auto"/>
          <w:color w:val="auto"/>
        </w:rPr>
        <w:t>Local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xml:space="preserve">”) in form and content reasonably acceptable to the applicable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execution or performance of any such Local Agreement shall in no way alter or modify any term or condition of this Agreement or the effect of any such term or condition, except to the extent expressly specified in such Local Agreement. Except as used in this </w:t>
      </w:r>
      <w:r>
        <w:rPr>
          <w:rFonts w:ascii="Times New Roman" w:cs="Times New Roman" w:eastAsia="Times New Roman" w:hAnsi="Times New Roman"/>
          <w:sz w:val="14"/>
          <w:szCs w:val="14"/>
          <w:u w:val="single" w:color="auto"/>
          <w:color w:val="auto"/>
        </w:rPr>
        <w:t>Section 2.08</w:t>
      </w:r>
      <w:r>
        <w:rPr>
          <w:rFonts w:ascii="Times New Roman" w:cs="Times New Roman" w:eastAsia="Times New Roman" w:hAnsi="Times New Roman"/>
          <w:sz w:val="14"/>
          <w:szCs w:val="14"/>
          <w:color w:val="auto"/>
        </w:rPr>
        <w:t>, any references herein to this Agreement and the Services to be provided hereunder, shall include any Local Agreement and any local services to be provided thereunder. Except as expressly set forth in any Local Agreement, in the event of a conflict between the terms contained in a Local Agreement and the terms contained in this Agreement (including the applicable Schedules), the terms in this Agreement shall take precedence.</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2.09 </w:t>
      </w:r>
      <w:r>
        <w:rPr>
          <w:rFonts w:ascii="Times New Roman" w:cs="Times New Roman" w:eastAsia="Times New Roman" w:hAnsi="Times New Roman"/>
          <w:sz w:val="14"/>
          <w:szCs w:val="14"/>
          <w:u w:val="single" w:color="auto"/>
          <w:color w:val="auto"/>
        </w:rPr>
        <w:t>Service Limitations</w:t>
      </w:r>
      <w:r>
        <w:rPr>
          <w:rFonts w:ascii="Times New Roman" w:cs="Times New Roman" w:eastAsia="Times New Roman" w:hAnsi="Times New Roman"/>
          <w:sz w:val="14"/>
          <w:szCs w:val="14"/>
          <w:color w:val="auto"/>
        </w:rPr>
        <w:t>. Notwithstanding any provision of this Agreement to the contrary:</w:t>
      </w:r>
    </w:p>
    <w:p>
      <w:pPr>
        <w:spacing w:after="0" w:line="175" w:lineRule="exact"/>
        <w:rPr>
          <w:sz w:val="20"/>
          <w:szCs w:val="20"/>
          <w:color w:val="auto"/>
        </w:rPr>
      </w:pPr>
    </w:p>
    <w:p>
      <w:pPr>
        <w:jc w:val="both"/>
        <w:ind w:left="220" w:right="279" w:firstLine="767"/>
        <w:spacing w:after="0" w:line="261" w:lineRule="auto"/>
        <w:tabs>
          <w:tab w:leader="none" w:pos="1182"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this Agreement, except as and to the extent necessary for the receipt of any Services by Service Recipient, as mutually agreed between the Parties, or as otherwise set forth on a Schedule hereto and subject to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Service Provider shall have no obligation to provide Service Recipient with access to or use of any Service Provider information technology systems, information technology, platforms, networks, applications, software databases or computer hardware;</w:t>
      </w:r>
    </w:p>
    <w:p>
      <w:pPr>
        <w:spacing w:after="0" w:line="140"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90"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Service Provider’s obligation to provide legal, financial, accounting, insurance, tax, regulatory or compliance Services as expressly set forth in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Service Provider shall not be obligated to provide and shall not be deemed to be providing any advice with respect to legal, financial, accounting, insurance, tax, regulatory or compliance matters to Service Recipient or any of its Representatives as part of or in connection with the Services or otherwise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limitation shall not prohibit knowledge transfer, status updates or the sharing of any non-privileged information related to the operation of the SpinCo Business or Company Business, as applicable;</w:t>
      </w:r>
    </w:p>
    <w:p>
      <w:pPr>
        <w:spacing w:after="0" w:line="143" w:lineRule="exact"/>
        <w:rPr>
          <w:rFonts w:ascii="Times New Roman" w:cs="Times New Roman" w:eastAsia="Times New Roman" w:hAnsi="Times New Roman"/>
          <w:sz w:val="14"/>
          <w:szCs w:val="14"/>
          <w:color w:val="auto"/>
        </w:rPr>
      </w:pPr>
    </w:p>
    <w:p>
      <w:pPr>
        <w:ind w:left="220" w:right="399" w:firstLine="767"/>
        <w:spacing w:after="0" w:line="258" w:lineRule="auto"/>
        <w:tabs>
          <w:tab w:leader="none" w:pos="1182"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Provider shall have no obligation to prepare or deliver any notification or report to any Governmental Authority or other Person on behalf of Service Recipient or any of its Representatives in connection with the Services, except as set forth on the Schedules hereto; notwithstanding the foregoing, Service Provider shall reasonably cooperate with and provide reasonable assistance to Service Recipient in connection with the preparation of any such notifications or reports to the extent necessary to provide the Services (for the avoidance of doubt, this Service limitation shall not affect any requirements under any other Transaction Document);</w:t>
      </w:r>
    </w:p>
    <w:p>
      <w:pPr>
        <w:spacing w:after="0" w:line="143" w:lineRule="exact"/>
        <w:rPr>
          <w:rFonts w:ascii="Times New Roman" w:cs="Times New Roman" w:eastAsia="Times New Roman" w:hAnsi="Times New Roman"/>
          <w:sz w:val="14"/>
          <w:szCs w:val="14"/>
          <w:color w:val="auto"/>
        </w:rPr>
      </w:pPr>
    </w:p>
    <w:p>
      <w:pPr>
        <w:ind w:left="220" w:right="379" w:firstLine="767"/>
        <w:spacing w:after="0" w:line="283" w:lineRule="auto"/>
        <w:tabs>
          <w:tab w:leader="none" w:pos="1190"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Service Provider or its Affiliates have any obligation to favor Service Recipient or any of its Affiliates’ operation of its businesses over its own business operations or those of its Affiliates;</w:t>
      </w:r>
    </w:p>
    <w:p>
      <w:pPr>
        <w:spacing w:after="0" w:line="124" w:lineRule="exact"/>
        <w:rPr>
          <w:rFonts w:ascii="Times New Roman" w:cs="Times New Roman" w:eastAsia="Times New Roman" w:hAnsi="Times New Roman"/>
          <w:sz w:val="14"/>
          <w:szCs w:val="14"/>
          <w:color w:val="auto"/>
        </w:rPr>
      </w:pPr>
    </w:p>
    <w:p>
      <w:pPr>
        <w:ind w:left="220" w:right="439" w:firstLine="767"/>
        <w:spacing w:after="0" w:line="267" w:lineRule="auto"/>
        <w:tabs>
          <w:tab w:leader="none" w:pos="1182"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2.02(a)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2.02(b)</w:t>
      </w:r>
      <w:r>
        <w:rPr>
          <w:rFonts w:ascii="Times New Roman" w:cs="Times New Roman" w:eastAsia="Times New Roman" w:hAnsi="Times New Roman"/>
          <w:sz w:val="14"/>
          <w:szCs w:val="14"/>
          <w:color w:val="auto"/>
        </w:rPr>
        <w:t>, Service Provider shall not be required to hire any additional employees, maintain the employment of any one or more specific employees, or purchase, lease or license any additional equipment, software (including additional seats or instances under existing software license agreements) or other resources; and</w:t>
      </w:r>
    </w:p>
    <w:p>
      <w:pPr>
        <w:spacing w:after="0" w:line="135" w:lineRule="exact"/>
        <w:rPr>
          <w:rFonts w:ascii="Times New Roman" w:cs="Times New Roman" w:eastAsia="Times New Roman" w:hAnsi="Times New Roman"/>
          <w:sz w:val="14"/>
          <w:szCs w:val="14"/>
          <w:color w:val="auto"/>
        </w:rPr>
      </w:pPr>
    </w:p>
    <w:p>
      <w:pPr>
        <w:ind w:left="220" w:right="659" w:firstLine="767"/>
        <w:spacing w:after="0" w:line="283" w:lineRule="auto"/>
        <w:tabs>
          <w:tab w:leader="none" w:pos="1167" w:val="left"/>
        </w:tabs>
        <w:numPr>
          <w:ilvl w:val="0"/>
          <w:numId w:val="5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herein, Service Provider shall not be required to bear or pay any costs related to the conversion of the Service Recipient’s data at Service Recipient’s request (other than any costs mutually agreed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491" w:name="page492"/>
    <w:bookmarkEnd w:id="491"/>
    <w:p>
      <w:pPr>
        <w:ind w:left="220" w:right="29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by Service Provider and Service Recipient, it being understood that, in agreeing to any such costs, the Parties shall take into account the time, effort and complexity of any action of Service Provider), nor shall Service Provider have any obligation to provide data migration support, including any data transformation, data cleansing or data insertion, with respect to historical or transactional data, other than extraction and transfer of Service Recipient’s data, in each case, in the format maintained by Service Provider, which shall be free of charge.</w:t>
      </w:r>
    </w:p>
    <w:p>
      <w:pPr>
        <w:spacing w:after="0" w:line="141"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System Shut Down</w:t>
      </w:r>
      <w:r>
        <w:rPr>
          <w:rFonts w:ascii="Times New Roman" w:cs="Times New Roman" w:eastAsia="Times New Roman" w:hAnsi="Times New Roman"/>
          <w:sz w:val="14"/>
          <w:szCs w:val="14"/>
          <w:color w:val="auto"/>
        </w:rPr>
        <w:t xml:space="preserve">. Service Provider shall have the right to shut down temporarily for maintenance or similar purposes the operation of any facilities or systems providing any Service whenever in Service Provider’s reasonable judgment such action is necessary or advisable for general maintenance or emergency purposes;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without limiting the immediately following sentence, Service Provider will use commercially reasonable efforts to schedule non-emergency general maintenance impacting the Services outside of standard business hours, and emergency maintenance so as not to materially disrupt the operation of the SpinCo Business or the Company Business, as applicable, by Service Recipient. Service Provider will provide Service Recipient advance notice of any shut down for (i) general maintenance purposes or other planned shut down and (ii) to the extent practicable, any emergency shutdown or maintenance.</w:t>
      </w:r>
    </w:p>
    <w:p>
      <w:pPr>
        <w:spacing w:after="0" w:line="144"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Use of Services</w:t>
      </w:r>
      <w:r>
        <w:rPr>
          <w:rFonts w:ascii="Times New Roman" w:cs="Times New Roman" w:eastAsia="Times New Roman" w:hAnsi="Times New Roman"/>
          <w:sz w:val="14"/>
          <w:szCs w:val="14"/>
          <w:color w:val="auto"/>
        </w:rPr>
        <w:t>. Service Provider shall not be required to provide Services to any Person other than Service Recipient and its Subsidiaries, or in connection with the operation of any business other than the SpinCo Business or the Company Business, as applicable, in each case in substantially the same manner in which, and for substantially the same purpose as, such Services were used by the Service Recipient in connection with the operation of such business during the Baseline Period. Service Recipient shall not, and shall not permit its or any of its Subsidiaries’ Representatives to, resell any Services to any Third Party (or, in the case of Services where the Service Recipient is SpinCo, to any Affiliate of SpinCo other than SpinCo or its Subsidiaries) or permit the use of any Services by any Third Party.</w:t>
      </w:r>
    </w:p>
    <w:p>
      <w:pPr>
        <w:spacing w:after="0" w:line="143" w:lineRule="exact"/>
        <w:rPr>
          <w:sz w:val="20"/>
          <w:szCs w:val="20"/>
          <w:color w:val="auto"/>
        </w:rPr>
      </w:pPr>
    </w:p>
    <w:p>
      <w:pPr>
        <w:ind w:left="220" w:right="31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2.12 </w:t>
      </w:r>
      <w:r>
        <w:rPr>
          <w:rFonts w:ascii="Times New Roman" w:cs="Times New Roman" w:eastAsia="Times New Roman" w:hAnsi="Times New Roman"/>
          <w:sz w:val="14"/>
          <w:szCs w:val="14"/>
          <w:u w:val="single" w:color="auto"/>
          <w:color w:val="auto"/>
        </w:rPr>
        <w:t>Service Managers</w:t>
      </w:r>
      <w:r>
        <w:rPr>
          <w:rFonts w:ascii="Times New Roman" w:cs="Times New Roman" w:eastAsia="Times New Roman" w:hAnsi="Times New Roman"/>
          <w:sz w:val="14"/>
          <w:szCs w:val="14"/>
          <w:color w:val="auto"/>
        </w:rPr>
        <w:t>. Each Party will appoint a project manager, who shall be responsible for all day-to-day matters arising hereunder, and who shall be the primary contact for the other Party for any issues arising hereunder (each a “Service Manager”). The Service Managers shall cooperate with each other to ensure the provision of the Services in accordance with the terms hereof, as well as the orderly transition of those Services at the end of the applicable Service Period, and shall meet (in person, by telephone, or by videoconference) on a weekly basis during the first ninety</w:t>
      </w:r>
    </w:p>
    <w:p>
      <w:pPr>
        <w:spacing w:after="0" w:line="1" w:lineRule="exact"/>
        <w:rPr>
          <w:sz w:val="20"/>
          <w:szCs w:val="20"/>
          <w:color w:val="auto"/>
        </w:rPr>
      </w:pPr>
    </w:p>
    <w:p>
      <w:pPr>
        <w:ind w:left="480" w:hanging="265"/>
        <w:spacing w:after="0"/>
        <w:tabs>
          <w:tab w:leader="none" w:pos="480" w:val="left"/>
        </w:tabs>
        <w:numPr>
          <w:ilvl w:val="0"/>
          <w:numId w:val="5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following the Effective Time and additionally at the request of either Service Manager in furtherance thereof. Company’s initial Service</w:t>
      </w:r>
    </w:p>
    <w:p>
      <w:pPr>
        <w:spacing w:after="0" w:line="7" w:lineRule="exact"/>
        <w:rPr>
          <w:rFonts w:ascii="Times New Roman" w:cs="Times New Roman" w:eastAsia="Times New Roman" w:hAnsi="Times New Roman"/>
          <w:sz w:val="14"/>
          <w:szCs w:val="14"/>
          <w:color w:val="auto"/>
        </w:rPr>
      </w:pPr>
    </w:p>
    <w:p>
      <w:pPr>
        <w:ind w:left="220" w:right="35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Manager shall be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and SpinCo’s initial Service Manager shall be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each Party may change its designated Service Manager upon notice to the other Party’s Service Manager.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OTHER ARRANGEMENTS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Access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19" w:firstLine="767"/>
        <w:spacing w:after="0" w:line="253" w:lineRule="auto"/>
        <w:tabs>
          <w:tab w:leader="none" w:pos="1182" w:val="left"/>
        </w:tabs>
        <w:numPr>
          <w:ilvl w:val="0"/>
          <w:numId w:val="5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shall, and shall cause its Subsidiaries to, allow the other Party and its Subsidiaries and their respective Representatives reasonable access to the facilities, Information, systems, infrastructure and personnel of such Party and its Subsidiaries to the extent and as required for such Party and its Subsidiaries to perform or receive the Services or otherwise perform or fulfill their obligations under this Agreement and, as applicable, for Service Provider to verify the adequacy of Service Provider’s internal controls over information technology, reporting of financial data and related processes employed in connection with Service Provider’s provision of the Services, including in connection with verifying Service Provider’s compliance with Section 404 of the Sarbanes-Oxley Act of 2002 (for the avoidance of doubt, this </w:t>
      </w:r>
      <w:r>
        <w:rPr>
          <w:rFonts w:ascii="Times New Roman" w:cs="Times New Roman" w:eastAsia="Times New Roman" w:hAnsi="Times New Roman"/>
          <w:sz w:val="14"/>
          <w:szCs w:val="14"/>
          <w:u w:val="single" w:color="auto"/>
          <w:color w:val="auto"/>
        </w:rPr>
        <w:t>Section 3.01(a)</w:t>
      </w:r>
      <w:r>
        <w:rPr>
          <w:rFonts w:ascii="Times New Roman" w:cs="Times New Roman" w:eastAsia="Times New Roman" w:hAnsi="Times New Roman"/>
          <w:sz w:val="14"/>
          <w:szCs w:val="14"/>
          <w:color w:val="auto"/>
        </w:rPr>
        <w:t xml:space="preserve"> shall not require Service Recipient to establish additional internal controls or comply with the Sarbanes-Oxley Act of 2002);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such access shall not unreasonably interfere with any of the business or operations of either party or any of its Subsidiaries and (ii) in the event that a Party determines that providing such access could violate any applicable Law or agreement or waive any attorney-client privilege, then the Parties shall use commercially reasonable efforts to permit such access in a manner that avoids any such consequence. Each Party agrees that all of its and its Subsidiaries’ employees shall, and that it shall direct its Representatives’ employees to, when on the property of the other Party or its Subsidiaries, or when given access to any facilities, Information, systems, infrastructure or personnel of such Party or its Subsidiaries, conform to the policies and procedures of such Party and its Subsidiaries, as applicable, concerning health, safety, confidentiality, conduct and security which are made known or provided to the accessing Party from time to time.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492" w:name="page493"/>
    <w:bookmarkEnd w:id="492"/>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 Subject to the terms and conditions of this Agreement, Service Provider will permit Service Recipient and its personnel (the</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Individual Users</w:t>
      </w:r>
      <w:r>
        <w:rPr>
          <w:rFonts w:ascii="Times New Roman" w:cs="Times New Roman" w:eastAsia="Times New Roman" w:hAnsi="Times New Roman"/>
          <w:sz w:val="14"/>
          <w:szCs w:val="14"/>
          <w:color w:val="auto"/>
        </w:rPr>
        <w:t>”) to access the Host Systems and the Applications (on or through the Host Systems), in each case, for the purpose of receiving, and to</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extent reasonably necessary to receive, the Services as expressly contemplated by the Services themselves, or otherwise to the extent reasonably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necessary to perform its obligations in connection with this Agreement, and in each case in accordance with the terms and conditions expressly stated in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Agreement. Individual Users are authorized to access the Applications and the Host Systems with the prior permission of Service Provider where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required pursuant to Service Provider’s general policies and procedures, not to be unreasonably withheld, and subject to the terms and conditions of this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Agreement, including the foregoing sentence, and only to the extent that such authorized Individual Users have a need to access the Host Systems or use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Applications in connection with this Agreement.</w:t>
      </w:r>
    </w:p>
    <w:p>
      <w:pPr>
        <w:spacing w:after="0" w:line="161" w:lineRule="exact"/>
        <w:rPr>
          <w:sz w:val="20"/>
          <w:szCs w:val="20"/>
          <w:color w:val="auto"/>
        </w:rPr>
      </w:pPr>
    </w:p>
    <w:p>
      <w:pPr>
        <w:ind w:left="220" w:right="239" w:firstLine="767"/>
        <w:spacing w:after="0" w:line="257" w:lineRule="auto"/>
        <w:tabs>
          <w:tab w:leader="none" w:pos="1182" w:val="left"/>
        </w:tabs>
        <w:numPr>
          <w:ilvl w:val="1"/>
          <w:numId w:val="5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Party shall, and each Party shall cause each of its Representatives and Individual Users not to, introduce or otherwise expose any Host System or any Application to any (a) computer code or instructions (e.g., malicious code or viruses) that may disrupt, damage, or interfere with the Host System or any Application or other software or firmware stored or operated thereon, (b) device that is capable of automatically or remotely stopping any Host System or Application from operating, in whole or in part (e.g., passwords, fuses or time bombs), (c) “back doors” or “trap doors” which allow for any access or bypassing of any security feature of the Host System or any Application or (d) any barriers designed for, or having the effect of, preventing Service Provider from accessing all or any portion of its systems, software or data.</w:t>
      </w:r>
    </w:p>
    <w:p>
      <w:pPr>
        <w:spacing w:after="0" w:line="143" w:lineRule="exact"/>
        <w:rPr>
          <w:rFonts w:ascii="Times New Roman" w:cs="Times New Roman" w:eastAsia="Times New Roman" w:hAnsi="Times New Roman"/>
          <w:sz w:val="14"/>
          <w:szCs w:val="14"/>
          <w:color w:val="auto"/>
        </w:rPr>
      </w:pPr>
    </w:p>
    <w:p>
      <w:pPr>
        <w:ind w:left="220" w:right="299" w:firstLine="767"/>
        <w:spacing w:after="0" w:line="281" w:lineRule="auto"/>
        <w:tabs>
          <w:tab w:leader="none" w:pos="1190" w:val="left"/>
        </w:tabs>
        <w:numPr>
          <w:ilvl w:val="1"/>
          <w:numId w:val="5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Service Recipient shall, at its sole expense, (a) provide all network connectivity necessary for each of its Representatives and each Individual User to connect to the Host Systems (other than the connectivity that Service Provider shall provide as set forth on the Schedules hereto) and</w:t>
      </w:r>
    </w:p>
    <w:p>
      <w:pPr>
        <w:spacing w:after="0" w:line="1" w:lineRule="exact"/>
        <w:rPr>
          <w:rFonts w:ascii="Times New Roman" w:cs="Times New Roman" w:eastAsia="Times New Roman" w:hAnsi="Times New Roman"/>
          <w:sz w:val="13"/>
          <w:szCs w:val="13"/>
          <w:color w:val="auto"/>
        </w:rPr>
      </w:pPr>
    </w:p>
    <w:p>
      <w:pPr>
        <w:ind w:left="220" w:right="279" w:hanging="5"/>
        <w:spacing w:after="0" w:line="300" w:lineRule="auto"/>
        <w:tabs>
          <w:tab w:leader="none" w:pos="418" w:val="left"/>
        </w:tabs>
        <w:numPr>
          <w:ilvl w:val="0"/>
          <w:numId w:val="5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comply, and cause each of its Representatives and each Individual User to comply, with the terms and conditions set forth in the applicable information security rules and procedures of Service Provider provided to Service Recipient and in </w:t>
      </w:r>
      <w:r>
        <w:rPr>
          <w:rFonts w:ascii="Times New Roman" w:cs="Times New Roman" w:eastAsia="Times New Roman" w:hAnsi="Times New Roman"/>
          <w:sz w:val="13"/>
          <w:szCs w:val="13"/>
          <w:u w:val="single" w:color="auto"/>
          <w:color w:val="auto"/>
        </w:rPr>
        <w:t>Section 3.01(a)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3.01(b)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3.01(c)</w:t>
      </w:r>
      <w:r>
        <w:rPr>
          <w:rFonts w:ascii="Times New Roman" w:cs="Times New Roman" w:eastAsia="Times New Roman" w:hAnsi="Times New Roman"/>
          <w:sz w:val="13"/>
          <w:szCs w:val="13"/>
          <w:color w:val="auto"/>
        </w:rPr>
        <w:t>.</w:t>
      </w:r>
    </w:p>
    <w:p>
      <w:pPr>
        <w:spacing w:after="0" w:line="116" w:lineRule="exact"/>
        <w:rPr>
          <w:rFonts w:ascii="Times New Roman" w:cs="Times New Roman" w:eastAsia="Times New Roman" w:hAnsi="Times New Roman"/>
          <w:sz w:val="13"/>
          <w:szCs w:val="13"/>
          <w:color w:val="auto"/>
        </w:rPr>
      </w:pPr>
    </w:p>
    <w:p>
      <w:pPr>
        <w:ind w:left="220" w:right="219" w:firstLine="767"/>
        <w:spacing w:after="0" w:line="254" w:lineRule="auto"/>
        <w:tabs>
          <w:tab w:leader="none" w:pos="1182" w:val="left"/>
        </w:tabs>
        <w:numPr>
          <w:ilvl w:val="1"/>
          <w:numId w:val="5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Service Provider reasonably believes or determines that (a) any Service Recipient personnel have sought to violate or circumvent, or have violated or circumvented, applicable Laws or the IS Procedures made known to Service Recipient, (b) any unauthorized Service Recipient personnel, as applicable, have accessed the Host Systems or Applications, or (c) any Service Recipient personnel have engaged in activities that would reasonably be expected to lead to the unauthorized access, use, destruction, alteration or loss of data, or information contained or stored in the Host Systems or Applications, then Service Provider may immediately suspend access to the Host Systems or Applications by any such personnel and shall as promptly as practicable notify Service Recipient in writing of the name(s) of such personnel and the circumstances surrounding such occurrence; provided that Service Provider shall promptly grant access to such Host Systems or Applications for substitute personnel of Service Recipient, on its request and restore the suspended access of the affected Service Recipient personnel when, in Service Provider’s reasonable judgment, the circumstances giving rise to the suspension have been remedied or the risk that the suspension was intended to mitigate no longer exists.</w:t>
      </w:r>
    </w:p>
    <w:p>
      <w:pPr>
        <w:spacing w:after="0" w:line="2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u w:val="single" w:color="auto"/>
          <w:color w:val="auto"/>
        </w:rPr>
        <w:t>Transition Period Employees.</w:t>
      </w:r>
    </w:p>
    <w:p>
      <w:pPr>
        <w:spacing w:after="0" w:line="91" w:lineRule="exact"/>
        <w:rPr>
          <w:sz w:val="20"/>
          <w:szCs w:val="20"/>
          <w:color w:val="auto"/>
        </w:rPr>
      </w:pPr>
    </w:p>
    <w:p>
      <w:pPr>
        <w:ind w:left="220" w:right="319" w:firstLine="767"/>
        <w:spacing w:after="0" w:line="261" w:lineRule="auto"/>
        <w:tabs>
          <w:tab w:leader="none" w:pos="1182"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shall make available to SpinCo the SpinCo Delayed Transfer Employees (as defined in the Employee Matters Agreement) (the “</w:t>
      </w:r>
      <w:r>
        <w:rPr>
          <w:rFonts w:ascii="Times New Roman" w:cs="Times New Roman" w:eastAsia="Times New Roman" w:hAnsi="Times New Roman"/>
          <w:sz w:val="14"/>
          <w:szCs w:val="14"/>
          <w:u w:val="single" w:color="auto"/>
          <w:color w:val="auto"/>
        </w:rPr>
        <w:t>Transition Period Employees</w:t>
      </w:r>
      <w:r>
        <w:rPr>
          <w:rFonts w:ascii="Times New Roman" w:cs="Times New Roman" w:eastAsia="Times New Roman" w:hAnsi="Times New Roman"/>
          <w:sz w:val="14"/>
          <w:szCs w:val="14"/>
          <w:color w:val="auto"/>
        </w:rPr>
        <w:t>”) to perform services for SpinCo consistent with the services previously provided by such SpinCo Delayed Transfer Employees for the benefit of the Spinco Business, subject to any reasonable adjustments to such services as SpinCo may reasonably require or as are necessary to comply with applicable Law (“</w:t>
      </w:r>
      <w:r>
        <w:rPr>
          <w:rFonts w:ascii="Times New Roman" w:cs="Times New Roman" w:eastAsia="Times New Roman" w:hAnsi="Times New Roman"/>
          <w:sz w:val="14"/>
          <w:szCs w:val="14"/>
          <w:u w:val="single" w:color="auto"/>
          <w:color w:val="auto"/>
        </w:rPr>
        <w:t>Employee Secondment Services</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5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for which each Transition Period Employee provides Employee Secondment Services shall be, in each case, the</w:t>
      </w:r>
    </w:p>
    <w:p>
      <w:pPr>
        <w:spacing w:after="0" w:line="22" w:lineRule="exact"/>
        <w:rPr>
          <w:sz w:val="20"/>
          <w:szCs w:val="20"/>
          <w:color w:val="auto"/>
        </w:rPr>
      </w:pPr>
    </w:p>
    <w:p>
      <w:pPr>
        <w:ind w:left="220" w:right="25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Secondment Period</w:t>
      </w:r>
      <w:r>
        <w:rPr>
          <w:rFonts w:ascii="Times New Roman" w:cs="Times New Roman" w:eastAsia="Times New Roman" w:hAnsi="Times New Roman"/>
          <w:sz w:val="14"/>
          <w:szCs w:val="14"/>
          <w:color w:val="auto"/>
        </w:rPr>
        <w:t>”. The Secondment Period applicable to any Transition Period Employee may terminate before the expiry or termination of this Agreement on: (i) such date as agreed in writing by the Parties, (ii) the termination of employment of such Transition Period Employee, for any reason or no reason, pursuant to the terms of an employment contract or otherwise, and whether such termination is effected by such Transition Period Employee or by Company or due to such Transition Period Employee’s death or permanent disability, including where the employment of the applicable Transition Period Employee is transferred to SpinCo or its Affiliates or (iii) the termination with immediate effect by SpinCo of the services of the applicable Transition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493" w:name="page494"/>
    <w:bookmarkEnd w:id="493"/>
    <w:p>
      <w:pPr>
        <w:ind w:left="220" w:right="29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Period Employee in the event of gross misconduct by that Transition Period Employee. Notwithstanding anything to the contrary in this Agreement, the Employee Secondment Services shall terminate upon the termination of the Secondment Period with respect to the final Transition Period Employee providing services hereunder.</w:t>
      </w:r>
    </w:p>
    <w:p>
      <w:pPr>
        <w:spacing w:after="0" w:line="136" w:lineRule="exact"/>
        <w:rPr>
          <w:sz w:val="20"/>
          <w:szCs w:val="20"/>
          <w:color w:val="auto"/>
        </w:rPr>
      </w:pPr>
    </w:p>
    <w:p>
      <w:pPr>
        <w:jc w:val="both"/>
        <w:ind w:left="220" w:right="379" w:firstLine="767"/>
        <w:spacing w:after="0" w:line="267" w:lineRule="auto"/>
        <w:tabs>
          <w:tab w:leader="none" w:pos="1182" w:val="left"/>
        </w:tabs>
        <w:numPr>
          <w:ilvl w:val="1"/>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relevant Secondment Period, SpinCo or its applicable Affiliate will, to the extent required, provide each Transition Period Employee with appropriate and substantially similar information technology and other equipment that it provides generally to its employees for use in the course of providing Employee Secondment Services.</w:t>
      </w:r>
    </w:p>
    <w:p>
      <w:pPr>
        <w:spacing w:after="0" w:line="13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5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course of providing Employee Secondment Services: (i) each Transition Period Employee will report directly to SpinCo;</w:t>
      </w:r>
    </w:p>
    <w:p>
      <w:pPr>
        <w:spacing w:after="0" w:line="21"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(and not Company) will solely supervise each Transition Period Employee; and (iii) each Transition Period Employee shall be subject to</w:t>
      </w:r>
    </w:p>
    <w:p>
      <w:pPr>
        <w:spacing w:after="0" w:line="7" w:lineRule="exact"/>
        <w:rPr>
          <w:rFonts w:ascii="Times New Roman" w:cs="Times New Roman" w:eastAsia="Times New Roman" w:hAnsi="Times New Roman"/>
          <w:sz w:val="14"/>
          <w:szCs w:val="14"/>
          <w:color w:val="auto"/>
        </w:rPr>
      </w:pPr>
    </w:p>
    <w:p>
      <w:pPr>
        <w:ind w:left="220" w:right="2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policies, procedures and directions as SpinCo may prescribe in connection with the performance of such services. Notwithstanding anything to the contrary in this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Company will be responsible for any action, investigation and/or decisions required to be made by Company with respect to the Transition Period Employees’ employment with Company, where relevant, following reasonable consultation with SpinCo, including any complaint or grievance raised by or about a Transition Period Employee, and, for the avoidance of doubt, any action taken by Company pursuant to the foregoing shall not alter any Transition Period Employee’s status as being deemed to be acting under the direct supervision and control of SpinCo while performing Employee Secondment Services.]</w:t>
      </w:r>
    </w:p>
    <w:p>
      <w:pPr>
        <w:spacing w:after="0" w:line="148" w:lineRule="exact"/>
        <w:rPr>
          <w:rFonts w:ascii="Times New Roman" w:cs="Times New Roman" w:eastAsia="Times New Roman" w:hAnsi="Times New Roman"/>
          <w:sz w:val="14"/>
          <w:szCs w:val="14"/>
          <w:color w:val="auto"/>
        </w:rPr>
      </w:pPr>
    </w:p>
    <w:p>
      <w:pPr>
        <w:ind w:left="220" w:right="319" w:firstLine="767"/>
        <w:spacing w:after="0" w:line="254" w:lineRule="auto"/>
        <w:tabs>
          <w:tab w:leader="none" w:pos="1182" w:val="left"/>
        </w:tabs>
        <w:numPr>
          <w:ilvl w:val="1"/>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SpinCo agrees to defend, indemnify and hold Company harmless from any and all claims arising out of, or relating to, a Transition Period Employee’s acts in the course of providing Employee Secondment Services, including any error, omission, breach of duty, breach of contract, or negligence, which occur during the relevant Secondment Period when such Transition Period Employee is acting under the direct supervision and control of SpinCo, in each case in accordance with the same procedures for indemnification as set forth in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this subparagraph shall not apply to the extent that any such claims arise by reason of Company’s (i) breach of this Agreement, (ii) gross negligence (other than gross negligence by a Transition Period Employee), (iii) willful misconduct (other than willful misconduct by a Transition Period Employee) or (iv) any actions by a Transition Period Employee made at the direction of Company that would, if such actions were taken by the Company, constitute the actions described in clauses (i), (ii) or (iii) (each, a “</w:t>
      </w:r>
      <w:r>
        <w:rPr>
          <w:rFonts w:ascii="Times New Roman" w:cs="Times New Roman" w:eastAsia="Times New Roman" w:hAnsi="Times New Roman"/>
          <w:sz w:val="14"/>
          <w:szCs w:val="14"/>
          <w:u w:val="single" w:color="auto"/>
          <w:color w:val="auto"/>
        </w:rPr>
        <w:t>Company Secondee Indemnifiable Action</w:t>
      </w:r>
      <w:r>
        <w:rPr>
          <w:rFonts w:ascii="Times New Roman" w:cs="Times New Roman" w:eastAsia="Times New Roman" w:hAnsi="Times New Roman"/>
          <w:sz w:val="14"/>
          <w:szCs w:val="14"/>
          <w:color w:val="auto"/>
        </w:rPr>
        <w:t>”). Company agrees to defend, indemnify and hold SpinCo harmless from any and all claims arising out of, or relating to any Company Secondee Indemnifiable Action.</w:t>
      </w:r>
    </w:p>
    <w:p>
      <w:pPr>
        <w:spacing w:after="0" w:line="148" w:lineRule="exact"/>
        <w:rPr>
          <w:rFonts w:ascii="Times New Roman" w:cs="Times New Roman" w:eastAsia="Times New Roman" w:hAnsi="Times New Roman"/>
          <w:sz w:val="14"/>
          <w:szCs w:val="14"/>
          <w:color w:val="auto"/>
        </w:rPr>
      </w:pPr>
    </w:p>
    <w:p>
      <w:pPr>
        <w:ind w:left="220" w:right="219" w:firstLine="767"/>
        <w:spacing w:after="0" w:line="256" w:lineRule="auto"/>
        <w:tabs>
          <w:tab w:leader="none" w:pos="1167" w:val="left"/>
        </w:tabs>
        <w:numPr>
          <w:ilvl w:val="1"/>
          <w:numId w:val="5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Company will invoice SpinCo in accordance with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of this Agreement, and SpinCo agrees to reimburse Company for the Employee Costs (as defined below) attributable to the Transition Period Employees in relation to the performance of the Employee Secondment Services during the applicable Secondment Period. For these purposes, “</w:t>
      </w:r>
      <w:r>
        <w:rPr>
          <w:rFonts w:ascii="Times New Roman" w:cs="Times New Roman" w:eastAsia="Times New Roman" w:hAnsi="Times New Roman"/>
          <w:sz w:val="14"/>
          <w:szCs w:val="14"/>
          <w:u w:val="single" w:color="auto"/>
          <w:color w:val="auto"/>
        </w:rPr>
        <w:t>Employee Costs</w:t>
      </w:r>
      <w:r>
        <w:rPr>
          <w:rFonts w:ascii="Times New Roman" w:cs="Times New Roman" w:eastAsia="Times New Roman" w:hAnsi="Times New Roman"/>
          <w:sz w:val="14"/>
          <w:szCs w:val="14"/>
          <w:color w:val="auto"/>
        </w:rPr>
        <w:t>” means, with respect to any Transition Period Employee and without duplication: (i) salary or wages earned during the Secondment Period, (ii) any short term incentives payable during the Secondment Period,</w:t>
      </w:r>
    </w:p>
    <w:p>
      <w:pPr>
        <w:ind w:left="220" w:right="299" w:hanging="5"/>
        <w:spacing w:after="0" w:line="253" w:lineRule="auto"/>
        <w:tabs>
          <w:tab w:leader="none" w:pos="465" w:val="left"/>
        </w:tabs>
        <w:numPr>
          <w:ilvl w:val="0"/>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any retirement plan attributable to compensation earned during the Secondment Period, (iv) with respect to any employee benefits that are fully-insured, the applicable premium associated with such Transition Period Employee, (v) with respect to any self-insured welfare benefit, the applicable premium used for purposes of providing continuation coverage as required under the Consolidated Omnibus Budget Reconciliation Act of 1985, as amended, (vi) all reasonable travel, immigration and business expenses incurred by the Transition Period Employees, and (vii) the employer portion of any Taxes (including social security or similar contributions) relating thereto.</w:t>
      </w:r>
    </w:p>
    <w:p>
      <w:pPr>
        <w:spacing w:after="0" w:line="146" w:lineRule="exact"/>
        <w:rPr>
          <w:rFonts w:ascii="Times New Roman" w:cs="Times New Roman" w:eastAsia="Times New Roman" w:hAnsi="Times New Roman"/>
          <w:sz w:val="14"/>
          <w:szCs w:val="14"/>
          <w:color w:val="auto"/>
        </w:rPr>
      </w:pPr>
    </w:p>
    <w:p>
      <w:pPr>
        <w:ind w:left="220" w:right="219" w:firstLine="767"/>
        <w:spacing w:after="0" w:line="255" w:lineRule="auto"/>
        <w:tabs>
          <w:tab w:leader="none" w:pos="1190" w:val="left"/>
        </w:tabs>
        <w:numPr>
          <w:ilvl w:val="1"/>
          <w:numId w:val="5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agreed and understood that throughout the relevant Secondment Period, each Transition Period Employee will remain employed by and on the payroll of Company and, except as expressly agreed in writing by SpinCo and Company, no Transition Period Employee will be entitled to any compensation or employee benefits from SpinCo. Company agrees that it (i) will increase the salary or wages of any Transition Period Employee during the Secondment Period at the reasonable request of SpinCo, and (ii) will not otherwise modify the compensation of any Transition Period Employee during the Secondment Period without the prior written consent of SpinCo, except, solely with respect to employee benefits (excluding, for the avoidance of doubt, incentive compensation), for any such modifications that are made in the ordinary course of business consistent with past practice and that are applied consistently to similarly-situated employees of the Company and its Affiliates. Company agrees to provide Gold with reasonable advance notice of any such modifications of applicable employee benefits.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1" w:right="1440" w:bottom="1440" w:gutter="0" w:footer="0" w:header="0"/>
        </w:sectPr>
      </w:pPr>
    </w:p>
    <w:bookmarkStart w:id="494" w:name="page495"/>
    <w:bookmarkEnd w:id="49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ARTICLE IV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BILLING; TAXES</w:t>
      </w:r>
    </w:p>
    <w:p>
      <w:pPr>
        <w:spacing w:after="0" w:line="161" w:lineRule="exact"/>
        <w:rPr>
          <w:sz w:val="20"/>
          <w:szCs w:val="20"/>
          <w:color w:val="auto"/>
        </w:rPr>
      </w:pPr>
    </w:p>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Procedure</w:t>
      </w:r>
      <w:r>
        <w:rPr>
          <w:rFonts w:ascii="Times New Roman" w:cs="Times New Roman" w:eastAsia="Times New Roman" w:hAnsi="Times New Roman"/>
          <w:sz w:val="14"/>
          <w:szCs w:val="14"/>
          <w:color w:val="auto"/>
        </w:rPr>
        <w:t>. On a monthly basis, Service Provider shall invoice Service Recipient in arrears for the following: (i) the Charges incurred for the Services provided in the prior month, and (ii) the Expenses incurred for the Services provided in the prior month, including reasonable documentation related thereto (the Charges and Expenses, collectively, the “</w:t>
      </w: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 xml:space="preserve">”). Undisputed amounts payable pursuant to this Agreement shall be paid by wire transfer or Automated Clearing House payment (or such other method of payment as may be agreed between the Parties from time to time) to Service Provider (as directed by Service Provider), which undisputed amounts shall be due in arrears within sixty (60) days of Service Recipient’s receipt of each invoice for Fees. All amounts due and payable hereunder shall be paid in U.S. dollars. In the event of any billing dispute, Service Recipient shall promptly pay any undisputed amount as set forth in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u w:val="single" w:color="auto"/>
          <w:color w:val="auto"/>
        </w:rPr>
        <w:t>Late Payments</w:t>
      </w:r>
      <w:r>
        <w:rPr>
          <w:rFonts w:ascii="Times New Roman" w:cs="Times New Roman" w:eastAsia="Times New Roman" w:hAnsi="Times New Roman"/>
          <w:sz w:val="14"/>
          <w:szCs w:val="14"/>
          <w:color w:val="auto"/>
        </w:rPr>
        <w:t>. Charges not paid when due pursuant to this Agreement and which are not disputed in good faith (and any amounts billed or otherwise invoiced or demanded and properly payable that are not paid within ten (10) days of the receipt of such bill, invoice or other demand) shall accrue interest at a rate per annum equal to six percent (6%) (the “</w:t>
      </w:r>
      <w:r>
        <w:rPr>
          <w:rFonts w:ascii="Times New Roman" w:cs="Times New Roman" w:eastAsia="Times New Roman" w:hAnsi="Times New Roman"/>
          <w:sz w:val="14"/>
          <w:szCs w:val="14"/>
          <w:u w:val="single" w:color="auto"/>
          <w:color w:val="auto"/>
        </w:rPr>
        <w:t>Interest Payment</w:t>
      </w:r>
      <w:r>
        <w:rPr>
          <w:rFonts w:ascii="Times New Roman" w:cs="Times New Roman" w:eastAsia="Times New Roman" w:hAnsi="Times New Roman"/>
          <w:sz w:val="14"/>
          <w:szCs w:val="14"/>
          <w:color w:val="auto"/>
        </w:rPr>
        <w:t>”).</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39" w:firstLine="767"/>
        <w:spacing w:after="0" w:line="253" w:lineRule="auto"/>
        <w:tabs>
          <w:tab w:leader="none" w:pos="1182" w:val="left"/>
        </w:tabs>
        <w:numPr>
          <w:ilvl w:val="1"/>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Recipient shall bear any and all sales, use, value-added, excise, transfer, stamp, documentary, recordation, goods and services and other similar Taxes (but, for the avoidance of doubt, excluding any Taxes imposed on Service Providers net income (however denominated), branch profit taxes, franchise taxes or gross receipts) imposed on or in connection with the provision of Services to Service Recipient (collectively, “</w:t>
      </w:r>
      <w:r>
        <w:rPr>
          <w:rFonts w:ascii="Times New Roman" w:cs="Times New Roman" w:eastAsia="Times New Roman" w:hAnsi="Times New Roman"/>
          <w:sz w:val="14"/>
          <w:szCs w:val="14"/>
          <w:u w:val="single" w:color="auto"/>
          <w:color w:val="auto"/>
        </w:rPr>
        <w:t>Transaction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Service Provider and Service Recipient shall cooperate to minimize any Transaction Taxes and in obtaining any refund, return or rebate, or applying an exemption or zero-rating for Services giving rise to any Transaction Taxes, including by filing any exemption or other similar forms or providing valid tax identification number or other relevant registration numbers, certificates or other documents. Service Recipient and Service Provider shall cooperate regarding any requests for information, audit, or similar request by any Taxing Authority concerning Transaction Taxes payable with respect to Services provided pursuant to this Agreement. Notwithstanding the foregoing, Service Provider shall be responsible for any Transaction Taxes (but only to the extent in the nature of, or constituting, penalties or interest) imposed as a result of (i) a failure to timely remit (or failure to remit) any Transaction Taxes to the applicable Taxing Authority to the extent Service Recipient timely remits such Transaction Taxes to Service Provider or Service Recipient’s failure to do so results from Service Provider’s failure to timely charge or provide notice of such Transaction Taxes to Service Recipient or (ii) improper filing of any Tax Return related to such Transaction Taxes. If Service Provider receives any refund of Transaction Taxes that are borne by Service Recipient pursuant to this Agreement, Service Provider shall promptly pay, or cause to be paid, to Service Recipient the amount of such refund (net of any additional Taxes Service Provider incurs as a result of the receipt of such refund).</w:t>
      </w:r>
    </w:p>
    <w:p>
      <w:pPr>
        <w:spacing w:after="0" w:line="147" w:lineRule="exact"/>
        <w:rPr>
          <w:rFonts w:ascii="Times New Roman" w:cs="Times New Roman" w:eastAsia="Times New Roman" w:hAnsi="Times New Roman"/>
          <w:sz w:val="14"/>
          <w:szCs w:val="14"/>
          <w:color w:val="auto"/>
        </w:rPr>
      </w:pPr>
    </w:p>
    <w:p>
      <w:pPr>
        <w:ind w:left="220" w:right="359" w:firstLine="767"/>
        <w:spacing w:after="0" w:line="258" w:lineRule="auto"/>
        <w:tabs>
          <w:tab w:leader="none" w:pos="1190" w:val="left"/>
        </w:tabs>
        <w:numPr>
          <w:ilvl w:val="1"/>
          <w:numId w:val="5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Recipient shall be entitled to deduct and withhold from any payments to Service Provider any Taxes that Service Recipient is required by applicable Law to deduct and withhold and shall timely pay such Taxes to the applicable Taxing Authority. If Service Recipient is so required to withhold or deduct any amount for or on account of Taxes from any payment made pursuant to this Agreement, Service Recipient shall</w:t>
      </w:r>
    </w:p>
    <w:p>
      <w:pPr>
        <w:ind w:left="220" w:right="239" w:hanging="5"/>
        <w:spacing w:after="0" w:line="252" w:lineRule="auto"/>
        <w:tabs>
          <w:tab w:leader="none" w:pos="387" w:val="left"/>
        </w:tabs>
        <w:numPr>
          <w:ilvl w:val="0"/>
          <w:numId w:val="5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notify Service Provider of such required deduction or withholding and the amount of payment due from Service Recipient, (ii) make such deductions or withholdings as are required by applicable Law and (iii) timely pay the full amount deducted or withheld to the relevant Taxing Authority. Other than Transaction Taxes, Service Recipient shall not be required to pay any additional amounts to Service Provider to account for, or otherwise compensate Service Provider for, any deduction or withholding for or on account of Taxes. If Service Recipient is required to deduct or withhold any amount for or on account of Transaction Taxes from any payment made pursuant to this Agreement, Service Recipient will pay to Service Provider such additional amounts as may be necessary so that the net amount received by Service Provider after such withholding or deduction will not be less than the amount Service Provider would have received if such Transaction Taxes had not been withheld. In the event Service Provider receives a credit against Taxes otherwise payable as a result of the withholding of Transaction Taxes for which Service Recipient paid additional amounts to Service Provider, Service Provider shall pay to Service Recipient the amount of such credit.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495" w:name="page496"/>
    <w:bookmarkEnd w:id="495"/>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 Each Party shall be solely responsible for its own income Taxes with respect to amounts received in connection with this Agreement.</w:t>
      </w:r>
    </w:p>
    <w:p>
      <w:pPr>
        <w:spacing w:after="0" w:line="175"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No Set-Off</w:t>
      </w:r>
      <w:r>
        <w:rPr>
          <w:rFonts w:ascii="Times New Roman" w:cs="Times New Roman" w:eastAsia="Times New Roman" w:hAnsi="Times New Roman"/>
          <w:sz w:val="14"/>
          <w:szCs w:val="14"/>
          <w:color w:val="auto"/>
        </w:rPr>
        <w:t>. Except as mutually agreed to in writing by Service Provider and Service Recipient, neither Service Recipient nor any of its Affiliates shall have any right of set-off or other similar rights with respect to any amounts owed to Service Provider or any of its Subsidiaries pursuant to this Agreement on account of any obligation owed by Service Provider or any of its Subsidiaries to Service Recipient or any of its Subsidiaries.</w:t>
      </w:r>
    </w:p>
    <w:p>
      <w:pPr>
        <w:spacing w:after="0" w:line="141" w:lineRule="exact"/>
        <w:rPr>
          <w:sz w:val="20"/>
          <w:szCs w:val="20"/>
          <w:color w:val="auto"/>
        </w:rPr>
      </w:pPr>
    </w:p>
    <w:p>
      <w:pPr>
        <w:ind w:left="220" w:right="3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4.05 </w:t>
      </w:r>
      <w:r>
        <w:rPr>
          <w:rFonts w:ascii="Times New Roman" w:cs="Times New Roman" w:eastAsia="Times New Roman" w:hAnsi="Times New Roman"/>
          <w:sz w:val="14"/>
          <w:szCs w:val="14"/>
          <w:u w:val="single" w:color="auto"/>
          <w:color w:val="auto"/>
        </w:rPr>
        <w:t>Audit</w:t>
      </w:r>
      <w:r>
        <w:rPr>
          <w:rFonts w:ascii="Times New Roman" w:cs="Times New Roman" w:eastAsia="Times New Roman" w:hAnsi="Times New Roman"/>
          <w:sz w:val="14"/>
          <w:szCs w:val="14"/>
          <w:color w:val="auto"/>
        </w:rPr>
        <w:t xml:space="preserve">. Service Provider shall maintain records sufficient for Service Recipient to verify the accuracy of the Fees invoiced to Service Recipient in accordance with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During the Term and for one (1) year thereafter, Service Recipient shall have the right through a mutually agreeable third-party representative to access and review such records as necessary in order to verify the accuracy of the Fees invoiced to Service Recipient in accordance with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Upon Service Recipient’s request, Service Provider shall reasonably cooperate in any such audit. Any such audit shall be conducted during standard business hours and so as to minimize disruption to Service Provider’s business. If an audit reveals that Service Recipient overpaid for Services, Service Provider shall promptly reimburse Service Recipient for any amounts overpaid, and if Service Recipient overpaid by more than ten percent (10%) for any Service, Service Provider shall also pay interest on all overpaid amounts at the same rate specified for late payments in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and reimburse Service Recipient for the reasonable, out-of-pocket costs incurred by Service Recipient in conducting the audit. Service Recipient shall have the right to audit Service Provider’s records once per year, and if an audit reveals an overpayment in excess of five percent (5%) by Service Recipient, one (1) additional time within the six (6) months following such audit.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 AND TERMINATION</w:t>
      </w:r>
    </w:p>
    <w:p>
      <w:pPr>
        <w:spacing w:after="0" w:line="161" w:lineRule="exact"/>
        <w:rPr>
          <w:sz w:val="20"/>
          <w:szCs w:val="20"/>
          <w:color w:val="auto"/>
        </w:rPr>
      </w:pPr>
    </w:p>
    <w:p>
      <w:pPr>
        <w:jc w:val="both"/>
        <w:ind w:left="220" w:right="5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5.01 </w:t>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This Agreement shall commence at the Effective Time and shall terminate upon the earliest to occur of (a) the last date on which Service Provider is obligated to provide any Service to Service Recipient in accordance with the terms of this Agreement and (b) the mutual written agreement of the Parties to terminate this Agreement in its entirety (the “</w:t>
      </w: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xml:space="preserve">”). Unless otherwise terminated pursuant to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this Agreement shall terminate with respect to each Service as of the close of business on the last day of the Service Period for such Service.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5.02 </w:t>
      </w:r>
      <w:r>
        <w:rPr>
          <w:rFonts w:ascii="Times New Roman" w:cs="Times New Roman" w:eastAsia="Times New Roman" w:hAnsi="Times New Roman"/>
          <w:sz w:val="14"/>
          <w:szCs w:val="14"/>
          <w:u w:val="single" w:color="auto"/>
          <w:color w:val="auto"/>
        </w:rPr>
        <w:t>Early Termination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259" w:firstLine="767"/>
        <w:spacing w:after="0" w:line="261" w:lineRule="auto"/>
        <w:tabs>
          <w:tab w:leader="none" w:pos="1182"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prejudice to Service Recipient’s rights with respect to Force Majeure, Service Recipient may from time to time terminate this Agreement with respect to the entirety of any Service (or, other than for a Service that is in a Service Extension Period, a portion thereof) that it receives without terminating all or any other Services set forth on the same Schedule as such terminated Service (it being understood that, Service Recipient may not terminate any Service in part during a Service Extension Period for such Service):</w:t>
      </w:r>
    </w:p>
    <w:p>
      <w:pPr>
        <w:spacing w:after="0" w:line="56" w:lineRule="exact"/>
        <w:rPr>
          <w:rFonts w:ascii="Times New Roman" w:cs="Times New Roman" w:eastAsia="Times New Roman" w:hAnsi="Times New Roman"/>
          <w:sz w:val="14"/>
          <w:szCs w:val="14"/>
          <w:color w:val="auto"/>
        </w:rPr>
      </w:pPr>
    </w:p>
    <w:p>
      <w:pPr>
        <w:ind w:left="560" w:right="219" w:firstLine="739"/>
        <w:spacing w:after="0" w:line="261" w:lineRule="auto"/>
        <w:tabs>
          <w:tab w:leader="none" w:pos="1468" w:val="left"/>
        </w:tabs>
        <w:numPr>
          <w:ilvl w:val="1"/>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any reason or no reason, upon the giving of at least forty-five (45) days’ prior written notice (or such other number of days specified in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hereto) to Service Provider;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any such termination may only be effective as of the last day of a month unless otherwise mutually agreed and shall be subject to the obligation to pay any applicable Termination Charges pursuant to </w:t>
      </w:r>
      <w:r>
        <w:rPr>
          <w:rFonts w:ascii="Times New Roman" w:cs="Times New Roman" w:eastAsia="Times New Roman" w:hAnsi="Times New Roman"/>
          <w:sz w:val="14"/>
          <w:szCs w:val="14"/>
          <w:u w:val="single" w:color="auto"/>
          <w:color w:val="auto"/>
        </w:rPr>
        <w:t>Section 5.05</w:t>
      </w:r>
      <w:r>
        <w:rPr>
          <w:rFonts w:ascii="Times New Roman" w:cs="Times New Roman" w:eastAsia="Times New Roman" w:hAnsi="Times New Roman"/>
          <w:sz w:val="14"/>
          <w:szCs w:val="14"/>
          <w:color w:val="auto"/>
        </w:rPr>
        <w:t>; or</w:t>
      </w:r>
    </w:p>
    <w:p>
      <w:pPr>
        <w:spacing w:after="0" w:line="56" w:lineRule="exact"/>
        <w:rPr>
          <w:rFonts w:ascii="Times New Roman" w:cs="Times New Roman" w:eastAsia="Times New Roman" w:hAnsi="Times New Roman"/>
          <w:sz w:val="14"/>
          <w:szCs w:val="14"/>
          <w:color w:val="auto"/>
        </w:rPr>
      </w:pPr>
    </w:p>
    <w:p>
      <w:pPr>
        <w:jc w:val="both"/>
        <w:ind w:left="560" w:right="339" w:firstLine="739"/>
        <w:spacing w:after="0" w:line="261" w:lineRule="auto"/>
        <w:tabs>
          <w:tab w:leader="none" w:pos="1507" w:val="left"/>
        </w:tabs>
        <w:numPr>
          <w:ilvl w:val="1"/>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Service Provider has failed to perform any of its material obligations under this Agreement with respect to such Service, and such failure to perform materially and adversely affects the provision of such Service or Service Recipient or an Affiliate thereof or the SpinCo Business or the Company Business, as applicable, and such failure shall continue to be uncured by Service Provider for a period of at least forty-five (45) days after receipt by Service Provider of written notice of such failure from Service Recipient.</w:t>
      </w:r>
    </w:p>
    <w:p>
      <w:pPr>
        <w:spacing w:after="0" w:line="140" w:lineRule="exact"/>
        <w:rPr>
          <w:rFonts w:ascii="Times New Roman" w:cs="Times New Roman" w:eastAsia="Times New Roman" w:hAnsi="Times New Roman"/>
          <w:sz w:val="14"/>
          <w:szCs w:val="14"/>
          <w:color w:val="auto"/>
        </w:rPr>
      </w:pPr>
    </w:p>
    <w:p>
      <w:pPr>
        <w:ind w:left="220" w:right="239" w:firstLine="767"/>
        <w:spacing w:after="0" w:line="267" w:lineRule="auto"/>
        <w:tabs>
          <w:tab w:leader="none" w:pos="1190" w:val="left"/>
        </w:tabs>
        <w:numPr>
          <w:ilvl w:val="0"/>
          <w:numId w:val="5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Provider may terminate this Agreement with respect to the entirety or portion of any Service that it provides hereunder at any time upon prior written notice to Service Recipient if Service Recipient has failed to make payment of Fees which are not disputed in good faith for such Service when due, and such failure shall</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496" w:name="page497"/>
    <w:bookmarkEnd w:id="496"/>
    <w:p>
      <w:pPr>
        <w:jc w:val="both"/>
        <w:ind w:left="220" w:right="3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continue to be uncured by Service Recipient for a period of at least thirty (30) days after receipt by Service Recipient of a written notice of such failure from Service Provider;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Service Provider shall not be entitled to terminate this Agreement with respect to the applicable Service if, as of the end of such period, there remains a good-faith Dispute between the Parties (undertaken in accordance with the terms of </w:t>
      </w:r>
      <w:r>
        <w:rPr>
          <w:rFonts w:ascii="Times New Roman" w:cs="Times New Roman" w:eastAsia="Times New Roman" w:hAnsi="Times New Roman"/>
          <w:sz w:val="14"/>
          <w:szCs w:val="14"/>
          <w:u w:val="single" w:color="auto"/>
          <w:color w:val="auto"/>
        </w:rPr>
        <w:t>Section 8.15</w:t>
      </w:r>
      <w:r>
        <w:rPr>
          <w:rFonts w:ascii="Times New Roman" w:cs="Times New Roman" w:eastAsia="Times New Roman" w:hAnsi="Times New Roman"/>
          <w:sz w:val="14"/>
          <w:szCs w:val="14"/>
          <w:color w:val="auto"/>
        </w:rPr>
        <w:t>) as to whether Service Recipient has cured the applicable failure.</w:t>
      </w:r>
    </w:p>
    <w:p>
      <w:pPr>
        <w:spacing w:after="0" w:line="141" w:lineRule="exact"/>
        <w:rPr>
          <w:sz w:val="20"/>
          <w:szCs w:val="20"/>
          <w:color w:val="auto"/>
        </w:rPr>
      </w:pPr>
    </w:p>
    <w:p>
      <w:pPr>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5.03 </w:t>
      </w:r>
      <w:r>
        <w:rPr>
          <w:rFonts w:ascii="Times New Roman" w:cs="Times New Roman" w:eastAsia="Times New Roman" w:hAnsi="Times New Roman"/>
          <w:sz w:val="14"/>
          <w:szCs w:val="14"/>
          <w:u w:val="single" w:color="auto"/>
          <w:color w:val="auto"/>
        </w:rPr>
        <w:t>Extension of Services</w:t>
      </w:r>
      <w:r>
        <w:rPr>
          <w:rFonts w:ascii="Times New Roman" w:cs="Times New Roman" w:eastAsia="Times New Roman" w:hAnsi="Times New Roman"/>
          <w:sz w:val="14"/>
          <w:szCs w:val="14"/>
          <w:color w:val="auto"/>
        </w:rPr>
        <w:t>. Service Recipient may extend, by providing Service Provider with advance written notice, the Service Period of any Service beyond the initial Service Period of such Service for up to six (6) months unless otherwise specified for such Service in the applicable Schedule (each such extension, a “</w:t>
      </w:r>
      <w:r>
        <w:rPr>
          <w:rFonts w:ascii="Times New Roman" w:cs="Times New Roman" w:eastAsia="Times New Roman" w:hAnsi="Times New Roman"/>
          <w:sz w:val="14"/>
          <w:szCs w:val="14"/>
          <w:u w:val="single" w:color="auto"/>
          <w:color w:val="auto"/>
        </w:rPr>
        <w:t>Service Extension Period</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5.04 </w:t>
      </w:r>
      <w:r>
        <w:rPr>
          <w:rFonts w:ascii="Times New Roman" w:cs="Times New Roman" w:eastAsia="Times New Roman" w:hAnsi="Times New Roman"/>
          <w:sz w:val="14"/>
          <w:szCs w:val="14"/>
          <w:u w:val="single" w:color="auto"/>
          <w:color w:val="auto"/>
        </w:rPr>
        <w:t>Interdependencies</w:t>
      </w:r>
      <w:r>
        <w:rPr>
          <w:rFonts w:ascii="Times New Roman" w:cs="Times New Roman" w:eastAsia="Times New Roman" w:hAnsi="Times New Roman"/>
          <w:sz w:val="14"/>
          <w:szCs w:val="14"/>
          <w:color w:val="auto"/>
        </w:rPr>
        <w:t xml:space="preserve">. The Parties acknowledge and agree that there may be interdependencies among the Services being provided under this Agreement, including as set forth on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Upon any request by Service Recipient to terminate any Service early pursuant to </w:t>
      </w:r>
      <w:r>
        <w:rPr>
          <w:rFonts w:ascii="Times New Roman" w:cs="Times New Roman" w:eastAsia="Times New Roman" w:hAnsi="Times New Roman"/>
          <w:sz w:val="14"/>
          <w:szCs w:val="14"/>
          <w:u w:val="single" w:color="auto"/>
          <w:color w:val="auto"/>
        </w:rPr>
        <w:t>Section 5.02(a)(i)</w:t>
      </w:r>
      <w:r>
        <w:rPr>
          <w:rFonts w:ascii="Times New Roman" w:cs="Times New Roman" w:eastAsia="Times New Roman" w:hAnsi="Times New Roman"/>
          <w:sz w:val="14"/>
          <w:szCs w:val="14"/>
          <w:color w:val="auto"/>
        </w:rPr>
        <w:t xml:space="preserve">, Service Provider shall respond to Service Recipient’s request within ten (10) business days identifying whether (i) any such interdependencies exist with respect to the particular Service that Service Recipient is seeking to terminate pursuant to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and (ii) in the case of such termination, Service Provider’s ability to provide a particular Service in accordance with this Agreement would be materially and adversely affected by such termination of another Service. Service Recipient may, within five (5) business days of receipt of such response by Service Provider, withdraw its termination notice. If Service Recipient does not withdraw its termination notice within such five (5) business day period, Service Provider’s obligation to provide such Service shall terminate automatically with the termination of such interdependent Service.</w:t>
      </w:r>
    </w:p>
    <w:p>
      <w:pPr>
        <w:spacing w:after="0" w:line="145" w:lineRule="exact"/>
        <w:rPr>
          <w:sz w:val="20"/>
          <w:szCs w:val="20"/>
          <w:color w:val="auto"/>
        </w:rPr>
      </w:pPr>
    </w:p>
    <w:p>
      <w:pPr>
        <w:ind w:left="220" w:right="2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5.05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If Service Recipient’s partial termination of a Service pursuant to </w:t>
      </w:r>
      <w:r>
        <w:rPr>
          <w:rFonts w:ascii="Times New Roman" w:cs="Times New Roman" w:eastAsia="Times New Roman" w:hAnsi="Times New Roman"/>
          <w:sz w:val="14"/>
          <w:szCs w:val="14"/>
          <w:u w:val="single" w:color="auto"/>
          <w:color w:val="auto"/>
        </w:rPr>
        <w:t>Section 5.02(a)(i)</w:t>
      </w:r>
      <w:r>
        <w:rPr>
          <w:rFonts w:ascii="Times New Roman" w:cs="Times New Roman" w:eastAsia="Times New Roman" w:hAnsi="Times New Roman"/>
          <w:sz w:val="14"/>
          <w:szCs w:val="14"/>
          <w:color w:val="auto"/>
        </w:rPr>
        <w:t xml:space="preserve"> results in a material reduction in Service Provider’s cost to provide the remaining Service, then the Fees for such Service shall be equitably reduced. Upon the termination of any Service pursuant to </w:t>
      </w:r>
      <w:r>
        <w:rPr>
          <w:rFonts w:ascii="Times New Roman" w:cs="Times New Roman" w:eastAsia="Times New Roman" w:hAnsi="Times New Roman"/>
          <w:sz w:val="14"/>
          <w:szCs w:val="14"/>
          <w:u w:val="single" w:color="auto"/>
          <w:color w:val="auto"/>
        </w:rPr>
        <w:t>Section 5.02(a)(i)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5.02(b)</w:t>
      </w:r>
      <w:r>
        <w:rPr>
          <w:rFonts w:ascii="Times New Roman" w:cs="Times New Roman" w:eastAsia="Times New Roman" w:hAnsi="Times New Roman"/>
          <w:sz w:val="14"/>
          <w:szCs w:val="14"/>
          <w:color w:val="auto"/>
        </w:rPr>
        <w:t xml:space="preserve"> of this Agreement, Service Recipient shall pay Service Provider any applicable Termination Charges (i) to the extent set forth in </w:t>
      </w:r>
      <w:r>
        <w:rPr>
          <w:rFonts w:ascii="Times New Roman" w:cs="Times New Roman" w:eastAsia="Times New Roman" w:hAnsi="Times New Roman"/>
          <w:sz w:val="14"/>
          <w:szCs w:val="14"/>
          <w:u w:val="single" w:color="auto"/>
          <w:color w:val="auto"/>
        </w:rPr>
        <w:t>Schedule A-1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Schedule A-3</w:t>
      </w:r>
      <w:r>
        <w:rPr>
          <w:rFonts w:ascii="Times New Roman" w:cs="Times New Roman" w:eastAsia="Times New Roman" w:hAnsi="Times New Roman"/>
          <w:sz w:val="14"/>
          <w:szCs w:val="14"/>
          <w:color w:val="auto"/>
        </w:rPr>
        <w:t xml:space="preserve"> or (ii) identified to Service Recipient in writing in response to any termination notice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Service Recipient may withdraw its termination notice within five (5) days of receipt of such termination notice, in which case the applicable Service shall not be terminated). Termination Charges shall not be payable in the event that Service Recipient terminates any Service pursuant to </w:t>
      </w:r>
      <w:r>
        <w:rPr>
          <w:rFonts w:ascii="Times New Roman" w:cs="Times New Roman" w:eastAsia="Times New Roman" w:hAnsi="Times New Roman"/>
          <w:sz w:val="14"/>
          <w:szCs w:val="14"/>
          <w:u w:val="single" w:color="auto"/>
          <w:color w:val="auto"/>
        </w:rPr>
        <w:t>Section 5.02(a)(ii)</w:t>
      </w:r>
      <w:r>
        <w:rPr>
          <w:rFonts w:ascii="Times New Roman" w:cs="Times New Roman" w:eastAsia="Times New Roman" w:hAnsi="Times New Roman"/>
          <w:sz w:val="14"/>
          <w:szCs w:val="14"/>
          <w:color w:val="auto"/>
        </w:rPr>
        <w:t xml:space="preserve">. The Parties agree to use commercially reasonable efforts to minimize any applicable Termination Charges. In connection with the termination of any Service, the provisions of this Agreement not relating solely to such terminated Service shall survive any such termination, and in connection with a termination of this Agreement, </w:t>
      </w:r>
      <w:r>
        <w:rPr>
          <w:rFonts w:ascii="Times New Roman" w:cs="Times New Roman" w:eastAsia="Times New Roman" w:hAnsi="Times New Roman"/>
          <w:sz w:val="14"/>
          <w:szCs w:val="14"/>
          <w:u w:val="single" w:color="auto"/>
          <w:color w:val="auto"/>
        </w:rPr>
        <w:t>Article 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5.05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and Liability for all due and unpaid Fees and Termination Charges (if applicable) shall continue to survive indefinitely.</w:t>
      </w:r>
    </w:p>
    <w:p>
      <w:pPr>
        <w:spacing w:after="0" w:line="146" w:lineRule="exact"/>
        <w:rPr>
          <w:sz w:val="20"/>
          <w:szCs w:val="20"/>
          <w:color w:val="auto"/>
        </w:rPr>
      </w:pPr>
    </w:p>
    <w:p>
      <w:pPr>
        <w:ind w:left="220" w:right="359" w:firstLine="343"/>
        <w:spacing w:after="0" w:line="255" w:lineRule="auto"/>
        <w:rPr>
          <w:sz w:val="20"/>
          <w:szCs w:val="20"/>
          <w:color w:val="auto"/>
        </w:rPr>
      </w:pPr>
      <w:r>
        <w:rPr>
          <w:rFonts w:ascii="Times New Roman" w:cs="Times New Roman" w:eastAsia="Times New Roman" w:hAnsi="Times New Roman"/>
          <w:sz w:val="14"/>
          <w:szCs w:val="14"/>
          <w:color w:val="auto"/>
        </w:rPr>
        <w:t xml:space="preserve">Section 5.06 </w:t>
      </w:r>
      <w:r>
        <w:rPr>
          <w:rFonts w:ascii="Times New Roman" w:cs="Times New Roman" w:eastAsia="Times New Roman" w:hAnsi="Times New Roman"/>
          <w:sz w:val="14"/>
          <w:szCs w:val="14"/>
          <w:u w:val="single" w:color="auto"/>
          <w:color w:val="auto"/>
        </w:rPr>
        <w:t>Information Transmission</w:t>
      </w:r>
      <w:r>
        <w:rPr>
          <w:rFonts w:ascii="Times New Roman" w:cs="Times New Roman" w:eastAsia="Times New Roman" w:hAnsi="Times New Roman"/>
          <w:sz w:val="14"/>
          <w:szCs w:val="14"/>
          <w:color w:val="auto"/>
        </w:rPr>
        <w:t xml:space="preserve">. Service Provider, on behalf of itself and its Subsidiaries, shall provide or make available, or cause to be provided or made available, to Service Recipient, in accordance with Section 6.1 of the Separation Agreement, any Information received or computed by Service Provider for the benefit of Service Recipient concerning the relevant Service during the Service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except as otherwise agreed to in writing by the Parties (a) Service Provider shall not have any obligation to provide, or cause to be provided, Information in any non-standard format, (b) except as set forth in </w:t>
      </w:r>
      <w:r>
        <w:rPr>
          <w:rFonts w:ascii="Times New Roman" w:cs="Times New Roman" w:eastAsia="Times New Roman" w:hAnsi="Times New Roman"/>
          <w:sz w:val="14"/>
          <w:szCs w:val="14"/>
          <w:u w:val="single" w:color="auto"/>
          <w:color w:val="auto"/>
        </w:rPr>
        <w:t>Section 2.09(f)</w:t>
      </w:r>
      <w:r>
        <w:rPr>
          <w:rFonts w:ascii="Times New Roman" w:cs="Times New Roman" w:eastAsia="Times New Roman" w:hAnsi="Times New Roman"/>
          <w:sz w:val="14"/>
          <w:szCs w:val="14"/>
          <w:color w:val="auto"/>
        </w:rPr>
        <w:t>, Service Provider and its Subsidiaries shall be reimbursed for their reasonable costs in accordance with Section 6.3 of the Separation Agreement, as applicable, for creating, gathering, copying, transporting and otherwise providing such Information and (c) Service Provider shall use commercially reasonable efforts to maintain any such Information in accordance with Section 6.4 of the Separation Agreement.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CONFIDENTIALITY; PROTECTIVE ARRANGEMENTS</w:t>
      </w:r>
    </w:p>
    <w:p>
      <w:pPr>
        <w:spacing w:after="0" w:line="161" w:lineRule="exact"/>
        <w:rPr>
          <w:sz w:val="20"/>
          <w:szCs w:val="20"/>
          <w:color w:val="auto"/>
        </w:rPr>
      </w:pPr>
    </w:p>
    <w:p>
      <w:pPr>
        <w:ind w:left="220" w:right="4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Company and SpinCo Obligations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until the six (6)-year anniversary of the date of the termination of this Agreement in its entirety (or with respect to trade secrets, for so long as such trade secret remains otherwise protectable as a trade secret), each of Company and SpinCo, on behalf of itself and each of its Subsidiaries, agrees to hold, and to cause its respective Representatives to hold, in strict confidence, with at least the same degree of care that it applies to protect its own confidential information of similar sensitivity and at least a</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497" w:name="page498"/>
    <w:bookmarkEnd w:id="497"/>
    <w:p>
      <w:pPr>
        <w:ind w:left="22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commercially reasonable degree of care, all Confidential Information concerning the other Party or its Subsidiaries or their respective businesses that is either in its possession (including Confidential Information in its possession prior to the date hereof) or furnished by such other Party or such other Party’s Subsidiaries or their respective Representatives at any time pursuant to this Agreement, and shall not use any such Confidential Information other than for such purposes as may be expressly permitted hereunder, </w:t>
      </w:r>
      <w:r>
        <w:rPr>
          <w:rFonts w:ascii="Times New Roman" w:cs="Times New Roman" w:eastAsia="Times New Roman" w:hAnsi="Times New Roman"/>
          <w:sz w:val="14"/>
          <w:szCs w:val="14"/>
          <w:u w:val="single" w:color="auto"/>
          <w:color w:val="auto"/>
        </w:rPr>
        <w:t>except</w:t>
      </w:r>
      <w:r>
        <w:rPr>
          <w:rFonts w:ascii="Times New Roman" w:cs="Times New Roman" w:eastAsia="Times New Roman" w:hAnsi="Times New Roman"/>
          <w:sz w:val="14"/>
          <w:szCs w:val="14"/>
          <w:color w:val="auto"/>
        </w:rPr>
        <w:t>, in each case, to the extent that such Confidential Information (a) is in the public domain or is generally available to the public, other than as a result of a disclosure by such Party or any of its Subsidiaries or any of their respective Representatives in violation of this Agreement; (b) is lawfully acquired from other sources by such Party or any of its Subsidiaries, which sources are not themselves known by such Party or any of its Subsidiaries to be bound by a confidentiality obligation or other contractual, legal or fiduciary obligation of confidentiality with respect to such Confidential Information; (c) is independently developed or generated without reference to or use of the Confidential Information of the other Party or any of its Subsidiaries; or (d) was in such Party’s or its Subsidiaries’ possession on a non-confidential basis prior to the time of disclosure to such Party and at the time of such disclosure was not known by such Party or any of its Subsidiaries to be prohibited from being disclosed by a confidentiality obligation or other contractual, legal or fiduciary obligation of confidentiality with respect to such Confidential Information. If any Confidential Information of a Party or any of its Subsidiaries is disclosed to the other Party or any of its Subsidiaries in connection with providing the Services, then such disclosed Confidential Information shall be used only as required to perform such Services.</w:t>
      </w:r>
    </w:p>
    <w:p>
      <w:pPr>
        <w:spacing w:after="0" w:line="147" w:lineRule="exact"/>
        <w:rPr>
          <w:sz w:val="20"/>
          <w:szCs w:val="20"/>
          <w:color w:val="auto"/>
        </w:rPr>
      </w:pPr>
    </w:p>
    <w:p>
      <w:pPr>
        <w:ind w:left="220" w:right="3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6.02 </w:t>
      </w:r>
      <w:r>
        <w:rPr>
          <w:rFonts w:ascii="Times New Roman" w:cs="Times New Roman" w:eastAsia="Times New Roman" w:hAnsi="Times New Roman"/>
          <w:sz w:val="14"/>
          <w:szCs w:val="14"/>
          <w:u w:val="single" w:color="auto"/>
          <w:color w:val="auto"/>
        </w:rPr>
        <w:t>No Release; Return or Destruction</w:t>
      </w:r>
      <w:r>
        <w:rPr>
          <w:rFonts w:ascii="Times New Roman" w:cs="Times New Roman" w:eastAsia="Times New Roman" w:hAnsi="Times New Roman"/>
          <w:sz w:val="14"/>
          <w:szCs w:val="14"/>
          <w:color w:val="auto"/>
        </w:rPr>
        <w:t xml:space="preserve">. Each Party agrees not to release or disclose, or permit to be released or disclosed, any Confidential Information of the other Party addressed in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to any other Person, except its Representatives who need to know such Confidential Information in their capacities as such (who shall be advised of their obligations hereunder with respect to such Confidential Information) and except in compliance with </w:t>
      </w: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xml:space="preserve">. Without limiting the foregoing, when any such Confidential Information is no longer needed for the purposes contemplated by the Separation Agreement, this Agreement or any other Transaction Document, each Party will promptly after request of the other Party either return to the other Party all such Confidential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Parties may retain electronic back-up versions of such Confidential Information maintained on routine computer system backup tapes, disks or other backup storage devices in accordance with their standard document retention policies;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such retained back-up information shall remain subject to the confidentiality provisions of this Agreement.</w:t>
      </w:r>
    </w:p>
    <w:p>
      <w:pPr>
        <w:spacing w:after="0" w:line="146"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Privacy and Data Protection Laws</w:t>
      </w:r>
      <w:r>
        <w:rPr>
          <w:rFonts w:ascii="Times New Roman" w:cs="Times New Roman" w:eastAsia="Times New Roman" w:hAnsi="Times New Roman"/>
          <w:sz w:val="14"/>
          <w:szCs w:val="14"/>
          <w:color w:val="auto"/>
        </w:rPr>
        <w:t>. Each Party shall comply with all applicable state, federal and foreign privacy and data protection Laws that are applicable to the provision of the Services under this Agreement.</w:t>
      </w:r>
    </w:p>
    <w:p>
      <w:pPr>
        <w:spacing w:after="0" w:line="125"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6.04 </w:t>
      </w:r>
      <w:r>
        <w:rPr>
          <w:rFonts w:ascii="Times New Roman" w:cs="Times New Roman" w:eastAsia="Times New Roman" w:hAnsi="Times New Roman"/>
          <w:sz w:val="14"/>
          <w:szCs w:val="14"/>
          <w:u w:val="single" w:color="auto"/>
          <w:color w:val="auto"/>
        </w:rPr>
        <w:t>Protective Arrangements</w:t>
      </w:r>
      <w:r>
        <w:rPr>
          <w:rFonts w:ascii="Times New Roman" w:cs="Times New Roman" w:eastAsia="Times New Roman" w:hAnsi="Times New Roman"/>
          <w:sz w:val="14"/>
          <w:szCs w:val="14"/>
          <w:color w:val="auto"/>
        </w:rPr>
        <w:t xml:space="preserve">. In the event that a Party or any of its Subsidiaries either determines on the advice of its counsel that it is required to disclose any information pursuant to applicable Law or receives any request or demand under lawful process or from any Governmental Authority to disclose or provide information of the other Party (or any of its Subsidiaries)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will exercise reasonable efforts to obtain assurance that confidential treatment will be accorded to such Confidential Information, and the disclosing Party shall promptly provide the other Party with a copy of the information so disclosed, in the same form and format so disclosed, together with a list of all Persons to whom such information was disclosed, in each case to the extent legally permitted. The obligations in this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shall survive any expiration or termination of this Agreement for six (6) years after the date of expiration or termination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with respect to each trade secret of a Party or its Affiliates, such obligations shall continue as long as such trade secret remains otherwise protectable as a trade secret.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498" w:name="page499"/>
    <w:bookmarkEnd w:id="49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VII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LIMITED LIABILITY AND INDEMNIFICATION</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Limitations on Liability</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19" w:firstLine="767"/>
        <w:spacing w:after="0" w:line="257" w:lineRule="auto"/>
        <w:tabs>
          <w:tab w:leader="none" w:pos="1182" w:val="left"/>
        </w:tabs>
        <w:numPr>
          <w:ilvl w:val="0"/>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7.02</w:t>
      </w:r>
      <w:r>
        <w:rPr>
          <w:rFonts w:ascii="Times New Roman" w:cs="Times New Roman" w:eastAsia="Times New Roman" w:hAnsi="Times New Roman"/>
          <w:sz w:val="14"/>
          <w:szCs w:val="14"/>
          <w:color w:val="auto"/>
        </w:rPr>
        <w:t>, THE LIABILITIES OF EACH PARTY AND ITS SUBSIDIARIES AND THEIR RESPECTIVE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SHALL NOT EXCEED THE GREATER OF (I) $1,000,000 AND (II) THE TOTAL AGGREGATE CHARGES PAID OR PAYABLE UNDER THIS AGREEMENT.</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80" w:lineRule="auto"/>
        <w:tabs>
          <w:tab w:leader="none" w:pos="1190" w:val="left"/>
        </w:tabs>
        <w:numPr>
          <w:ilvl w:val="0"/>
          <w:numId w:val="5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SHALL ANY PARTY, ITS SUBSIDIARIES OR THEIR RESPECTIVE REPRESENTATIVES BE LIABLE TO ANY OTHER PARTY FOR ANY LOST PROFITS, SPECIAL, INDIRECT, INCIDENTAL, CONSEQUENTIAL, PUNITIVE, EXEMPLARY, REMOTE, SPECULATIVE OR SIMILAR DAMAGES IN EXCESS OF COMPENSATORY DAMAGES OF THE OTHER PARTY IN CONNECTION WITH THE PERFORMANCE OF THIS AGREEMENT REGARDLESS OF WHETHER SUCH PARTY HAS BEEN NOTIFIED OF THE POSSIBILITY OF, OR THE FORESEEABILITY OF, SUCH DAMAGES, AND EACH PARTY HEREBY WAIVES ON BEHALF OF ITSELF, ITS SUBSIDIARIES AND ITS REPRESENTATIVES ANY CLAIM FOR SUCH DAMAGES, WHETHER ARISING IN CONTRACT, TORT OR OTHERWISE.</w:t>
      </w:r>
    </w:p>
    <w:p>
      <w:pPr>
        <w:spacing w:after="0" w:line="130" w:lineRule="exact"/>
        <w:rPr>
          <w:rFonts w:ascii="Times New Roman" w:cs="Times New Roman" w:eastAsia="Times New Roman" w:hAnsi="Times New Roman"/>
          <w:sz w:val="13"/>
          <w:szCs w:val="13"/>
          <w:color w:val="auto"/>
        </w:rPr>
      </w:pPr>
    </w:p>
    <w:p>
      <w:pPr>
        <w:ind w:left="220" w:right="359" w:firstLine="767"/>
        <w:spacing w:after="0" w:line="267" w:lineRule="auto"/>
        <w:tabs>
          <w:tab w:leader="none" w:pos="1182" w:val="left"/>
        </w:tabs>
        <w:numPr>
          <w:ilvl w:val="0"/>
          <w:numId w:val="5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limitations in </w:t>
      </w:r>
      <w:r>
        <w:rPr>
          <w:rFonts w:ascii="Times New Roman" w:cs="Times New Roman" w:eastAsia="Times New Roman" w:hAnsi="Times New Roman"/>
          <w:sz w:val="14"/>
          <w:szCs w:val="14"/>
          <w:u w:val="single" w:color="auto"/>
          <w:color w:val="auto"/>
        </w:rPr>
        <w:t>Section 7.01(a)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7.01(b)</w:t>
      </w:r>
      <w:r>
        <w:rPr>
          <w:rFonts w:ascii="Times New Roman" w:cs="Times New Roman" w:eastAsia="Times New Roman" w:hAnsi="Times New Roman"/>
          <w:sz w:val="14"/>
          <w:szCs w:val="14"/>
          <w:color w:val="auto"/>
        </w:rPr>
        <w:t xml:space="preserve"> shall not apply in respect of any Liability arising out of or in connection with a Party’s (i) Liability for breaches of confidentiality under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xml:space="preserve">, (ii) gross negligence, willful misconduct or fraud or (iii) the Parties’ respective obligations under </w:t>
      </w:r>
      <w:r>
        <w:rPr>
          <w:rFonts w:ascii="Times New Roman" w:cs="Times New Roman" w:eastAsia="Times New Roman" w:hAnsi="Times New Roman"/>
          <w:sz w:val="14"/>
          <w:szCs w:val="14"/>
          <w:u w:val="single" w:color="auto"/>
          <w:color w:val="auto"/>
        </w:rPr>
        <w:t>Section 3.02(e)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7.02</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7.02 </w:t>
      </w:r>
      <w:r>
        <w:rPr>
          <w:rFonts w:ascii="Times New Roman" w:cs="Times New Roman" w:eastAsia="Times New Roman" w:hAnsi="Times New Roman"/>
          <w:sz w:val="14"/>
          <w:szCs w:val="14"/>
          <w:u w:val="single" w:color="auto"/>
          <w:color w:val="auto"/>
        </w:rPr>
        <w:t>Third-Party Claims</w:t>
      </w:r>
      <w:r>
        <w:rPr>
          <w:rFonts w:ascii="Times New Roman" w:cs="Times New Roman" w:eastAsia="Times New Roman" w:hAnsi="Times New Roman"/>
          <w:sz w:val="14"/>
          <w:szCs w:val="14"/>
          <w:color w:val="auto"/>
        </w:rPr>
        <w:t>. In addition to (but not in duplication of) its other indemnification obligations (if any) under the Separation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Agreement, this Agreement or any other Transaction Document, (a) each Party shall indemnify, defend and hold harmless the other Party, its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Subsidiaries and each of their respective Representatives, and each of the successors and assigns of any of the foregoing (collectively,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Indemnitees</w:t>
      </w:r>
      <w:r>
        <w:rPr>
          <w:rFonts w:ascii="Times New Roman" w:cs="Times New Roman" w:eastAsia="Times New Roman" w:hAnsi="Times New Roman"/>
          <w:sz w:val="14"/>
          <w:szCs w:val="14"/>
          <w:color w:val="auto"/>
        </w:rPr>
        <w:t>”), from and against any and all claims of Third Parties relating to, arising out of or resulting from (i) breaches of confidentiality by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indemnifying Party under </w:t>
      </w:r>
      <w:r>
        <w:rPr>
          <w:rFonts w:ascii="Times New Roman" w:cs="Times New Roman" w:eastAsia="Times New Roman" w:hAnsi="Times New Roman"/>
          <w:sz w:val="14"/>
          <w:szCs w:val="14"/>
          <w:u w:val="single" w:color="auto"/>
          <w:color w:val="auto"/>
        </w:rPr>
        <w:t>Article</w:t>
      </w:r>
      <w:r>
        <w:rPr>
          <w:rFonts w:ascii="Times New Roman" w:cs="Times New Roman" w:eastAsia="Times New Roman" w:hAnsi="Times New Roman"/>
          <w:sz w:val="14"/>
          <w:szCs w:val="14"/>
          <w:color w:val="auto"/>
        </w:rPr>
        <w:t xml:space="preserve"> VI, or (ii) the indemnifying Party’s gross negligence, willful misconduct or fraud in connection with this Agreement,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and (b) Service Recipient shall indemnify, defend and hold harmless Service Provider and its Indemnitees from and against any and all claims of Third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Parties relating to, arising out of or resulting from, Service Recipient’s use or receipt of the Services provided by Service Provider hereunder, in each</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case, other than such claims (i) arising out of (A) the gross negligence, willful misconduct or fraud of Service Provider or its subcontractors or (B)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failure to obtain any Consent, or (ii) with respect to Taxes which are handled exclusively by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ind w:left="220" w:right="4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7.03 </w:t>
      </w:r>
      <w:r>
        <w:rPr>
          <w:rFonts w:ascii="Times New Roman" w:cs="Times New Roman" w:eastAsia="Times New Roman" w:hAnsi="Times New Roman"/>
          <w:sz w:val="14"/>
          <w:szCs w:val="14"/>
          <w:u w:val="single" w:color="auto"/>
          <w:color w:val="auto"/>
        </w:rPr>
        <w:t>Indemnification Procedures</w:t>
      </w:r>
      <w:r>
        <w:rPr>
          <w:rFonts w:ascii="Times New Roman" w:cs="Times New Roman" w:eastAsia="Times New Roman" w:hAnsi="Times New Roman"/>
          <w:sz w:val="14"/>
          <w:szCs w:val="14"/>
          <w:color w:val="auto"/>
        </w:rPr>
        <w:t>. The procedures for indemnification set forth in Section 4.5 of the Separation Agreement shall govern claims for indemnification under this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61"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8.01 </w:t>
      </w:r>
      <w:r>
        <w:rPr>
          <w:rFonts w:ascii="Times New Roman" w:cs="Times New Roman" w:eastAsia="Times New Roman" w:hAnsi="Times New Roman"/>
          <w:sz w:val="14"/>
          <w:szCs w:val="14"/>
          <w:u w:val="single" w:color="auto"/>
          <w:color w:val="auto"/>
        </w:rPr>
        <w:t>Mutual Cooperation</w:t>
      </w:r>
      <w:r>
        <w:rPr>
          <w:rFonts w:ascii="Times New Roman" w:cs="Times New Roman" w:eastAsia="Times New Roman" w:hAnsi="Times New Roman"/>
          <w:sz w:val="14"/>
          <w:szCs w:val="14"/>
          <w:color w:val="auto"/>
        </w:rPr>
        <w:t xml:space="preserve">. Each Party shall, and shall cause its Subsidiaries to, cooperate with the other Party and its Subsidiaries in connection with the performance of the Services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such cooperation shall not unreasonably disrupt the normal operations of such Party or its Subsidiaries;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shall not require such Party to incur any out-of-pocket costs or expenses unless and except as expressly provided in this Agreement or otherwise agreed to in writing by the Parties.</w:t>
      </w:r>
    </w:p>
    <w:p>
      <w:pPr>
        <w:spacing w:after="0" w:line="141" w:lineRule="exact"/>
        <w:rPr>
          <w:sz w:val="20"/>
          <w:szCs w:val="20"/>
          <w:color w:val="auto"/>
        </w:rPr>
      </w:pPr>
    </w:p>
    <w:p>
      <w:pPr>
        <w:ind w:left="220" w:right="4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8.02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499" w:name="page500"/>
    <w:bookmarkEnd w:id="499"/>
    <w:p>
      <w:pPr>
        <w:ind w:left="220" w:right="359" w:firstLine="34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8.03 </w:t>
      </w:r>
      <w:r>
        <w:rPr>
          <w:rFonts w:ascii="Times New Roman" w:cs="Times New Roman" w:eastAsia="Times New Roman" w:hAnsi="Times New Roman"/>
          <w:sz w:val="14"/>
          <w:szCs w:val="14"/>
          <w:u w:val="single" w:color="auto"/>
          <w:color w:val="auto"/>
        </w:rPr>
        <w:t>Audit Assistance</w:t>
      </w:r>
      <w:r>
        <w:rPr>
          <w:rFonts w:ascii="Times New Roman" w:cs="Times New Roman" w:eastAsia="Times New Roman" w:hAnsi="Times New Roman"/>
          <w:sz w:val="14"/>
          <w:szCs w:val="14"/>
          <w:color w:val="auto"/>
        </w:rPr>
        <w:t>. Each of the Parties and their respective Subsidiaries are or may be subject to regulation and audit by a Governmental Authority (including a Taxing Authority), standards organizations, customers or other parties to contracts with such Parties or their respective Subsidiaries under applicable Law, standards or contract provisions. If a Governmental Authority, standards organization, customer or other party to a contract with a Party or its Subsidiary exercises its right to examine or audit such Party’s or its Subsidiary’s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to the extent that such assistance or information is within the reasonable control of the cooperating Party and is related to the Services.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8.04 </w:t>
      </w:r>
      <w:r>
        <w:rPr>
          <w:rFonts w:ascii="Times New Roman" w:cs="Times New Roman" w:eastAsia="Times New Roman" w:hAnsi="Times New Roman"/>
          <w:sz w:val="14"/>
          <w:szCs w:val="14"/>
          <w:u w:val="single" w:color="auto"/>
          <w:color w:val="auto"/>
        </w:rPr>
        <w:t>Title to Intellectual Property</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339" w:firstLine="767"/>
        <w:spacing w:after="0" w:line="261" w:lineRule="auto"/>
        <w:tabs>
          <w:tab w:leader="none" w:pos="1182"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set forth in this Agreement shall or is intended to transfer or assign any Intellectual Property from one Party the other (except as expressly set forth in </w:t>
      </w:r>
      <w:r>
        <w:rPr>
          <w:rFonts w:ascii="Times New Roman" w:cs="Times New Roman" w:eastAsia="Times New Roman" w:hAnsi="Times New Roman"/>
          <w:sz w:val="14"/>
          <w:szCs w:val="14"/>
          <w:u w:val="single" w:color="auto"/>
          <w:color w:val="auto"/>
        </w:rPr>
        <w:t>Section 8.04(b)</w:t>
      </w:r>
      <w:r>
        <w:rPr>
          <w:rFonts w:ascii="Times New Roman" w:cs="Times New Roman" w:eastAsia="Times New Roman" w:hAnsi="Times New Roman"/>
          <w:sz w:val="14"/>
          <w:szCs w:val="14"/>
          <w:color w:val="auto"/>
        </w:rPr>
        <w:t xml:space="preserve">). Except as expressly provided in </w:t>
      </w:r>
      <w:r>
        <w:rPr>
          <w:rFonts w:ascii="Times New Roman" w:cs="Times New Roman" w:eastAsia="Times New Roman" w:hAnsi="Times New Roman"/>
          <w:sz w:val="14"/>
          <w:szCs w:val="14"/>
          <w:u w:val="single" w:color="auto"/>
          <w:color w:val="auto"/>
        </w:rPr>
        <w:t>Section 8.04(b)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8.04(c)</w:t>
      </w:r>
      <w:r>
        <w:rPr>
          <w:rFonts w:ascii="Times New Roman" w:cs="Times New Roman" w:eastAsia="Times New Roman" w:hAnsi="Times New Roman"/>
          <w:sz w:val="14"/>
          <w:szCs w:val="14"/>
          <w:color w:val="auto"/>
        </w:rPr>
        <w:t>, Service Recipient acknowledges and agrees that it shall acquire no right, title, and interest in or to any Intellectual Property which is owned or licensed by Service Provider by reason of the provision of the Services hereunder.</w:t>
      </w:r>
    </w:p>
    <w:p>
      <w:pPr>
        <w:spacing w:after="0" w:line="140"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90"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Provider acknowledges and agrees that, to the extent any deliverables created or developed by Service Provider in the performance of the Services are developed specifically for the applicable SpinCo Business or Company Business, Service Recipient shall own all right, title, and interest in or to such deliverables and any Intellectual Property therein. Service Provider (on behalf of itself and its Affiliates) hereby assigns to Service Recipient all right, title, and interest in and to, and hereby waives any and all moral rights that it may have, in any such deliverables and Intellectual Property.</w:t>
      </w:r>
    </w:p>
    <w:p>
      <w:pPr>
        <w:spacing w:after="0" w:line="143" w:lineRule="exact"/>
        <w:rPr>
          <w:rFonts w:ascii="Times New Roman" w:cs="Times New Roman" w:eastAsia="Times New Roman" w:hAnsi="Times New Roman"/>
          <w:sz w:val="14"/>
          <w:szCs w:val="14"/>
          <w:color w:val="auto"/>
        </w:rPr>
      </w:pPr>
    </w:p>
    <w:p>
      <w:pPr>
        <w:ind w:left="220" w:right="219" w:firstLine="767"/>
        <w:spacing w:after="0" w:line="254" w:lineRule="auto"/>
        <w:tabs>
          <w:tab w:leader="none" w:pos="1182"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terms and conditions of this Agreement, with respect to each Service, Service Provider hereby grants to Service Recipient a personal, limited, non-exclusive, royalty-free, non-sublicensable (except to any of its Affiliates or subcontractors engaged for the benefit of Service Recipient), non-assignable (except as expressly provided in </w:t>
      </w:r>
      <w:r>
        <w:rPr>
          <w:rFonts w:ascii="Times New Roman" w:cs="Times New Roman" w:eastAsia="Times New Roman" w:hAnsi="Times New Roman"/>
          <w:sz w:val="14"/>
          <w:szCs w:val="14"/>
          <w:u w:val="single" w:color="auto"/>
          <w:color w:val="auto"/>
        </w:rPr>
        <w:t>Section 8.08</w:t>
      </w:r>
      <w:r>
        <w:rPr>
          <w:rFonts w:ascii="Times New Roman" w:cs="Times New Roman" w:eastAsia="Times New Roman" w:hAnsi="Times New Roman"/>
          <w:sz w:val="14"/>
          <w:szCs w:val="14"/>
          <w:color w:val="auto"/>
        </w:rPr>
        <w:t>) license on an “as is,” warranty-free basis, (i) solely during the Service Period of such Service, under any Intellectual Property of Service Provider to use, access, copy and otherwise exploit, as the case may be, any deliverables (including documents, software and data) provided or otherwise made available by Service Provider to Service Recipient in connection with the Services, in each case solely to the extent necessary for Service Recipient to receive and use such Service as provided for and in accordance with this Agreement, and to otherwise receive and enjoy such Service for their intended purpose and (ii) perpetually, to continue to use any deliverables that Service Provider was required to provide to the Service Recipient and intended for use by Service Recipient beyond the relevant Service Period, provided such that deliverables are used in the same manner it was used during the relevant Service Period.</w:t>
      </w:r>
    </w:p>
    <w:p>
      <w:pPr>
        <w:spacing w:after="0" w:line="148" w:lineRule="exact"/>
        <w:rPr>
          <w:rFonts w:ascii="Times New Roman" w:cs="Times New Roman" w:eastAsia="Times New Roman" w:hAnsi="Times New Roman"/>
          <w:sz w:val="14"/>
          <w:szCs w:val="14"/>
          <w:color w:val="auto"/>
        </w:rPr>
      </w:pPr>
    </w:p>
    <w:p>
      <w:pPr>
        <w:ind w:left="220" w:right="419" w:firstLine="767"/>
        <w:spacing w:after="0" w:line="267" w:lineRule="auto"/>
        <w:tabs>
          <w:tab w:leader="none" w:pos="1190"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Party shall remove or alter any copyright, trademark, confidentiality or other proprietary notices that appear on any Intellectual Property owned or licensed by another Party, and shall reproduce any such notices on any and all copies thereof. No Party shall attempt to decompile, translate, reverse engineer or make excessive copies of any Intellectual Property owned or licensed by another Party.</w:t>
      </w:r>
    </w:p>
    <w:p>
      <w:pPr>
        <w:spacing w:after="0" w:line="135"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5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transfer the domain name modine.com (the “</w:t>
      </w:r>
      <w:r>
        <w:rPr>
          <w:rFonts w:ascii="Times New Roman" w:cs="Times New Roman" w:eastAsia="Times New Roman" w:hAnsi="Times New Roman"/>
          <w:sz w:val="14"/>
          <w:szCs w:val="14"/>
          <w:u w:val="single" w:color="auto"/>
          <w:color w:val="auto"/>
        </w:rPr>
        <w:t>Domain Name</w:t>
      </w:r>
      <w:r>
        <w:rPr>
          <w:rFonts w:ascii="Times New Roman" w:cs="Times New Roman" w:eastAsia="Times New Roman" w:hAnsi="Times New Roman"/>
          <w:sz w:val="14"/>
          <w:szCs w:val="14"/>
          <w:color w:val="auto"/>
        </w:rPr>
        <w:t>”) and the social media accounts set forth on</w:t>
      </w:r>
    </w:p>
    <w:p>
      <w:pPr>
        <w:spacing w:after="0" w:line="22" w:lineRule="exact"/>
        <w:rPr>
          <w:sz w:val="20"/>
          <w:szCs w:val="20"/>
          <w:color w:val="auto"/>
        </w:rPr>
      </w:pPr>
    </w:p>
    <w:p>
      <w:pPr>
        <w:ind w:left="220" w:right="319"/>
        <w:spacing w:after="0" w:line="252" w:lineRule="auto"/>
        <w:rPr>
          <w:sz w:val="20"/>
          <w:szCs w:val="20"/>
          <w:color w:val="auto"/>
        </w:rPr>
      </w:pPr>
      <w:r>
        <w:rPr>
          <w:rFonts w:ascii="Times New Roman" w:cs="Times New Roman" w:eastAsia="Times New Roman" w:hAnsi="Times New Roman"/>
          <w:sz w:val="14"/>
          <w:szCs w:val="14"/>
          <w:color w:val="auto"/>
        </w:rPr>
        <w:t>Section 5.16 of the Disclosure Schedules to the Merger Agreement (the “</w:t>
      </w:r>
      <w:r>
        <w:rPr>
          <w:rFonts w:ascii="Times New Roman" w:cs="Times New Roman" w:eastAsia="Times New Roman" w:hAnsi="Times New Roman"/>
          <w:sz w:val="14"/>
          <w:szCs w:val="14"/>
          <w:u w:val="single" w:color="auto"/>
          <w:color w:val="auto"/>
        </w:rPr>
        <w:t>Social Media Accounts</w:t>
      </w:r>
      <w:r>
        <w:rPr>
          <w:rFonts w:ascii="Times New Roman" w:cs="Times New Roman" w:eastAsia="Times New Roman" w:hAnsi="Times New Roman"/>
          <w:sz w:val="14"/>
          <w:szCs w:val="14"/>
          <w:color w:val="auto"/>
        </w:rPr>
        <w:t>”) to SpinCo as soon as commercially practicable following the removal of all critical dependencies on the use of the Domain Name for the Company’s ongoing business operations, such transfer to be completed no later than six (6) months following the Effective Date and in accordance with the Final Separation Plan as applicable. During such period between the Effective Date and the date of transfer, the Company shall retain control of the Domain Name and Social Media Accounts and shall, in cooperation with SpinCo, take all reasonable steps to ensure the continuity of use of the Domain Name for SpinCo’s email routing, web presence and other applicable operations, provided that such use does not interrupt any critical services for the Company.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500" w:name="page501"/>
    <w:bookmarkEnd w:id="500"/>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8.05 </w:t>
      </w:r>
      <w:r>
        <w:rPr>
          <w:rFonts w:ascii="Times New Roman" w:cs="Times New Roman" w:eastAsia="Times New Roman" w:hAnsi="Times New Roman"/>
          <w:sz w:val="14"/>
          <w:szCs w:val="14"/>
          <w:u w:val="single" w:color="auto"/>
          <w:color w:val="auto"/>
        </w:rPr>
        <w:t>Independent Contractors</w:t>
      </w:r>
      <w:r>
        <w:rPr>
          <w:rFonts w:ascii="Times New Roman" w:cs="Times New Roman" w:eastAsia="Times New Roman" w:hAnsi="Times New Roman"/>
          <w:sz w:val="14"/>
          <w:szCs w:val="14"/>
          <w:color w:val="auto"/>
        </w:rPr>
        <w:t>. The Parties each acknowledge and agree that they are separate entities, each of which has entered into this Agreement for independent business reasons. The relationships of the Parties hereunder are those of independent contractors and nothing contained herein shall be deemed to create a joint venture, partnership or any other relationship between the Parties. Employees performing Services hereunder do so on behalf of, under the direction of, and as employees of, Service Provider, and Service Recipient shall have no right, power or authority to direct such employees, unless otherwise specified with respect to a particular Service on the Schedules hereto.</w:t>
      </w:r>
    </w:p>
    <w:p>
      <w:pPr>
        <w:spacing w:after="0" w:line="2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8.06 </w:t>
      </w:r>
      <w:r>
        <w:rPr>
          <w:rFonts w:ascii="Times New Roman" w:cs="Times New Roman" w:eastAsia="Times New Roman" w:hAnsi="Times New Roman"/>
          <w:sz w:val="14"/>
          <w:szCs w:val="14"/>
          <w:u w:val="single" w:color="auto"/>
          <w:color w:val="auto"/>
        </w:rPr>
        <w:t>Counterparts; Entire Agreement; Corporate Power</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ind w:left="220" w:right="339" w:firstLine="767"/>
        <w:spacing w:after="0" w:line="283" w:lineRule="auto"/>
        <w:tabs>
          <w:tab w:leader="none" w:pos="1182"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24" w:lineRule="exact"/>
        <w:rPr>
          <w:rFonts w:ascii="Times New Roman" w:cs="Times New Roman" w:eastAsia="Times New Roman" w:hAnsi="Times New Roman"/>
          <w:sz w:val="14"/>
          <w:szCs w:val="14"/>
          <w:color w:val="auto"/>
        </w:rPr>
      </w:pPr>
    </w:p>
    <w:p>
      <w:pPr>
        <w:ind w:left="220" w:right="359" w:firstLine="767"/>
        <w:spacing w:after="0" w:line="257" w:lineRule="auto"/>
        <w:tabs>
          <w:tab w:leader="none" w:pos="1190"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the Separation Agreement and the other Transaction Documents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Agreement, and the other Transaction Documents govern the arrangements in connection with the Separation and Distribution and would not have been entered into independently.</w:t>
      </w:r>
    </w:p>
    <w:p>
      <w:pPr>
        <w:spacing w:after="0" w:line="143" w:lineRule="exact"/>
        <w:rPr>
          <w:rFonts w:ascii="Times New Roman" w:cs="Times New Roman" w:eastAsia="Times New Roman" w:hAnsi="Times New Roman"/>
          <w:sz w:val="14"/>
          <w:szCs w:val="14"/>
          <w:color w:val="auto"/>
        </w:rPr>
      </w:pPr>
    </w:p>
    <w:p>
      <w:pPr>
        <w:ind w:left="220" w:right="219" w:firstLine="767"/>
        <w:spacing w:after="0" w:line="255" w:lineRule="auto"/>
        <w:tabs>
          <w:tab w:leader="none" w:pos="1182" w:val="left"/>
        </w:tabs>
        <w:numPr>
          <w:ilvl w:val="0"/>
          <w:numId w:val="5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acknowledges and agrees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145"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8.07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44" w:lineRule="exact"/>
        <w:rPr>
          <w:sz w:val="20"/>
          <w:szCs w:val="20"/>
          <w:color w:val="auto"/>
        </w:rPr>
      </w:pPr>
    </w:p>
    <w:p>
      <w:pPr>
        <w:ind w:left="220" w:right="31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8.08 </w:t>
      </w:r>
      <w:r>
        <w:rPr>
          <w:rFonts w:ascii="Times New Roman" w:cs="Times New Roman" w:eastAsia="Times New Roman" w:hAnsi="Times New Roman"/>
          <w:sz w:val="14"/>
          <w:szCs w:val="14"/>
          <w:u w:val="single" w:color="auto"/>
          <w:color w:val="auto"/>
        </w:rPr>
        <w:t>Assignability</w:t>
      </w:r>
      <w:r>
        <w:rPr>
          <w:rFonts w:ascii="Times New Roman" w:cs="Times New Roman" w:eastAsia="Times New Roman" w:hAnsi="Times New Roman"/>
          <w:sz w:val="14"/>
          <w:szCs w:val="14"/>
          <w:color w:val="auto"/>
        </w:rPr>
        <w:t xml:space="preserve">. This Agreement shall be binding upon and inure to the benefit of the Parties and their respective successors and permitted assigns;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neither Party may assign its rights or delegate its obligations under this Agreement without the express prior written consent of the other Party. Notwithstanding the foregoing, (a) Service Provider may assign this Agreement or all of its rights or obligations hereunder to any Affiliate without Service Recipient’s prior written consent (but with notice to the Service Recipient) solely to the extent such Affiliate can continue to deliver the Services hereunder without interruption, and (b) either Party may assign this Agreement or any of its rights or obligations hereunder in whole or part to a third party without the other Party’s consent, but only in connection with a merger or consolidation of such Party’s business into such third party, the sale of all or substantially all of the assets of such Party’s business to such third party, or the sale of a controlling interest in such Party by virtue of a sale of stock, membership units, or other equity of such Party to such third party. For the avoidance of doubt, the merger of SpinCo with Merger Sub shall not be deemed in violation of this </w:t>
      </w:r>
      <w:r>
        <w:rPr>
          <w:rFonts w:ascii="Times New Roman" w:cs="Times New Roman" w:eastAsia="Times New Roman" w:hAnsi="Times New Roman"/>
          <w:sz w:val="14"/>
          <w:szCs w:val="14"/>
          <w:u w:val="single" w:color="auto"/>
          <w:color w:val="auto"/>
        </w:rPr>
        <w:t>Section 8.08</w:t>
      </w:r>
      <w:r>
        <w:rPr>
          <w:rFonts w:ascii="Times New Roman" w:cs="Times New Roman" w:eastAsia="Times New Roman" w:hAnsi="Times New Roman"/>
          <w:sz w:val="14"/>
          <w:szCs w:val="14"/>
          <w:color w:val="auto"/>
        </w:rPr>
        <w:t xml:space="preserve">. Any purported assignment contrary to this </w:t>
      </w:r>
      <w:r>
        <w:rPr>
          <w:rFonts w:ascii="Times New Roman" w:cs="Times New Roman" w:eastAsia="Times New Roman" w:hAnsi="Times New Roman"/>
          <w:sz w:val="14"/>
          <w:szCs w:val="14"/>
          <w:u w:val="single" w:color="auto"/>
          <w:color w:val="auto"/>
        </w:rPr>
        <w:t>Section 8.08</w:t>
      </w:r>
      <w:r>
        <w:rPr>
          <w:rFonts w:ascii="Times New Roman" w:cs="Times New Roman" w:eastAsia="Times New Roman" w:hAnsi="Times New Roman"/>
          <w:sz w:val="14"/>
          <w:szCs w:val="14"/>
          <w:color w:val="auto"/>
        </w:rPr>
        <w:t xml:space="preserve"> shall be void.</w:t>
      </w:r>
    </w:p>
    <w:p>
      <w:pPr>
        <w:spacing w:after="0" w:line="146" w:lineRule="exact"/>
        <w:rPr>
          <w:sz w:val="20"/>
          <w:szCs w:val="20"/>
          <w:color w:val="auto"/>
        </w:rPr>
      </w:pPr>
    </w:p>
    <w:p>
      <w:pPr>
        <w:ind w:left="220" w:right="5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8.09 </w:t>
      </w:r>
      <w:r>
        <w:rPr>
          <w:rFonts w:ascii="Times New Roman" w:cs="Times New Roman" w:eastAsia="Times New Roman" w:hAnsi="Times New Roman"/>
          <w:sz w:val="14"/>
          <w:szCs w:val="14"/>
          <w:u w:val="single" w:color="auto"/>
          <w:color w:val="auto"/>
        </w:rPr>
        <w:t>Third-Party Beneficiaries</w:t>
      </w:r>
      <w:r>
        <w:rPr>
          <w:rFonts w:ascii="Times New Roman" w:cs="Times New Roman" w:eastAsia="Times New Roman" w:hAnsi="Times New Roman"/>
          <w:sz w:val="14"/>
          <w:szCs w:val="14"/>
          <w:color w:val="auto"/>
        </w:rPr>
        <w:t xml:space="preserve">. Except as provided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with respect to the Service Provider Indemnitees and the Service Recipient Indemnitees in their respective capacities as such, (a) the provisions of this Agreement are solely for the benefit of the Parties and are not intended to confer upon any other Person except the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501" w:name="page502"/>
    <w:bookmarkEnd w:id="501"/>
    <w:p>
      <w:pPr>
        <w:ind w:left="220" w:right="27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36"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8.10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facsimile, or by electronic mail (“</w:t>
      </w:r>
      <w:r>
        <w:rPr>
          <w:rFonts w:ascii="Times New Roman" w:cs="Times New Roman" w:eastAsia="Times New Roman" w:hAnsi="Times New Roman"/>
          <w:sz w:val="14"/>
          <w:szCs w:val="14"/>
          <w:u w:val="single" w:color="auto"/>
          <w:color w:val="auto"/>
        </w:rPr>
        <w:t>e-mail</w:t>
      </w:r>
      <w:r>
        <w:rPr>
          <w:rFonts w:ascii="Times New Roman" w:cs="Times New Roman" w:eastAsia="Times New Roman" w:hAnsi="Times New Roman"/>
          <w:sz w:val="14"/>
          <w:szCs w:val="14"/>
          <w:color w:val="auto"/>
        </w:rPr>
        <w:t xml:space="preserve">”), so long as confirmation of receipt of such facsimile or e-mail is requested and received, to the respective Parties at the following addresses (or at such other address for a Party as shall be specified in a notice given in accordance with this </w:t>
      </w:r>
      <w:r>
        <w:rPr>
          <w:rFonts w:ascii="Times New Roman" w:cs="Times New Roman" w:eastAsia="Times New Roman" w:hAnsi="Times New Roman"/>
          <w:sz w:val="14"/>
          <w:szCs w:val="14"/>
          <w:u w:val="single" w:color="auto"/>
          <w:color w:val="auto"/>
        </w:rPr>
        <w:t>Section 8.10</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If to Company, to:</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Modine Manufacturing Company</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1500 De Koven Ave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Racine, Wisconsin 53403</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200 Park Avenue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New York, NY 10166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Telephone: (212) 351-4064</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Attention:         Andrew Kaplan</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If to SpinCo, to:</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28875 Cabot Drive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Novi, MI 48377</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Attention:         Wayne Kauffman; Jon Douyard</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330 N Wabash Ave, Suite 2800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Chicago, IL 60611</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Attention:         Bradley C. Faris; Jason Morelli</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and</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Honigman LLP</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2290 First National Building</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660 Woodward Avenue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Detroit, MI 48226</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Attention:         Michael S. Ben; Matt VanWasshnova</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Any Party may, by notice to the other Party, change the address to which such notices are to be given or made.</w:t>
      </w:r>
    </w:p>
    <w:p>
      <w:pPr>
        <w:spacing w:after="0" w:line="1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502" w:name="page503"/>
    <w:bookmarkEnd w:id="502"/>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8.11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44" w:lineRule="exact"/>
        <w:rPr>
          <w:sz w:val="20"/>
          <w:szCs w:val="20"/>
          <w:color w:val="auto"/>
        </w:rPr>
      </w:pPr>
    </w:p>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8.12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 xml:space="preserve">. No Party shall be deemed in default of this Agreement for any delay or failure to fulfill any obligation (other than a payment obligation) hereunder so long as and to the extent to which any delay or failure in the fulfillment of such obligation is prevented, frustrated, hindered or delayed as a consequence of circumstances of Force Majeure. Without limiting the termination rights contained in this Agreement, in the event of any such excused delay, the time for performance of such obligation (other than a payment obligation) shall be extended for a period equal to the time lost by reason of the delay. Service Recipient may terminate any Service that is not provided for a consecutive period of thirty (30) days or more upon written notice to Service Provider.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as soon as reasonably practicable (and in no event later than the date that the affected Party resumes analogous performance under any other agreement for itself, its Affiliates or any Third Party) unless this Agreement has previously been terminated under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or this </w:t>
      </w:r>
      <w:r>
        <w:rPr>
          <w:rFonts w:ascii="Times New Roman" w:cs="Times New Roman" w:eastAsia="Times New Roman" w:hAnsi="Times New Roman"/>
          <w:sz w:val="14"/>
          <w:szCs w:val="14"/>
          <w:u w:val="single" w:color="auto"/>
          <w:color w:val="auto"/>
        </w:rPr>
        <w:t>Section 8.12</w:t>
      </w:r>
      <w:r>
        <w:rPr>
          <w:rFonts w:ascii="Times New Roman" w:cs="Times New Roman" w:eastAsia="Times New Roman" w:hAnsi="Times New Roman"/>
          <w:sz w:val="14"/>
          <w:szCs w:val="14"/>
          <w:color w:val="auto"/>
        </w:rPr>
        <w:t>. Service Recipient shall not be required to pay Fees for Services to the extent and for so long as such Services are not made available to Service Recipient.</w:t>
      </w:r>
    </w:p>
    <w:p>
      <w:pPr>
        <w:spacing w:after="0" w:line="144" w:lineRule="exact"/>
        <w:rPr>
          <w:sz w:val="20"/>
          <w:szCs w:val="20"/>
          <w:color w:val="auto"/>
        </w:rPr>
      </w:pPr>
    </w:p>
    <w:p>
      <w:pPr>
        <w:ind w:left="220" w:right="4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8.13 </w:t>
      </w: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Article, Section and Paragraph headings contained in this Agreement are for reference purposes only and shall not affect in any way the meaning or interpretation of this Agreement.</w:t>
      </w:r>
    </w:p>
    <w:p>
      <w:pPr>
        <w:spacing w:after="0" w:line="125"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8.14 </w:t>
      </w:r>
      <w:r>
        <w:rPr>
          <w:rFonts w:ascii="Times New Roman" w:cs="Times New Roman" w:eastAsia="Times New Roman" w:hAnsi="Times New Roman"/>
          <w:sz w:val="14"/>
          <w:szCs w:val="14"/>
          <w:u w:val="single" w:color="auto"/>
          <w:color w:val="auto"/>
        </w:rPr>
        <w:t>Waivers of Default</w:t>
      </w:r>
      <w:r>
        <w:rPr>
          <w:rFonts w:ascii="Times New Roman" w:cs="Times New Roman" w:eastAsia="Times New Roman" w:hAnsi="Times New Roman"/>
          <w:sz w:val="14"/>
          <w:szCs w:val="14"/>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 No waiver by any Party of any provision of this Agreement shall be effective unless explicitly set forth in writing and executed by the Party so waiving.</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8.15 </w:t>
      </w: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both"/>
        <w:ind w:left="220" w:right="339" w:firstLine="767"/>
        <w:spacing w:after="0" w:line="261" w:lineRule="auto"/>
        <w:tabs>
          <w:tab w:leader="none" w:pos="1182" w:val="left"/>
        </w:tabs>
        <w:numPr>
          <w:ilvl w:val="1"/>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any controversy, dispute or claim (a “</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Section 9.14 of the Separation Agreement.</w:t>
      </w:r>
    </w:p>
    <w:p>
      <w:pPr>
        <w:spacing w:after="0" w:line="140" w:lineRule="exact"/>
        <w:rPr>
          <w:rFonts w:ascii="Times New Roman" w:cs="Times New Roman" w:eastAsia="Times New Roman" w:hAnsi="Times New Roman"/>
          <w:sz w:val="14"/>
          <w:szCs w:val="14"/>
          <w:color w:val="auto"/>
        </w:rPr>
      </w:pPr>
    </w:p>
    <w:p>
      <w:pPr>
        <w:ind w:left="220" w:right="239" w:firstLine="767"/>
        <w:spacing w:after="0" w:line="254" w:lineRule="auto"/>
        <w:tabs>
          <w:tab w:leader="none" w:pos="1190" w:val="left"/>
        </w:tabs>
        <w:numPr>
          <w:ilvl w:val="1"/>
          <w:numId w:val="5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any Dispute regarding the amount of a Fee or a Termination Charge, if such Dispute is finally resolved pursuant to the dispute resolution process set forth or referred to in </w:t>
      </w:r>
      <w:r>
        <w:rPr>
          <w:rFonts w:ascii="Times New Roman" w:cs="Times New Roman" w:eastAsia="Times New Roman" w:hAnsi="Times New Roman"/>
          <w:sz w:val="14"/>
          <w:szCs w:val="14"/>
          <w:u w:val="single" w:color="auto"/>
          <w:color w:val="auto"/>
        </w:rPr>
        <w:t>Section 8.15(a)</w:t>
      </w:r>
      <w:r>
        <w:rPr>
          <w:rFonts w:ascii="Times New Roman" w:cs="Times New Roman" w:eastAsia="Times New Roman" w:hAnsi="Times New Roman"/>
          <w:sz w:val="14"/>
          <w:szCs w:val="14"/>
          <w:color w:val="auto"/>
        </w:rPr>
        <w:t xml:space="preserve"> and it is determined that the Fee or the Termination Charge, as applicable, that Service Provider has invoiced Service Recipient, and that Service Recipient has paid to Service Provider, is greater or less than the amount that the Fee or the Termination Charge, as applicable, should have been, then (i) if it is determined that Service Recipient has overpaid the Fee or the Termination Charge, as applicable, Service Provider shall within ten (10) calendar days after such determination reimburse Service Recipient an amount of cash equal to such overpayment, plus the Interest Payment, accruing from the date of payment by Service Recipient to the time of reimbursement by Service Provider, and</w:t>
      </w:r>
    </w:p>
    <w:p>
      <w:pPr>
        <w:spacing w:after="0" w:line="1"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5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it is determined that Service Recipient has underpaid the Fee or the Termination Charge, as applicable, Service Recipient shall within thirty</w:t>
      </w:r>
    </w:p>
    <w:p>
      <w:pPr>
        <w:spacing w:after="0" w:line="7" w:lineRule="exact"/>
        <w:rPr>
          <w:sz w:val="20"/>
          <w:szCs w:val="20"/>
          <w:color w:val="auto"/>
        </w:rPr>
      </w:pPr>
    </w:p>
    <w:p>
      <w:pPr>
        <w:ind w:left="220" w:right="619" w:hanging="5"/>
        <w:spacing w:after="0" w:line="300" w:lineRule="auto"/>
        <w:tabs>
          <w:tab w:leader="none" w:pos="488" w:val="left"/>
        </w:tabs>
        <w:numPr>
          <w:ilvl w:val="0"/>
          <w:numId w:val="5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calendar days after such determination reimburse Service Provider an amount of cash equal to such underpayment, plus the Interest Payment, accruing from the date such payment originally should have been made by Service Recipient to the time of payment by Service Recipient.</w:t>
      </w:r>
    </w:p>
    <w:p>
      <w:pPr>
        <w:spacing w:after="0" w:line="116" w:lineRule="exact"/>
        <w:rPr>
          <w:sz w:val="20"/>
          <w:szCs w:val="20"/>
          <w:color w:val="auto"/>
        </w:rPr>
      </w:pPr>
    </w:p>
    <w:p>
      <w:pPr>
        <w:ind w:left="220" w:right="5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8.16 </w:t>
      </w:r>
      <w:r>
        <w:rPr>
          <w:rFonts w:ascii="Times New Roman" w:cs="Times New Roman" w:eastAsia="Times New Roman" w:hAnsi="Times New Roman"/>
          <w:sz w:val="14"/>
          <w:szCs w:val="14"/>
          <w:u w:val="single" w:color="auto"/>
          <w:color w:val="auto"/>
        </w:rPr>
        <w:t>Specific Performance</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8.15</w:t>
      </w:r>
      <w:r>
        <w:rPr>
          <w:rFonts w:ascii="Times New Roman" w:cs="Times New Roman" w:eastAsia="Times New Roman" w:hAnsi="Times New Roman"/>
          <w:sz w:val="14"/>
          <w:szCs w:val="14"/>
          <w:color w:val="auto"/>
        </w:rPr>
        <w:t>, in the event of any actual or threatened default in, or breach of, any of the terms, conditions and provisions of this Agreement, the Party or Parties who are, or are 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503" w:name="page504"/>
    <w:bookmarkEnd w:id="503"/>
    <w:p>
      <w:pPr>
        <w:ind w:left="220" w:right="2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Service Provider shall continue to provide Services and the Parties shall honor all other commitments under this Agreement during the course of dispute resolution pursuant to the provisions of </w:t>
      </w:r>
      <w:r>
        <w:rPr>
          <w:rFonts w:ascii="Times New Roman" w:cs="Times New Roman" w:eastAsia="Times New Roman" w:hAnsi="Times New Roman"/>
          <w:sz w:val="14"/>
          <w:szCs w:val="14"/>
          <w:u w:val="single" w:color="auto"/>
          <w:color w:val="auto"/>
        </w:rPr>
        <w:t>Section 8.15</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Section 8.16</w:t>
      </w:r>
      <w:r>
        <w:rPr>
          <w:rFonts w:ascii="Times New Roman" w:cs="Times New Roman" w:eastAsia="Times New Roman" w:hAnsi="Times New Roman"/>
          <w:sz w:val="14"/>
          <w:szCs w:val="14"/>
          <w:color w:val="auto"/>
        </w:rPr>
        <w:t xml:space="preserve"> with respect to all matters not subject to such Dispute;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this obligation shall only exist during the term of this Agreement.</w:t>
      </w:r>
    </w:p>
    <w:p>
      <w:pPr>
        <w:spacing w:after="0" w:line="145" w:lineRule="exact"/>
        <w:rPr>
          <w:sz w:val="20"/>
          <w:szCs w:val="20"/>
          <w:color w:val="auto"/>
        </w:rPr>
      </w:pPr>
    </w:p>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8.17 </w:t>
      </w:r>
      <w:r>
        <w:rPr>
          <w:rFonts w:ascii="Times New Roman" w:cs="Times New Roman" w:eastAsia="Times New Roman" w:hAnsi="Times New Roman"/>
          <w:sz w:val="14"/>
          <w:szCs w:val="14"/>
          <w:u w:val="single" w:color="auto"/>
          <w:color w:val="auto"/>
        </w:rPr>
        <w:t>Amendments</w:t>
      </w:r>
      <w:r>
        <w:rPr>
          <w:rFonts w:ascii="Times New Roman" w:cs="Times New Roman" w:eastAsia="Times New Roman" w:hAnsi="Times New Roman"/>
          <w:sz w:val="14"/>
          <w:szCs w:val="14"/>
          <w:color w:val="auto"/>
        </w:rPr>
        <w:t>. No provisions of this Agreement shall be deemed waived, amended, supplemented or modified by a Party, unless such waiver, amendment, supplement or modification is in writing and signed by each of the Parties hereto.</w:t>
      </w:r>
    </w:p>
    <w:p>
      <w:pPr>
        <w:spacing w:after="0" w:line="125"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8.18 </w:t>
      </w:r>
      <w:r>
        <w:rPr>
          <w:rFonts w:ascii="Times New Roman" w:cs="Times New Roman" w:eastAsia="Times New Roman" w:hAnsi="Times New Roman"/>
          <w:sz w:val="14"/>
          <w:szCs w:val="14"/>
          <w:u w:val="single" w:color="auto"/>
          <w:color w:val="auto"/>
        </w:rPr>
        <w:t>Precedence of Schedules</w:t>
      </w:r>
      <w:r>
        <w:rPr>
          <w:rFonts w:ascii="Times New Roman" w:cs="Times New Roman" w:eastAsia="Times New Roman" w:hAnsi="Times New Roman"/>
          <w:sz w:val="14"/>
          <w:szCs w:val="14"/>
          <w:color w:val="auto"/>
        </w:rPr>
        <w:t xml:space="preserve">. Each Schedule attached to or referenced in this Agreement is hereby incorporated into and shall form a part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body of this Agreement shall take precedence. No terms contained in individual Schedules shall otherwise modify the terms of this Agreement.</w:t>
      </w:r>
    </w:p>
    <w:p>
      <w:pPr>
        <w:spacing w:after="0" w:line="141"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8.19 </w:t>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 (j) 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the Effective Date.</w:t>
      </w:r>
    </w:p>
    <w:p>
      <w:pPr>
        <w:spacing w:after="0" w:line="147" w:lineRule="exact"/>
        <w:rPr>
          <w:sz w:val="20"/>
          <w:szCs w:val="20"/>
          <w:color w:val="auto"/>
        </w:rPr>
      </w:pPr>
    </w:p>
    <w:p>
      <w:pPr>
        <w:ind w:left="220" w:right="4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8.20 </w:t>
      </w:r>
      <w:r>
        <w:rPr>
          <w:rFonts w:ascii="Times New Roman" w:cs="Times New Roman" w:eastAsia="Times New Roman" w:hAnsi="Times New Roman"/>
          <w:sz w:val="14"/>
          <w:szCs w:val="14"/>
          <w:u w:val="single" w:color="auto"/>
          <w:color w:val="auto"/>
        </w:rPr>
        <w:t>Mutual Drafting</w:t>
      </w:r>
      <w:r>
        <w:rPr>
          <w:rFonts w:ascii="Times New Roman" w:cs="Times New Roman" w:eastAsia="Times New Roman" w:hAnsi="Times New Roman"/>
          <w:sz w:val="14"/>
          <w:szCs w:val="14"/>
          <w:color w:val="auto"/>
        </w:rPr>
        <w:t>. Each of the Company and SpinCo acknowledges that each Party to this Agreement has been represented by legal counsel in connection with this Agreement and that this Agreement shall be deemed to be the joint work product of the Parties and any rule of construction that a document shall be interpreted or construed against a drafter of such document shall not be applicable to this Agreement.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1" w:right="1440" w:bottom="1440" w:gutter="0" w:footer="0" w:header="0"/>
        </w:sectPr>
      </w:pPr>
    </w:p>
    <w:bookmarkStart w:id="504" w:name="page505"/>
    <w:bookmarkEnd w:id="504"/>
    <w:p>
      <w:pPr>
        <w:ind w:left="220" w:right="55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have caused this Agreement to be executed by their duly authorized representatives as of the date first written above.</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MODINE MANUFACTURING COMPANY</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9">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13970</wp:posOffset>
            </wp:positionV>
            <wp:extent cx="199580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0">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Transition Services Agreement</w:t>
      </w:r>
      <w:r>
        <w:rPr>
          <w:rFonts w:ascii="Times New Roman" w:cs="Times New Roman" w:eastAsia="Times New Roman" w:hAnsi="Times New Roman"/>
          <w:sz w:val="14"/>
          <w:szCs w:val="14"/>
          <w:color w:val="auto"/>
        </w:rPr>
        <w:t>]</w:t>
      </w:r>
    </w:p>
    <w:p>
      <w:pPr>
        <w:sectPr>
          <w:pgSz w:w="11900" w:h="16838" w:orient="portrait"/>
          <w:cols w:equalWidth="0" w:num="1">
            <w:col w:w="9019"/>
          </w:cols>
          <w:pgMar w:left="1440" w:top="241" w:right="1440" w:bottom="1440" w:gutter="0" w:footer="0" w:header="0"/>
        </w:sectPr>
      </w:pPr>
    </w:p>
    <w:bookmarkStart w:id="505" w:name="page506"/>
    <w:bookmarkEnd w:id="50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OF TAX MATTERS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BY AND AMONG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MODINE MANUFACTURING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PLATINUM SPINCO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GENTHERM INCORPORATED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DATED AS OF [•], 2026</w:t>
      </w:r>
    </w:p>
    <w:p>
      <w:pPr>
        <w:sectPr>
          <w:pgSz w:w="11900" w:h="16838" w:orient="portrait"/>
          <w:cols w:equalWidth="0" w:num="1">
            <w:col w:w="9019"/>
          </w:cols>
          <w:pgMar w:left="1440" w:top="123" w:right="1440" w:bottom="1440" w:gutter="0" w:footer="0" w:header="0"/>
        </w:sectPr>
      </w:pPr>
    </w:p>
    <w:bookmarkStart w:id="506" w:name="page507"/>
    <w:bookmarkEnd w:id="506"/>
    <w:tbl>
      <w:tblPr>
        <w:tblLayout w:type="fixed"/>
        <w:tblInd w:w="220" w:type="dxa"/>
        <w:tblCellMar>
          <w:top w:w="0" w:type="dxa"/>
          <w:left w:w="0" w:type="dxa"/>
          <w:bottom w:w="0" w:type="dxa"/>
          <w:right w:w="0" w:type="dxa"/>
        </w:tblCellMar>
      </w:tblPr>
      <w:tr>
        <w:trPr>
          <w:trHeight w:val="185"/>
        </w:trPr>
        <w:tc>
          <w:tcPr>
            <w:tcW w:w="7720" w:type="dxa"/>
            <w:vAlign w:val="bottom"/>
          </w:tcPr>
          <w:p>
            <w:pPr>
              <w:ind w:left="35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05"/>
        </w:trPr>
        <w:tc>
          <w:tcPr>
            <w:tcW w:w="77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Page</w:t>
            </w:r>
          </w:p>
        </w:tc>
      </w:tr>
      <w:tr>
        <w:trPr>
          <w:trHeight w:val="23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SECTION 1. DEFINITION OF TERMS</w:t>
            </w:r>
          </w:p>
        </w:tc>
        <w:tc>
          <w:tcPr>
            <w:tcW w:w="600" w:type="dxa"/>
            <w:vAlign w:val="bottom"/>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SECTION 2. ALLOCATION OF TAX LIABILITIES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3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 General Rule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 Employment Taxes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 Delayed SpinCo Assets; Delayed SpinCo Liabilities; Delayed Company Assets; Delayed Company Liabilities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 Straddle Period Tax Allocation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 Section 336(e) Tax Basis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3"/>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2.6 SpinCo Indebtedness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SECTION 3. PREPARATION AND FILING OF TAX RETURNS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3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3.1 General</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3.2 Responsibility for Preparation and Filing</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3.3 Tax Reporting Practices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3.4 Consolidated or Combined Tax Returns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3.5 Right to Review and Consent to Tax Returns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3.6 Refunds, Carrybacks and Amended Tax Returns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3"/>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3.7 Apportionment of Tax Attributes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SECTION 4. INDEMNIFICATION PAYMENTS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2"/>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4.1 Indemnification Payments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SECTION 5. TAX BENEFITS AND COMPANY TAX ATTRIBUTES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3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5.1 Tax Benefits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3"/>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5.2 Tax Benefits related to VAT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SECTION 6. INTENDED TAX TREATMENT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 Restrictions on SpinCo and RMT Partner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 Restrictions on the Company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3"/>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 Liability for Distribution Tax-Related Losses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SECTION 7. COOPERATION AND RELIANCE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3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 Assistance and Cooperation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7.2 Income Tax Return Information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8"/>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7.3 Non-Performance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3"/>
        </w:trPr>
        <w:tc>
          <w:tcPr>
            <w:tcW w:w="7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7.4 Costs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9" w:right="1440" w:bottom="1440" w:gutter="0" w:footer="0" w:header="0"/>
        </w:sectPr>
      </w:pPr>
    </w:p>
    <w:bookmarkStart w:id="507" w:name="page508"/>
    <w:bookmarkEnd w:id="507"/>
    <w:tbl>
      <w:tblPr>
        <w:tblLayout w:type="fixed"/>
        <w:tblInd w:w="220" w:type="dxa"/>
        <w:tblCellMar>
          <w:top w:w="0" w:type="dxa"/>
          <w:left w:w="0" w:type="dxa"/>
          <w:bottom w:w="0" w:type="dxa"/>
          <w:right w:w="0" w:type="dxa"/>
        </w:tblCellMar>
      </w:tblPr>
      <w:tr>
        <w:trPr>
          <w:trHeight w:val="183"/>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SECTION 8. TAX RECORDS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3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 Retention of Tax Records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 Access to Tax Records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SECTION 9. TAX CONTESTS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3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9.1 Notice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9.2 Control of Tax Contests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SECTION 10. EFFECTIVE DATE; TERMINATION OF PRIOR INTERCOMPANY TAX ALLOCATION AGREEMENTS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SECTION 11. SURVIVAL OF OBLIGATIONS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SECTION 12. TREATMENT OF PAYMENTS; TAX GROSS UP</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3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12.1 Treatment of Tax Indemnity and Tax Benefit Payments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12.2 Tax Gross Up</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12.3 Interest on Late Payments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SECTION 13. DISAGREEMENTS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3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13.1 Discussion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13.2 Escalation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13.3 Referral to Tax Advisor for Computational Disputes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13.4 Injunctive Relief</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SECTION 14.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52"/>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SECTION 15. GENERAL PROVISIONS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3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15.1 Notices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15.2 Waiver</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15.3 Severability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15.4 Authority</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15.5 Further Action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15.6 Integration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15.7 Interpretation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15.8 No Double Recovery</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15.9 Counterparts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15.10 Governing Law</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8"/>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15.11 Submission to Jurisdiction; Waiver of Jury Trial</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3"/>
        </w:trPr>
        <w:tc>
          <w:tcPr>
            <w:tcW w:w="7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15.12 Amendments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40" w:right="1440" w:bottom="1440" w:gutter="0" w:footer="0" w:header="0"/>
        </w:sectPr>
      </w:pPr>
    </w:p>
    <w:bookmarkStart w:id="508" w:name="page509"/>
    <w:bookmarkEnd w:id="508"/>
    <w:tbl>
      <w:tblPr>
        <w:tblLayout w:type="fixed"/>
        <w:tblInd w:w="500" w:type="dxa"/>
        <w:tblCellMar>
          <w:top w:w="0" w:type="dxa"/>
          <w:left w:w="0" w:type="dxa"/>
          <w:bottom w:w="0" w:type="dxa"/>
          <w:right w:w="0" w:type="dxa"/>
        </w:tblCellMar>
      </w:tblPr>
      <w:tr>
        <w:trPr>
          <w:trHeight w:val="168"/>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15.13 Company Subsidiaries or SpinCo Subsidiaries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8"/>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15.14 Successors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15.15</w:t>
            </w:r>
          </w:p>
        </w:tc>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Assignability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15.16</w:t>
            </w:r>
          </w:p>
        </w:tc>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 Fiduciary Relationship</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15.17</w:t>
            </w:r>
          </w:p>
        </w:tc>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Mutual Drafting; Precedence</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3"/>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15.18</w:t>
            </w:r>
          </w:p>
        </w:tc>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Injunctions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40" w:right="1440" w:bottom="1440" w:gutter="0" w:footer="0" w:header="0"/>
        </w:sectPr>
      </w:pPr>
    </w:p>
    <w:bookmarkStart w:id="509" w:name="page510"/>
    <w:bookmarkEnd w:id="50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TAX MATTERS AGREEMENT</w:t>
      </w:r>
    </w:p>
    <w:p>
      <w:pPr>
        <w:spacing w:after="0" w:line="175" w:lineRule="exact"/>
        <w:rPr>
          <w:sz w:val="20"/>
          <w:szCs w:val="20"/>
          <w:color w:val="auto"/>
        </w:rPr>
      </w:pPr>
    </w:p>
    <w:p>
      <w:pPr>
        <w:ind w:left="220" w:right="379" w:firstLine="343"/>
        <w:spacing w:after="0" w:line="262" w:lineRule="auto"/>
        <w:rPr>
          <w:sz w:val="20"/>
          <w:szCs w:val="20"/>
          <w:color w:val="auto"/>
        </w:rPr>
      </w:pPr>
      <w:r>
        <w:rPr>
          <w:rFonts w:ascii="Times New Roman" w:cs="Times New Roman" w:eastAsia="Times New Roman" w:hAnsi="Times New Roman"/>
          <w:sz w:val="14"/>
          <w:szCs w:val="14"/>
          <w:color w:val="auto"/>
        </w:rPr>
        <w:t>This TAX MATTERS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entered into by and among Modine Manufacturing Company, a Wisconsin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Platinum SpinCo Inc., a Delaware corporation (“</w:t>
      </w:r>
      <w:r>
        <w:rPr>
          <w:rFonts w:ascii="Times New Roman" w:cs="Times New Roman" w:eastAsia="Times New Roman" w:hAnsi="Times New Roman"/>
          <w:sz w:val="14"/>
          <w:szCs w:val="14"/>
          <w:b w:val="1"/>
          <w:bCs w:val="1"/>
          <w:color w:val="auto"/>
        </w:rPr>
        <w:t>SpinCo</w:t>
      </w:r>
      <w:r>
        <w:rPr>
          <w:rFonts w:ascii="Times New Roman" w:cs="Times New Roman" w:eastAsia="Times New Roman" w:hAnsi="Times New Roman"/>
          <w:sz w:val="14"/>
          <w:szCs w:val="14"/>
          <w:color w:val="auto"/>
        </w:rPr>
        <w:t>,” and together with the Company, the “</w:t>
      </w:r>
      <w:r>
        <w:rPr>
          <w:rFonts w:ascii="Times New Roman" w:cs="Times New Roman" w:eastAsia="Times New Roman" w:hAnsi="Times New Roman"/>
          <w:sz w:val="14"/>
          <w:szCs w:val="14"/>
          <w:b w:val="1"/>
          <w:bCs w:val="1"/>
          <w:color w:val="auto"/>
        </w:rPr>
        <w:t>Separation Parties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Separation Party</w:t>
      </w:r>
      <w:r>
        <w:rPr>
          <w:rFonts w:ascii="Times New Roman" w:cs="Times New Roman" w:eastAsia="Times New Roman" w:hAnsi="Times New Roman"/>
          <w:sz w:val="14"/>
          <w:szCs w:val="14"/>
          <w:color w:val="auto"/>
        </w:rPr>
        <w:t>”), and Gentherm Incorporated, a Michigan corporation (“</w:t>
      </w:r>
      <w:r>
        <w:rPr>
          <w:rFonts w:ascii="Times New Roman" w:cs="Times New Roman" w:eastAsia="Times New Roman" w:hAnsi="Times New Roman"/>
          <w:sz w:val="14"/>
          <w:szCs w:val="14"/>
          <w:b w:val="1"/>
          <w:bCs w:val="1"/>
          <w:color w:val="auto"/>
        </w:rPr>
        <w:t>RMT Partner</w:t>
      </w:r>
      <w:r>
        <w:rPr>
          <w:rFonts w:ascii="Times New Roman" w:cs="Times New Roman" w:eastAsia="Times New Roman" w:hAnsi="Times New Roman"/>
          <w:sz w:val="14"/>
          <w:szCs w:val="14"/>
          <w:color w:val="auto"/>
        </w:rPr>
        <w:t>,” and together with the Company and SpinCo,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7"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WHEREAS, the Company, acting through itself and its direct and indirect Subsidiaries, currently conducts the Company Business and the SpinCo Business;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WHEREAS, SpinCo is a wholly owned Subsidiary of the Company;</w:t>
      </w:r>
    </w:p>
    <w:p>
      <w:pPr>
        <w:spacing w:after="0" w:line="175" w:lineRule="exact"/>
        <w:rPr>
          <w:sz w:val="20"/>
          <w:szCs w:val="20"/>
          <w:color w:val="auto"/>
        </w:rPr>
      </w:pPr>
    </w:p>
    <w:p>
      <w:pPr>
        <w:ind w:left="220" w:right="319" w:firstLine="343"/>
        <w:spacing w:after="0" w:line="261" w:lineRule="auto"/>
        <w:rPr>
          <w:sz w:val="20"/>
          <w:szCs w:val="20"/>
          <w:color w:val="auto"/>
        </w:rPr>
      </w:pPr>
      <w:r>
        <w:rPr>
          <w:rFonts w:ascii="Times New Roman" w:cs="Times New Roman" w:eastAsia="Times New Roman" w:hAnsi="Times New Roman"/>
          <w:sz w:val="14"/>
          <w:szCs w:val="14"/>
          <w:color w:val="auto"/>
        </w:rPr>
        <w:t>WHEREAS, the Company intends to separate the SpinCo Business from the Company Business and to cause the SpinCo Assets to be transferred to SpinCo and the other members of the SpinCo Group and to cause the SpinCo Liabilities to be assumed by SpinCo and other members of the SpinCo Group, upon the terms and subject to the conditions set forth in the Separation Agreement by and among the Company, SpinCo and RMT Partner (the “</w:t>
      </w:r>
      <w:r>
        <w:rPr>
          <w:rFonts w:ascii="Times New Roman" w:cs="Times New Roman" w:eastAsia="Times New Roman" w:hAnsi="Times New Roman"/>
          <w:sz w:val="14"/>
          <w:szCs w:val="14"/>
          <w:b w:val="1"/>
          <w:bCs w:val="1"/>
          <w:color w:val="auto"/>
        </w:rPr>
        <w:t>Separation Agreement</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WHEREAS, in connection with the Separation, SpinCo will make the SpinCo Cash Distribution;</w:t>
      </w:r>
    </w:p>
    <w:p>
      <w:pPr>
        <w:spacing w:after="0" w:line="175" w:lineRule="exact"/>
        <w:rPr>
          <w:sz w:val="20"/>
          <w:szCs w:val="20"/>
          <w:color w:val="auto"/>
        </w:rPr>
      </w:pPr>
    </w:p>
    <w:p>
      <w:pPr>
        <w:ind w:left="220" w:right="499" w:firstLine="343"/>
        <w:spacing w:after="0" w:line="283" w:lineRule="auto"/>
        <w:rPr>
          <w:sz w:val="20"/>
          <w:szCs w:val="20"/>
          <w:color w:val="auto"/>
        </w:rPr>
      </w:pPr>
      <w:r>
        <w:rPr>
          <w:rFonts w:ascii="Times New Roman" w:cs="Times New Roman" w:eastAsia="Times New Roman" w:hAnsi="Times New Roman"/>
          <w:sz w:val="14"/>
          <w:szCs w:val="14"/>
          <w:color w:val="auto"/>
        </w:rPr>
        <w:t xml:space="preserve">WHEREAS, after the Separation and pursuant to the Separation Agreement, the Company will distribute to the holders of Company Common Stock all outstanding shares of the SpinCo Common Stock by means of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distribution;</w:t>
      </w:r>
    </w:p>
    <w:p>
      <w:pPr>
        <w:spacing w:after="0" w:line="125" w:lineRule="exact"/>
        <w:rPr>
          <w:sz w:val="20"/>
          <w:szCs w:val="20"/>
          <w:color w:val="auto"/>
        </w:rPr>
      </w:pPr>
    </w:p>
    <w:p>
      <w:pPr>
        <w:ind w:left="220" w:right="619" w:firstLine="343"/>
        <w:spacing w:after="0" w:line="283" w:lineRule="auto"/>
        <w:rPr>
          <w:sz w:val="20"/>
          <w:szCs w:val="20"/>
          <w:color w:val="auto"/>
        </w:rPr>
      </w:pPr>
      <w:r>
        <w:rPr>
          <w:rFonts w:ascii="Times New Roman" w:cs="Times New Roman" w:eastAsia="Times New Roman" w:hAnsi="Times New Roman"/>
          <w:sz w:val="14"/>
          <w:szCs w:val="14"/>
          <w:color w:val="auto"/>
        </w:rPr>
        <w:t>WHEREAS, for U.S. federal income tax purposes, it is intended that the Contribution and the Distribution, taken together, shall qualify as a “reorganization” within the meaning of Sections 355(a) and 368(a)(1)(D) of the Code;</w:t>
      </w:r>
    </w:p>
    <w:p>
      <w:pPr>
        <w:spacing w:after="0" w:line="125" w:lineRule="exact"/>
        <w:rPr>
          <w:sz w:val="20"/>
          <w:szCs w:val="20"/>
          <w:color w:val="auto"/>
        </w:rPr>
      </w:pPr>
    </w:p>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t>WHEREAS, for U.S. federal income tax purposes, the Distribution is intended to qualify as tax-free under Section 355(a) of the Code to holders of Company Common Stock and as tax-free to the Company under Section 361(c) of the Code;</w:t>
      </w:r>
    </w:p>
    <w:p>
      <w:pPr>
        <w:spacing w:after="0" w:line="125" w:lineRule="exact"/>
        <w:rPr>
          <w:sz w:val="20"/>
          <w:szCs w:val="20"/>
          <w:color w:val="auto"/>
        </w:rPr>
      </w:pPr>
    </w:p>
    <w:p>
      <w:pPr>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WHEREAS, immediately following the Distribution and pursuant to the Merger Agreement, Merger Sub, a wholly owned subsidiary of RMT Partner, will merge with and into SpinCo, with SpinCo as the surviving entity (the “</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all upon the terms and subject to the conditions set forth in the Merger Agreement;</w:t>
      </w:r>
    </w:p>
    <w:p>
      <w:pPr>
        <w:spacing w:after="0" w:line="136" w:lineRule="exact"/>
        <w:rPr>
          <w:sz w:val="20"/>
          <w:szCs w:val="20"/>
          <w:color w:val="auto"/>
        </w:rPr>
      </w:pPr>
    </w:p>
    <w:p>
      <w:pPr>
        <w:ind w:left="220" w:right="519" w:firstLine="343"/>
        <w:spacing w:after="0" w:line="267" w:lineRule="auto"/>
        <w:rPr>
          <w:sz w:val="20"/>
          <w:szCs w:val="20"/>
          <w:color w:val="auto"/>
        </w:rPr>
      </w:pPr>
      <w:r>
        <w:rPr>
          <w:rFonts w:ascii="Times New Roman" w:cs="Times New Roman" w:eastAsia="Times New Roman" w:hAnsi="Times New Roman"/>
          <w:sz w:val="14"/>
          <w:szCs w:val="14"/>
          <w:color w:val="auto"/>
        </w:rPr>
        <w:t>WHEREAS, for U.S. federal income tax purposes, it is the intention of the Parties that the Merger qualify as a “reorganization” within the meaning of Section 368(a) of the Code in which no income, gain or loss will be recognized by the Company, SpinCo, Merger Sub, or the holders of SpinCo Common Stock (except as relates to the receipt by holders of SpinCo Common Stock of cash in lieu of fractional shares);</w:t>
      </w:r>
    </w:p>
    <w:p>
      <w:pPr>
        <w:sectPr>
          <w:pgSz w:w="11900" w:h="16838" w:orient="portrait"/>
          <w:cols w:equalWidth="0" w:num="1">
            <w:col w:w="9019"/>
          </w:cols>
          <w:pgMar w:left="1440" w:top="239" w:right="1440" w:bottom="1440" w:gutter="0" w:footer="0" w:header="0"/>
        </w:sectPr>
      </w:pPr>
    </w:p>
    <w:bookmarkStart w:id="510" w:name="page511"/>
    <w:bookmarkEnd w:id="510"/>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WHEREAS, in connection with the Contribution, Distribution and Merger, the Parties desire to provide for and agree upon the allocation between the Parties of liabilities, and entitlements to refunds thereof, for certain Taxes arising prior to, at the time of, and subsequent to the Contribution, Distribution and Merger, and to provide for and agree upon other matters relating to Taxes and to set forth certain covenants and indemnities relating to the Intended Tax Treatment and the intended tax treatment of certain other transactions.</w:t>
      </w:r>
    </w:p>
    <w:p>
      <w:pPr>
        <w:spacing w:after="0" w:line="141" w:lineRule="exact"/>
        <w:rPr>
          <w:sz w:val="20"/>
          <w:szCs w:val="20"/>
          <w:color w:val="auto"/>
        </w:rPr>
      </w:pPr>
    </w:p>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t>NOW, THEREFORE, in consideration of the foregoing and the terms, conditions, covenants and provisions of this Agreement, each of the Parties mutually covenants and agrees as follows:</w:t>
      </w: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Section 1. Definition of Terms</w:t>
      </w:r>
      <w:r>
        <w:rPr>
          <w:rFonts w:ascii="Times New Roman" w:cs="Times New Roman" w:eastAsia="Times New Roman" w:hAnsi="Times New Roman"/>
          <w:sz w:val="14"/>
          <w:szCs w:val="14"/>
          <w:color w:val="auto"/>
        </w:rPr>
        <w:t>. For purposes of this Agreement (including the recitals hereof), the following terms have the following meanings:</w:t>
      </w:r>
    </w:p>
    <w:p>
      <w:pPr>
        <w:spacing w:after="0" w:line="91" w:lineRule="exact"/>
        <w:rPr>
          <w:sz w:val="20"/>
          <w:szCs w:val="20"/>
          <w:color w:val="auto"/>
        </w:rPr>
      </w:pPr>
    </w:p>
    <w:p>
      <w:pPr>
        <w:ind w:left="220" w:right="29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any entity that is directly or indirectly Controlled by either the person in question or an Affiliate of such person. As used in this paragraph, “</w:t>
      </w:r>
      <w:r>
        <w:rPr>
          <w:rFonts w:ascii="Times New Roman" w:cs="Times New Roman" w:eastAsia="Times New Roman" w:hAnsi="Times New Roman"/>
          <w:sz w:val="14"/>
          <w:szCs w:val="14"/>
          <w:b w:val="1"/>
          <w:bCs w:val="1"/>
          <w:color w:val="auto"/>
        </w:rPr>
        <w:t>Control</w:t>
      </w:r>
      <w:r>
        <w:rPr>
          <w:rFonts w:ascii="Times New Roman" w:cs="Times New Roman" w:eastAsia="Times New Roman" w:hAnsi="Times New Roman"/>
          <w:sz w:val="14"/>
          <w:szCs w:val="14"/>
          <w:color w:val="auto"/>
        </w:rPr>
        <w:t>” means the possession, directly or indirectly, of the power to direct or cause the direction of the management and policies of a person, whether through ownership of voting securities, by contract or otherwise. The term Affiliate shall refer to Affiliates of a person as determined immediately after the Merger.</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means this Tax Matters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220" w:right="25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 Stock</w:t>
      </w:r>
      <w:r>
        <w:rPr>
          <w:rFonts w:ascii="Times New Roman" w:cs="Times New Roman" w:eastAsia="Times New Roman" w:hAnsi="Times New Roman"/>
          <w:sz w:val="14"/>
          <w:szCs w:val="14"/>
          <w:color w:val="auto"/>
        </w:rPr>
        <w:t>” means all classes or series of capital stock of a Separation Party or RMT Partner, including (i) common stock, (ii) all options, warrants and other rights to acquire such capital stock, (iii) all instruments properly treated as stock of the Separation Party or RMT Partner for U.S. federal income tax purposes, and (iv) all other equity, debt, derivative, or other instruments or agreements that confer upon the holder thereof any voting rights with respect to the Separation Party or RMT Partner.</w:t>
      </w:r>
    </w:p>
    <w:p>
      <w:pPr>
        <w:spacing w:after="0" w:line="138" w:lineRule="exact"/>
        <w:rPr>
          <w:sz w:val="20"/>
          <w:szCs w:val="20"/>
          <w:color w:val="auto"/>
        </w:rPr>
      </w:pPr>
    </w:p>
    <w:p>
      <w:pPr>
        <w:ind w:left="220" w:right="91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CFC Member</w:t>
      </w:r>
      <w:r>
        <w:rPr>
          <w:rFonts w:ascii="Times New Roman" w:cs="Times New Roman" w:eastAsia="Times New Roman" w:hAnsi="Times New Roman"/>
          <w:sz w:val="14"/>
          <w:szCs w:val="14"/>
          <w:color w:val="auto"/>
        </w:rPr>
        <w:t>” shall mean any member of the SpinCo Group which is treated, immediately prior to Closing, as a “controlled foreign corporation” as defined in Section 957 of the Code.</w:t>
      </w:r>
    </w:p>
    <w:p>
      <w:pPr>
        <w:spacing w:after="0" w:line="121" w:lineRule="exact"/>
        <w:rPr>
          <w:sz w:val="20"/>
          <w:szCs w:val="20"/>
          <w:color w:val="auto"/>
        </w:rPr>
      </w:pPr>
    </w:p>
    <w:p>
      <w:pPr>
        <w:ind w:left="220" w:right="29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CFC Taxes</w:t>
      </w:r>
      <w:r>
        <w:rPr>
          <w:rFonts w:ascii="Times New Roman" w:cs="Times New Roman" w:eastAsia="Times New Roman" w:hAnsi="Times New Roman"/>
          <w:sz w:val="14"/>
          <w:szCs w:val="14"/>
          <w:color w:val="auto"/>
        </w:rPr>
        <w:t>” shall mean any Tax liability imposed with respect to amounts required to be included under Sections 951 or 951A of the Code (and any deemed dividend pursuant to Sections 78 and 960(a)(1) of the Code attributable to such amount) with respect to any CFC Member that is attributable to the portion of the Straddle Period of such CFC Member that ends on the Closing Date.</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Chosen Courts</w:t>
      </w:r>
      <w:r>
        <w:rPr>
          <w:rFonts w:ascii="Times New Roman" w:cs="Times New Roman" w:eastAsia="Times New Roman" w:hAnsi="Times New Roman"/>
          <w:sz w:val="14"/>
          <w:szCs w:val="14"/>
          <w:color w:val="auto"/>
        </w:rPr>
        <w:t>” shall have the meaning set forth in Section 15.11.</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Claiming Separation Party</w:t>
      </w:r>
      <w:r>
        <w:rPr>
          <w:rFonts w:ascii="Times New Roman" w:cs="Times New Roman" w:eastAsia="Times New Roman" w:hAnsi="Times New Roman"/>
          <w:sz w:val="14"/>
          <w:szCs w:val="14"/>
          <w:color w:val="auto"/>
        </w:rPr>
        <w:t>” shall have the meaning set forth in Section 3.6(a)(i).</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w:t>
      </w:r>
      <w:r>
        <w:rPr>
          <w:rFonts w:ascii="Times New Roman" w:cs="Times New Roman" w:eastAsia="Times New Roman" w:hAnsi="Times New Roman"/>
          <w:sz w:val="14"/>
          <w:szCs w:val="14"/>
          <w:color w:val="auto"/>
        </w:rPr>
        <w:t>” has the meaning set forth in the Merger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511" w:name="page512"/>
    <w:bookmarkEnd w:id="511"/>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means the U.S. Internal Revenue Code of 1986, as amended.</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has the meaning set forth in the first sentence of this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Business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220" w:right="25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Consolidated Return</w:t>
      </w:r>
      <w:r>
        <w:rPr>
          <w:rFonts w:ascii="Times New Roman" w:cs="Times New Roman" w:eastAsia="Times New Roman" w:hAnsi="Times New Roman"/>
          <w:sz w:val="14"/>
          <w:szCs w:val="14"/>
          <w:color w:val="auto"/>
        </w:rPr>
        <w:t>” means any U.S. federal consolidated Income Tax Return required to be filed by the Company as the “common parent” of an “affiliated group” (in each case, within the meaning of Section 1504 of the Code), and any consolidated, combined, unitary or similar Income Tax Return required to be filed by the Company or a member of the Company Group as common parent (or analogous concept) under a similar or analogous provision of state, local or non-U.S. Law.</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Common Stock”</w:t>
      </w:r>
      <w:r>
        <w:rPr>
          <w:rFonts w:ascii="Times New Roman" w:cs="Times New Roman" w:eastAsia="Times New Roman" w:hAnsi="Times New Roman"/>
          <w:sz w:val="14"/>
          <w:szCs w:val="14"/>
          <w:color w:val="auto"/>
        </w:rPr>
        <w:t xml:space="preserve"> has the meaning set forth for “Mercury Common Stock”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Consolidated Taxes</w:t>
      </w:r>
      <w:r>
        <w:rPr>
          <w:rFonts w:ascii="Times New Roman" w:cs="Times New Roman" w:eastAsia="Times New Roman" w:hAnsi="Times New Roman"/>
          <w:sz w:val="14"/>
          <w:szCs w:val="14"/>
          <w:color w:val="auto"/>
        </w:rPr>
        <w:t>” means any Taxes attributable to any Company Consolidated Return.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Group</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Tainting Act</w:t>
      </w:r>
      <w:r>
        <w:rPr>
          <w:rFonts w:ascii="Times New Roman" w:cs="Times New Roman" w:eastAsia="Times New Roman" w:hAnsi="Times New Roman"/>
          <w:sz w:val="14"/>
          <w:szCs w:val="14"/>
          <w:color w:val="auto"/>
        </w:rPr>
        <w:t xml:space="preserve">” means (a) any action (or the failure to take any action) within its control by the Company or any member of the Company Group (including entering into any agreement, understanding or arrangement), (b) any event (or series of events) involving the Capital Stock of the Company, any assets of the Company or any assets of any member of the Company Group, or (c) any breach by the Company or any member of the Company Group of any representation, warranty or covenant made by them in the Merger Agreement or the Transaction Documents, including this Agreement, in each case, that would affect the Intended Tax Treatment;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term “Company Tainting Act” shall not include any action expressly required or permitted by the Merger Agreement or the Transaction Documents (other than this Agreement).</w:t>
      </w:r>
    </w:p>
    <w:p>
      <w:pPr>
        <w:spacing w:after="0" w:line="143" w:lineRule="exact"/>
        <w:rPr>
          <w:sz w:val="20"/>
          <w:szCs w:val="20"/>
          <w:color w:val="auto"/>
        </w:rPr>
      </w:pPr>
    </w:p>
    <w:p>
      <w:pPr>
        <w:ind w:left="220" w:right="299" w:firstLine="34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Taxes</w:t>
      </w:r>
      <w:r>
        <w:rPr>
          <w:rFonts w:ascii="Times New Roman" w:cs="Times New Roman" w:eastAsia="Times New Roman" w:hAnsi="Times New Roman"/>
          <w:sz w:val="14"/>
          <w:szCs w:val="14"/>
          <w:color w:val="auto"/>
        </w:rPr>
        <w:t>” means, without duplication, (a) any Company Consolidated Taxes, (b) any Taxes that are attributable to the Company Business, (c) any Taxes (i) on gain recognized under Treasury Regulations Section 1.1502-19(b) in connection with an excess loss account with respect to the stock of SpinCo or any member of the SpinCo Group at the time of the Distribution, (ii) on net deferred gains taken into account under Treasury Regulations Section 1.1502-13(d) with respect to deferred intercompany transactions between a SpinCo Group member and a Company Group member and (iii) under similar or corresponding provisions of state, local or non-U.S. Law, (d) any Taxes attributable to a Company Tainting Act, (e) any Taxes (including CFC Taxes) of SpinCo, a member of the SpinCo Group or the SpinCo Business attributable to any Pre-Distribution Period, and (f) Taxes (including Transfer Taxes) attributable to the Separation Transactions, in the case of each of clauses (a), (b), (c), (e), and (f), other than Taxes described in clause (b) or (c) of the definition of “SpinCo Taxes.”</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Contribution</w:t>
      </w:r>
      <w:r>
        <w:rPr>
          <w:rFonts w:ascii="Times New Roman" w:cs="Times New Roman" w:eastAsia="Times New Roman" w:hAnsi="Times New Roman"/>
          <w:sz w:val="14"/>
          <w:szCs w:val="14"/>
          <w:color w:val="auto"/>
        </w:rPr>
        <w:t>” has the meaning set forth in the Separation Agreement.</w:t>
      </w:r>
    </w:p>
    <w:p>
      <w:pPr>
        <w:spacing w:after="0" w:line="1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9" w:right="1440" w:bottom="1440" w:gutter="0" w:footer="0" w:header="0"/>
        </w:sectPr>
      </w:pPr>
    </w:p>
    <w:bookmarkStart w:id="512" w:name="page513"/>
    <w:bookmarkEnd w:id="512"/>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Controlling Separation Party</w:t>
      </w:r>
      <w:r>
        <w:rPr>
          <w:rFonts w:ascii="Times New Roman" w:cs="Times New Roman" w:eastAsia="Times New Roman" w:hAnsi="Times New Roman"/>
          <w:sz w:val="14"/>
          <w:szCs w:val="14"/>
          <w:color w:val="auto"/>
        </w:rPr>
        <w:t>” shall have the meaning set forth in Section 9.2(a).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-4445</wp:posOffset>
            </wp:positionV>
            <wp:extent cx="22225"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8">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Dispute</w:t>
      </w:r>
      <w:r>
        <w:rPr>
          <w:rFonts w:ascii="Times New Roman" w:cs="Times New Roman" w:eastAsia="Times New Roman" w:hAnsi="Times New Roman"/>
          <w:sz w:val="14"/>
          <w:szCs w:val="14"/>
          <w:color w:val="auto"/>
        </w:rPr>
        <w:t>” shall have the meaning set forth in Section 13.1.</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 Date</w:t>
      </w:r>
      <w:r>
        <w:rPr>
          <w:rFonts w:ascii="Times New Roman" w:cs="Times New Roman" w:eastAsia="Times New Roman" w:hAnsi="Times New Roman"/>
          <w:sz w:val="14"/>
          <w:szCs w:val="14"/>
          <w:color w:val="auto"/>
        </w:rPr>
        <w:t>” shall have the meaning set forth in the Separation Agreement.</w:t>
      </w:r>
    </w:p>
    <w:p>
      <w:pPr>
        <w:spacing w:after="0" w:line="175" w:lineRule="exact"/>
        <w:rPr>
          <w:sz w:val="20"/>
          <w:szCs w:val="20"/>
          <w:color w:val="auto"/>
        </w:rPr>
      </w:pPr>
    </w:p>
    <w:p>
      <w:pPr>
        <w:ind w:left="220" w:right="37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 Taxes</w:t>
      </w:r>
      <w:r>
        <w:rPr>
          <w:rFonts w:ascii="Times New Roman" w:cs="Times New Roman" w:eastAsia="Times New Roman" w:hAnsi="Times New Roman"/>
          <w:sz w:val="14"/>
          <w:szCs w:val="14"/>
          <w:color w:val="auto"/>
        </w:rPr>
        <w:t>” means any and all Taxes required to be paid by or imposed on a Separation Party or any of its Affiliates resulting from, or directly arising in connection with, the failure of the Contribution (including the SpinCo Cash Distribution) and the Distribution to qualify for the Intended Tax Treatment of such transactions.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 Tax Opinion</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220" w:right="75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Distribution Tax-Related Losses</w:t>
      </w:r>
      <w:r>
        <w:rPr>
          <w:rFonts w:ascii="Times New Roman" w:cs="Times New Roman" w:eastAsia="Times New Roman" w:hAnsi="Times New Roman"/>
          <w:sz w:val="14"/>
          <w:szCs w:val="14"/>
          <w:color w:val="auto"/>
        </w:rPr>
        <w:t>” means (a) all Distribution Taxes imposed pursuant to any Final Determination and (b) all reasonable accounting, legal and other professional fees and court costs incurred in connection with such Distribution Taxes.</w:t>
      </w:r>
    </w:p>
    <w:p>
      <w:pPr>
        <w:spacing w:after="0" w:line="121" w:lineRule="exact"/>
        <w:rPr>
          <w:sz w:val="20"/>
          <w:szCs w:val="20"/>
          <w:color w:val="auto"/>
        </w:rPr>
      </w:pPr>
    </w:p>
    <w:p>
      <w:pPr>
        <w:ind w:left="220" w:right="25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Due Date</w:t>
      </w:r>
      <w:r>
        <w:rPr>
          <w:rFonts w:ascii="Times New Roman" w:cs="Times New Roman" w:eastAsia="Times New Roman" w:hAnsi="Times New Roman"/>
          <w:sz w:val="14"/>
          <w:szCs w:val="14"/>
          <w:color w:val="auto"/>
        </w:rPr>
        <w:t>” means the date (taking into account all valid extensions) upon which a Tax Return is required to be filed with or Taxes are required to be paid to a Tax Authority, whichever is applicable.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Time</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Employee Matters Agreement</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220" w:right="41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Excess Borrowed Amount</w:t>
      </w:r>
      <w:r>
        <w:rPr>
          <w:rFonts w:ascii="Times New Roman" w:cs="Times New Roman" w:eastAsia="Times New Roman" w:hAnsi="Times New Roman"/>
          <w:sz w:val="14"/>
          <w:szCs w:val="14"/>
          <w:color w:val="auto"/>
        </w:rPr>
        <w:t>” means an amount equal to the excess of (A) the amount borrowed under the SpinCo Financing and/or Permanent SpinCo Financing as described in clause (i) of the definition of Permitted Leverage Distribution over (B) the SpinCo Cash Distribution (for the avoidance of doubt, after taking into account any adjustments pursuant to Section 3.1(c)(ii) of the Merger Agreement).</w:t>
      </w:r>
    </w:p>
    <w:p>
      <w:pPr>
        <w:spacing w:after="0" w:line="133" w:lineRule="exact"/>
        <w:rPr>
          <w:sz w:val="20"/>
          <w:szCs w:val="20"/>
          <w:color w:val="auto"/>
        </w:rPr>
      </w:pPr>
    </w:p>
    <w:p>
      <w:pPr>
        <w:ind w:left="220" w:right="25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Extraordinary Transaction</w:t>
      </w:r>
      <w:r>
        <w:rPr>
          <w:rFonts w:ascii="Times New Roman" w:cs="Times New Roman" w:eastAsia="Times New Roman" w:hAnsi="Times New Roman"/>
          <w:sz w:val="14"/>
          <w:szCs w:val="14"/>
          <w:color w:val="auto"/>
        </w:rPr>
        <w:t>” means any action that is not in the ordinary course of business, but shall not include any action expressly required by the Merger Agreement or any Transaction Document (including the Separation Agreement) or any action undertaken pursuant to the Contribution, the SpinCo Cash Distribution, the Distribution or the other Separation Transactions but shall include transfers described in clause (ii) of the definition of Permitted Leverage Distribution.</w:t>
      </w:r>
    </w:p>
    <w:p>
      <w:pPr>
        <w:spacing w:after="0" w:line="138" w:lineRule="exact"/>
        <w:rPr>
          <w:sz w:val="20"/>
          <w:szCs w:val="20"/>
          <w:color w:val="auto"/>
        </w:rPr>
      </w:pPr>
    </w:p>
    <w:p>
      <w:pPr>
        <w:ind w:left="220" w:right="39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Determination</w:t>
      </w:r>
      <w:r>
        <w:rPr>
          <w:rFonts w:ascii="Times New Roman" w:cs="Times New Roman" w:eastAsia="Times New Roman" w:hAnsi="Times New Roman"/>
          <w:sz w:val="14"/>
          <w:szCs w:val="14"/>
          <w:color w:val="auto"/>
        </w:rPr>
        <w:t>” means the final resolution of liability for any Tax, which resolution may be for a specific issue or adjustment or for a taxable period, (a) by IRS Form 870 or 870-AD (or any successor forms thereto), on the date of acceptance by or on behalf of the taxpayer, or by a comparable form under the Laws of a state, local or non-U.S. taxing jurisdiction, except that a Form 870 or 870-AD or comparable form shall not constitute a Final Determination to the extent that it reserves (whether by its terms or by operation of law) the right of the taxpayer to file a claim for refund or the right of the Tax Authority to assert a further deficiency in respect of such issue or adjustment or for such taxable period (as the case may be);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513" w:name="page514"/>
    <w:bookmarkEnd w:id="513"/>
    <w:p>
      <w:pPr>
        <w:ind w:left="220" w:right="259" w:hanging="5"/>
        <w:spacing w:after="0" w:line="257" w:lineRule="auto"/>
        <w:tabs>
          <w:tab w:leader="none" w:pos="418" w:val="left"/>
        </w:tabs>
        <w:numPr>
          <w:ilvl w:val="0"/>
          <w:numId w:val="5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by a decision, judgment, decree or other order by a court of competent jurisdiction, which has become final and unappealable; (c) by a closing agreement or accepted offer in compromise under Sections 7121 or 7122 of the Code, or a comparable agreement under the Laws of a state, local or non-U.S. taxing jurisdiction; (d) by any allowance of a refund or credit in respect of an overpayment of Tax, but only after the expiration of all periods during which such refund may be recovered (including by way of offset) by the jurisdiction imposing such Tax; (e) by a final settlement resulting from a treaty-based competent authority determination; or (f) by any other final disposition, including by reason of the expiration of the applicable statute of limitations or by mutual agreement of the Separation Parties.</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Group</w:t>
      </w:r>
      <w:r>
        <w:rPr>
          <w:rFonts w:ascii="Times New Roman" w:cs="Times New Roman" w:eastAsia="Times New Roman" w:hAnsi="Times New Roman"/>
          <w:sz w:val="14"/>
          <w:szCs w:val="14"/>
          <w:color w:val="auto"/>
        </w:rPr>
        <w:t>” means the Company Group or the SpinCo Group, or both, as the context requires.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Income Taxes</w:t>
      </w:r>
      <w:r>
        <w:rPr>
          <w:rFonts w:ascii="Times New Roman" w:cs="Times New Roman" w:eastAsia="Times New Roman" w:hAnsi="Times New Roman"/>
          <w:sz w:val="14"/>
          <w:szCs w:val="14"/>
          <w:color w:val="auto"/>
        </w:rPr>
        <w:t>” means:</w:t>
      </w:r>
    </w:p>
    <w:p>
      <w:pPr>
        <w:spacing w:after="0" w:line="104" w:lineRule="exact"/>
        <w:rPr>
          <w:sz w:val="20"/>
          <w:szCs w:val="20"/>
          <w:color w:val="auto"/>
        </w:rPr>
      </w:pPr>
    </w:p>
    <w:p>
      <w:pPr>
        <w:ind w:left="980" w:right="259" w:hanging="429"/>
        <w:spacing w:after="0" w:line="261" w:lineRule="auto"/>
        <w:tabs>
          <w:tab w:leader="none" w:pos="98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Taxes based upon, measured by, or calculated with respect to (i) net income or profits (including, any capital gains, minimum tax or any Tax on items of tax preference, but not including sales, use, real or personal property, gross or net receipts, value added, excise, leasing, transfer or similar Taxes) or (ii) multiple bases (including, corporate franchise, doing business and occupation Taxes) if one or more bases upon which such Tax is determined is described in clause (a)(i) above; and</w:t>
      </w:r>
    </w:p>
    <w:p>
      <w:pPr>
        <w:spacing w:after="0" w:line="67" w:lineRule="exact"/>
        <w:rPr>
          <w:rFonts w:ascii="Times New Roman" w:cs="Times New Roman" w:eastAsia="Times New Roman" w:hAnsi="Times New Roman"/>
          <w:sz w:val="14"/>
          <w:szCs w:val="14"/>
          <w:color w:val="auto"/>
        </w:rPr>
      </w:pPr>
    </w:p>
    <w:p>
      <w:pPr>
        <w:ind w:left="980" w:hanging="429"/>
        <w:spacing w:after="0"/>
        <w:tabs>
          <w:tab w:leader="none" w:pos="980" w:val="left"/>
        </w:tabs>
        <w:numPr>
          <w:ilvl w:val="0"/>
          <w:numId w:val="5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related interest and any penalties, additions to such Tax or additional amounts imposed with respect thereto by any Tax Authority.</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Income Tax Returns</w:t>
      </w:r>
      <w:r>
        <w:rPr>
          <w:rFonts w:ascii="Times New Roman" w:cs="Times New Roman" w:eastAsia="Times New Roman" w:hAnsi="Times New Roman"/>
          <w:sz w:val="14"/>
          <w:szCs w:val="14"/>
          <w:color w:val="auto"/>
        </w:rPr>
        <w:t>” means all Tax Returns that relate to Income Taxes.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Intended Tax Treatment</w:t>
      </w:r>
      <w:r>
        <w:rPr>
          <w:rFonts w:ascii="Times New Roman" w:cs="Times New Roman" w:eastAsia="Times New Roman" w:hAnsi="Times New Roman"/>
          <w:sz w:val="14"/>
          <w:szCs w:val="14"/>
          <w:color w:val="auto"/>
        </w:rPr>
        <w:t>” means the following U.S. federal income Tax consequences in connection with the Separation, the Contribution, the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SpinCo Cash Distribution, the Distribution, the Merger and certain related transactions:</w:t>
      </w:r>
    </w:p>
    <w:p>
      <w:pPr>
        <w:spacing w:after="0" w:line="87" w:lineRule="exact"/>
        <w:rPr>
          <w:sz w:val="20"/>
          <w:szCs w:val="20"/>
          <w:color w:val="auto"/>
        </w:rPr>
      </w:pPr>
    </w:p>
    <w:p>
      <w:pPr>
        <w:ind w:left="980" w:right="259" w:hanging="429"/>
        <w:spacing w:after="0" w:line="283" w:lineRule="auto"/>
        <w:tabs>
          <w:tab w:leader="none" w:pos="98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qualification of the Contribution (including the SpinCo Cash Distribution) and Distribution, taken together, as a “reorganization” under Sections 355(a) and 368(a)(1)(D) of the Code;</w:t>
      </w:r>
    </w:p>
    <w:p>
      <w:pPr>
        <w:spacing w:after="0" w:line="51" w:lineRule="exact"/>
        <w:rPr>
          <w:rFonts w:ascii="Times New Roman" w:cs="Times New Roman" w:eastAsia="Times New Roman" w:hAnsi="Times New Roman"/>
          <w:sz w:val="14"/>
          <w:szCs w:val="14"/>
          <w:color w:val="auto"/>
        </w:rPr>
      </w:pPr>
    </w:p>
    <w:p>
      <w:pPr>
        <w:ind w:left="980" w:right="359" w:hanging="429"/>
        <w:spacing w:after="0" w:line="258" w:lineRule="auto"/>
        <w:tabs>
          <w:tab w:leader="none" w:pos="980" w:val="left"/>
        </w:tabs>
        <w:numPr>
          <w:ilvl w:val="0"/>
          <w:numId w:val="5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nonrecognition of gain or loss by the Company on the receipt of the SpinCo Cash Distribution and any other cash received by the Company pursuant to the Contribution, except to the extent the amount of the SpinCo Cash Distribution and any such other cash exceeds the Company’s adjusted tax basis in the assets transferred to SpinCo pursuant to the Contribution and assuming the Company transfers to creditors or distributes to shareholders the cash received in the SpinCo Cash Distribution and any such other cash received by the Company in pursuance of the plan of reorganization within the meaning of Section 361(b)(1) of the Code;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514" w:name="page515"/>
    <w:bookmarkEnd w:id="514"/>
    <w:p>
      <w:pPr>
        <w:ind w:left="980" w:right="459" w:hanging="429"/>
        <w:spacing w:after="0" w:line="267" w:lineRule="auto"/>
        <w:tabs>
          <w:tab w:leader="none" w:pos="980"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qualification of the Distribution as a transaction in which the SpinCo Common Stock distributed to holders of Company Common Stock is “qualified property” for purposes of Sections 355 and 361(c) of the Code (and neither Section 355(d) nor Section 355(e) of the Code causes such SpinCo Common Stock to be treated as other than “qualified property” for such purposes);</w:t>
      </w:r>
    </w:p>
    <w:p>
      <w:pPr>
        <w:spacing w:after="0" w:line="61" w:lineRule="exact"/>
        <w:rPr>
          <w:rFonts w:ascii="Times New Roman" w:cs="Times New Roman" w:eastAsia="Times New Roman" w:hAnsi="Times New Roman"/>
          <w:sz w:val="14"/>
          <w:szCs w:val="14"/>
          <w:color w:val="auto"/>
        </w:rPr>
      </w:pPr>
    </w:p>
    <w:p>
      <w:pPr>
        <w:ind w:left="980" w:right="339" w:hanging="429"/>
        <w:spacing w:after="0" w:line="267" w:lineRule="auto"/>
        <w:tabs>
          <w:tab w:leader="none" w:pos="980"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nonrecognition of income, gain or loss by the Company and SpinCo on the Contribution and the Distribution under Sections 355, 361 and/or 1032 of the Code, as applicable, other than intercompany items or excess loss accounts, if any, taken into account pursuant to the Treasury Regulations promulgated pursuant to Section 1502 of the Code;</w:t>
      </w:r>
    </w:p>
    <w:p>
      <w:pPr>
        <w:spacing w:after="0" w:line="61" w:lineRule="exact"/>
        <w:rPr>
          <w:rFonts w:ascii="Times New Roman" w:cs="Times New Roman" w:eastAsia="Times New Roman" w:hAnsi="Times New Roman"/>
          <w:sz w:val="14"/>
          <w:szCs w:val="14"/>
          <w:color w:val="auto"/>
        </w:rPr>
      </w:pPr>
    </w:p>
    <w:p>
      <w:pPr>
        <w:ind w:left="980" w:right="359" w:hanging="429"/>
        <w:spacing w:after="0" w:line="267" w:lineRule="auto"/>
        <w:tabs>
          <w:tab w:leader="none" w:pos="980"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nonrecognition of income, gain or loss by holders of Company Common Stock upon the receipt of SpinCo Common Stock in the Distribution under Section 355 of the Code, excluding any recipient of SpinCo Common Stock described in Section 3.4 of the Separation Agreement;</w:t>
      </w:r>
    </w:p>
    <w:p>
      <w:pPr>
        <w:spacing w:after="0" w:line="61" w:lineRule="exact"/>
        <w:rPr>
          <w:rFonts w:ascii="Times New Roman" w:cs="Times New Roman" w:eastAsia="Times New Roman" w:hAnsi="Times New Roman"/>
          <w:sz w:val="14"/>
          <w:szCs w:val="14"/>
          <w:color w:val="auto"/>
        </w:rPr>
      </w:pPr>
    </w:p>
    <w:p>
      <w:pPr>
        <w:ind w:left="980" w:right="779" w:hanging="429"/>
        <w:spacing w:after="0" w:line="283" w:lineRule="auto"/>
        <w:tabs>
          <w:tab w:leader="none" w:pos="980"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nonrecognition of income, gain or loss by the Company on the distribution of the proceeds of the SpinCo Cash Distribution to Company creditors or shareholders under Section 361(b) of the Code; and</w:t>
      </w:r>
    </w:p>
    <w:p>
      <w:pPr>
        <w:spacing w:after="0" w:line="51" w:lineRule="exact"/>
        <w:rPr>
          <w:rFonts w:ascii="Times New Roman" w:cs="Times New Roman" w:eastAsia="Times New Roman" w:hAnsi="Times New Roman"/>
          <w:sz w:val="14"/>
          <w:szCs w:val="14"/>
          <w:color w:val="auto"/>
        </w:rPr>
      </w:pPr>
    </w:p>
    <w:p>
      <w:pPr>
        <w:ind w:left="980" w:right="439" w:hanging="429"/>
        <w:spacing w:after="0" w:line="267" w:lineRule="auto"/>
        <w:tabs>
          <w:tab w:leader="none" w:pos="980" w:val="left"/>
        </w:tabs>
        <w:numPr>
          <w:ilvl w:val="0"/>
          <w:numId w:val="5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qualification of the Merger as a “reorganization” within the meaning of Section 368(a) of the Code in which no income, gain or loss will be recognized by the Company, SpinCo, Merger Sub or the holders of SpinCo Common Stock (except as relates to the receipt by holders of SpinCo Common Stock of cash in lieu of fractional shares).</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IRS</w:t>
      </w:r>
      <w:r>
        <w:rPr>
          <w:rFonts w:ascii="Times New Roman" w:cs="Times New Roman" w:eastAsia="Times New Roman" w:hAnsi="Times New Roman"/>
          <w:sz w:val="14"/>
          <w:szCs w:val="14"/>
          <w:color w:val="auto"/>
        </w:rPr>
        <w:t>” means the United States Internal Revenue Service.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IRS Ruling</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220" w:right="33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 shall mean any national, supranational, federal, state, provincial, local or similar law (including common law), statute, code, order, ordinance, rule, regulation, treaty (including any income tax treaty), license, permit, decree, injunction, binding judicial or administrative interpretation or other requirement, in each case, enacted, promulgated, issued or entered by a Governmental Authority.</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Mercury Merger Tax Opinion</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w:t>
      </w:r>
      <w:r>
        <w:rPr>
          <w:rFonts w:ascii="Times New Roman" w:cs="Times New Roman" w:eastAsia="Times New Roman" w:hAnsi="Times New Roman"/>
          <w:sz w:val="14"/>
          <w:szCs w:val="14"/>
          <w:color w:val="auto"/>
        </w:rPr>
        <w:t>” has the meaning set forth in the Recitals.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 Agreement</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Non-Controlling Separation Party</w:t>
      </w:r>
      <w:r>
        <w:rPr>
          <w:rFonts w:ascii="Times New Roman" w:cs="Times New Roman" w:eastAsia="Times New Roman" w:hAnsi="Times New Roman"/>
          <w:sz w:val="14"/>
          <w:szCs w:val="14"/>
          <w:color w:val="auto"/>
        </w:rPr>
        <w:t>” shall have the meaning set forth in Section 9.2(b).</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Overlap Shareholders</w:t>
      </w:r>
      <w:r>
        <w:rPr>
          <w:rFonts w:ascii="Times New Roman" w:cs="Times New Roman" w:eastAsia="Times New Roman" w:hAnsi="Times New Roman"/>
          <w:sz w:val="14"/>
          <w:szCs w:val="14"/>
          <w:color w:val="auto"/>
        </w:rPr>
        <w:t>” has the meaning set forth in the Merger Agreement.</w:t>
      </w:r>
    </w:p>
    <w:p>
      <w:pPr>
        <w:spacing w:after="0" w:line="1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515" w:name="page516"/>
    <w:bookmarkEnd w:id="515"/>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have the meanings set forth in the first sentence of this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Past Practices</w:t>
      </w:r>
      <w:r>
        <w:rPr>
          <w:rFonts w:ascii="Times New Roman" w:cs="Times New Roman" w:eastAsia="Times New Roman" w:hAnsi="Times New Roman"/>
          <w:sz w:val="14"/>
          <w:szCs w:val="14"/>
          <w:color w:val="auto"/>
        </w:rPr>
        <w:t>” shall have the meaning set forth in Section 3.3(a).</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Payor</w:t>
      </w:r>
      <w:r>
        <w:rPr>
          <w:rFonts w:ascii="Times New Roman" w:cs="Times New Roman" w:eastAsia="Times New Roman" w:hAnsi="Times New Roman"/>
          <w:sz w:val="14"/>
          <w:szCs w:val="14"/>
          <w:color w:val="auto"/>
        </w:rPr>
        <w:t>” shall have the meaning set forth in Section 4.1(a).</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Permanent SpinCo Financing</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220" w:right="25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Leverage Distribution</w:t>
      </w:r>
      <w:r>
        <w:rPr>
          <w:rFonts w:ascii="Times New Roman" w:cs="Times New Roman" w:eastAsia="Times New Roman" w:hAnsi="Times New Roman"/>
          <w:sz w:val="14"/>
          <w:szCs w:val="14"/>
          <w:color w:val="auto"/>
        </w:rPr>
        <w:t xml:space="preserve">” means, in the event of any adjustment to the SpinCo Cash Distribution pursuant to Section 3.1(c)(ii) of the Merger Agreement, (i) the borrowing prior to or after the Distribution by SpinCo pursuant to the SpinCo Financing and/or Permanent SpinCo Financing and (ii) the transfer of cash (in the form of a distribution or loan) by SpinCo to RMT Partner after the Merger in an amount equal to the Excess Borrowed Amount;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Permitted Leverage Distribution can only be made to the extent used to fund a RMT Partner Special Dividend.</w:t>
      </w:r>
    </w:p>
    <w:p>
      <w:pPr>
        <w:spacing w:after="0" w:line="138" w:lineRule="exact"/>
        <w:rPr>
          <w:sz w:val="20"/>
          <w:szCs w:val="20"/>
          <w:color w:val="auto"/>
        </w:rPr>
      </w:pPr>
    </w:p>
    <w:p>
      <w:pPr>
        <w:ind w:left="220" w:right="399" w:firstLine="343"/>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Repurchase</w:t>
      </w:r>
      <w:r>
        <w:rPr>
          <w:rFonts w:ascii="Times New Roman" w:cs="Times New Roman" w:eastAsia="Times New Roman" w:hAnsi="Times New Roman"/>
          <w:sz w:val="13"/>
          <w:szCs w:val="13"/>
          <w:color w:val="auto"/>
        </w:rPr>
        <w:t>” means a purchase by RMT Partner of RMT Partner’s outstanding stock to the extent (i) (x) the IRS Ruling includes a ruling substantially to the effect that a redemption or repurchase of RMT Partner’s stock meeting certain conditions will be treated as being made on a pro rata basis from all holders of RMT Partner’s stock (except with respect to persons specified in the IRS Ruling as excluded from such treatment (“</w:t>
      </w:r>
      <w:r>
        <w:rPr>
          <w:rFonts w:ascii="Times New Roman" w:cs="Times New Roman" w:eastAsia="Times New Roman" w:hAnsi="Times New Roman"/>
          <w:sz w:val="13"/>
          <w:szCs w:val="13"/>
          <w:b w:val="1"/>
          <w:bCs w:val="1"/>
          <w:color w:val="auto"/>
        </w:rPr>
        <w:t>Excluded Shareholders</w:t>
      </w:r>
      <w:r>
        <w:rPr>
          <w:rFonts w:ascii="Times New Roman" w:cs="Times New Roman" w:eastAsia="Times New Roman" w:hAnsi="Times New Roman"/>
          <w:sz w:val="13"/>
          <w:szCs w:val="13"/>
          <w:color w:val="auto"/>
        </w:rPr>
        <w:t>”)) for purposes of testing the effect of the redemption or repurchase on the Distribution under Section 355(e) of the Code, (y) such purchase fully satisfies such conditions in the IRS Ruling and (z) at the time of such purchase, no person that owns (for purposes of</w:t>
      </w:r>
    </w:p>
    <w:p>
      <w:pPr>
        <w:spacing w:after="0" w:line="1" w:lineRule="exact"/>
        <w:rPr>
          <w:sz w:val="20"/>
          <w:szCs w:val="20"/>
          <w:color w:val="auto"/>
        </w:rPr>
      </w:pPr>
    </w:p>
    <w:p>
      <w:pPr>
        <w:ind w:left="220" w:right="299"/>
        <w:spacing w:after="0" w:line="250" w:lineRule="auto"/>
        <w:rPr>
          <w:sz w:val="20"/>
          <w:szCs w:val="20"/>
          <w:color w:val="auto"/>
        </w:rPr>
      </w:pPr>
      <w:r>
        <w:rPr>
          <w:rFonts w:ascii="Times New Roman" w:cs="Times New Roman" w:eastAsia="Times New Roman" w:hAnsi="Times New Roman"/>
          <w:sz w:val="14"/>
          <w:szCs w:val="14"/>
          <w:color w:val="auto"/>
        </w:rPr>
        <w:t xml:space="preserve">Section 355(e) of the Code) RMT Partner’s stock is an Excluded Shareholder, such that the purchase by RMT Partner would be treated pursuant to the IRS Ruling as being made on a completely pro rata basis from all holders of RMT Partner’s stock, and (ii) either (A) such purchase meets the requirements of Section 4.05(1)(b) of Revenue Procedure 96-30, 1996-1 C.B. 696 (without regard to the effect of Revenue Procedure 2003-48, 2003-29 I.R.B. 86 on Revenue Procedure 96-30);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purposes of Revenue Procedure 96-30, unless otherwise set forth in the IRS Ruling,</w:t>
      </w:r>
    </w:p>
    <w:p>
      <w:pPr>
        <w:spacing w:after="0" w:line="2" w:lineRule="exact"/>
        <w:rPr>
          <w:sz w:val="20"/>
          <w:szCs w:val="20"/>
          <w:color w:val="auto"/>
        </w:rPr>
      </w:pPr>
    </w:p>
    <w:p>
      <w:pPr>
        <w:ind w:left="220" w:right="299"/>
        <w:spacing w:after="0" w:line="254" w:lineRule="auto"/>
        <w:rPr>
          <w:sz w:val="20"/>
          <w:szCs w:val="20"/>
          <w:color w:val="auto"/>
        </w:rPr>
      </w:pPr>
      <w:r>
        <w:rPr>
          <w:rFonts w:ascii="Times New Roman" w:cs="Times New Roman" w:eastAsia="Times New Roman" w:hAnsi="Times New Roman"/>
          <w:sz w:val="14"/>
          <w:szCs w:val="14"/>
          <w:color w:val="auto"/>
        </w:rPr>
        <w:t>“20 percent of the outstanding stock of the corporation” shall be determined based on RMT Partner’s stock outstanding after the Merger, or (B) the IRS Ruling includes a ruling substantially to the effect that a redemption or repurchase of RMT Partner’s stock meeting certain conditions that does not otherwise satisfy clause (A) hereof will not be evidence that the Distribution was used principally as a device for the distribution of earnings and profits under Section 355(a)(1)(B) of the Code, and such purchase fully satisfies such conditions in the IRS Ruling.</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Restructuring Transactions</w:t>
      </w:r>
      <w:r>
        <w:rPr>
          <w:rFonts w:ascii="Times New Roman" w:cs="Times New Roman" w:eastAsia="Times New Roman" w:hAnsi="Times New Roman"/>
          <w:sz w:val="14"/>
          <w:szCs w:val="14"/>
          <w:color w:val="auto"/>
        </w:rPr>
        <w:t>” means the transactions described on Exhibit A attached hereto.</w:t>
      </w:r>
    </w:p>
    <w:p>
      <w:pPr>
        <w:spacing w:after="0" w:line="175" w:lineRule="exact"/>
        <w:rPr>
          <w:sz w:val="20"/>
          <w:szCs w:val="20"/>
          <w:color w:val="auto"/>
        </w:rPr>
      </w:pPr>
    </w:p>
    <w:p>
      <w:pPr>
        <w:ind w:left="220" w:right="35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 individual, a partnership, a corporation, a limited liability company, an association, a joint stock company, a trust, a joint venture, an unincorporated organization or a governmental entity or any department, agency or political subdivision thereof, without regard to whether any entity is treated as disregarded for U.S. federal income tax purposes.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516" w:name="page517"/>
    <w:bookmarkEnd w:id="516"/>
    <w:p>
      <w:pPr>
        <w:ind w:left="220" w:right="439" w:firstLine="343"/>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Post-Distribution Period</w:t>
      </w:r>
      <w:r>
        <w:rPr>
          <w:rFonts w:ascii="Times New Roman" w:cs="Times New Roman" w:eastAsia="Times New Roman" w:hAnsi="Times New Roman"/>
          <w:sz w:val="14"/>
          <w:szCs w:val="14"/>
          <w:color w:val="auto"/>
        </w:rPr>
        <w:t>” means any Tax Period beginning after the Distribution Date, and, in the case of any Straddle Period, the portion of such Straddle Period beginning the day after the Distribution Date.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Post-Distribution Ruling</w:t>
      </w:r>
      <w:r>
        <w:rPr>
          <w:rFonts w:ascii="Times New Roman" w:cs="Times New Roman" w:eastAsia="Times New Roman" w:hAnsi="Times New Roman"/>
          <w:sz w:val="14"/>
          <w:szCs w:val="14"/>
          <w:color w:val="auto"/>
        </w:rPr>
        <w:t>” shall have the meaning set forth in Section 6.1.</w:t>
      </w:r>
    </w:p>
    <w:p>
      <w:pPr>
        <w:spacing w:after="0" w:line="175" w:lineRule="exact"/>
        <w:rPr>
          <w:sz w:val="20"/>
          <w:szCs w:val="20"/>
          <w:color w:val="auto"/>
        </w:rPr>
      </w:pPr>
    </w:p>
    <w:p>
      <w:pPr>
        <w:ind w:left="220" w:right="23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Pre-Distribution Period</w:t>
      </w:r>
      <w:r>
        <w:rPr>
          <w:rFonts w:ascii="Times New Roman" w:cs="Times New Roman" w:eastAsia="Times New Roman" w:hAnsi="Times New Roman"/>
          <w:sz w:val="14"/>
          <w:szCs w:val="14"/>
          <w:color w:val="auto"/>
        </w:rPr>
        <w:t>” means any Tax Period ending on or before the Distribution Date, and, in the case of any Straddle Period, the portion of such Straddle Period ending on the Distribution Date.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Preliminary Tax Advisor</w:t>
      </w:r>
      <w:r>
        <w:rPr>
          <w:rFonts w:ascii="Times New Roman" w:cs="Times New Roman" w:eastAsia="Times New Roman" w:hAnsi="Times New Roman"/>
          <w:sz w:val="14"/>
          <w:szCs w:val="14"/>
          <w:color w:val="auto"/>
        </w:rPr>
        <w:t>” shall have the meaning set forth in Section 13.3.</w:t>
      </w:r>
    </w:p>
    <w:p>
      <w:pPr>
        <w:spacing w:after="0" w:line="175" w:lineRule="exact"/>
        <w:rPr>
          <w:sz w:val="20"/>
          <w:szCs w:val="20"/>
          <w:color w:val="auto"/>
        </w:rPr>
      </w:pPr>
    </w:p>
    <w:p>
      <w:pPr>
        <w:ind w:left="220" w:right="23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Privilege</w:t>
      </w:r>
      <w:r>
        <w:rPr>
          <w:rFonts w:ascii="Times New Roman" w:cs="Times New Roman" w:eastAsia="Times New Roman" w:hAnsi="Times New Roman"/>
          <w:sz w:val="14"/>
          <w:szCs w:val="14"/>
          <w:color w:val="auto"/>
        </w:rPr>
        <w:t>” means any privilege that may be asserted under applicable Law, including, any privilege arising under or relating to the attorney-client relationship (including the attorney-client and work product privileges), the accountant-client privilege and any privilege relating to internal evaluation processes.</w:t>
      </w:r>
    </w:p>
    <w:p>
      <w:pPr>
        <w:spacing w:after="0" w:line="133" w:lineRule="exact"/>
        <w:rPr>
          <w:sz w:val="20"/>
          <w:szCs w:val="20"/>
          <w:color w:val="auto"/>
        </w:rPr>
      </w:pPr>
    </w:p>
    <w:p>
      <w:pPr>
        <w:ind w:left="220" w:right="279" w:firstLine="343"/>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Proposed Acquisition Transaction</w:t>
      </w:r>
      <w:r>
        <w:rPr>
          <w:rFonts w:ascii="Times New Roman" w:cs="Times New Roman" w:eastAsia="Times New Roman" w:hAnsi="Times New Roman"/>
          <w:sz w:val="14"/>
          <w:szCs w:val="14"/>
          <w:color w:val="auto"/>
        </w:rPr>
        <w:t>” means a transaction or series of transactions (or any agreement, understanding or arrangement, within the meaning of Section 355(e) of the Code and Treasury Regulations Section 1.355-7, or any other Treasury Regulations promulgated thereunder, to enter into a transaction or series of transactions), whether such transaction is supported by SpinCo or RMT Partner management or shareholders, is a hostile acquisition, or otherwise, as a result of which any Person or any group of related Persons would (directly or indirectly) acquire, or have the right to acquire, any shares of Capital Stock from SpinCo or RMT Partner and/or one or more holders of outstanding shares of Capital Stock. Notwithstanding the foregoing, a Proposed Acquisition Transaction shall not include (i) the adoption by SpinCo or RMT Partner of a shareholder rights plan described in Revenue Ruling 90-11, 1990-1 C.B. 10, (ii) issuances by SpinCo or RMT Partner that satisfy Safe Harbor VIII (relating to acquisitions in connection with a person’s performance of services) or Safe Harbor IX (relating to acquisitions by a retirement plan of an employer), in each case, of Treasury Regulations Section 1.355-7(d), (iii) acquisitions of stock that satisfy Safe Harbor VII (related to public trading) of Treasury Regulations</w:t>
      </w:r>
    </w:p>
    <w:p>
      <w:pPr>
        <w:spacing w:after="0" w:line="3" w:lineRule="exact"/>
        <w:rPr>
          <w:sz w:val="20"/>
          <w:szCs w:val="20"/>
          <w:color w:val="auto"/>
        </w:rPr>
      </w:pPr>
    </w:p>
    <w:p>
      <w:pPr>
        <w:ind w:left="220" w:right="339"/>
        <w:spacing w:after="0" w:line="252" w:lineRule="auto"/>
        <w:rPr>
          <w:sz w:val="20"/>
          <w:szCs w:val="20"/>
          <w:color w:val="auto"/>
        </w:rPr>
      </w:pPr>
      <w:r>
        <w:rPr>
          <w:rFonts w:ascii="Times New Roman" w:cs="Times New Roman" w:eastAsia="Times New Roman" w:hAnsi="Times New Roman"/>
          <w:sz w:val="14"/>
          <w:szCs w:val="14"/>
          <w:color w:val="auto"/>
        </w:rPr>
        <w:t>Section 1.355-7(d), (iv) any Permitted Restructuring Transaction or (v) any Permitted Repurchases. For purposes of determining whether a transaction constitutes an indirect acquisition, any recapitalization resulting in a shift of voting power or any redemption of shares of stock shall be treated as an indirect acquisition of shares of stock by the non-exchanging shareholders. This definition and the application thereof are intended to monitor compliance with Section 355(e) of the Code and shall be interpreted accordingly. Any clarification of, or change in, the statute or Treasury Regulations promulgated under Section 355(e) of the Code shall be incorporated in this definition and its interpretation. For the avoidance of doubt, the Merger, standing alone, shall not constitute a Proposed Acquisition Transaction.</w:t>
      </w:r>
    </w:p>
    <w:p>
      <w:pPr>
        <w:spacing w:after="0" w:line="147" w:lineRule="exact"/>
        <w:rPr>
          <w:sz w:val="20"/>
          <w:szCs w:val="20"/>
          <w:color w:val="auto"/>
        </w:rPr>
      </w:pPr>
    </w:p>
    <w:p>
      <w:pPr>
        <w:ind w:left="220" w:right="69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Redactable Information</w:t>
      </w:r>
      <w:r>
        <w:rPr>
          <w:rFonts w:ascii="Times New Roman" w:cs="Times New Roman" w:eastAsia="Times New Roman" w:hAnsi="Times New Roman"/>
          <w:sz w:val="14"/>
          <w:szCs w:val="14"/>
          <w:color w:val="auto"/>
        </w:rPr>
        <w:t>” means any information that a Separation Party, in its good faith judgment, considers to be confidential and not germane to the other Separation Party’s obligations under this Agreement or any Transaction Documents.</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9" w:right="1440" w:bottom="1440" w:gutter="0" w:footer="0" w:header="0"/>
        </w:sectPr>
      </w:pPr>
    </w:p>
    <w:bookmarkStart w:id="517" w:name="page518"/>
    <w:bookmarkEnd w:id="517"/>
    <w:p>
      <w:pPr>
        <w:ind w:left="220" w:right="239" w:firstLine="343"/>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Refund</w:t>
      </w:r>
      <w:r>
        <w:rPr>
          <w:rFonts w:ascii="Times New Roman" w:cs="Times New Roman" w:eastAsia="Times New Roman" w:hAnsi="Times New Roman"/>
          <w:sz w:val="14"/>
          <w:szCs w:val="14"/>
          <w:color w:val="auto"/>
        </w:rPr>
        <w:t xml:space="preserve">” means any refund (or credit in lieu thereof) of Taxes (including any overpayment of Taxes that can be refunded or, alternatively, applied to other Taxes payable), including any interest paid on or with respect to such refund of Taxes;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the amount of the refund of Taxes shall be net of any reasonable out-of-pocket expenses incurred in obtaining such refund and any Taxes imposed by any Tax Authority on the receipt of the refund.</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Reorganization Step Plan</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Separation Party</w:t>
      </w:r>
      <w:r>
        <w:rPr>
          <w:rFonts w:ascii="Times New Roman" w:cs="Times New Roman" w:eastAsia="Times New Roman" w:hAnsi="Times New Roman"/>
          <w:sz w:val="14"/>
          <w:szCs w:val="14"/>
          <w:color w:val="auto"/>
        </w:rPr>
        <w:t>” shall have the meaning set forth in Section 4.1(a).</w:t>
      </w:r>
    </w:p>
    <w:p>
      <w:pPr>
        <w:spacing w:after="0" w:line="175" w:lineRule="exact"/>
        <w:rPr>
          <w:sz w:val="20"/>
          <w:szCs w:val="20"/>
          <w:color w:val="auto"/>
        </w:rPr>
      </w:pPr>
    </w:p>
    <w:p>
      <w:pPr>
        <w:ind w:left="220" w:right="31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Responsible Separation Party</w:t>
      </w:r>
      <w:r>
        <w:rPr>
          <w:rFonts w:ascii="Times New Roman" w:cs="Times New Roman" w:eastAsia="Times New Roman" w:hAnsi="Times New Roman"/>
          <w:sz w:val="14"/>
          <w:szCs w:val="14"/>
          <w:color w:val="auto"/>
        </w:rPr>
        <w:t>” means, with respect to any Tax Return, the Separation Party having responsibility for preparing and filing such Tax Return under this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Restricted Period</w:t>
      </w:r>
      <w:r>
        <w:rPr>
          <w:rFonts w:ascii="Times New Roman" w:cs="Times New Roman" w:eastAsia="Times New Roman" w:hAnsi="Times New Roman"/>
          <w:sz w:val="14"/>
          <w:szCs w:val="14"/>
          <w:color w:val="auto"/>
        </w:rPr>
        <w:t>” means the period beginning at the Effective Time and ending on the two (2)-year anniversary of the day after the Distribution</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Date.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Retention Date</w:t>
      </w:r>
      <w:r>
        <w:rPr>
          <w:rFonts w:ascii="Times New Roman" w:cs="Times New Roman" w:eastAsia="Times New Roman" w:hAnsi="Times New Roman"/>
          <w:sz w:val="14"/>
          <w:szCs w:val="14"/>
          <w:color w:val="auto"/>
        </w:rPr>
        <w:t>” shall have the meaning set forth in Section 8.1.</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RMT Partner</w:t>
      </w:r>
      <w:r>
        <w:rPr>
          <w:rFonts w:ascii="Times New Roman" w:cs="Times New Roman" w:eastAsia="Times New Roman" w:hAnsi="Times New Roman"/>
          <w:sz w:val="14"/>
          <w:szCs w:val="14"/>
          <w:color w:val="auto"/>
        </w:rPr>
        <w:t>” has the meaning set forth in the first sentence of this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RMT Partner Merger Tax Opinion</w:t>
      </w:r>
      <w:r>
        <w:rPr>
          <w:rFonts w:ascii="Times New Roman" w:cs="Times New Roman" w:eastAsia="Times New Roman" w:hAnsi="Times New Roman"/>
          <w:sz w:val="14"/>
          <w:szCs w:val="14"/>
          <w:color w:val="auto"/>
        </w:rPr>
        <w:t>” has the meaning given to the term “Gold Merger Tax Opinion”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RMT Partner Percentage</w:t>
      </w:r>
      <w:r>
        <w:rPr>
          <w:rFonts w:ascii="Times New Roman" w:cs="Times New Roman" w:eastAsia="Times New Roman" w:hAnsi="Times New Roman"/>
          <w:sz w:val="14"/>
          <w:szCs w:val="14"/>
          <w:color w:val="auto"/>
        </w:rPr>
        <w:t>” means 60%.</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RMT Partner Special Dividend</w:t>
      </w:r>
      <w:r>
        <w:rPr>
          <w:rFonts w:ascii="Times New Roman" w:cs="Times New Roman" w:eastAsia="Times New Roman" w:hAnsi="Times New Roman"/>
          <w:sz w:val="14"/>
          <w:szCs w:val="14"/>
          <w:color w:val="auto"/>
        </w:rPr>
        <w:t>” has the meaning given to the term “Gold Special Dividend” in the Merger Agreement.</w:t>
      </w:r>
    </w:p>
    <w:p>
      <w:pPr>
        <w:spacing w:after="0" w:line="175" w:lineRule="exact"/>
        <w:rPr>
          <w:sz w:val="20"/>
          <w:szCs w:val="20"/>
          <w:color w:val="auto"/>
        </w:rPr>
      </w:pPr>
    </w:p>
    <w:p>
      <w:pPr>
        <w:ind w:left="220" w:right="27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Ruling Request</w:t>
      </w:r>
      <w:r>
        <w:rPr>
          <w:rFonts w:ascii="Times New Roman" w:cs="Times New Roman" w:eastAsia="Times New Roman" w:hAnsi="Times New Roman"/>
          <w:sz w:val="14"/>
          <w:szCs w:val="14"/>
          <w:color w:val="auto"/>
        </w:rPr>
        <w:t>” means any letter filed by the Company or its Subsidiaries with the IRS or other Tax Authority requesting a ruling regarding the Intended Tax Treatment (including all attachments, exhibits and other materials submitted with such ruling request letter and any amendment or supplement to such letter).</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Section 336(e) Elections</w:t>
      </w:r>
      <w:r>
        <w:rPr>
          <w:rFonts w:ascii="Times New Roman" w:cs="Times New Roman" w:eastAsia="Times New Roman" w:hAnsi="Times New Roman"/>
          <w:sz w:val="14"/>
          <w:szCs w:val="14"/>
          <w:color w:val="auto"/>
        </w:rPr>
        <w:t>” shall have the meaning set forth in Section 3.3(b).</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Section 336(e) Tax Basis</w:t>
      </w:r>
      <w:r>
        <w:rPr>
          <w:rFonts w:ascii="Times New Roman" w:cs="Times New Roman" w:eastAsia="Times New Roman" w:hAnsi="Times New Roman"/>
          <w:sz w:val="14"/>
          <w:szCs w:val="14"/>
          <w:color w:val="auto"/>
        </w:rPr>
        <w:t>” shall have the meaning set forth in Section 2.5.</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Separation</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Separation Agreement</w:t>
      </w:r>
      <w:r>
        <w:rPr>
          <w:rFonts w:ascii="Times New Roman" w:cs="Times New Roman" w:eastAsia="Times New Roman" w:hAnsi="Times New Roman"/>
          <w:sz w:val="14"/>
          <w:szCs w:val="14"/>
          <w:color w:val="auto"/>
        </w:rPr>
        <w:t>” has the meaning set forth in in the Recitals.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Separation Parties”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Separation Party</w:t>
      </w:r>
      <w:r>
        <w:rPr>
          <w:rFonts w:ascii="Times New Roman" w:cs="Times New Roman" w:eastAsia="Times New Roman" w:hAnsi="Times New Roman"/>
          <w:sz w:val="14"/>
          <w:szCs w:val="14"/>
          <w:color w:val="auto"/>
        </w:rPr>
        <w:t>” have the meanings set forth in the first sentence of this Agreement.</w:t>
      </w:r>
    </w:p>
    <w:p>
      <w:pPr>
        <w:spacing w:after="0" w:line="175" w:lineRule="exact"/>
        <w:rPr>
          <w:sz w:val="20"/>
          <w:szCs w:val="20"/>
          <w:color w:val="auto"/>
        </w:rPr>
      </w:pPr>
    </w:p>
    <w:p>
      <w:pPr>
        <w:ind w:left="220" w:right="23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Separation Transactions</w:t>
      </w:r>
      <w:r>
        <w:rPr>
          <w:rFonts w:ascii="Times New Roman" w:cs="Times New Roman" w:eastAsia="Times New Roman" w:hAnsi="Times New Roman"/>
          <w:sz w:val="14"/>
          <w:szCs w:val="14"/>
          <w:color w:val="auto"/>
        </w:rPr>
        <w:t>” means those transactions undertaken by the Separation Parties and their Affiliates pursuant to the Reorganization Step Plan to separate ownership of the SpinCo Business from ownership of the Company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w:t>
      </w:r>
      <w:r>
        <w:rPr>
          <w:rFonts w:ascii="Times New Roman" w:cs="Times New Roman" w:eastAsia="Times New Roman" w:hAnsi="Times New Roman"/>
          <w:sz w:val="14"/>
          <w:szCs w:val="14"/>
          <w:color w:val="auto"/>
        </w:rPr>
        <w:t>” has the meaning set forth in the first sentence of this Agreement.</w:t>
      </w:r>
    </w:p>
    <w:p>
      <w:pPr>
        <w:spacing w:after="0" w:line="1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518" w:name="page519"/>
    <w:bookmarkEnd w:id="518"/>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SpinCo Assets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Business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Cash Distribution</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Common Stock</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Financing</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Group</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Indebtedness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Liabilities</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Percentage</w:t>
      </w:r>
      <w:r>
        <w:rPr>
          <w:rFonts w:ascii="Times New Roman" w:cs="Times New Roman" w:eastAsia="Times New Roman" w:hAnsi="Times New Roman"/>
          <w:sz w:val="14"/>
          <w:szCs w:val="14"/>
          <w:color w:val="auto"/>
        </w:rPr>
        <w:t>” means 40%.</w:t>
      </w:r>
    </w:p>
    <w:p>
      <w:pPr>
        <w:spacing w:after="0" w:line="175" w:lineRule="exact"/>
        <w:rPr>
          <w:sz w:val="20"/>
          <w:szCs w:val="20"/>
          <w:color w:val="auto"/>
        </w:rPr>
      </w:pPr>
    </w:p>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Tainting Act</w:t>
      </w:r>
      <w:r>
        <w:rPr>
          <w:rFonts w:ascii="Times New Roman" w:cs="Times New Roman" w:eastAsia="Times New Roman" w:hAnsi="Times New Roman"/>
          <w:sz w:val="14"/>
          <w:szCs w:val="14"/>
          <w:color w:val="auto"/>
        </w:rPr>
        <w:t xml:space="preserve">” means (a) any action (or the failure to take any action) within its control by SpinCo or any member of the SpinCo Group (including entering into any agreement, understanding or arrangement), (b) any event (or series of events) involving the Capital Stock of SpinCo or RMT Partner, any assets of SpinCo or any assets of any member of the SpinCo Group, or (c) any breach by SpinCo or any member of the SpinCo Group of any representation, warranty or covenant made by them in the Merger Agreement or the Transaction Documents, including this Agreement, in each case, that would affect the Intended Tax Treatment;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term “SpinCo Tainting Act” shall not include any action expressly required or permitted by the Merger Agreement or the Transaction Documents (other than this Agreement) or undertaken pursuant to, or prior to, the Distribution.</w:t>
      </w:r>
    </w:p>
    <w:p>
      <w:pPr>
        <w:spacing w:after="0" w:line="144" w:lineRule="exact"/>
        <w:rPr>
          <w:sz w:val="20"/>
          <w:szCs w:val="20"/>
          <w:color w:val="auto"/>
        </w:rPr>
      </w:pPr>
    </w:p>
    <w:p>
      <w:pPr>
        <w:ind w:left="220" w:right="459" w:firstLine="34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Taxes</w:t>
      </w:r>
      <w:r>
        <w:rPr>
          <w:rFonts w:ascii="Times New Roman" w:cs="Times New Roman" w:eastAsia="Times New Roman" w:hAnsi="Times New Roman"/>
          <w:sz w:val="14"/>
          <w:szCs w:val="14"/>
          <w:color w:val="auto"/>
        </w:rPr>
        <w:t>” means, without duplication, (a) any Taxes of SpinCo or a member of the SpinCo Group attributable to any Post-Distribution Period, (b) any Taxes attributable to a SpinCo Tainting Act and (c) any Taxes attributable to an Extraordinary Transaction effected after the Effective Time on the Distribution Date by SpinCo or a member of the SpinCo Group at the direction of RMT Partner (or at the direction of a Subsidiary or Affiliate of RMT Partner).</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Straddle Period</w:t>
      </w:r>
      <w:r>
        <w:rPr>
          <w:rFonts w:ascii="Times New Roman" w:cs="Times New Roman" w:eastAsia="Times New Roman" w:hAnsi="Times New Roman"/>
          <w:sz w:val="14"/>
          <w:szCs w:val="14"/>
          <w:color w:val="auto"/>
        </w:rPr>
        <w:t>” means any Tax Period that begins on or before and ends after the Distribution Date.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has the meaning set forth in the Separation Agreement.</w:t>
      </w:r>
    </w:p>
    <w:p>
      <w:pPr>
        <w:spacing w:after="0" w:line="175" w:lineRule="exact"/>
        <w:rPr>
          <w:sz w:val="20"/>
          <w:szCs w:val="20"/>
          <w:color w:val="auto"/>
        </w:rPr>
      </w:pPr>
    </w:p>
    <w:p>
      <w:pPr>
        <w:ind w:left="220" w:right="259" w:firstLine="343"/>
        <w:spacing w:after="0" w:line="28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means (a) any income, gross income, gross receipts, profits, capital stock, franchise, withholding, payroll, custom duties, social security, workers compensation, unemployment, disability, property, ad valorem, stamp, excise, severance, occupation, service, sales, use, license, lease, transfer, import, export, value added, escheat or unclaimed property liability, alternative minimum, estimated or other tax (including any fee, assessment or other charge in the nature of or in lieu of any tax) imposed by any governmental entity or political subdivision thereof, and any interest, penalties, additions to tax or additional amounts in respect of the foregoing; and (b) all liabilities in respect of any items described in clause (a) payable by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519" w:name="page520"/>
    <w:bookmarkEnd w:id="519"/>
    <w:p>
      <w:pPr>
        <w:jc w:val="both"/>
        <w:ind w:left="220" w:right="37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reason of assumption, transferee or successor liability, operation of Law or Treasury Regulations Section 1.1502-6(a) (or any predecessor or successor thereof or any analogous or similar provision under Law), in each case, including any Taxes resulting from an adjustment of any item of income, gain, loss, deduction, credit, or any other item affecting Taxes of a taxpayer pursuant to a Final Determination.</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Advisor</w:t>
      </w:r>
      <w:r>
        <w:rPr>
          <w:rFonts w:ascii="Times New Roman" w:cs="Times New Roman" w:eastAsia="Times New Roman" w:hAnsi="Times New Roman"/>
          <w:sz w:val="14"/>
          <w:szCs w:val="14"/>
          <w:color w:val="auto"/>
        </w:rPr>
        <w:t>” means a tax counsel or accountant of recognized standing in the relevant jurisdiction.</w:t>
      </w:r>
    </w:p>
    <w:p>
      <w:pPr>
        <w:spacing w:after="0" w:line="175" w:lineRule="exact"/>
        <w:rPr>
          <w:sz w:val="20"/>
          <w:szCs w:val="20"/>
          <w:color w:val="auto"/>
        </w:rPr>
      </w:pPr>
    </w:p>
    <w:p>
      <w:pPr>
        <w:jc w:val="both"/>
        <w:ind w:left="220" w:right="41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Attribute</w:t>
      </w:r>
      <w:r>
        <w:rPr>
          <w:rFonts w:ascii="Times New Roman" w:cs="Times New Roman" w:eastAsia="Times New Roman" w:hAnsi="Times New Roman"/>
          <w:sz w:val="14"/>
          <w:szCs w:val="14"/>
          <w:color w:val="auto"/>
        </w:rPr>
        <w:t>” means a net operating loss, capital loss, tax credit carryover, earnings and profits, previously taxed income, tax bases, separate limitation loss, investment credit, foreign tax credit, excess charitable contribution, general business credit, overall foreign loss or any other Tax Item that could affect a Tax.</w:t>
      </w:r>
    </w:p>
    <w:p>
      <w:pPr>
        <w:spacing w:after="0" w:line="133" w:lineRule="exact"/>
        <w:rPr>
          <w:sz w:val="20"/>
          <w:szCs w:val="20"/>
          <w:color w:val="auto"/>
        </w:rPr>
      </w:pPr>
    </w:p>
    <w:p>
      <w:pPr>
        <w:ind w:left="220" w:right="23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Authority</w:t>
      </w:r>
      <w:r>
        <w:rPr>
          <w:rFonts w:ascii="Times New Roman" w:cs="Times New Roman" w:eastAsia="Times New Roman" w:hAnsi="Times New Roman"/>
          <w:sz w:val="14"/>
          <w:szCs w:val="14"/>
          <w:color w:val="auto"/>
        </w:rPr>
        <w:t>” means, with respect to any Tax, the governmental entity or political subdivision thereof that imposes such Tax and the agency (if any) charged with the collection of such Tax for such entity or subdivision.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Benefit</w:t>
      </w:r>
      <w:r>
        <w:rPr>
          <w:rFonts w:ascii="Times New Roman" w:cs="Times New Roman" w:eastAsia="Times New Roman" w:hAnsi="Times New Roman"/>
          <w:sz w:val="14"/>
          <w:szCs w:val="14"/>
          <w:color w:val="auto"/>
        </w:rPr>
        <w:t>” means any refund, credit or other item that causes a reduction in liability for Taxes.</w:t>
      </w:r>
    </w:p>
    <w:p>
      <w:pPr>
        <w:spacing w:after="0" w:line="175" w:lineRule="exact"/>
        <w:rPr>
          <w:sz w:val="20"/>
          <w:szCs w:val="20"/>
          <w:color w:val="auto"/>
        </w:rPr>
      </w:pPr>
    </w:p>
    <w:p>
      <w:pPr>
        <w:ind w:left="220" w:right="27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Contest</w:t>
      </w:r>
      <w:r>
        <w:rPr>
          <w:rFonts w:ascii="Times New Roman" w:cs="Times New Roman" w:eastAsia="Times New Roman" w:hAnsi="Times New Roman"/>
          <w:sz w:val="14"/>
          <w:szCs w:val="14"/>
          <w:color w:val="auto"/>
        </w:rPr>
        <w:t>” means an audit, review, examination or any other administrative or judicial proceeding with the purpose or effect of redetermining Taxes (including any administrative or judicial review of any claim for refund).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Counsel</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220" w:right="73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Item</w:t>
      </w:r>
      <w:r>
        <w:rPr>
          <w:rFonts w:ascii="Times New Roman" w:cs="Times New Roman" w:eastAsia="Times New Roman" w:hAnsi="Times New Roman"/>
          <w:sz w:val="14"/>
          <w:szCs w:val="14"/>
          <w:color w:val="auto"/>
        </w:rPr>
        <w:t>” means any item of income, gain, loss, deduction, expense or credit, or other attribute that may have the effect of increasing or decreasing any Tax.</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Law</w:t>
      </w:r>
      <w:r>
        <w:rPr>
          <w:rFonts w:ascii="Times New Roman" w:cs="Times New Roman" w:eastAsia="Times New Roman" w:hAnsi="Times New Roman"/>
          <w:sz w:val="14"/>
          <w:szCs w:val="14"/>
          <w:color w:val="auto"/>
        </w:rPr>
        <w:t>” means the law of any governmental entity or political subdivision thereof relating to any Tax.</w:t>
      </w:r>
    </w:p>
    <w:p>
      <w:pPr>
        <w:spacing w:after="0" w:line="175" w:lineRule="exact"/>
        <w:rPr>
          <w:sz w:val="20"/>
          <w:szCs w:val="20"/>
          <w:color w:val="auto"/>
        </w:rPr>
      </w:pPr>
    </w:p>
    <w:p>
      <w:pPr>
        <w:ind w:left="220" w:right="359" w:firstLine="343"/>
        <w:spacing w:after="0" w:line="28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Opinions/Rulings</w:t>
      </w:r>
      <w:r>
        <w:rPr>
          <w:rFonts w:ascii="Times New Roman" w:cs="Times New Roman" w:eastAsia="Times New Roman" w:hAnsi="Times New Roman"/>
          <w:sz w:val="13"/>
          <w:szCs w:val="13"/>
          <w:color w:val="auto"/>
        </w:rPr>
        <w:t>” means (x) (i) the formal written opinions or similar memoranda of Tax Counsel regarding the Intended Tax Treatment, in connection with the Contribution, the SpinCo Cash Distribution, the Distribution, or the Merger or otherwise with respect to the Separation Transactions, including the Distribution Tax Opinion, and the Mercury Merger Tax Opinion, and (ii) the RMT Partner Merger Tax Opinion and (y) the rulings by the IRS or other Tax Authority received in respect of a Ruling Request delivered to Company or its Subsidiaries in connection with the Contribution, the SpinCo Cash Distribution, the Distribution, or the Merger or otherwise with respect to the Separation Transactions.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Period</w:t>
      </w:r>
      <w:r>
        <w:rPr>
          <w:rFonts w:ascii="Times New Roman" w:cs="Times New Roman" w:eastAsia="Times New Roman" w:hAnsi="Times New Roman"/>
          <w:sz w:val="14"/>
          <w:szCs w:val="14"/>
          <w:color w:val="auto"/>
        </w:rPr>
        <w:t>” means, with respect to any Tax, the period for which the Tax is reported, as provided under the Code or other applicable Tax Law.</w:t>
      </w:r>
    </w:p>
    <w:p>
      <w:pPr>
        <w:spacing w:after="0" w:line="175" w:lineRule="exact"/>
        <w:rPr>
          <w:sz w:val="20"/>
          <w:szCs w:val="20"/>
          <w:color w:val="auto"/>
        </w:rPr>
      </w:pPr>
    </w:p>
    <w:p>
      <w:pPr>
        <w:ind w:left="220" w:right="23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Records</w:t>
      </w:r>
      <w:r>
        <w:rPr>
          <w:rFonts w:ascii="Times New Roman" w:cs="Times New Roman" w:eastAsia="Times New Roman" w:hAnsi="Times New Roman"/>
          <w:sz w:val="14"/>
          <w:szCs w:val="14"/>
          <w:color w:val="auto"/>
        </w:rPr>
        <w:t>” means any Tax Returns, Tax Return work papers, documentation relating to any Tax Contests and any other books of account or records (whether or not in written, electronic or other tangible or intangible forms and whether or not stored on electronic or any other medium) required to be maintained under the Code or other applicable Tax Laws or under any record retention agreement with any Tax Authority.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1" w:right="1440" w:bottom="1440" w:gutter="0" w:footer="0" w:header="0"/>
        </w:sectPr>
      </w:pPr>
    </w:p>
    <w:bookmarkStart w:id="520" w:name="page521"/>
    <w:bookmarkEnd w:id="520"/>
    <w:p>
      <w:pPr>
        <w:ind w:left="220" w:right="379" w:firstLine="343"/>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Tax Return</w:t>
      </w:r>
      <w:r>
        <w:rPr>
          <w:rFonts w:ascii="Times New Roman" w:cs="Times New Roman" w:eastAsia="Times New Roman" w:hAnsi="Times New Roman"/>
          <w:sz w:val="14"/>
          <w:szCs w:val="14"/>
          <w:color w:val="auto"/>
        </w:rPr>
        <w:t>” means any report of Taxes due, any claim for refund of Taxes paid, any information return with respect to Taxes or any other similar report, statement, declaration or document filed or required to be filed under the Code or other Tax Law, including any attachments, schedules, exhibits or other materials submitted with any of the foregoing, and including any amendments or supplements to any of the foregoing.</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 has the meaning set forth in the Merger Agreement.</w:t>
      </w:r>
    </w:p>
    <w:p>
      <w:pPr>
        <w:spacing w:after="0" w:line="175" w:lineRule="exact"/>
        <w:rPr>
          <w:sz w:val="20"/>
          <w:szCs w:val="20"/>
          <w:color w:val="auto"/>
        </w:rPr>
      </w:pPr>
    </w:p>
    <w:p>
      <w:pPr>
        <w:ind w:left="220" w:right="79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 Tax</w:t>
      </w:r>
      <w:r>
        <w:rPr>
          <w:rFonts w:ascii="Times New Roman" w:cs="Times New Roman" w:eastAsia="Times New Roman" w:hAnsi="Times New Roman"/>
          <w:sz w:val="14"/>
          <w:szCs w:val="14"/>
          <w:color w:val="auto"/>
        </w:rPr>
        <w:t>” means any sales, use, value-added, goods and services, privilege, transfer (including real property transfer), recordation, registration, documentary, stamp, duty or similar Tax imposed with respect to the Separation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Treasury Regulations</w:t>
      </w:r>
      <w:r>
        <w:rPr>
          <w:rFonts w:ascii="Times New Roman" w:cs="Times New Roman" w:eastAsia="Times New Roman" w:hAnsi="Times New Roman"/>
          <w:sz w:val="14"/>
          <w:szCs w:val="14"/>
          <w:color w:val="auto"/>
        </w:rPr>
        <w:t>” means the regulations promulgated from time to time under the Code as in effect for the relevant Tax Period.</w:t>
      </w:r>
    </w:p>
    <w:p>
      <w:pPr>
        <w:spacing w:after="0" w:line="175" w:lineRule="exact"/>
        <w:rPr>
          <w:sz w:val="20"/>
          <w:szCs w:val="20"/>
          <w:color w:val="auto"/>
        </w:rPr>
      </w:pPr>
    </w:p>
    <w:p>
      <w:pPr>
        <w:ind w:left="220" w:right="379" w:firstLine="34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Unqualified Tax Opinion</w:t>
      </w:r>
      <w:r>
        <w:rPr>
          <w:rFonts w:ascii="Times New Roman" w:cs="Times New Roman" w:eastAsia="Times New Roman" w:hAnsi="Times New Roman"/>
          <w:sz w:val="14"/>
          <w:szCs w:val="14"/>
          <w:color w:val="auto"/>
        </w:rPr>
        <w:t>” means an unqualified “will” opinion of a Tax Advisor, on which the Separation Parties may rely to the effect that a transaction will not affect the Intended Tax Treatment. Any such opinion must assume that the Contribution, the SpinCo Cash Distribution, the Distribution, and the Merger would have qualified for the Intended Tax Treatment if the transaction in question did not occur.</w:t>
      </w:r>
    </w:p>
    <w:p>
      <w:pPr>
        <w:spacing w:after="0" w:line="133" w:lineRule="exact"/>
        <w:rPr>
          <w:sz w:val="20"/>
          <w:szCs w:val="20"/>
          <w:color w:val="auto"/>
        </w:rPr>
      </w:pPr>
    </w:p>
    <w:p>
      <w:pPr>
        <w:ind w:left="220" w:right="239" w:firstLine="34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VAT</w:t>
      </w:r>
      <w:r>
        <w:rPr>
          <w:rFonts w:ascii="Times New Roman" w:cs="Times New Roman" w:eastAsia="Times New Roman" w:hAnsi="Times New Roman"/>
          <w:sz w:val="14"/>
          <w:szCs w:val="14"/>
          <w:color w:val="auto"/>
        </w:rPr>
        <w:t>” means: (i) any Tax imposed in compliance with the Council Directive of 28 November 2006 on the common system of value added tax (EC Directive 2006/112), including in the United Kingdom in accordance with VATA 1994; (ii) any goods and services or sales and service Tax imposed by any Tax Authority; and (iii) any other Tax of a similar nature, whether imposed in a member state of the European Union in substitution for, or levied in addition to, such Tax referred to in clauses (i) or (ii), or imposed elsewhere including any system that operates as a value added tax or indirect tax designed to tax supplies of goods or services.</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Section 2. Allocation of Tax Liabilities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2.1 General Rule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180" w:hanging="193"/>
        <w:spacing w:after="0"/>
        <w:tabs>
          <w:tab w:leader="none" w:pos="1180" w:val="left"/>
        </w:tabs>
        <w:numPr>
          <w:ilvl w:val="1"/>
          <w:numId w:val="5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Company Liability</w:t>
      </w:r>
      <w:r>
        <w:rPr>
          <w:rFonts w:ascii="Times New Roman" w:cs="Times New Roman" w:eastAsia="Times New Roman" w:hAnsi="Times New Roman"/>
          <w:sz w:val="14"/>
          <w:szCs w:val="14"/>
          <w:color w:val="auto"/>
        </w:rPr>
        <w:t>. The Company shall be liable for, and shall indemnify and hold harmless the SpinCo Group from and against</w:t>
      </w:r>
    </w:p>
    <w:p>
      <w:pPr>
        <w:spacing w:after="0" w:line="23" w:lineRule="exact"/>
        <w:rPr>
          <w:rFonts w:ascii="Times New Roman" w:cs="Times New Roman" w:eastAsia="Times New Roman" w:hAnsi="Times New Roman"/>
          <w:sz w:val="14"/>
          <w:szCs w:val="14"/>
          <w:color w:val="auto"/>
        </w:rPr>
      </w:pPr>
    </w:p>
    <w:p>
      <w:pPr>
        <w:ind w:left="220" w:right="339" w:hanging="5"/>
        <w:spacing w:after="0" w:line="261" w:lineRule="auto"/>
        <w:tabs>
          <w:tab w:leader="none" w:pos="418" w:val="left"/>
        </w:tabs>
        <w:numPr>
          <w:ilvl w:val="0"/>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liability for Company Taxes (without duplication of any Company Taxes taken into account in the calculation of SpinCo Indebtedness pursuant to the Separation Agreement) and (y) any Distribution Tax-Related Losses for which the Company is responsible pursuant to Section 6.3.</w:t>
      </w:r>
    </w:p>
    <w:p>
      <w:pPr>
        <w:spacing w:after="0" w:line="137" w:lineRule="exact"/>
        <w:rPr>
          <w:rFonts w:ascii="Times New Roman" w:cs="Times New Roman" w:eastAsia="Times New Roman" w:hAnsi="Times New Roman"/>
          <w:sz w:val="14"/>
          <w:szCs w:val="14"/>
          <w:color w:val="auto"/>
        </w:rPr>
      </w:pPr>
    </w:p>
    <w:p>
      <w:pPr>
        <w:ind w:left="220" w:right="379" w:firstLine="767"/>
        <w:spacing w:after="0" w:line="268" w:lineRule="auto"/>
        <w:tabs>
          <w:tab w:leader="none" w:pos="1190" w:val="left"/>
        </w:tabs>
        <w:numPr>
          <w:ilvl w:val="1"/>
          <w:numId w:val="5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SpinCo Liability. </w:t>
      </w:r>
      <w:r>
        <w:rPr>
          <w:rFonts w:ascii="Times New Roman" w:cs="Times New Roman" w:eastAsia="Times New Roman" w:hAnsi="Times New Roman"/>
          <w:sz w:val="14"/>
          <w:szCs w:val="14"/>
          <w:color w:val="auto"/>
        </w:rPr>
        <w:t>SpinCo and RMT Partner shall be liable for, and shall indemnify and hold harmless the Company Group from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against (x) any liability for SpinCo Taxes and (y) any Distribution Tax-Related Losses for which SpinCo and RMT Partner are responsible pursuant to Section 6.3.</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8" w:right="1440" w:bottom="1440" w:gutter="0" w:footer="0" w:header="0"/>
        </w:sectPr>
      </w:pPr>
    </w:p>
    <w:bookmarkStart w:id="521" w:name="page522"/>
    <w:bookmarkEnd w:id="521"/>
    <w:p>
      <w:pPr>
        <w:ind w:left="56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2.2 Employment Taxes</w:t>
      </w:r>
      <w:r>
        <w:rPr>
          <w:rFonts w:ascii="Times New Roman" w:cs="Times New Roman" w:eastAsia="Times New Roman" w:hAnsi="Times New Roman"/>
          <w:sz w:val="14"/>
          <w:szCs w:val="14"/>
          <w:color w:val="auto"/>
        </w:rPr>
        <w:t>. Liability for employment taxes shall be determined pursuant to the Employee Matters Agreement.</w:t>
      </w:r>
    </w:p>
    <w:p>
      <w:pPr>
        <w:spacing w:after="0" w:line="175" w:lineRule="exact"/>
        <w:rPr>
          <w:sz w:val="20"/>
          <w:szCs w:val="20"/>
          <w:color w:val="auto"/>
        </w:rPr>
      </w:pPr>
    </w:p>
    <w:p>
      <w:pPr>
        <w:ind w:left="220" w:right="23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Section 2.3 Delayed SpinCo Assets; Delayed SpinCo Liabilities; Delayed Company Assets; Delayed Company Liabilities</w:t>
      </w:r>
      <w:r>
        <w:rPr>
          <w:rFonts w:ascii="Times New Roman" w:cs="Times New Roman" w:eastAsia="Times New Roman" w:hAnsi="Times New Roman"/>
          <w:sz w:val="14"/>
          <w:szCs w:val="14"/>
          <w:color w:val="auto"/>
        </w:rPr>
        <w:t>. The Parties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acknowledge and agree that, notwithstanding anything contained herein to the contrary, this Agreement shall not in any way affect or modify the Parties’ rights and obligations under Section 2.4 of the Separation Agreement.</w:t>
      </w:r>
    </w:p>
    <w:p>
      <w:pPr>
        <w:spacing w:after="0" w:line="133"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Section 2.4 Straddle Period Tax Allocation</w:t>
      </w:r>
      <w:r>
        <w:rPr>
          <w:rFonts w:ascii="Times New Roman" w:cs="Times New Roman" w:eastAsia="Times New Roman" w:hAnsi="Times New Roman"/>
          <w:sz w:val="14"/>
          <w:szCs w:val="14"/>
          <w:color w:val="auto"/>
        </w:rPr>
        <w:t>. The Company and SpinCo shall take all actions necessary or appropriate to close the taxable year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SpinCo and each member of the SpinCo Group for all Tax purposes as of the close of the Distribution Date to the extent permissible or required under applicable Law, including, if permitted under applicable Tax Law, making the election under Treasury Regulations Section 1.245A-5(e)(3) with respect to each CFC Member and any corresponding or similar elections under state, local or non-U.S. law. If applicable Law does not require or permit SpinCo or any member of the SpinCo Group, as the case may be, to close its taxable year on the Distribution Date, then the allocation of income or deductions required to determine any Taxes or other amounts attributable to the portion of the Straddle Period ending on, or beginning after, the Distribution Date shall be made by means of a closing of the books and records of SpinCo or such member of the SpinCo Group as of the close of the Distribution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exemptions, allowances or deductions that are calculated on an annual or periodic basis shall be allocated between such portions in proportion to the number of days in each such portion;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real property and other property or similar periodic Taxes shall be apportioned on a per diem basis. For VAT, where such Tax is reported on a periodic basis and applicable Law does not permit or require a VAT return to be split as of the Distribution Date, any VAT relating to a Straddle Period shall be economically allocated between the Pre-Distribution Period and the Post-Distribution Period based on the extent to which the underlying supplies, acquisitions or importations relate to each such period, with any input VAT relating to the Pre-Distribution Period treated consistently with Section 5.2 (Tax Benefits related to VAT). For the avoidance of doubt, any CFC Taxes for the Pre-Distribution Period will be determined as if the taxable year of any CFC Member that includes the Distribution Date ended at the end of the Distribution Date.</w:t>
      </w:r>
    </w:p>
    <w:p>
      <w:pPr>
        <w:spacing w:after="0" w:line="146"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Section 2.5 Section 336(e) Tax Basis</w:t>
      </w:r>
      <w:r>
        <w:rPr>
          <w:rFonts w:ascii="Times New Roman" w:cs="Times New Roman" w:eastAsia="Times New Roman" w:hAnsi="Times New Roman"/>
          <w:sz w:val="14"/>
          <w:szCs w:val="14"/>
          <w:color w:val="auto"/>
        </w:rPr>
        <w:t>. If the Distribution fails to qualify for the Intended Tax Treatment and RMT Partner, SpinCo or any member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SpinCo Group realizes an increase in Tax basis as a result (determined on a “with and without” basis) of the Section 336(e) Elections (the “</w:t>
      </w:r>
      <w:r>
        <w:rPr>
          <w:rFonts w:ascii="Times New Roman" w:cs="Times New Roman" w:eastAsia="Times New Roman" w:hAnsi="Times New Roman"/>
          <w:sz w:val="14"/>
          <w:szCs w:val="14"/>
          <w:b w:val="1"/>
          <w:bCs w:val="1"/>
          <w:color w:val="auto"/>
        </w:rPr>
        <w:t>Section 336(e) Tax Basis</w:t>
      </w:r>
      <w:r>
        <w:rPr>
          <w:rFonts w:ascii="Times New Roman" w:cs="Times New Roman" w:eastAsia="Times New Roman" w:hAnsi="Times New Roman"/>
          <w:sz w:val="14"/>
          <w:szCs w:val="14"/>
          <w:color w:val="auto"/>
        </w:rPr>
        <w:t>”), then any Tax Benefits realized by RMT Partner, SpinCo and each member of the SpinCo Group as a result of the Section 336(e) Tax Basis shall be allocated between the Company Group and the SpinCo Group in a manner that is proportionate to the Distribution Taxes paid by the Company Group and the SpinCo Group, as applicable, pursuant to the terms of this Agreement (after giving effect to any indemnification payments made pursuant to this Agreement).</w:t>
      </w:r>
    </w:p>
    <w:p>
      <w:pPr>
        <w:spacing w:after="0" w:line="143" w:lineRule="exact"/>
        <w:rPr>
          <w:sz w:val="20"/>
          <w:szCs w:val="20"/>
          <w:color w:val="auto"/>
        </w:rPr>
      </w:pPr>
    </w:p>
    <w:p>
      <w:pPr>
        <w:ind w:left="220" w:right="23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Section 2.6 SpinCo Indebtedness</w:t>
      </w:r>
      <w:r>
        <w:rPr>
          <w:rFonts w:ascii="Times New Roman" w:cs="Times New Roman" w:eastAsia="Times New Roman" w:hAnsi="Times New Roman"/>
          <w:sz w:val="14"/>
          <w:szCs w:val="14"/>
          <w:color w:val="auto"/>
        </w:rPr>
        <w:t>. If, in calculating SpinCo Indebtedness under the Separation Agreement, the amount of any Tax included as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unpaid Company Tax payable by SpinCo or a member of the SpinCo Group exceeds the amount of such Tax actually payable by SpinCo or a member of the SpinCo Group, then RMT Partner or SpinCo shall, within thirty (30) days after such Tax is actually paid, pay to the Company the amount of such excess.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8" w:right="1440" w:bottom="1440" w:gutter="0" w:footer="0" w:header="0"/>
        </w:sectPr>
      </w:pPr>
    </w:p>
    <w:bookmarkStart w:id="522" w:name="page523"/>
    <w:bookmarkEnd w:id="522"/>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3. Preparation and Filing of Tax Returns.</w:t>
      </w:r>
    </w:p>
    <w:p>
      <w:pPr>
        <w:spacing w:after="0" w:line="175" w:lineRule="exact"/>
        <w:rPr>
          <w:sz w:val="20"/>
          <w:szCs w:val="20"/>
          <w:color w:val="auto"/>
        </w:rPr>
      </w:pPr>
    </w:p>
    <w:p>
      <w:pPr>
        <w:jc w:val="both"/>
        <w:ind w:left="220" w:right="35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Section 3.1 General</w:t>
      </w:r>
      <w:r>
        <w:rPr>
          <w:rFonts w:ascii="Times New Roman" w:cs="Times New Roman" w:eastAsia="Times New Roman" w:hAnsi="Times New Roman"/>
          <w:sz w:val="14"/>
          <w:szCs w:val="14"/>
          <w:color w:val="auto"/>
        </w:rPr>
        <w:t>. Tax Returns shall be prepared and filed when due (including extensions) in accordance with this Section 3. The Separation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Parties shall provide, and shall cause their Affiliates to provide, assistance and cooperation to one another in accordance with Section 7 with respect to the preparation and filing of Tax Returns, including providing information required to be provided in Section 7.</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3.2 Responsibility for Preparation and Filing</w:t>
      </w:r>
    </w:p>
    <w:p>
      <w:pPr>
        <w:spacing w:after="0" w:line="175" w:lineRule="exact"/>
        <w:rPr>
          <w:sz w:val="20"/>
          <w:szCs w:val="20"/>
          <w:color w:val="auto"/>
        </w:rPr>
      </w:pPr>
    </w:p>
    <w:p>
      <w:pPr>
        <w:ind w:left="220" w:right="359" w:firstLine="767"/>
        <w:spacing w:after="0" w:line="256" w:lineRule="auto"/>
        <w:tabs>
          <w:tab w:leader="none" w:pos="1182" w:val="left"/>
        </w:tabs>
        <w:numPr>
          <w:ilvl w:val="0"/>
          <w:numId w:val="5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Company Consolidated Returns. </w:t>
      </w:r>
      <w:r>
        <w:rPr>
          <w:rFonts w:ascii="Times New Roman" w:cs="Times New Roman" w:eastAsia="Times New Roman" w:hAnsi="Times New Roman"/>
          <w:sz w:val="14"/>
          <w:szCs w:val="14"/>
          <w:color w:val="auto"/>
        </w:rPr>
        <w:t>Notwithstanding Section 3.2(b), the Company shall prepare and file all Company Consolidated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Returns. Notwithstanding anything to the contrary in this Agreement, for all Tax purposes, the Parties shall report any Extraordinary Transactions that are effected by the SpinCo Group on the Distribution Date after the Effective Time (except for any Extraordinary Transactions effected at the direction of the Company Group) as occurring on the day after the Distribution Date to the extent permitted by Treasury Regulations</w:t>
      </w:r>
    </w:p>
    <w:p>
      <w:pPr>
        <w:spacing w:after="0" w:line="2"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1.1502-76(b)(1)(ii)(B) or any similar or analogous provision of state, local or non-U.S. Law.</w:t>
      </w:r>
    </w:p>
    <w:p>
      <w:pPr>
        <w:spacing w:after="0" w:line="160" w:lineRule="exact"/>
        <w:rPr>
          <w:rFonts w:ascii="Times New Roman" w:cs="Times New Roman" w:eastAsia="Times New Roman" w:hAnsi="Times New Roman"/>
          <w:sz w:val="14"/>
          <w:szCs w:val="14"/>
          <w:color w:val="auto"/>
        </w:rPr>
      </w:pPr>
    </w:p>
    <w:p>
      <w:pPr>
        <w:ind w:left="220" w:right="279" w:firstLine="767"/>
        <w:spacing w:after="0" w:line="296" w:lineRule="auto"/>
        <w:tabs>
          <w:tab w:leader="none" w:pos="1190" w:val="left"/>
        </w:tabs>
        <w:numPr>
          <w:ilvl w:val="0"/>
          <w:numId w:val="5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Separation Party shall prepare and timely file, or cause to be prepared and timely filed, taking into account applicable extensions, all Tax Returns required to be filed by such Separation Party or any of its Subsidiaries and shall pay, or cause to be paid, all Taxes shown as due and payable on such Tax Returns with respect to a Pre-Distribution Period or Straddle Period, subject to any right to indemnification under Section 2.</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3.3 Tax Reporting Practices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767"/>
        <w:spacing w:after="0" w:line="255" w:lineRule="auto"/>
        <w:tabs>
          <w:tab w:leader="none" w:pos="1182" w:val="left"/>
        </w:tabs>
        <w:numPr>
          <w:ilvl w:val="1"/>
          <w:numId w:val="5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 Rule</w:t>
      </w:r>
      <w:r>
        <w:rPr>
          <w:rFonts w:ascii="Times New Roman" w:cs="Times New Roman" w:eastAsia="Times New Roman" w:hAnsi="Times New Roman"/>
          <w:sz w:val="14"/>
          <w:szCs w:val="14"/>
          <w:color w:val="auto"/>
        </w:rPr>
        <w:t>. With respect to any Tax Return that either Separation Party has the obligation and right to prepare and file, or cause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prepared and filed, under Section 3.2, such Tax Return shall be prepared in accordance with past practices, accounting methods, elections or conventions (“</w:t>
      </w:r>
      <w:r>
        <w:rPr>
          <w:rFonts w:ascii="Times New Roman" w:cs="Times New Roman" w:eastAsia="Times New Roman" w:hAnsi="Times New Roman"/>
          <w:sz w:val="14"/>
          <w:szCs w:val="14"/>
          <w:b w:val="1"/>
          <w:bCs w:val="1"/>
          <w:color w:val="auto"/>
        </w:rPr>
        <w:t>Past Practices</w:t>
      </w:r>
      <w:r>
        <w:rPr>
          <w:rFonts w:ascii="Times New Roman" w:cs="Times New Roman" w:eastAsia="Times New Roman" w:hAnsi="Times New Roman"/>
          <w:sz w:val="14"/>
          <w:szCs w:val="14"/>
          <w:color w:val="auto"/>
        </w:rPr>
        <w:t>”), to the extent such Tax Return may reasonably be expected to affect the Tax liability of the other Separation Party, except as otherwise required by applicable Law. During the Restricted Period, if either Separation Party files any portion of a Tax Return in a manner inconsistent with Past Practices and such Tax Return may reasonably be expected to affect the Tax liability of the other Separation Party, such Separation Party shall promptly notify the other Separation Party of all such inconsistencies reasonably prior to the submission of such Tax Return. SpinCo shall not be permitted to make any change in any of its methods of accounting for Tax purposes that would have retroactive effect to any Pre-Distribution Period, unless otherwise required by a Final Determination.</w:t>
      </w:r>
    </w:p>
    <w:p>
      <w:pPr>
        <w:spacing w:after="0" w:line="145" w:lineRule="exact"/>
        <w:rPr>
          <w:rFonts w:ascii="Times New Roman" w:cs="Times New Roman" w:eastAsia="Times New Roman" w:hAnsi="Times New Roman"/>
          <w:sz w:val="14"/>
          <w:szCs w:val="14"/>
          <w:color w:val="auto"/>
        </w:rPr>
      </w:pPr>
    </w:p>
    <w:p>
      <w:pPr>
        <w:ind w:left="220" w:right="359" w:firstLine="767"/>
        <w:spacing w:after="0" w:line="283" w:lineRule="auto"/>
        <w:tabs>
          <w:tab w:leader="none" w:pos="1190" w:val="left"/>
        </w:tabs>
        <w:numPr>
          <w:ilvl w:val="1"/>
          <w:numId w:val="5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Reporting of Separation</w:t>
      </w:r>
      <w:r>
        <w:rPr>
          <w:rFonts w:ascii="Times New Roman" w:cs="Times New Roman" w:eastAsia="Times New Roman" w:hAnsi="Times New Roman"/>
          <w:sz w:val="13"/>
          <w:szCs w:val="13"/>
          <w:color w:val="auto"/>
        </w:rPr>
        <w:t>. The Tax treatment of the Separation Transactions reported on any Tax Return filed, or caused to be filed,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Company, any member of the Company Group, RMT Partner, SpinCo, any member of the SpinCo Group, or their respective Subsidiaries shall be</w:t>
      </w:r>
    </w:p>
    <w:p>
      <w:pPr>
        <w:ind w:left="220" w:right="599" w:hanging="5"/>
        <w:spacing w:after="0" w:line="261" w:lineRule="auto"/>
        <w:tabs>
          <w:tab w:leader="none" w:pos="387" w:val="left"/>
        </w:tabs>
        <w:numPr>
          <w:ilvl w:val="0"/>
          <w:numId w:val="5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with the treatment thereof provided in the Intended Tax Treatment and (ii) as relates to any shares of SpinCo Common Stock that are distributed in the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8" w:right="1440" w:bottom="1440" w:gutter="0" w:footer="0" w:header="0"/>
        </w:sectPr>
      </w:pPr>
    </w:p>
    <w:bookmarkStart w:id="523" w:name="page524"/>
    <w:bookmarkEnd w:id="523"/>
    <w:p>
      <w:pPr>
        <w:ind w:left="220" w:right="3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Distribution to a Subsidiary of the Company that is a member of the Company Group, consistent with the treatment thereof provided in Section 3.4 of the Separation Agreement. If the Company determines, in its reasonable discretion, to make a protective election under Section 336(e) of the Code and the Treasury Regulations promulgated thereunder (and any corresponding or analogous provisions of state and local Tax Law) in connection with the Distribution with respect to SpinCo and each other member of the SpinCo Group that is a domestic corporation for U.S. federal income tax purposes (the “</w:t>
      </w:r>
      <w:r>
        <w:rPr>
          <w:rFonts w:ascii="Times New Roman" w:cs="Times New Roman" w:eastAsia="Times New Roman" w:hAnsi="Times New Roman"/>
          <w:sz w:val="14"/>
          <w:szCs w:val="14"/>
          <w:b w:val="1"/>
          <w:bCs w:val="1"/>
          <w:color w:val="auto"/>
        </w:rPr>
        <w:t>Section 336(e) Elections</w:t>
      </w:r>
      <w:r>
        <w:rPr>
          <w:rFonts w:ascii="Times New Roman" w:cs="Times New Roman" w:eastAsia="Times New Roman" w:hAnsi="Times New Roman"/>
          <w:sz w:val="14"/>
          <w:szCs w:val="14"/>
          <w:color w:val="auto"/>
        </w:rPr>
        <w:t>”), then the Parties shall enter into a written, binding agreement to make the Section 336(e) Elections, and the Parties shall timely make the Section 336(e) Elections in accordance with Treasury Regulations § 1.336-2(h). For the avoidance of doubt, such agreement is intended to constitute a “written, binding agreement” to make the Section 336(e) Elections within the meaning of Treasury Regulations §</w:t>
      </w:r>
    </w:p>
    <w:p>
      <w:pPr>
        <w:spacing w:after="0" w:line="4" w:lineRule="exact"/>
        <w:rPr>
          <w:sz w:val="20"/>
          <w:szCs w:val="20"/>
          <w:color w:val="auto"/>
        </w:rPr>
      </w:pPr>
    </w:p>
    <w:p>
      <w:pPr>
        <w:ind w:left="220" w:right="379"/>
        <w:spacing w:after="0" w:line="252" w:lineRule="auto"/>
        <w:rPr>
          <w:sz w:val="20"/>
          <w:szCs w:val="20"/>
          <w:color w:val="auto"/>
        </w:rPr>
      </w:pPr>
      <w:r>
        <w:rPr>
          <w:rFonts w:ascii="Times New Roman" w:cs="Times New Roman" w:eastAsia="Times New Roman" w:hAnsi="Times New Roman"/>
          <w:sz w:val="14"/>
          <w:szCs w:val="14"/>
          <w:color w:val="auto"/>
        </w:rPr>
        <w:t>1.336-2(h)(1)(i). The Parties shall, and shall cause the members of their respective Groups to, cooperate in making the Section 336(e) Elections, including by filing any statements, amending any Tax Returns, or taking such other actions as are reasonably necessary to carry out the Section 336(e) Elections. Each Party agrees not to take any position (and to cause each of its Affiliates not to take any position) that is inconsistent with the Section 336(e) Elections on any Tax Return, in connection with any Tax Contest, or otherwise, except as may be required by a Final Determination. Notwithstanding anything herein to the contrary, any actions taken by the Company, SpinCo, RMT Partner, or any members of the Company Group or the SpinCo Group with respect to the making of the Section 336(e) Elections, and the preparation of any statements, Tax Returns or other materials in accordance therewith, shall not be considered a breach or nonperformance of any covenant or agreement made or to be performed by the Company, SpinCo or RMT Partner contained in Sections 6.1 and 6.2.</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3.4 Consolidated or Combined Tax Returns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20" w:right="459" w:firstLine="767"/>
        <w:spacing w:after="0" w:line="267" w:lineRule="auto"/>
        <w:tabs>
          <w:tab w:leader="none" w:pos="1182"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 will elect and join and will cause its Affiliates to elect and join, in filing any consolidated, combined or unitary Tax Returns that the Company determines in good faith are required to be filed or that the Company chooses to file pursuant to Section 3.2 with respect to any Pre-Distribution Period.</w:t>
      </w:r>
    </w:p>
    <w:p>
      <w:pPr>
        <w:spacing w:after="0" w:line="135" w:lineRule="exact"/>
        <w:rPr>
          <w:rFonts w:ascii="Times New Roman" w:cs="Times New Roman" w:eastAsia="Times New Roman" w:hAnsi="Times New Roman"/>
          <w:sz w:val="14"/>
          <w:szCs w:val="14"/>
          <w:color w:val="auto"/>
        </w:rPr>
      </w:pPr>
    </w:p>
    <w:p>
      <w:pPr>
        <w:ind w:left="220" w:right="419" w:firstLine="767"/>
        <w:spacing w:after="0" w:line="283" w:lineRule="auto"/>
        <w:tabs>
          <w:tab w:leader="none" w:pos="1190" w:val="left"/>
        </w:tabs>
        <w:numPr>
          <w:ilvl w:val="0"/>
          <w:numId w:val="5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all Company Consolidated Returns for the taxable year which includes the Distribution Date, the Company shall use the closing of the books method under Treasury Regulations Section 1.1502-76.</w:t>
      </w:r>
    </w:p>
    <w:p>
      <w:pPr>
        <w:spacing w:after="0" w:line="1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3.5 Right to Review and Consent to Tax Returns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20" w:right="359" w:firstLine="767"/>
        <w:spacing w:after="0" w:line="256" w:lineRule="auto"/>
        <w:tabs>
          <w:tab w:leader="none" w:pos="1182" w:val="left"/>
        </w:tabs>
        <w:numPr>
          <w:ilvl w:val="0"/>
          <w:numId w:val="5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 Responsible Separation Party files any Tax Return that reflects (i) Taxes for which the other Separation Party would reasonably be expected to be liable, including as a result of adjustments to the amount of Taxes reported on such Tax Return, (ii) the Contribution, the SpinCo Cash Distribution, the Distribution, and/or the Merger, (iii) a Separation Transaction, or (iv) any other information that could reasonably be expected to impact the Tax liability of the other Separation Party, the Responsible Separation Party shall submit to the other Separation Party a draft of the portion of such Tax Return reporting any of the facts described in clauses (i) through (iv) of this sentence at least forty-five (45) days prior to the Due Date for such Tax Return for the other Separation Party’s review, comment and approval (such approval not to be unreasonably delayed, conditioned or withheld). The other Separation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524" w:name="page525"/>
    <w:bookmarkEnd w:id="524"/>
    <w:p>
      <w:pPr>
        <w:ind w:left="22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Party shall have access to any and all data and information necessary for the preparation of all such Tax Returns and the Separation Parties shall cooperate fully in the preparation and review of such Tax Returns;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providing Separation Party may redact from such information and documents any Redactable Information. No later than thirty (30) days after receipt of such Tax Returns, the other Separation Party shall have a right to object to such Tax Return (or items with respect thereto) by written notice to the Responsible Separation Party; such written notice shall contain such disputed item (or items) and the basis for its objection;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other Separation Party does not provide such written objection within thirty</w:t>
      </w:r>
    </w:p>
    <w:p>
      <w:pPr>
        <w:ind w:left="480" w:hanging="265"/>
        <w:spacing w:after="0"/>
        <w:tabs>
          <w:tab w:leader="none" w:pos="480" w:val="left"/>
        </w:tabs>
        <w:numPr>
          <w:ilvl w:val="0"/>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receipt such other Separation Party shall be deemed to approve such Tax Return for purposes of this Section 3.5.</w:t>
      </w:r>
    </w:p>
    <w:p>
      <w:pPr>
        <w:spacing w:after="0" w:line="160" w:lineRule="exact"/>
        <w:rPr>
          <w:rFonts w:ascii="Times New Roman" w:cs="Times New Roman" w:eastAsia="Times New Roman" w:hAnsi="Times New Roman"/>
          <w:sz w:val="14"/>
          <w:szCs w:val="14"/>
          <w:color w:val="auto"/>
        </w:rPr>
      </w:pPr>
    </w:p>
    <w:p>
      <w:pPr>
        <w:ind w:left="220" w:right="379" w:firstLine="767"/>
        <w:spacing w:after="0" w:line="258" w:lineRule="auto"/>
        <w:tabs>
          <w:tab w:leader="none" w:pos="1190" w:val="left"/>
        </w:tabs>
        <w:numPr>
          <w:ilvl w:val="1"/>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 Separation Party objects by proper written notice described in Section 3.5(a), the Separation Parties shall act in good faith to resolve any such dispute as promptly as practicable;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notwithstanding anything to the contrary contained herein, if the Separation Parties have not resolved the disputed item or items by the day five (5) Business Days prior to the Due Date of such Tax Return, such Tax Return shall be filed as prepared pursuant to this Section 3.5 (revised to reflect all initially disputed items that the Separation Parties have agreed upon prior to such date).</w:t>
      </w:r>
    </w:p>
    <w:p>
      <w:pPr>
        <w:spacing w:after="0" w:line="143" w:lineRule="exact"/>
        <w:rPr>
          <w:rFonts w:ascii="Times New Roman" w:cs="Times New Roman" w:eastAsia="Times New Roman" w:hAnsi="Times New Roman"/>
          <w:sz w:val="14"/>
          <w:szCs w:val="14"/>
          <w:color w:val="auto"/>
        </w:rPr>
      </w:pPr>
    </w:p>
    <w:p>
      <w:pPr>
        <w:ind w:left="220" w:right="299" w:firstLine="767"/>
        <w:spacing w:after="0" w:line="256" w:lineRule="auto"/>
        <w:tabs>
          <w:tab w:leader="none" w:pos="1182" w:val="left"/>
        </w:tabs>
        <w:numPr>
          <w:ilvl w:val="1"/>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 Tax Return is filed that includes any disputed item for which proper notice was given pursuant to Section 3.5(a) that was not finally resolved and agreed upon, such disputed item (or items) shall be resolved in accordance with Section 13. In the event that the resolution of such disputed item (or items) in accordance with Section 13 with respect to a Tax Return is inconsistent with such Tax Return as filed, the Responsible Separation Party (with cooperation from the other Separation Party) shall, as promptly as practicable, amend such Tax Return to properly reflect the final resolution of the disputed item (or items). In the event that the amount of Taxes shown to be due and owing on a Tax Return is adjusted as a result of a resolution pursuant to Section 13, proper adjustment shall be made to the amounts previously paid or required to be paid in accordance with Section 4 in a manner that reflects such resolution.</w:t>
      </w:r>
    </w:p>
    <w:p>
      <w:pPr>
        <w:spacing w:after="0" w:line="143" w:lineRule="exact"/>
        <w:rPr>
          <w:rFonts w:ascii="Times New Roman" w:cs="Times New Roman" w:eastAsia="Times New Roman" w:hAnsi="Times New Roman"/>
          <w:sz w:val="14"/>
          <w:szCs w:val="14"/>
          <w:color w:val="auto"/>
        </w:rPr>
      </w:pPr>
    </w:p>
    <w:p>
      <w:pPr>
        <w:ind w:left="220" w:right="359" w:firstLine="767"/>
        <w:spacing w:after="0" w:line="267" w:lineRule="auto"/>
        <w:tabs>
          <w:tab w:leader="none" w:pos="1190" w:val="left"/>
        </w:tabs>
        <w:numPr>
          <w:ilvl w:val="1"/>
          <w:numId w:val="5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SpinCo and the Company shall cooperate with respect to the preparation of any transfer pricing documentation relating to the SpinCo Business required to be prepared with respect to a Tax Return for any Pre-Distribution Period or Straddle Period.</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3.6 Refunds, Carrybacks and Amended Tax Returns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180" w:hanging="193"/>
        <w:spacing w:after="0"/>
        <w:tabs>
          <w:tab w:leader="none" w:pos="1180" w:val="left"/>
        </w:tabs>
        <w:numPr>
          <w:ilvl w:val="0"/>
          <w:numId w:val="5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Refunds</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980" w:right="279" w:firstLine="319"/>
        <w:spacing w:after="0" w:line="259" w:lineRule="auto"/>
        <w:tabs>
          <w:tab w:leader="none" w:pos="1459" w:val="left"/>
        </w:tabs>
        <w:numPr>
          <w:ilvl w:val="1"/>
          <w:numId w:val="5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Separation Party (and its Affiliates) (the “</w:t>
      </w:r>
      <w:r>
        <w:rPr>
          <w:rFonts w:ascii="Times New Roman" w:cs="Times New Roman" w:eastAsia="Times New Roman" w:hAnsi="Times New Roman"/>
          <w:sz w:val="14"/>
          <w:szCs w:val="14"/>
          <w:b w:val="1"/>
          <w:bCs w:val="1"/>
          <w:color w:val="auto"/>
        </w:rPr>
        <w:t>Claiming Separation Party</w:t>
      </w:r>
      <w:r>
        <w:rPr>
          <w:rFonts w:ascii="Times New Roman" w:cs="Times New Roman" w:eastAsia="Times New Roman" w:hAnsi="Times New Roman"/>
          <w:sz w:val="14"/>
          <w:szCs w:val="14"/>
          <w:color w:val="auto"/>
        </w:rPr>
        <w:t>”) shall be entitled to Refunds that relate to Taxes for which it (or its Affiliates) is liable under this Agreement or for which it has previously paid or reported. For the avoidance of doubt, to the extent that a particular Refund may be allocable to multiple Parties, the portion of such Refund to which each Party will be entitled shall be determined by comparing the amount of payments made by a Party to a Tax Authority or to the other Party (and reduced by the amount of payments received from the other Party) pursuant to Sections 2</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525" w:name="page526"/>
    <w:bookmarkEnd w:id="525"/>
    <w:p>
      <w:pPr>
        <w:ind w:left="980" w:right="2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and 3 with the Tax liability of such Party as determined under Section 2.1, taking into account the facts as utilized for purposes of claiming such Refund. With respect to VAT, a Refund shall be treated as relating to a Pre-Distribution Period to the extent such Refund arises from the recovery, reduction, or reimbursement of VAT that was paid, borne, or reported in a Pre-Distribution Period, including as a result of the correction, amendment, or adjustment of any Tax Return for a Pre-Distribution Period. Notwithstanding the foregoing, ordinary-course VAT recoveries arising from the filing of Tax Returns for Post-Distribution Periods, including recoveries attributable solely to late-received invoices or routine timing differences that do not require the correction or amendment of any Tax Return for a Pre-Distribution Period, shall not be treated as Refunds relating to a Pre-Distribution Period.</w:t>
      </w:r>
    </w:p>
    <w:p>
      <w:pPr>
        <w:spacing w:after="0" w:line="59" w:lineRule="exact"/>
        <w:rPr>
          <w:sz w:val="20"/>
          <w:szCs w:val="20"/>
          <w:color w:val="auto"/>
        </w:rPr>
      </w:pPr>
    </w:p>
    <w:p>
      <w:pPr>
        <w:ind w:left="980" w:right="239" w:firstLine="319"/>
        <w:spacing w:after="0" w:line="254" w:lineRule="auto"/>
        <w:tabs>
          <w:tab w:leader="none" w:pos="1498" w:val="left"/>
        </w:tabs>
        <w:numPr>
          <w:ilvl w:val="1"/>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Refund or portion thereof to which a Claiming Separation Party is entitled pursuant to this Section 3.6(a) that is received or deemed to have been received as described herein by the other Separation Party (or its Affiliates) shall be paid by such other Separation Party to the Claiming Separation Party in immediately available funds in accordance with Section 4 (net of any reasonable out-of-pocket expenses incurred in obtaining such Refund, including any Taxes imposed or payable in respect of the receipt or accrual thereof). To the extent a Separation Party (or its Affiliates) applies or causes to be applied an overpayment of Taxes as a credit toward or a reduction in Taxes otherwise payable (or a Tax Authority requires such application in lieu of a Refund) and such Refund, if received, would have been payable by such Separation Party to the Claiming Separation Party pursuant to this Section 3.6(a), such Separation Party shall be deemed to have actually received a Refund to the extent thereof on the date on which the overpayment is applied to reduce Taxes otherwise payable. For the avoidance of doubt, in the case of VAT, a Refund shall be deemed received for purposes of this Section 3.6(a) at the time such VAT is refunded in cash, offset against other VAT liabilities, or otherwise applied to reduce VAT payable, regardless of the Tax Period in which such offset or reduction is reflected.</w:t>
      </w:r>
    </w:p>
    <w:p>
      <w:pPr>
        <w:spacing w:after="0" w:line="60" w:lineRule="exact"/>
        <w:rPr>
          <w:rFonts w:ascii="Times New Roman" w:cs="Times New Roman" w:eastAsia="Times New Roman" w:hAnsi="Times New Roman"/>
          <w:sz w:val="14"/>
          <w:szCs w:val="14"/>
          <w:color w:val="auto"/>
        </w:rPr>
      </w:pPr>
    </w:p>
    <w:p>
      <w:pPr>
        <w:ind w:left="980" w:right="339" w:firstLine="319"/>
        <w:spacing w:after="0" w:line="267" w:lineRule="auto"/>
        <w:tabs>
          <w:tab w:leader="none" w:pos="1537" w:val="left"/>
        </w:tabs>
        <w:numPr>
          <w:ilvl w:val="1"/>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any Separation Party that has received a payment in respect of a Refund pursuant to this Section 3.6(a) shall be liable for any Taxes that become due and payable as a result of the subsequent adjustment, if any, to the Refund claim.</w:t>
      </w:r>
    </w:p>
    <w:p>
      <w:pPr>
        <w:spacing w:after="0" w:line="51" w:lineRule="exact"/>
        <w:rPr>
          <w:rFonts w:ascii="Times New Roman" w:cs="Times New Roman" w:eastAsia="Times New Roman" w:hAnsi="Times New Roman"/>
          <w:sz w:val="14"/>
          <w:szCs w:val="14"/>
          <w:color w:val="auto"/>
        </w:rPr>
      </w:pPr>
    </w:p>
    <w:p>
      <w:pPr>
        <w:ind w:left="980" w:right="539" w:firstLine="319"/>
        <w:spacing w:after="0" w:line="283" w:lineRule="auto"/>
        <w:tabs>
          <w:tab w:leader="none" w:pos="1529" w:val="left"/>
        </w:tabs>
        <w:numPr>
          <w:ilvl w:val="1"/>
          <w:numId w:val="5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Separation Parties shall cooperate in good faith with any reasonable request by the other Separation Party to pursue any Refund to which such other Separation Party may be entitled under Section 3.6(a)(i).</w:t>
      </w:r>
    </w:p>
    <w:p>
      <w:pPr>
        <w:spacing w:after="0" w:line="122"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Carrybacks</w:t>
      </w:r>
      <w:r>
        <w:rPr>
          <w:rFonts w:ascii="Times New Roman" w:cs="Times New Roman" w:eastAsia="Times New Roman" w:hAnsi="Times New Roman"/>
          <w:sz w:val="14"/>
          <w:szCs w:val="14"/>
          <w:color w:val="auto"/>
        </w:rPr>
        <w:t>.</w:t>
      </w:r>
    </w:p>
    <w:p>
      <w:pPr>
        <w:spacing w:after="0" w:line="93" w:lineRule="exact"/>
        <w:rPr>
          <w:rFonts w:ascii="Times New Roman" w:cs="Times New Roman" w:eastAsia="Times New Roman" w:hAnsi="Times New Roman"/>
          <w:sz w:val="14"/>
          <w:szCs w:val="14"/>
          <w:color w:val="auto"/>
        </w:rPr>
      </w:pPr>
    </w:p>
    <w:p>
      <w:pPr>
        <w:ind w:left="980" w:right="239" w:firstLine="319"/>
        <w:spacing w:after="0" w:line="258" w:lineRule="auto"/>
        <w:tabs>
          <w:tab w:leader="none" w:pos="1459" w:val="left"/>
        </w:tabs>
        <w:numPr>
          <w:ilvl w:val="1"/>
          <w:numId w:val="5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Separation Parties shall be permitted (but not required) to carry back (or to cause its Affiliates to carry back) a Tax Attribute realized in a Post-Distribution Period or a Straddle Period to a Pre-Distribution Period or a Straddle Period only if such carryback cannot reasonably result in the other Separation Party (or its Affiliates) being liable for additional Taxes. If a carryback could reasonably result in the other Separation Party (or its Affiliates) being liable for additional Taxes, such carryback shall be permitted only if such other Separation Party consents to such carryback.</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1" w:right="1440" w:bottom="1440" w:gutter="0" w:footer="0" w:header="0"/>
        </w:sectPr>
      </w:pPr>
    </w:p>
    <w:bookmarkStart w:id="526" w:name="page527"/>
    <w:bookmarkEnd w:id="526"/>
    <w:p>
      <w:pPr>
        <w:ind w:left="980" w:right="339" w:firstLine="319"/>
        <w:spacing w:after="0" w:line="267" w:lineRule="auto"/>
        <w:tabs>
          <w:tab w:leader="none" w:pos="1498" w:val="left"/>
        </w:tabs>
        <w:numPr>
          <w:ilvl w:val="0"/>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Notwithstanding anything to the contrary in this Agreement, any Separation Party that has claimed (or caused one or more of its Affiliates to claim) a Tax Attribute carryback shall be liable for any Taxes that result from such carryback claim or become due and payable as a result of the subsequent adjustment, if any, to the carryback claim.</w:t>
      </w:r>
    </w:p>
    <w:p>
      <w:pPr>
        <w:spacing w:after="0" w:line="51" w:lineRule="exact"/>
        <w:rPr>
          <w:rFonts w:ascii="Times New Roman" w:cs="Times New Roman" w:eastAsia="Times New Roman" w:hAnsi="Times New Roman"/>
          <w:sz w:val="14"/>
          <w:szCs w:val="14"/>
          <w:color w:val="auto"/>
        </w:rPr>
      </w:pPr>
    </w:p>
    <w:p>
      <w:pPr>
        <w:ind w:left="980" w:right="299" w:firstLine="319"/>
        <w:spacing w:after="0" w:line="283" w:lineRule="auto"/>
        <w:tabs>
          <w:tab w:leader="none" w:pos="1537" w:val="left"/>
        </w:tabs>
        <w:numPr>
          <w:ilvl w:val="0"/>
          <w:numId w:val="5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Separation Party shall be entitled to any Refund that is attributable to, and would not have arisen but for, a carryback of a Tax Attribute by such Separation Party pursuant to the provisions set forth in this Section 3.6(b).</w:t>
      </w:r>
    </w:p>
    <w:p>
      <w:pPr>
        <w:spacing w:after="0" w:line="123" w:lineRule="exact"/>
        <w:rPr>
          <w:sz w:val="20"/>
          <w:szCs w:val="20"/>
          <w:color w:val="auto"/>
        </w:rPr>
      </w:pPr>
    </w:p>
    <w:p>
      <w:pPr>
        <w:ind w:left="220" w:right="239" w:firstLine="767"/>
        <w:spacing w:after="0" w:line="262" w:lineRule="auto"/>
        <w:tabs>
          <w:tab w:leader="none" w:pos="1182" w:val="left"/>
        </w:tabs>
        <w:numPr>
          <w:ilvl w:val="0"/>
          <w:numId w:val="5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Amended Tax Returns</w:t>
      </w:r>
      <w:r>
        <w:rPr>
          <w:rFonts w:ascii="Times New Roman" w:cs="Times New Roman" w:eastAsia="Times New Roman" w:hAnsi="Times New Roman"/>
          <w:sz w:val="14"/>
          <w:szCs w:val="14"/>
          <w:color w:val="auto"/>
        </w:rPr>
        <w:t>. Other than as required by this Agreement or applicable Law, neither SpinCo nor RMT Partner shall file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amended Tax Return for a member of the SpinCo Group that relates to (i) a Pre-Distribution Period or (ii) any Tax Return which the Company is entitled to review pursuant to Section 3.5(a), without the prior written consent of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amendments of Tax Returns described in clause (ii), the Company’s consent shall not be unreasonably withheld, conditioned or delayed.</w:t>
      </w:r>
    </w:p>
    <w:p>
      <w:pPr>
        <w:spacing w:after="0" w:line="138" w:lineRule="exact"/>
        <w:rPr>
          <w:sz w:val="20"/>
          <w:szCs w:val="20"/>
          <w:color w:val="auto"/>
        </w:rPr>
      </w:pPr>
    </w:p>
    <w:p>
      <w:pPr>
        <w:ind w:left="220" w:right="239" w:firstLine="343"/>
        <w:spacing w:after="0" w:line="256" w:lineRule="auto"/>
        <w:rPr>
          <w:sz w:val="20"/>
          <w:szCs w:val="20"/>
          <w:color w:val="auto"/>
        </w:rPr>
      </w:pPr>
      <w:r>
        <w:rPr>
          <w:rFonts w:ascii="Times New Roman" w:cs="Times New Roman" w:eastAsia="Times New Roman" w:hAnsi="Times New Roman"/>
          <w:sz w:val="14"/>
          <w:szCs w:val="14"/>
          <w:i w:val="1"/>
          <w:iCs w:val="1"/>
          <w:color w:val="auto"/>
        </w:rPr>
        <w:t>Section 3.7 Apportionment of Tax Attributes</w:t>
      </w:r>
      <w:r>
        <w:rPr>
          <w:rFonts w:ascii="Times New Roman" w:cs="Times New Roman" w:eastAsia="Times New Roman" w:hAnsi="Times New Roman"/>
          <w:sz w:val="14"/>
          <w:szCs w:val="14"/>
          <w:color w:val="auto"/>
        </w:rPr>
        <w:t>. The Company shall reasonably determine in good faith, and advise SpinCo in writing of, the 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any Tax Attributes arising in a Pre-Distribution Period that shall be allocated or apportioned to the SpinCo Group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Section 3.7 shall not be construed as obligating the Company to undertake an “earnings &amp; profits study” or similar determinations. The Company Group and the SpinCo Group agree to compute all Taxes for Post-Distribution Periods consistently with the determination of the allocation of Tax Attributes pursuant to this Section 3.7 unless otherwise required by a Final Determination. To the extent that the amount of any Tax Attribute is later reduced or increased as a result of a Final Determination, such reduction or increase shall be allocated to the Party to which such Tax Attribute was allocated pursuant to this Section 3.7.</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Section 4. Indemnification Payments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4.1 Indemnification Payments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99" w:firstLine="767"/>
        <w:spacing w:after="0" w:line="279" w:lineRule="auto"/>
        <w:tabs>
          <w:tab w:leader="none" w:pos="1182" w:val="left"/>
        </w:tabs>
        <w:numPr>
          <w:ilvl w:val="0"/>
          <w:numId w:val="5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Separation Party (the “</w:t>
      </w:r>
      <w:r>
        <w:rPr>
          <w:rFonts w:ascii="Times New Roman" w:cs="Times New Roman" w:eastAsia="Times New Roman" w:hAnsi="Times New Roman"/>
          <w:sz w:val="13"/>
          <w:szCs w:val="13"/>
          <w:b w:val="1"/>
          <w:bCs w:val="1"/>
          <w:color w:val="auto"/>
        </w:rPr>
        <w:t>Payor</w:t>
      </w:r>
      <w:r>
        <w:rPr>
          <w:rFonts w:ascii="Times New Roman" w:cs="Times New Roman" w:eastAsia="Times New Roman" w:hAnsi="Times New Roman"/>
          <w:sz w:val="13"/>
          <w:szCs w:val="13"/>
          <w:color w:val="auto"/>
        </w:rPr>
        <w:t>”) or any Affiliate of the Payor is required under applicable Tax Law to pay to a Tax Authority a Tax that another Separation Party (the “</w:t>
      </w:r>
      <w:r>
        <w:rPr>
          <w:rFonts w:ascii="Times New Roman" w:cs="Times New Roman" w:eastAsia="Times New Roman" w:hAnsi="Times New Roman"/>
          <w:sz w:val="13"/>
          <w:szCs w:val="13"/>
          <w:b w:val="1"/>
          <w:bCs w:val="1"/>
          <w:color w:val="auto"/>
        </w:rPr>
        <w:t>Required Separation Party</w:t>
      </w:r>
      <w:r>
        <w:rPr>
          <w:rFonts w:ascii="Times New Roman" w:cs="Times New Roman" w:eastAsia="Times New Roman" w:hAnsi="Times New Roman"/>
          <w:sz w:val="13"/>
          <w:szCs w:val="13"/>
          <w:color w:val="auto"/>
        </w:rPr>
        <w:t>”) is liable for under this Agreement, the Payor shall provide notice to the Required Separation Party for the amount due, accompanied by evidence of payment and a statement detailing the Taxes paid and describing in reasonable detail the particulars relating thereto. Such Required Separation Party shall have a period of thirty (30) days after the receipt of notice to respond thereto. Unless the Required Separation Party disputes the amount it is liable for under this Agreement, the Required Separation Party shall reimburse the Payor within forty-five (45) days of delivery by the Payor of the notice described above. To the extent the Required Separation Party does not agree with the amount the Payor claims the Required Separation Party is liable for under this Agreement, the dispute shall be resolved in accordance with Section 13.</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527" w:name="page528"/>
    <w:bookmarkEnd w:id="527"/>
    <w:p>
      <w:pPr>
        <w:ind w:left="220" w:right="259" w:firstLine="767"/>
        <w:spacing w:after="0" w:line="257" w:lineRule="auto"/>
        <w:tabs>
          <w:tab w:leader="none" w:pos="1190" w:val="left"/>
        </w:tabs>
        <w:numPr>
          <w:ilvl w:val="0"/>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Tax indemnity payment required to be made by the Required Separation Party pursuant to this Agreement shall be reduced by any corresponding Tax Benefit payment required to be made to the Required Separation Party by the other Separation Party pursuant to Section 5. For the avoidance of doubt, a Tax Benefit payment is treated as corresponding to a Tax indemnity payment to the extent the Tax Benefit realized is attributable to the same Tax Item (or adjustment of such Tax Item pursuant to a Final Determination) that gave rise to the Tax indemnity payment. Any foreign tax credits or deductions under U.S. Tax Law claimed by RMT Partner or any member of the SpinCo Group as a result of any CFC Taxes for the Pre-Distribution Period (as determined pursuant to Section 2.4) shall be treated as Tax Benefits corresponding to such CFC Taxes.</w:t>
      </w:r>
    </w:p>
    <w:p>
      <w:pPr>
        <w:spacing w:after="0" w:line="143" w:lineRule="exact"/>
        <w:rPr>
          <w:rFonts w:ascii="Times New Roman" w:cs="Times New Roman" w:eastAsia="Times New Roman" w:hAnsi="Times New Roman"/>
          <w:sz w:val="14"/>
          <w:szCs w:val="14"/>
          <w:color w:val="auto"/>
        </w:rPr>
      </w:pPr>
    </w:p>
    <w:p>
      <w:pPr>
        <w:ind w:left="220" w:right="279" w:firstLine="767"/>
        <w:spacing w:after="0" w:line="261" w:lineRule="auto"/>
        <w:tabs>
          <w:tab w:leader="none" w:pos="1182" w:val="left"/>
        </w:tabs>
        <w:numPr>
          <w:ilvl w:val="0"/>
          <w:numId w:val="5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indemnification payments under this Agreement shall be made by the Company directly to SpinCo and by SpinCo directly to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Separation Parties mutually agree with respect to any such indemnification payment, any member of the Company Group, on the one hand, may make such indemnification payment to any member of the SpinCo Group, on the other hand, and vice versa. All indemnification payments shall be treated in the manner described in Section 12.</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Section 5. Tax Benefits and Company Tax Attributes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5.1 Tax Benefits</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20" w:right="279" w:firstLine="767"/>
        <w:spacing w:after="0" w:line="254" w:lineRule="auto"/>
        <w:tabs>
          <w:tab w:leader="none" w:pos="1182" w:val="left"/>
        </w:tabs>
        <w:numPr>
          <w:ilvl w:val="0"/>
          <w:numId w:val="5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member of the SpinCo Group realizes any Tax Benefit as a result of an adjustment pursuant to a Final Determination to any Taxes for which a member of the Company Group is liable hereunder, or if a member of the Company Group realizes any Tax Benefit as a result of an adjustment pursuant to a Final Determination to any Taxes for which a member of the SpinCo Group is liable hereunder, SpinCo or the Company, as the case may be, shall make a payment to the other company within one hundred twenty (120) Business Days following such realization of the Tax Benefit, in an amount equal to such Tax Benefit (net of any reasonable out-of-pocket expenses incurred in obtaining such Tax Benefit, including any Taxes imposed or payable in respect of the receipt or accrual thereof)</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For the avoidance of doubt, if such Tax Benefit results in the reduction of an indemnity payment pursuant to Section 4.1(b), no payment shall be required under this Section 5.1(a) to the extent the Required Separation Party reduced its Tax indemnity payment under Section 4.1(b). Notwithstanding anything to the contrary in this Agreement, any Separation Party that has been paid such Tax Benefit pursuant to this Section 5.1 (or has their Tax indemnity obligation pursuant to Section 4.1(b) reduced) shall be liable for any Taxes that become due and payable as a result of the subsequent adjustment, if any, to such Tax Benefit.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528" w:name="page529"/>
    <w:bookmarkEnd w:id="528"/>
    <w:p>
      <w:pPr>
        <w:ind w:left="220" w:right="359" w:firstLine="767"/>
        <w:spacing w:after="0" w:line="255" w:lineRule="auto"/>
        <w:tabs>
          <w:tab w:leader="none" w:pos="1190" w:val="left"/>
        </w:tabs>
        <w:numPr>
          <w:ilvl w:val="0"/>
          <w:numId w:val="5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 later than one hundred twenty (120) Business Days after a Tax Benefit described in Section 5.1(a) is realized by a member of the Company Group or a member of the SpinCo Group, the Company (if a member of the Company Group realizes such Tax Benefit) or SpinCo (if a member of the SpinCo Group realizes such Tax Benefit) shall provide the other Separation Party with notice of the amount payable to such other Separation Party by the Company or SpinCo pursuant to this Section 5. In the event that the Company or SpinCo disagrees with any such calculation described in this Section 5.1(b), the Company or SpinCo shall so notify the other Separation Party in writing within thirty (30) Business Days of receiving the written calculation set forth above in this Section 5.1(b). The Company and SpinCo shall endeavor in good faith to resolve such disagreement, and, failing that, the amount payable under this Section 5 shall be determined in accordance with the disagreement resolution provisions of Section 13 as promptly as practicable</w:t>
      </w:r>
      <w:r>
        <w:rPr>
          <w:rFonts w:ascii="Times New Roman" w:cs="Times New Roman" w:eastAsia="Times New Roman" w:hAnsi="Times New Roman"/>
          <w:sz w:val="14"/>
          <w:szCs w:val="14"/>
          <w:i w:val="1"/>
          <w:iCs w:val="1"/>
          <w:color w:val="auto"/>
        </w:rPr>
        <w:t>.</w:t>
      </w:r>
    </w:p>
    <w:p>
      <w:pPr>
        <w:spacing w:after="0" w:line="143"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Section 5.2 Tax Benefits related to VAT</w:t>
      </w:r>
      <w:r>
        <w:rPr>
          <w:rFonts w:ascii="Times New Roman" w:cs="Times New Roman" w:eastAsia="Times New Roman" w:hAnsi="Times New Roman"/>
          <w:sz w:val="14"/>
          <w:szCs w:val="14"/>
          <w:color w:val="auto"/>
        </w:rPr>
        <w:t>. In the event that, in a Post-Distribution Period, SpinCo or any member of the SpinCo Group realizes a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Benefit arising from the refund, recovery, reduction, or reimbursement of any VAT that was paid, borne, or reported in a Pre-Distribution Period (including as a result of the correction, amendment, or adjustment of any Tax Return for a Pre-Distribution Period), SpinCo shall pay to the Company an amount equal to such Tax Benefit (net of any reasonable out-of-pocket expenses incurred in obtaining such Tax Benefit, including any Taxes imposed or payable in respect of the receipt or accrual thereof) within thirty (30) Business Days following realization of such Tax Benefit. For the avoidance of doubt, this Section 5.2 shall not apply to VAT recoveries arising in the ordinary course of business from the filing of Tax Returns for Post-Distribution Periods, including recoveries attributable to late-received invoices or similar timing differences that do not require the correction or amendment of any Tax Return for a Pre-Distribution Period.</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Section 6. Intended Tax Treatment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6.1 Restrictions on SpinCo and RMT Partner</w:t>
      </w:r>
      <w:r>
        <w:rPr>
          <w:rFonts w:ascii="Times New Roman" w:cs="Times New Roman" w:eastAsia="Times New Roman" w:hAnsi="Times New Roman"/>
          <w:sz w:val="14"/>
          <w:szCs w:val="14"/>
          <w:color w:val="auto"/>
        </w:rPr>
        <w:t>. During the Restricted Period, SpinCo and RMT Partner shall not:</w:t>
      </w:r>
    </w:p>
    <w:p>
      <w:pPr>
        <w:spacing w:after="0" w:line="93" w:lineRule="exact"/>
        <w:rPr>
          <w:sz w:val="20"/>
          <w:szCs w:val="20"/>
          <w:color w:val="auto"/>
        </w:rPr>
      </w:pPr>
    </w:p>
    <w:p>
      <w:pPr>
        <w:ind w:left="220" w:right="759" w:firstLine="767"/>
        <w:spacing w:after="0" w:line="283" w:lineRule="auto"/>
        <w:tabs>
          <w:tab w:leader="none" w:pos="1182" w:val="left"/>
        </w:tabs>
        <w:numPr>
          <w:ilvl w:val="0"/>
          <w:numId w:val="5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Proposed Acquisition Transaction, approve any Proposed Acquisition Transaction for any purpose, or allow any Proposed Acquisition Transaction to occur with respect to SpinCo or RMT Partner;</w:t>
      </w:r>
    </w:p>
    <w:p>
      <w:pPr>
        <w:spacing w:after="0" w:line="124" w:lineRule="exact"/>
        <w:rPr>
          <w:rFonts w:ascii="Times New Roman" w:cs="Times New Roman" w:eastAsia="Times New Roman" w:hAnsi="Times New Roman"/>
          <w:sz w:val="14"/>
          <w:szCs w:val="14"/>
          <w:color w:val="auto"/>
        </w:rPr>
      </w:pPr>
    </w:p>
    <w:p>
      <w:pPr>
        <w:ind w:left="220" w:right="259" w:firstLine="767"/>
        <w:spacing w:after="0" w:line="267" w:lineRule="auto"/>
        <w:tabs>
          <w:tab w:leader="none" w:pos="1190" w:val="left"/>
        </w:tabs>
        <w:numPr>
          <w:ilvl w:val="0"/>
          <w:numId w:val="5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or consolidate with any other Person (other than pursuant to the Merger or any Permitted Restructuring Transaction) or liquidate or partially liquidate, or cause or permit any member of the SpinCo Group that was the “controlled corporation” in a Separation Transaction step intended to qualify under Section 355 of the Code to engage in such a transaction;</w:t>
      </w:r>
    </w:p>
    <w:p>
      <w:pPr>
        <w:spacing w:after="0" w:line="135" w:lineRule="exact"/>
        <w:rPr>
          <w:rFonts w:ascii="Times New Roman" w:cs="Times New Roman" w:eastAsia="Times New Roman" w:hAnsi="Times New Roman"/>
          <w:sz w:val="14"/>
          <w:szCs w:val="14"/>
          <w:color w:val="auto"/>
        </w:rPr>
      </w:pPr>
    </w:p>
    <w:p>
      <w:pPr>
        <w:ind w:left="220" w:right="319" w:firstLine="767"/>
        <w:spacing w:after="0" w:line="256" w:lineRule="auto"/>
        <w:tabs>
          <w:tab w:leader="none" w:pos="1182" w:val="left"/>
        </w:tabs>
        <w:numPr>
          <w:ilvl w:val="0"/>
          <w:numId w:val="5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or allow the discontinuance, cessation, or sale or other transfer (to an Affiliate or otherwise, and including any transaction treated as a sale or transfer for U.S. federal income tax purposes) of more than thirty percent (30%) of the consolidated gross assets of, or a material change in the active conduct of, any trade or business on which SpinCo (or any member of the SpinCo Group that was the “controlled corporation” in a Separation Transaction step intended to qualify under Section 355 of the Code) relied for purposes of satisfying the requirements of Section 355(b) of the Code, as described in the IRS Ruling (in the case of a sale or other transfer of assets, (x) excluding (i) sales or other dispositions in the ordinary course of business, (ii) sales or other dispositions to a Person that is disregarded as an entity separate from the transferor for U.S. federal income tax purposes, (iii) any cash paid to acquire assets from 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529" w:name="page530"/>
    <w:bookmarkEnd w:id="529"/>
    <w:p>
      <w:pPr>
        <w:ind w:left="220" w:right="3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unrelated Person in an arm’s-length transaction, (iv) any cash paid in mandatory or optional repayment (or pre-payment) of any indebtedness of the transferor or any member of the transferor’s “separate affiliated group” (within the meaning of Section 355(b)(3) of the Code), (v) any sale or other disposition (including any sale or disposition structured as a merger or consolidation) to any Person that is a member of the “separate affiliated group” (within the meaning of Section 355(b)(3) of the Code) of each member of the SpinCo Group that relied on such trade or business for purposes of satisfying the requirements of Section 355(b) of the Code (as described in the IRS Ruling), (vi) any Permitted Restructuring Transaction or (vii) a Permitted Leverage Distribution, and (y) measuring the percentage of assets sold or transferred based on fair market values as of the Distribution Date (or other relevant Separation Transaction step intended to qualify under Section 355 of the Code));</w:t>
      </w:r>
    </w:p>
    <w:p>
      <w:pPr>
        <w:spacing w:after="0" w:line="144" w:lineRule="exact"/>
        <w:rPr>
          <w:sz w:val="20"/>
          <w:szCs w:val="20"/>
          <w:color w:val="auto"/>
        </w:rPr>
      </w:pPr>
    </w:p>
    <w:p>
      <w:pPr>
        <w:ind w:left="220" w:right="279" w:firstLine="767"/>
        <w:spacing w:after="0" w:line="254" w:lineRule="auto"/>
        <w:tabs>
          <w:tab w:leader="none" w:pos="1190" w:val="left"/>
        </w:tabs>
        <w:numPr>
          <w:ilvl w:val="0"/>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otherwise dispose of more than thirty percent (30%) of the consolidated gross assets of SpinCo’s “separate affiliated group” (within the meaning of Section 355(b)(3) of the Code), or approve or allow the sale or other disposition (to an Affiliate or otherwise) of more than thirty percent (30%) of the consolidated gross assets of SpinCo’s “separate affiliated group” (within the meaning of Section 355(b)(3) of the Code) (in each case, (x) excluding (i) sales or other dispositions in the ordinary course of business, (ii) sales or other dispositions to a Person that is disregarded as an entity separate from the transferor for U.S. federal income tax purposes, (iii) any cash paid to acquire assets from an unrelated Person in an arm’s-length transaction, (iv) any cash paid in mandatory or optional repayment (or pre-payment) of any indebtedness of SpinCo or any member of the SpinCo Group, (v) any sale or other disposition (including any sale or disposition structured as a merger or consolidation) to any member of SpinCo’s “separate affiliated group” (within the meaning of Section 355(b)(3) of the Code), (vi) any Permitted Restructuring Transaction or (vii) a Permitted Leverage Distribution, and (y) measuring the percentage of assets sold or disposed of based on fair market values as of the Distribution Date)</w:t>
      </w:r>
      <w:r>
        <w:rPr>
          <w:rFonts w:ascii="Times New Roman" w:cs="Times New Roman" w:eastAsia="Times New Roman" w:hAnsi="Times New Roman"/>
          <w:sz w:val="14"/>
          <w:szCs w:val="14"/>
          <w:i w:val="1"/>
          <w:iCs w:val="1"/>
          <w:color w:val="auto"/>
        </w:rPr>
        <w:t>;</w:t>
      </w:r>
    </w:p>
    <w:p>
      <w:pPr>
        <w:spacing w:after="0" w:line="148" w:lineRule="exact"/>
        <w:rPr>
          <w:rFonts w:ascii="Times New Roman" w:cs="Times New Roman" w:eastAsia="Times New Roman" w:hAnsi="Times New Roman"/>
          <w:sz w:val="14"/>
          <w:szCs w:val="14"/>
          <w:color w:val="auto"/>
        </w:rPr>
      </w:pPr>
    </w:p>
    <w:p>
      <w:pPr>
        <w:ind w:left="220" w:right="599" w:firstLine="767"/>
        <w:spacing w:after="0" w:line="283" w:lineRule="auto"/>
        <w:tabs>
          <w:tab w:leader="none" w:pos="1182" w:val="left"/>
        </w:tabs>
        <w:numPr>
          <w:ilvl w:val="0"/>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SpinCo’s certificate of incorporation (or other organizational documents), or take any other action or approve or allow the taking of any action, whether through a stockholder vote or otherwise, affecting the voting rights of SpinCo stock;</w:t>
      </w:r>
    </w:p>
    <w:p>
      <w:pPr>
        <w:spacing w:after="0" w:line="122" w:lineRule="exact"/>
        <w:rPr>
          <w:rFonts w:ascii="Times New Roman" w:cs="Times New Roman" w:eastAsia="Times New Roman" w:hAnsi="Times New Roman"/>
          <w:sz w:val="14"/>
          <w:szCs w:val="14"/>
          <w:color w:val="auto"/>
        </w:rPr>
      </w:pPr>
    </w:p>
    <w:p>
      <w:pPr>
        <w:ind w:left="220" w:right="439" w:firstLine="767"/>
        <w:spacing w:after="0" w:line="259" w:lineRule="auto"/>
        <w:tabs>
          <w:tab w:leader="none" w:pos="1167" w:val="left"/>
        </w:tabs>
        <w:numPr>
          <w:ilvl w:val="0"/>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shares of a new class of non-voting stock</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or otherwise issue shares of stock that could reasonably be expected to have adverse consequences under Section 355(e) of the Code;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 issuance under this Section 6.1(f) shall not be reasonably expected to have adverse consequences under Section 355(e) to the extent the issuance satisfies Safe Harbor VIII (relating to acquisitions in connection with a person’s performance of services) or Safe Harbor IX (relating to acquisitions by a retirement plan of an employer), in each case, of Treasury Regulations Section 1.355-7(d);</w:t>
      </w:r>
    </w:p>
    <w:p>
      <w:pPr>
        <w:spacing w:after="0" w:line="142" w:lineRule="exact"/>
        <w:rPr>
          <w:rFonts w:ascii="Times New Roman" w:cs="Times New Roman" w:eastAsia="Times New Roman" w:hAnsi="Times New Roman"/>
          <w:sz w:val="14"/>
          <w:szCs w:val="14"/>
          <w:color w:val="auto"/>
        </w:rPr>
      </w:pPr>
    </w:p>
    <w:p>
      <w:pPr>
        <w:ind w:left="220" w:right="799" w:firstLine="767"/>
        <w:spacing w:after="0" w:line="283" w:lineRule="auto"/>
        <w:tabs>
          <w:tab w:leader="none" w:pos="1190" w:val="left"/>
        </w:tabs>
        <w:numPr>
          <w:ilvl w:val="0"/>
          <w:numId w:val="5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directly or through any Affiliate, any of RMT Partner’s outstanding stock, other than any Permitted Repurchases or Permitted Restructuring Transaction</w:t>
      </w:r>
      <w:r>
        <w:rPr>
          <w:rFonts w:ascii="Times New Roman" w:cs="Times New Roman" w:eastAsia="Times New Roman" w:hAnsi="Times New Roman"/>
          <w:sz w:val="14"/>
          <w:szCs w:val="14"/>
          <w:i w:val="1"/>
          <w:iCs w:val="1"/>
          <w:color w:val="auto"/>
        </w:rPr>
        <w:t>;</w:t>
      </w:r>
    </w:p>
    <w:p>
      <w:pPr>
        <w:spacing w:after="0" w:line="124" w:lineRule="exact"/>
        <w:rPr>
          <w:rFonts w:ascii="Times New Roman" w:cs="Times New Roman" w:eastAsia="Times New Roman" w:hAnsi="Times New Roman"/>
          <w:sz w:val="14"/>
          <w:szCs w:val="14"/>
          <w:color w:val="auto"/>
        </w:rPr>
      </w:pPr>
    </w:p>
    <w:p>
      <w:pPr>
        <w:ind w:left="220" w:right="499" w:firstLine="767"/>
        <w:spacing w:after="0" w:line="323" w:lineRule="auto"/>
        <w:tabs>
          <w:tab w:leader="none" w:pos="1190" w:val="left"/>
        </w:tabs>
        <w:numPr>
          <w:ilvl w:val="0"/>
          <w:numId w:val="5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Distribution, take any action or fail to take any action, or permit any member of the SpinCo Group to take any action or fail to take any action, that is inconsistent with any representation or covenant made in the Tax Opinions/Rulings or the Ruling Request; or</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1" w:right="1440" w:bottom="1440" w:gutter="0" w:footer="0" w:header="0"/>
        </w:sectPr>
      </w:pPr>
    </w:p>
    <w:bookmarkStart w:id="530" w:name="page531"/>
    <w:bookmarkEnd w:id="530"/>
    <w:p>
      <w:pPr>
        <w:jc w:val="both"/>
        <w:ind w:left="220" w:right="459" w:firstLine="767"/>
        <w:spacing w:after="0" w:line="261" w:lineRule="auto"/>
        <w:tabs>
          <w:tab w:leader="none" w:pos="1159" w:val="left"/>
        </w:tabs>
        <w:numPr>
          <w:ilvl w:val="0"/>
          <w:numId w:val="5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take any action or permit any other member of the SpinCo Group to take any action (including any transactions with a third-party or any transaction with any Separation Party) that, individually or in the aggregate (taking into account other transactions described in this Section 6.1), would be reasonably likely to adversely affect the Intended Tax Treatment of the Contribution, the SpinCo Cash Distribution, the Distribution, or the Merger.</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SpinCo or RMT Partner shall be permitted to take such action or one or more actions set forth in the foregoing clauses</w:t>
      </w:r>
    </w:p>
    <w:p>
      <w:pPr>
        <w:spacing w:after="0" w:line="22" w:lineRule="exact"/>
        <w:rPr>
          <w:sz w:val="20"/>
          <w:szCs w:val="20"/>
          <w:color w:val="auto"/>
        </w:rPr>
      </w:pPr>
    </w:p>
    <w:p>
      <w:pPr>
        <w:ind w:left="220" w:right="239" w:hanging="5"/>
        <w:spacing w:after="0" w:line="251" w:lineRule="auto"/>
        <w:tabs>
          <w:tab w:leader="none" w:pos="418" w:val="left"/>
        </w:tabs>
        <w:numPr>
          <w:ilvl w:val="0"/>
          <w:numId w:val="5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(i) if, prior to taking any such actions, SpinCo or RMT Partner shall (1) have received a favorable private letter ruling from the IRS, or a ruling from another Tax Authority that confirms that such action or actions will not result in Distribution Taxes, taking into account such actions and any other relevant transactions in the aggregate (a “</w:t>
      </w:r>
      <w:r>
        <w:rPr>
          <w:rFonts w:ascii="Times New Roman" w:cs="Times New Roman" w:eastAsia="Times New Roman" w:hAnsi="Times New Roman"/>
          <w:sz w:val="14"/>
          <w:szCs w:val="14"/>
          <w:b w:val="1"/>
          <w:bCs w:val="1"/>
          <w:color w:val="auto"/>
        </w:rPr>
        <w:t>Post-Distribution Ruling</w:t>
      </w:r>
      <w:r>
        <w:rPr>
          <w:rFonts w:ascii="Times New Roman" w:cs="Times New Roman" w:eastAsia="Times New Roman" w:hAnsi="Times New Roman"/>
          <w:sz w:val="14"/>
          <w:szCs w:val="14"/>
          <w:color w:val="auto"/>
        </w:rPr>
        <w:t>”), in form and substance satisfactory to the Company in its discretion, which discretion shall be reasonably exercised in good faith solely to prevent the imposition of Distribution Taxes (which discretion shall include consideration of the reasonableness of any representations made in connection with such Post-Distribution Ruling), (2) have received an Unqualified Tax Opinion, in form and substance satisfactory to the Company in its discretion, which discretion shall be reasonably exercised in good faith solely to prevent the imposition of Distribution Taxes or (3) have received written notice from the Company that it has waived (which waiver shall be withheld by the Company in its sole and absolute discretion) the requirement to obtain such Post-Distribution Ruling and/or Unqualified Tax Opinion. SpinCo and RMT Partner shall provide a copy of the Post-Distribution Ruling or the Unqualified Tax Opinion described in this paragraph to the Company as soon as practicable prior to taking or failing to take any action set forth in the foregoing clauses (b) through (i). The Company’s evaluation of a Post-Distribution Ruling or Unqualified Tax Opinion may consider, among other factors, the appropriateness or reasonableness of any underlying assumptions, representations and covenants made in connection with such Post-Distribution Ruling or Unqualified Tax Opinion. SpinCo and RMT Partner shall bear all costs and expenses of securing any such Post-Distribution Ruling or Unqualified Tax Opinion and shall reimburse the Company for all reasonable out-of-pocket costs and expenses that the Company Group may incur in seeking to obtain or evaluate any such Post-Distribution Ruling or Unqualified Tax Opinion. For the avoidance of doubt, the presence of a Post-Distribution Ruling or Unqualified Tax Opinion shall not relieve SpinCo or RMT Partner from any indemnification obligations otherwise present under this Agreement.</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6.2 Restrictions on the Company</w:t>
      </w:r>
      <w:r>
        <w:rPr>
          <w:rFonts w:ascii="Times New Roman" w:cs="Times New Roman" w:eastAsia="Times New Roman" w:hAnsi="Times New Roman"/>
          <w:sz w:val="14"/>
          <w:szCs w:val="14"/>
          <w:color w:val="auto"/>
        </w:rPr>
        <w:t>. During the Restricted Period, the Company shall not:</w:t>
      </w:r>
    </w:p>
    <w:p>
      <w:pPr>
        <w:spacing w:after="0" w:line="93" w:lineRule="exact"/>
        <w:rPr>
          <w:sz w:val="20"/>
          <w:szCs w:val="20"/>
          <w:color w:val="auto"/>
        </w:rPr>
      </w:pPr>
    </w:p>
    <w:p>
      <w:pPr>
        <w:jc w:val="both"/>
        <w:ind w:left="220" w:right="479" w:firstLine="767"/>
        <w:spacing w:after="0" w:line="283" w:lineRule="auto"/>
        <w:tabs>
          <w:tab w:leader="none" w:pos="1182"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Distribution, take any action or fail to take any action, or permit any member of the Company Group to take any action or fail to take any action, that is inconsistent with any representation or covenant made in the Tax Opinions/Rulings or the Ruling Request; or</w:t>
      </w:r>
    </w:p>
    <w:p>
      <w:pPr>
        <w:spacing w:after="0" w:line="124" w:lineRule="exact"/>
        <w:rPr>
          <w:rFonts w:ascii="Times New Roman" w:cs="Times New Roman" w:eastAsia="Times New Roman" w:hAnsi="Times New Roman"/>
          <w:sz w:val="14"/>
          <w:szCs w:val="14"/>
          <w:color w:val="auto"/>
        </w:rPr>
      </w:pPr>
    </w:p>
    <w:p>
      <w:pPr>
        <w:ind w:left="220" w:right="299" w:firstLine="767"/>
        <w:spacing w:after="0" w:line="261" w:lineRule="auto"/>
        <w:tabs>
          <w:tab w:leader="none" w:pos="1190" w:val="left"/>
        </w:tabs>
        <w:numPr>
          <w:ilvl w:val="0"/>
          <w:numId w:val="5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or permit any other member of the Company Group to take any action (including any transactions with a third-party or any transaction with any Separation Party) that, individually or in the aggregate (taking into account other transactions described in this Section 6.2), would be reasonably likely to adversely affect the Intended Tax Treatment of the Contribution, the SpinCo Cash Distribution, the Distribution, or the Merger.</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1" w:right="1440" w:bottom="1440" w:gutter="0" w:footer="0" w:header="0"/>
        </w:sectPr>
      </w:pPr>
    </w:p>
    <w:bookmarkStart w:id="531" w:name="page532"/>
    <w:bookmarkEnd w:id="531"/>
    <w:p>
      <w:pPr>
        <w:ind w:left="220" w:right="23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6.3 Liability for Distribution Tax-Related Losses</w:t>
      </w:r>
      <w:r>
        <w:rPr>
          <w:rFonts w:ascii="Times New Roman" w:cs="Times New Roman" w:eastAsia="Times New Roman" w:hAnsi="Times New Roman"/>
          <w:sz w:val="14"/>
          <w:szCs w:val="14"/>
          <w:color w:val="auto"/>
        </w:rPr>
        <w:t>. In the event that Distribution Taxes become due and payable to a Tax Authority pursuant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a Final Determination, then, notwithstanding anything to the contrary in this Agreement:</w:t>
      </w:r>
    </w:p>
    <w:p>
      <w:pPr>
        <w:spacing w:after="0" w:line="39" w:lineRule="exact"/>
        <w:rPr>
          <w:sz w:val="20"/>
          <w:szCs w:val="20"/>
          <w:color w:val="auto"/>
        </w:rPr>
      </w:pPr>
    </w:p>
    <w:p>
      <w:pPr>
        <w:ind w:left="220" w:right="579" w:firstLine="767"/>
        <w:spacing w:after="0" w:line="283" w:lineRule="auto"/>
        <w:tabs>
          <w:tab w:leader="none" w:pos="1182"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Distribution Taxes are attributable to a Company Tainting Act, then the Company shall be responsible for any Distribution Tax-Related Losses;</w:t>
      </w:r>
    </w:p>
    <w:p>
      <w:pPr>
        <w:spacing w:after="0" w:line="124" w:lineRule="exact"/>
        <w:rPr>
          <w:rFonts w:ascii="Times New Roman" w:cs="Times New Roman" w:eastAsia="Times New Roman" w:hAnsi="Times New Roman"/>
          <w:sz w:val="14"/>
          <w:szCs w:val="14"/>
          <w:color w:val="auto"/>
        </w:rPr>
      </w:pPr>
    </w:p>
    <w:p>
      <w:pPr>
        <w:ind w:left="220" w:right="719" w:firstLine="767"/>
        <w:spacing w:after="0" w:line="283" w:lineRule="auto"/>
        <w:tabs>
          <w:tab w:leader="none" w:pos="1190"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Distribution Taxes are attributable to a SpinCo Tainting Act, then SpinCo and RMT Partner shall be responsible for any Distribution Tax-Related Losses;</w:t>
      </w:r>
    </w:p>
    <w:p>
      <w:pPr>
        <w:spacing w:after="0" w:line="124" w:lineRule="exact"/>
        <w:rPr>
          <w:rFonts w:ascii="Times New Roman" w:cs="Times New Roman" w:eastAsia="Times New Roman" w:hAnsi="Times New Roman"/>
          <w:sz w:val="14"/>
          <w:szCs w:val="14"/>
          <w:color w:val="auto"/>
        </w:rPr>
      </w:pPr>
    </w:p>
    <w:p>
      <w:pPr>
        <w:ind w:left="220" w:right="259" w:firstLine="767"/>
        <w:spacing w:after="0" w:line="254" w:lineRule="auto"/>
        <w:tabs>
          <w:tab w:leader="none" w:pos="1182"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such Distribution Taxes are attributable to both a Company Tainting Act and a SpinCo Tainting Act, responsibility for such Distribution Tax-Related Losses shall be allocated between the Company, on the one hand, and SpinCo and RMT Partner, on the other hand, according to relative fault;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such Distribution Taxes result from the application of Section 355(e) of the Code to the Distribution, (i) the Company shall be one hundred percent (100%) responsible for any Distribution Tax-Related Losses if a Company Tainting Act causes the application of Section 355(e) of the Code and a SpinCo Tainting Act does not cause the application of Section 355(e) of the Code, and (ii) SpinCo and RMT Partner shall be one hundred percent (100%) responsible for any Distribution Tax-Related Losses if a SpinCo Tainting Act causes the application of</w:t>
      </w:r>
    </w:p>
    <w:p>
      <w:pPr>
        <w:spacing w:after="0" w:line="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355(e) of the Code and a Company Tainting Act does not cause the application of Section 355(e) of the Code;</w:t>
      </w:r>
    </w:p>
    <w:p>
      <w:pPr>
        <w:spacing w:after="0" w:line="160" w:lineRule="exact"/>
        <w:rPr>
          <w:rFonts w:ascii="Times New Roman" w:cs="Times New Roman" w:eastAsia="Times New Roman" w:hAnsi="Times New Roman"/>
          <w:sz w:val="14"/>
          <w:szCs w:val="14"/>
          <w:color w:val="auto"/>
        </w:rPr>
      </w:pPr>
    </w:p>
    <w:p>
      <w:pPr>
        <w:ind w:left="220" w:right="499" w:firstLine="767"/>
        <w:spacing w:after="0" w:line="258" w:lineRule="auto"/>
        <w:tabs>
          <w:tab w:leader="none" w:pos="1190"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Distribution Taxes are attributable to the failure of the Intended Tax Treatment because of an issue with respect to the computation or availability of Overlap Shareholders, then (i) the Company shall be responsible for a portion of any Distribution Tax-Related Losses equal to the SpinCo Percentage multiplied by the total amount of such Distribution Tax-Related Losses, and (ii) SpinCo and RMT Partner shall be responsible for a portion of any Distribution Tax-Related Losses equal to the RMT Partner Percentage multiplied by the total amount of such Distribution Tax-Related Losses; and</w:t>
      </w:r>
    </w:p>
    <w:p>
      <w:pPr>
        <w:spacing w:after="0" w:line="143" w:lineRule="exact"/>
        <w:rPr>
          <w:rFonts w:ascii="Times New Roman" w:cs="Times New Roman" w:eastAsia="Times New Roman" w:hAnsi="Times New Roman"/>
          <w:sz w:val="14"/>
          <w:szCs w:val="14"/>
          <w:color w:val="auto"/>
        </w:rPr>
      </w:pPr>
    </w:p>
    <w:p>
      <w:pPr>
        <w:ind w:left="220" w:right="339" w:firstLine="767"/>
        <w:spacing w:after="0" w:line="267" w:lineRule="auto"/>
        <w:tabs>
          <w:tab w:leader="none" w:pos="1182" w:val="left"/>
        </w:tabs>
        <w:numPr>
          <w:ilvl w:val="0"/>
          <w:numId w:val="5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Distribution Taxes (i) are not attributable to a Company Tainting Act or a SpinCo Tainting Act, or (ii) are not attributable to an issue with respect to the computation or availability of Overlap Shareholders, then the Company shall be one hundred percent (100%) responsible for any Distribution Tax-Related Losses.</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Section 7. Cooperation and Reliance</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7.1 Assistance and Cooperation</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20" w:right="239" w:firstLine="767"/>
        <w:spacing w:after="0" w:line="257" w:lineRule="auto"/>
        <w:tabs>
          <w:tab w:leader="none" w:pos="1182" w:val="left"/>
        </w:tabs>
        <w:numPr>
          <w:ilvl w:val="0"/>
          <w:numId w:val="5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7.1(b), the Separation Parties shall cooperate (and cause their respective Affiliates to cooperate) with each other and with each other’s agents, including accounting firms and legal counsel, in connection with Tax matters relating to the Separation Parties and their Affiliates including (i) preparation and filing of Tax Returns, (ii) determining the liability for and amount of any Taxes due (including estimated Taxes) or the right to and amount of any refund of Taxes, (iii) examinations of Tax Returns and (iv) any administrative or judicial proceeding in respect of Taxes assessed or proposed to be assessed. Such cooperation shall include making all information and documents in their possession relating to the other Separation Party and its Affiliates available to such other Separation Party as provided in Section 8.</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9" w:right="1440" w:bottom="1440" w:gutter="0" w:footer="0" w:header="0"/>
        </w:sectPr>
      </w:pPr>
    </w:p>
    <w:bookmarkStart w:id="532" w:name="page533"/>
    <w:bookmarkEnd w:id="532"/>
    <w:p>
      <w:pPr>
        <w:ind w:left="220" w:right="29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Each of the Separation Parties shall also make available to the other, as reasonably requested and available, personnel (including officers, directors, employees and agents of the Separation Parties or their respective Affiliates)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w:t>
      </w:r>
    </w:p>
    <w:p>
      <w:pPr>
        <w:spacing w:after="0" w:line="141" w:lineRule="exact"/>
        <w:rPr>
          <w:sz w:val="20"/>
          <w:szCs w:val="20"/>
          <w:color w:val="auto"/>
        </w:rPr>
      </w:pPr>
    </w:p>
    <w:p>
      <w:pPr>
        <w:ind w:left="220" w:right="279" w:firstLine="767"/>
        <w:spacing w:after="0" w:line="254" w:lineRule="auto"/>
        <w:tabs>
          <w:tab w:leader="none" w:pos="1190" w:val="left"/>
        </w:tabs>
        <w:numPr>
          <w:ilvl w:val="0"/>
          <w:numId w:val="5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information or documents provided under this Section 7 shall be kept confidential by the Separation Party receiving the information or documents, except as may otherwise be necessary in connection with the filing of Tax Returns or in connection with any administrative or judicial proceedings relating to Taxes. Notwithstanding any other provision of this Agreement or any other agreement, (i) neither the Company nor any Company Affiliate shall be required to provide SpinCo, any SpinCo Affiliate, or any other Person access to or copies of any information or procedures (including the proceedings of any Tax Contest) other than information or procedures that relate to SpinCo, the business or assets of SpinCo or any of SpinCo Affiliate and (ii) in no event shall the Company or any Company Affiliate be required to provide SpinCo, any SpinCo Affiliate, or any other Person access to or copies of any information if such action could reasonably be expected to result in the waiver of any Privilege. In addition, in the event that the Company determines that the provision of any information or documents to SpinCo or any SpinCo Affiliate could be commercially detrimental, violate any Law or agreement or waive any Privilege, the Parties shall use reasonable best efforts to permit compliance with this Section 7 in a manner that avoids any such harm or consequence.</w:t>
      </w:r>
    </w:p>
    <w:p>
      <w:pPr>
        <w:spacing w:after="0" w:line="144"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Section 7.2 Income Tax Return Information</w:t>
      </w:r>
      <w:r>
        <w:rPr>
          <w:rFonts w:ascii="Times New Roman" w:cs="Times New Roman" w:eastAsia="Times New Roman" w:hAnsi="Times New Roman"/>
          <w:sz w:val="14"/>
          <w:szCs w:val="14"/>
          <w:color w:val="auto"/>
        </w:rPr>
        <w:t>. SpinCo and the Company acknowledge that time is of the essence in relation to any request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assistance or cooperation made by the Company or SpinCo pursuant to Section 7.1 or this Section 7.2. Each Separation Party shall provide to the other Separation Party information and documents relating to its Group required by the other Separation Party to prepare Tax Returns, provided that the providing Separation Party may redact from such information and documents any Redactable Information. Any information or documents the Responsible Separation Party requires to prepare such Tax Returns shall be provided in such form as the Responsible Separation Party reasonably requests and in sufficient time for the Responsible Separation Party to file such Tax Returns on a timely basis.</w:t>
      </w:r>
    </w:p>
    <w:p>
      <w:pPr>
        <w:spacing w:after="0" w:line="143" w:lineRule="exact"/>
        <w:rPr>
          <w:sz w:val="20"/>
          <w:szCs w:val="20"/>
          <w:color w:val="auto"/>
        </w:rPr>
      </w:pPr>
    </w:p>
    <w:p>
      <w:pPr>
        <w:jc w:val="both"/>
        <w:ind w:left="220" w:right="33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Section 7.3 Non-Performance</w:t>
      </w:r>
      <w:r>
        <w:rPr>
          <w:rFonts w:ascii="Times New Roman" w:cs="Times New Roman" w:eastAsia="Times New Roman" w:hAnsi="Times New Roman"/>
          <w:sz w:val="14"/>
          <w:szCs w:val="14"/>
          <w:color w:val="auto"/>
        </w:rPr>
        <w:t>. If a Separation Party (or any of its Affiliates) fails to comply with any of its obligations set forth in this Section 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reasonable request and notice by the other Separation Party (or any of its Affiliates) and such failure results in the imposition of additional Taxes, the non-performing Separation Party shall be liable in full for such additional Taxes.</w:t>
      </w:r>
    </w:p>
    <w:p>
      <w:pPr>
        <w:spacing w:after="0" w:line="133" w:lineRule="exact"/>
        <w:rPr>
          <w:sz w:val="20"/>
          <w:szCs w:val="20"/>
          <w:color w:val="auto"/>
        </w:rPr>
      </w:pPr>
    </w:p>
    <w:p>
      <w:pPr>
        <w:ind w:left="220" w:right="21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Section 7.4 Costs</w:t>
      </w:r>
      <w:r>
        <w:rPr>
          <w:rFonts w:ascii="Times New Roman" w:cs="Times New Roman" w:eastAsia="Times New Roman" w:hAnsi="Times New Roman"/>
          <w:sz w:val="14"/>
          <w:szCs w:val="14"/>
          <w:color w:val="auto"/>
        </w:rPr>
        <w:t>. Each Separation Party shall devote the personnel and resources necessary in order to carry out this Section 7 and shall make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employees available on a mutually convenient basis to provide explanations of any documents or information provided hereunder. Each Separation Party shall carry out its responsibilities under this Section 7 at its own cost and expense.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533" w:name="page534"/>
    <w:bookmarkEnd w:id="533"/>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8. Tax Records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343"/>
        <w:spacing w:after="0" w:line="274" w:lineRule="auto"/>
        <w:rPr>
          <w:sz w:val="20"/>
          <w:szCs w:val="20"/>
          <w:color w:val="auto"/>
        </w:rPr>
      </w:pPr>
      <w:r>
        <w:rPr>
          <w:rFonts w:ascii="Times New Roman" w:cs="Times New Roman" w:eastAsia="Times New Roman" w:hAnsi="Times New Roman"/>
          <w:sz w:val="13"/>
          <w:szCs w:val="13"/>
          <w:i w:val="1"/>
          <w:iCs w:val="1"/>
          <w:color w:val="auto"/>
        </w:rPr>
        <w:t>Section 8.1 Retention of Tax Records</w:t>
      </w:r>
      <w:r>
        <w:rPr>
          <w:rFonts w:ascii="Times New Roman" w:cs="Times New Roman" w:eastAsia="Times New Roman" w:hAnsi="Times New Roman"/>
          <w:sz w:val="13"/>
          <w:szCs w:val="13"/>
          <w:color w:val="auto"/>
        </w:rPr>
        <w:t>. Each Separation Party shall preserve and keep all Tax Records exclusively relating to the assets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activities of its Group for Pre-Distribution Periods, and the Company shall preserve and keep all other Tax Records relating to Taxes of the Groups for Pre-Distribution Periods, for so long as the contents thereof may become material in the administration of any matter under the Code or other applicable Tax Law, but in any event until the later of (i) the expiration of any applicable statutes of limitations, or (ii) seven (7) years after the Distribution Date (such later date, the “</w:t>
      </w:r>
      <w:r>
        <w:rPr>
          <w:rFonts w:ascii="Times New Roman" w:cs="Times New Roman" w:eastAsia="Times New Roman" w:hAnsi="Times New Roman"/>
          <w:sz w:val="13"/>
          <w:szCs w:val="13"/>
          <w:b w:val="1"/>
          <w:bCs w:val="1"/>
          <w:color w:val="auto"/>
        </w:rPr>
        <w:t>Retention Date</w:t>
      </w:r>
      <w:r>
        <w:rPr>
          <w:rFonts w:ascii="Times New Roman" w:cs="Times New Roman" w:eastAsia="Times New Roman" w:hAnsi="Times New Roman"/>
          <w:sz w:val="13"/>
          <w:szCs w:val="13"/>
          <w:color w:val="auto"/>
        </w:rPr>
        <w:t xml:space="preserve">”). After the Retention Date, each Separation Party may dispose of such Tax Records upon ninety (90) Business Days’ prior written notice to the other Separation Party. If, prior to the Retention Date, (a) a Separation Party reasonably determines that any Tax Records which it would otherwise be required to preserve and keep under this Section 8 are no longer material in the administration of any matter under the Code or other applicable Tax Law as relates to the other Separation Party and such other Separation Party agrees, then such first Separation Party may dispose of such Tax Records upon ninety (90) Business Days’ prior notice to the other Separation Party. Any notice of an intent to dispose given pursuant to this Section 8.1 shall include a list of the Tax Records to be disposed of describing in reasonable detail each file, book or other record accumulation being disposed,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Redactable Information may be redacted from such list and such detail. The notified Separation Party shall have the opportunity, at its cost and expense, to copy or remove, within such ninety (90)-day period, all or any part of such Tax Records,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notifying Separation Party may redact from such Tax Records, prior to such copying or removal, any Redactable Information. If, at any time prior to the Retention Date, a Separation Party determines to decommission or otherwise discontinue any computer program or information technology system used to access or store any Tax Records, then such Separation Party may decommission or discontinue such program or system upon ninety</w:t>
      </w:r>
    </w:p>
    <w:p>
      <w:pPr>
        <w:spacing w:after="0" w:line="150" w:lineRule="exact"/>
        <w:rPr>
          <w:sz w:val="20"/>
          <w:szCs w:val="20"/>
          <w:color w:val="auto"/>
        </w:rPr>
      </w:pPr>
    </w:p>
    <w:p>
      <w:pPr>
        <w:ind w:left="220" w:right="299" w:hanging="5"/>
        <w:spacing w:after="0" w:line="256" w:lineRule="auto"/>
        <w:tabs>
          <w:tab w:leader="none" w:pos="488" w:val="left"/>
        </w:tabs>
        <w:numPr>
          <w:ilvl w:val="0"/>
          <w:numId w:val="5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Days’ prior notice to the other Separation Party and the other Separation Party shall have the opportunity, at its cost and expense, to copy, within such ninety (90)-day period, all or any part of the underlying data relating to the Tax Records accessed by or stored on such program or system,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notifying Separation Party may redact from such Tax Records, prior to such copying or removal, any Redactable Information.</w:t>
      </w:r>
    </w:p>
    <w:p>
      <w:pPr>
        <w:spacing w:after="0" w:line="141"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Section 8.2 Access to Tax Records</w:t>
      </w:r>
      <w:r>
        <w:rPr>
          <w:rFonts w:ascii="Times New Roman" w:cs="Times New Roman" w:eastAsia="Times New Roman" w:hAnsi="Times New Roman"/>
          <w:sz w:val="14"/>
          <w:szCs w:val="14"/>
          <w:color w:val="auto"/>
        </w:rPr>
        <w:t>. The Separation Parties and their respective Affiliates shall make available to each other for inspection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copying during normal business hours upon reasonable notice all Tax Records (and, for the avoidance of doubt, any pertinent underlying data accessed or stored on any computer program or information technology system) in their possession and shall permit the other Separation Party and its Affiliates, authorized agents and representatives and any representative of a Tax Authority or other Tax auditor direct access during normal business hours upon reasonable notice to any computer program or information technology system used to access or store any Tax Records, in each case to the extent reasonably required by the other Separation Party in connection with the preparation of Tax Returns or financial accounting statements, audits, litigation or the resolution of items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Redactable Information may be redacted from any such provided Tax Records. To the extent any Tax Records are required to be or are otherwise transferred by the Separation Parties or their respective Affiliates to any person other than an Affiliate, the Separation Party or its respective Affiliate shall transfer such records to the other Separation Party at such time.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534" w:name="page535"/>
    <w:bookmarkEnd w:id="534"/>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9. Tax Contests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19" w:firstLine="343"/>
        <w:spacing w:after="0" w:line="256" w:lineRule="auto"/>
        <w:rPr>
          <w:sz w:val="20"/>
          <w:szCs w:val="20"/>
          <w:color w:val="auto"/>
        </w:rPr>
      </w:pPr>
      <w:r>
        <w:rPr>
          <w:rFonts w:ascii="Times New Roman" w:cs="Times New Roman" w:eastAsia="Times New Roman" w:hAnsi="Times New Roman"/>
          <w:sz w:val="14"/>
          <w:szCs w:val="14"/>
          <w:i w:val="1"/>
          <w:iCs w:val="1"/>
          <w:color w:val="auto"/>
        </w:rPr>
        <w:t>Section 9.1 Notice</w:t>
      </w:r>
      <w:r>
        <w:rPr>
          <w:rFonts w:ascii="Times New Roman" w:cs="Times New Roman" w:eastAsia="Times New Roman" w:hAnsi="Times New Roman"/>
          <w:sz w:val="14"/>
          <w:szCs w:val="14"/>
          <w:color w:val="auto"/>
        </w:rPr>
        <w:t>. Each of the Separation Parties shall provide prompt notice to the other Separation Party of any written communication from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Tax Authority regarding any pending or threatened Tax audit, assessment or proceeding or other Tax Contest of which it becomes aware related to Taxes for which it is indemnified by the other Separation Party hereunder or for which it may be required to indemnify the other Separation Party hereunder. Such notice shall attach copies of the pertinent portion of any written communication from a Tax Authority and contain factual information (to the extent known) describing any asserted Tax liability in reasonable detail and shall be accompanied by copies of any notice and other documents received from any Tax Authority in respect of any such matters,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Redactable Information may be redacted from any such copies and documents so provided.</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9.2 Control of Tax Contests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79" w:firstLine="767"/>
        <w:spacing w:after="0" w:line="268" w:lineRule="auto"/>
        <w:tabs>
          <w:tab w:leader="none" w:pos="1182" w:val="left"/>
        </w:tabs>
        <w:numPr>
          <w:ilvl w:val="0"/>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Controlling Separation Party</w:t>
      </w:r>
      <w:r>
        <w:rPr>
          <w:rFonts w:ascii="Times New Roman" w:cs="Times New Roman" w:eastAsia="Times New Roman" w:hAnsi="Times New Roman"/>
          <w:sz w:val="14"/>
          <w:szCs w:val="14"/>
          <w:color w:val="auto"/>
        </w:rPr>
        <w:t>. In the case of any Tax Contest with respect to any Tax Return, the Separation Party that would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liable under this Agreement to pay the applicable Tax Authority the Taxes resulting from such Tax Contest shall administer and control such Tax Contest (the “</w:t>
      </w:r>
      <w:r>
        <w:rPr>
          <w:rFonts w:ascii="Times New Roman" w:cs="Times New Roman" w:eastAsia="Times New Roman" w:hAnsi="Times New Roman"/>
          <w:sz w:val="14"/>
          <w:szCs w:val="14"/>
          <w:b w:val="1"/>
          <w:bCs w:val="1"/>
          <w:color w:val="auto"/>
        </w:rPr>
        <w:t>Controlling Separation Party</w:t>
      </w:r>
      <w:r>
        <w:rPr>
          <w:rFonts w:ascii="Times New Roman" w:cs="Times New Roman" w:eastAsia="Times New Roman" w:hAnsi="Times New Roman"/>
          <w:sz w:val="14"/>
          <w:szCs w:val="14"/>
          <w:color w:val="auto"/>
        </w:rPr>
        <w:t>”). Notwithstanding the previous sentence:</w:t>
      </w:r>
    </w:p>
    <w:p>
      <w:pPr>
        <w:spacing w:after="0" w:line="51" w:lineRule="exact"/>
        <w:rPr>
          <w:rFonts w:ascii="Times New Roman" w:cs="Times New Roman" w:eastAsia="Times New Roman" w:hAnsi="Times New Roman"/>
          <w:sz w:val="14"/>
          <w:szCs w:val="14"/>
          <w:color w:val="auto"/>
        </w:rPr>
      </w:pPr>
    </w:p>
    <w:p>
      <w:pPr>
        <w:ind w:left="980" w:right="339" w:firstLine="319"/>
        <w:spacing w:after="0" w:line="256" w:lineRule="auto"/>
        <w:tabs>
          <w:tab w:leader="none" w:pos="1459" w:val="left"/>
        </w:tabs>
        <w:numPr>
          <w:ilvl w:val="1"/>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any Tax Contest with respect to the Intended Tax Treatment or the tax treatment of any Separation Transaction, the Company shall be the Controlling Separation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if SpinCo may reasonably be expected to become liable to make any indemnification payment under this Agreement in connection with the resolution of such Tax Contest, SpinCo shall have the right to jointly control the Tax Contest to the extent relating to Taxes for which SpinCo may reasonably be expected to indemnify under this Agreement, and the Company shall not settle any such Tax Contest without the prior written consent of SpinCo (not to be unreasonably withheld, conditioned or delayed) to the extent such settlement relates to Taxes for which SpinCo may reasonably be expected to indemnify under this Agreement.</w:t>
      </w:r>
    </w:p>
    <w:p>
      <w:pPr>
        <w:spacing w:after="0" w:line="59" w:lineRule="exact"/>
        <w:rPr>
          <w:rFonts w:ascii="Times New Roman" w:cs="Times New Roman" w:eastAsia="Times New Roman" w:hAnsi="Times New Roman"/>
          <w:sz w:val="14"/>
          <w:szCs w:val="14"/>
          <w:color w:val="auto"/>
        </w:rPr>
      </w:pPr>
    </w:p>
    <w:p>
      <w:pPr>
        <w:ind w:left="980" w:right="239" w:firstLine="319"/>
        <w:spacing w:after="0" w:line="256" w:lineRule="auto"/>
        <w:tabs>
          <w:tab w:leader="none" w:pos="1498" w:val="left"/>
        </w:tabs>
        <w:numPr>
          <w:ilvl w:val="1"/>
          <w:numId w:val="5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Tax Contest related to any Tax Return required to be filed by a member of the SpinCo Group pursuant to Section 3.2 for which the Company is the Controlling Separation Party, (i) the Company shall keep SpinCo informed in a timely manner of all actions taken or proposed to be taken by the Company with respect to such Tax Contest; and (ii) the Company shall not settle any such Tax Contest without the prior written consent of RMT Partner (not to be unreasonably withheld, conditioned or delayed) to the extent such settlement relates to Taxes for which SpinCo or RMT Partner may reasonably be expected to indemnify under this Agreement or would otherwise reasonably be expected to materially and adversely impact the Tax liability of any member of the SpinCo Group in any Post-Distribution Period.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8" w:right="1440" w:bottom="1440" w:gutter="0" w:footer="0" w:header="0"/>
        </w:sectPr>
      </w:pPr>
    </w:p>
    <w:bookmarkStart w:id="535" w:name="page536"/>
    <w:bookmarkEnd w:id="535"/>
    <w:p>
      <w:pPr>
        <w:ind w:left="220" w:right="239" w:firstLine="767"/>
        <w:spacing w:after="0" w:line="252" w:lineRule="auto"/>
        <w:tabs>
          <w:tab w:leader="none" w:pos="1190" w:val="left"/>
        </w:tabs>
        <w:numPr>
          <w:ilvl w:val="0"/>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Information Rights</w:t>
      </w:r>
      <w:r>
        <w:rPr>
          <w:rFonts w:ascii="Times New Roman" w:cs="Times New Roman" w:eastAsia="Times New Roman" w:hAnsi="Times New Roman"/>
          <w:sz w:val="14"/>
          <w:szCs w:val="14"/>
          <w:color w:val="auto"/>
        </w:rPr>
        <w:t>. Unless waived by the Separation Parties in writing, in connection with any potential adjustment in a Tax Contest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result of which adjustment the other non-controlling Separation Party (the “</w:t>
      </w:r>
      <w:r>
        <w:rPr>
          <w:rFonts w:ascii="Times New Roman" w:cs="Times New Roman" w:eastAsia="Times New Roman" w:hAnsi="Times New Roman"/>
          <w:sz w:val="14"/>
          <w:szCs w:val="14"/>
          <w:b w:val="1"/>
          <w:bCs w:val="1"/>
          <w:color w:val="auto"/>
        </w:rPr>
        <w:t>Non-Controlling Separation Party</w:t>
      </w:r>
      <w:r>
        <w:rPr>
          <w:rFonts w:ascii="Times New Roman" w:cs="Times New Roman" w:eastAsia="Times New Roman" w:hAnsi="Times New Roman"/>
          <w:sz w:val="14"/>
          <w:szCs w:val="14"/>
          <w:color w:val="auto"/>
        </w:rPr>
        <w:t xml:space="preserve">”) may reasonably be expected to become liable to make any indemnification payment (or any payment under Section 5) under this Agreement to the Controlling Separation Party under this Agreement: (i) the Controlling Separation Party shall keep the Non-Controlling Separation Party informed in a timely manner of all actions taken or proposed to be taken by the Controlling Separation Party with respect to such potential adjustment in such Tax Contest; (ii) the Controlling Separation Party shall provide the Non-Controlling Separation Party copies of any written materials relating to such potential adjustment in such Tax Contest received from any Tax Authority; (iii) the Controlling Separation Party shall timely provide the Non-Controlling Separation Party with copies of any correspondence or filings submitted to any Tax Authority or judicial authority in connection with such potential adjustment in such Tax Contest; (iv) the Controlling Separation Party shall consult with the Non-Controlling Separation Party (including, without limitation, regarding the use of outside advisors to assist with the Tax Contest) and offer the Non-Controlling Separation Party a reasonable opportunity to comment before submitting any written materials prepared or furnished in connection with such potential adjustment in such Tax Contest and (v) the Controlling Separation Party shall defend such Tax Contest diligently and in good faith,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Separation Party providing any copies, documents, or materials required to be provided under this Section 9.2(b) may redact from such copies, documents, or materials any Redactable Information. The failure of the Controlling Separation Party to take any action specified in the preceding sentences with respect to the Non-Controlling Separation Party shall not relieve the Non-Controlling Separation Party of any liability and/or obligation which it may have to the Controlling Separation Party under this Agreement except to the extent that the Non-Controlling Separation Party was actually harmed by such failure, and in no event shall such failure relieve the Non-Controlling Separation Party from any other liability or obligation which it may have to the Controlling Separation Party.</w:t>
      </w:r>
    </w:p>
    <w:p>
      <w:pPr>
        <w:spacing w:after="0" w:line="153"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0"/>
          <w:numId w:val="5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Tax Contest Participation</w:t>
      </w:r>
      <w:r>
        <w:rPr>
          <w:rFonts w:ascii="Times New Roman" w:cs="Times New Roman" w:eastAsia="Times New Roman" w:hAnsi="Times New Roman"/>
          <w:sz w:val="14"/>
          <w:szCs w:val="14"/>
          <w:color w:val="auto"/>
        </w:rPr>
        <w:t>. Unless waived by the Separation Parties in writing, the Controlling Separation Party shall provide the</w:t>
      </w:r>
    </w:p>
    <w:p>
      <w:pPr>
        <w:spacing w:after="0" w:line="24" w:lineRule="exact"/>
        <w:rPr>
          <w:sz w:val="20"/>
          <w:szCs w:val="20"/>
          <w:color w:val="auto"/>
        </w:rPr>
      </w:pPr>
    </w:p>
    <w:p>
      <w:pPr>
        <w:ind w:left="220" w:right="299"/>
        <w:spacing w:after="0" w:line="252" w:lineRule="auto"/>
        <w:rPr>
          <w:sz w:val="20"/>
          <w:szCs w:val="20"/>
          <w:color w:val="auto"/>
        </w:rPr>
      </w:pPr>
      <w:r>
        <w:rPr>
          <w:rFonts w:ascii="Times New Roman" w:cs="Times New Roman" w:eastAsia="Times New Roman" w:hAnsi="Times New Roman"/>
          <w:sz w:val="14"/>
          <w:szCs w:val="14"/>
          <w:color w:val="auto"/>
        </w:rPr>
        <w:t>Non-Controlling Separation Party with written notice reasonably in advance of, and the Non-Controlling Separation Party shall have the right to attend, any formally scheduled meetings with Tax Authorities or hearings or proceedings before any judicial authorities in connection with any potential adjustment in a Tax Contest pursuant to which the Non-Controlling Separation Party may reasonably be expected to become liable to make any indemnification payment (or any payment under Section 5) to the Controlling Separation Party under this Agreement. The failure of the Controlling Separation Party to provide any notice specified in this Section 9.2(c) to the Non-Controlling Separation Party shall not relieve the Non-Controlling Separation Party of any liability and/or obligation which it may have to the Controlling Separation Party under this Agreement except to the extent that the Non-Controlling Separation Party was actually harmed by such failure, and in no event shall such failure relieve the Non-Controlling Separation Party from any other liability or obligation which it may have to the Controlling Separation Party.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8" w:right="1440" w:bottom="1440" w:gutter="0" w:footer="0" w:header="0"/>
        </w:sectPr>
      </w:pPr>
    </w:p>
    <w:bookmarkStart w:id="536" w:name="page537"/>
    <w:bookmarkEnd w:id="536"/>
    <w:p>
      <w:pPr>
        <w:ind w:left="220" w:right="339" w:firstLine="767"/>
        <w:spacing w:after="0" w:line="257" w:lineRule="auto"/>
        <w:tabs>
          <w:tab w:leader="none" w:pos="1190"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Power of Attorney</w:t>
      </w:r>
      <w:r>
        <w:rPr>
          <w:rFonts w:ascii="Times New Roman" w:cs="Times New Roman" w:eastAsia="Times New Roman" w:hAnsi="Times New Roman"/>
          <w:sz w:val="14"/>
          <w:szCs w:val="14"/>
          <w:color w:val="auto"/>
        </w:rPr>
        <w:t>. Each member of the SpinCo Group shall execute and deliver to the Company (or such member of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Group as the Company shall designate) any power of attorney or other similar document reasonably requested by the Company (or such designee) in connection with any Tax Contest (as to which the Company is the Controlling Separation Party) described in this Section 9. Each member of the Company Group shall execute and deliver to SpinCo (or such member of the SpinCo Group as SpinCo shall designate) any power of attorney or other similar document requested by SpinCo (or such designee) in connection with any Tax Contest (as to which SpinCo is the Controlling Separation Party) described in this Section 9.</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53" w:lineRule="auto"/>
        <w:tabs>
          <w:tab w:leader="none" w:pos="1182" w:val="left"/>
        </w:tabs>
        <w:numPr>
          <w:ilvl w:val="0"/>
          <w:numId w:val="5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Costs</w:t>
      </w:r>
      <w:r>
        <w:rPr>
          <w:rFonts w:ascii="Times New Roman" w:cs="Times New Roman" w:eastAsia="Times New Roman" w:hAnsi="Times New Roman"/>
          <w:sz w:val="14"/>
          <w:szCs w:val="14"/>
          <w:color w:val="auto"/>
        </w:rPr>
        <w:t>. All external out-of-pocket costs and expenses that are incurred by the Controlling Separation Party with respect to a Tax Contest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related to an adjustment which the Non-Controlling Separation Party may reasonably be expected to become liable to make any indemnification payment under this Agreement shall be shared by the Separation Parties according to each Separation Party’s relative share of the potential Tax liability with respect to the Tax Contest as determined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 Non-Controlling Separation Party shall not be liable for fees payable to outside advisors to the extent that the Controlling Separation Party failed to consult with the Non-Controlling Separation Party pursuant to Section 9.2(b). If the Controlling Separation Party incurs out-of-pocket costs and expenses to be shared under this Section 9.2(e) during a fiscal quarter, such Controlling Separation Party shall provide notice to the Non-Controlling Separation Party within thirty (30) days after the end of such fiscal quarter for the amount due from such Non-Controlling Separation Party pursuant to this Section 9.2(e), describing in reasonable detail the particulars relating thereto. Such Non-Controlling Separation Party shall have a period of thirty (30) days after the receipt of notice to respond thereto. Unless the Non-Controlling Separation Party disputes the amount it is liable for under this Section 9.2(e), the Non-Controlling Separation Party shall reimburse the Controlling Separation Party within forty-five (45) days of delivery by the Controlling Separation Party of the notice described above. To the extent the Non-Controlling Separation Party does not agree with the amount the Controlling Separation Party claims the Non-Controlling Separation Party is liable for under this Section 9.2(e), the dispute shall be resolved in accordance with Section 13. During the first month of each fiscal quarter in which it expects to incur costs for which reimbursement may be sought under this Section 9.2(e), the Controlling Separation Party will provide the Non-Controlling Separation Party with a good faith estimate of such costs.</w:t>
      </w:r>
    </w:p>
    <w:p>
      <w:pPr>
        <w:spacing w:after="0" w:line="146"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Section 10. Effective Date; Termination of Prior Intercompany Tax Allocation Agreements</w:t>
      </w:r>
      <w:r>
        <w:rPr>
          <w:rFonts w:ascii="Times New Roman" w:cs="Times New Roman" w:eastAsia="Times New Roman" w:hAnsi="Times New Roman"/>
          <w:sz w:val="14"/>
          <w:szCs w:val="14"/>
          <w:color w:val="auto"/>
        </w:rPr>
        <w:t>. This Agreement shall be effective as of the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As of the date hereof, (a) all prior intercompany Tax allocation agreements or arrangements between one or more members of the Company Group, on the one hand, and one or more members of the SpinCo Group, on the other hand, shall be terminated; and (b) amounts due under such agreements as of the date hereof shall be settled as of the date hereof. Upon such termination and settlement, no further payments by or to the Company or by or to SpinCo with respect to such agreements shall be made, and all other rights and obligations resulting from such agreements between the Separation Parties and their Affiliates shall cease at such time.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537" w:name="page538"/>
    <w:bookmarkEnd w:id="537"/>
    <w:p>
      <w:pPr>
        <w:ind w:left="220" w:right="21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11. Survival of Obligations</w:t>
      </w:r>
      <w:r>
        <w:rPr>
          <w:rFonts w:ascii="Times New Roman" w:cs="Times New Roman" w:eastAsia="Times New Roman" w:hAnsi="Times New Roman"/>
          <w:sz w:val="14"/>
          <w:szCs w:val="14"/>
          <w:color w:val="auto"/>
        </w:rPr>
        <w:t>. The representations, warranties, covenants and agreements set forth in this Agreement shall be unconditional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absolute and shall remain in effect without limitation as to time.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Section 12. Treatment of Payments; Tax Gross Up</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69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Section 12.1 Treatment of Tax Indemnity and Tax Benefit Payments</w:t>
      </w:r>
      <w:r>
        <w:rPr>
          <w:rFonts w:ascii="Times New Roman" w:cs="Times New Roman" w:eastAsia="Times New Roman" w:hAnsi="Times New Roman"/>
          <w:sz w:val="14"/>
          <w:szCs w:val="14"/>
          <w:color w:val="auto"/>
        </w:rPr>
        <w:t>. In the absence of any change in Tax treatment under the Code or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applicable Tax Law,</w:t>
      </w:r>
    </w:p>
    <w:p>
      <w:pPr>
        <w:spacing w:after="0" w:line="123" w:lineRule="exact"/>
        <w:rPr>
          <w:sz w:val="20"/>
          <w:szCs w:val="20"/>
          <w:color w:val="auto"/>
        </w:rPr>
      </w:pPr>
    </w:p>
    <w:p>
      <w:pPr>
        <w:ind w:left="220" w:right="299" w:firstLine="767"/>
        <w:spacing w:after="0" w:line="287" w:lineRule="auto"/>
        <w:tabs>
          <w:tab w:leader="none" w:pos="1182" w:val="left"/>
        </w:tabs>
        <w:numPr>
          <w:ilvl w:val="0"/>
          <w:numId w:val="5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 indemnity payments made by a Separation Party under this Agreement shall be treated for Tax purposes by the payor and the recipient as distributions or capital contributions, as appropriate, occurring immediately before the Distribution (but only to the extent the payment does not relate to a Tax allocated to the payor in accordance with Section 1552 of the Code or the Treasury Regulations thereunder or Treasury Regulations Section 1.1502-33(d) (or under corresponding principles of other applicable Tax Laws)) or as payments of an assumed or retained liability, and</w:t>
      </w:r>
    </w:p>
    <w:p>
      <w:pPr>
        <w:spacing w:after="0" w:line="125" w:lineRule="exact"/>
        <w:rPr>
          <w:rFonts w:ascii="Times New Roman" w:cs="Times New Roman" w:eastAsia="Times New Roman" w:hAnsi="Times New Roman"/>
          <w:sz w:val="13"/>
          <w:szCs w:val="13"/>
          <w:color w:val="auto"/>
        </w:rPr>
      </w:pPr>
    </w:p>
    <w:p>
      <w:pPr>
        <w:ind w:left="220" w:right="259" w:firstLine="767"/>
        <w:spacing w:after="0" w:line="258" w:lineRule="auto"/>
        <w:tabs>
          <w:tab w:leader="none" w:pos="1190" w:val="left"/>
        </w:tabs>
        <w:numPr>
          <w:ilvl w:val="0"/>
          <w:numId w:val="5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 Benefit payments made by a Separation Party under Section 5 shall be treated for Tax purposes by the payor and the recipient as distributions or capital contributions, as appropriate, occurring immediately before the Distribution (but only to the extent the payment does not relate to a Tax allocated to the payor in accordance with Section 1552 of the Code or the Treasury Regulations thereunder or Treasury Regulations</w:t>
      </w: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1.1502-33(d) (or under corresponding principles of other applicable Tax Laws)) or as payments of an assumed or retained liability.</w:t>
      </w:r>
    </w:p>
    <w:p>
      <w:pPr>
        <w:spacing w:after="0" w:line="159" w:lineRule="exact"/>
        <w:rPr>
          <w:sz w:val="20"/>
          <w:szCs w:val="20"/>
          <w:color w:val="auto"/>
        </w:rPr>
      </w:pPr>
    </w:p>
    <w:p>
      <w:pPr>
        <w:ind w:left="220" w:right="27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Section 12.2 Tax Gross Up</w:t>
      </w:r>
      <w:r>
        <w:rPr>
          <w:rFonts w:ascii="Times New Roman" w:cs="Times New Roman" w:eastAsia="Times New Roman" w:hAnsi="Times New Roman"/>
          <w:sz w:val="14"/>
          <w:szCs w:val="14"/>
          <w:color w:val="auto"/>
        </w:rPr>
        <w:t>. If, notwithstanding the manner in which Tax indemnity payments and Tax Benefit payments were reported, there is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adjustment to the Tax liability of a Separation Party as a result of its receipt of a payment pursuant to this Agreement, such payment shall be appropriately adjusted so that the amount of such payment, reduced by all Income Taxes payable with respect to the receipt thereof (but taking into account all correlative Tax Benefits resulting from the payment of such Income Taxes), shall equal the amount of the payment which the Separation Party receiving such payment would otherwise be entitled to receive pursuant to this Agreement.</w:t>
      </w:r>
    </w:p>
    <w:p>
      <w:pPr>
        <w:spacing w:after="0" w:line="141" w:lineRule="exact"/>
        <w:rPr>
          <w:sz w:val="20"/>
          <w:szCs w:val="20"/>
          <w:color w:val="auto"/>
        </w:rPr>
      </w:pPr>
    </w:p>
    <w:p>
      <w:pPr>
        <w:ind w:left="220" w:right="27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Section 12.3 Interest on Late Payments</w:t>
      </w:r>
      <w:r>
        <w:rPr>
          <w:rFonts w:ascii="Times New Roman" w:cs="Times New Roman" w:eastAsia="Times New Roman" w:hAnsi="Times New Roman"/>
          <w:sz w:val="14"/>
          <w:szCs w:val="14"/>
          <w:color w:val="auto"/>
        </w:rPr>
        <w:t>. With respect to any payment between the Parties pursuant to this Agreement not made by the due date set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forth in this Agreement for such payment, any unpaid amounts shall accrue interest in accordance with the provisions of Section 5.2 of the Separation Agreement.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9" w:right="1440" w:bottom="1440" w:gutter="0" w:footer="0" w:header="0"/>
        </w:sectPr>
      </w:pPr>
    </w:p>
    <w:bookmarkStart w:id="538" w:name="page539"/>
    <w:bookmarkEnd w:id="538"/>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13. Disagreements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Section 13.1 Discussion</w:t>
      </w:r>
      <w:r>
        <w:rPr>
          <w:rFonts w:ascii="Times New Roman" w:cs="Times New Roman" w:eastAsia="Times New Roman" w:hAnsi="Times New Roman"/>
          <w:sz w:val="14"/>
          <w:szCs w:val="14"/>
          <w:color w:val="auto"/>
        </w:rPr>
        <w:t>. The Separation Parties mutually desire that friendly collaboration will continue between them. Accordingly, they will try,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they will cause their respective Group members to try, to resolve in an amicable manner all disagreements and misunderstandings connected with their respective rights and obligations under this Agreement, including any amendments hereto. In furtherance thereof, in the event of any dispute or disagreement (a “</w:t>
      </w:r>
      <w:r>
        <w:rPr>
          <w:rFonts w:ascii="Times New Roman" w:cs="Times New Roman" w:eastAsia="Times New Roman" w:hAnsi="Times New Roman"/>
          <w:sz w:val="14"/>
          <w:szCs w:val="14"/>
          <w:b w:val="1"/>
          <w:bCs w:val="1"/>
          <w:color w:val="auto"/>
        </w:rPr>
        <w:t>Dispute</w:t>
      </w:r>
      <w:r>
        <w:rPr>
          <w:rFonts w:ascii="Times New Roman" w:cs="Times New Roman" w:eastAsia="Times New Roman" w:hAnsi="Times New Roman"/>
          <w:sz w:val="14"/>
          <w:szCs w:val="14"/>
          <w:color w:val="auto"/>
        </w:rPr>
        <w:t>”) between any member of the Company Group and any member of the SpinCo Group as to the interpretation of any provision of this Agreement or the performance of obligations hereunder, the Tax departments of the Separation Parties shall negotiate in good faith to resolve the Dispute.</w:t>
      </w:r>
    </w:p>
    <w:p>
      <w:pPr>
        <w:spacing w:after="0" w:line="143" w:lineRule="exact"/>
        <w:rPr>
          <w:sz w:val="20"/>
          <w:szCs w:val="20"/>
          <w:color w:val="auto"/>
        </w:rPr>
      </w:pPr>
    </w:p>
    <w:p>
      <w:pPr>
        <w:ind w:left="220" w:right="25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Section 13.2 Escalation</w:t>
      </w:r>
      <w:r>
        <w:rPr>
          <w:rFonts w:ascii="Times New Roman" w:cs="Times New Roman" w:eastAsia="Times New Roman" w:hAnsi="Times New Roman"/>
          <w:sz w:val="14"/>
          <w:szCs w:val="14"/>
          <w:color w:val="auto"/>
        </w:rPr>
        <w:t>. If such good faith negotiations do not resolve the Dispute, then the matter, upon written request of either Separation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Party, will be referred for resolution to representatives of the Separation Parties at a senior level of management of the Separation Parties pursuant to the procedures set forth in Section 9.14 of the Separation Agreement.</w:t>
      </w:r>
    </w:p>
    <w:p>
      <w:pPr>
        <w:spacing w:after="0" w:line="133"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Section 13.3 Referral to Tax Advisor for Computational Disputes</w:t>
      </w:r>
      <w:r>
        <w:rPr>
          <w:rFonts w:ascii="Times New Roman" w:cs="Times New Roman" w:eastAsia="Times New Roman" w:hAnsi="Times New Roman"/>
          <w:sz w:val="14"/>
          <w:szCs w:val="14"/>
          <w:color w:val="auto"/>
        </w:rPr>
        <w:t>. Notwithstanding anything to the contrary in this Section 13, with respect to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Dispute under this Agreement involving computational matters, if the Separation Parties are not able to resolve the Dispute through the discussion process set forth in Section 13.1, then the Separation Parties shall not refer the dispute to the escalation process set forth in Section 13.2, but rather the Dispute will be referred to a Tax Advisor acceptable to each of the Separation Parties to act as an arbitrator in order to resolve the Dispute. In the event that the Separation Parties are unable to agree upon a Tax Advisor within fifteen (15) days following the completion of the discussion process, the Separation Parties shall each separately retain an independent, nationally recognized law or accounting firm (each, a “</w:t>
      </w:r>
      <w:r>
        <w:rPr>
          <w:rFonts w:ascii="Times New Roman" w:cs="Times New Roman" w:eastAsia="Times New Roman" w:hAnsi="Times New Roman"/>
          <w:sz w:val="14"/>
          <w:szCs w:val="14"/>
          <w:b w:val="1"/>
          <w:bCs w:val="1"/>
          <w:color w:val="auto"/>
        </w:rPr>
        <w:t>Preliminary Tax Advisor</w:t>
      </w:r>
      <w:r>
        <w:rPr>
          <w:rFonts w:ascii="Times New Roman" w:cs="Times New Roman" w:eastAsia="Times New Roman" w:hAnsi="Times New Roman"/>
          <w:sz w:val="14"/>
          <w:szCs w:val="14"/>
          <w:color w:val="auto"/>
        </w:rPr>
        <w:t>”), which Preliminary Tax Advisors shall jointly select a Tax Advisor on behalf of the Separation Parties to act as an arbitrator in order to resolve the Dispute. The Tax Advisor may, in its discretion, obtain the services of any third-party appraiser, accounting firm or consultant that the Tax Advisor deems necessary to assist it in resolving such disagreement. The Tax Advisor shall furnish written notice to the Separation Parties of its resolution of any such Dispute as soon as practical, but in any event no later than thirty (30) days after its acceptance of the matter for resolution. Any such resolution by the Tax Advisor will be conclusive and binding on the Separation Parties. Following receipt of the Tax Advisor’s written notice to the Separation Parties of its resolution of the Dispute, the Separation Parties shall each take or cause to be taken any action necessary to implement such resolution of the Tax Advisor. Each Separation Party shall pay its own fees and expenses (including the fees and expenses of its representatives) incurred in connection with the referral of the matter to the Tax Advisor (and the Preliminary Tax Advisors, if any). All fees and expenses of the Tax Advisor (and the Preliminary Tax Advisors, if any) in connection with such referral shall be shared equally by the Separation Parties.</w:t>
      </w:r>
    </w:p>
    <w:p>
      <w:pPr>
        <w:spacing w:after="0" w:line="146" w:lineRule="exact"/>
        <w:rPr>
          <w:sz w:val="20"/>
          <w:szCs w:val="20"/>
          <w:color w:val="auto"/>
        </w:rPr>
      </w:pPr>
    </w:p>
    <w:p>
      <w:pPr>
        <w:ind w:left="220" w:right="31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Section 13.4 Injunctive Relief</w:t>
      </w:r>
      <w:r>
        <w:rPr>
          <w:rFonts w:ascii="Times New Roman" w:cs="Times New Roman" w:eastAsia="Times New Roman" w:hAnsi="Times New Roman"/>
          <w:sz w:val="14"/>
          <w:szCs w:val="14"/>
          <w:color w:val="auto"/>
        </w:rPr>
        <w:t>. Nothing in this Section 13 will prevent either Separation Party from seeking injunctive relief if any delay resulting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the efforts to resolve the Dispute through the process set forth above could result in serious and irreparable injury to either Separation Party. Notwithstanding anything to the contrary in this Agreement, the Company and SpinCo are the only members of their respective Group entitled to commence a dispute resolution procedure under this Agreement, and each of the Company and SpinCo will cause its respective Group members not to commence any dispute resolution procedure other than as provided in this Section 13.</w:t>
      </w:r>
    </w:p>
    <w:p>
      <w:pPr>
        <w:spacing w:after="0" w:line="141" w:lineRule="exact"/>
        <w:rPr>
          <w:sz w:val="20"/>
          <w:szCs w:val="20"/>
          <w:color w:val="auto"/>
        </w:rPr>
      </w:pPr>
    </w:p>
    <w:p>
      <w:pPr>
        <w:ind w:left="220" w:right="51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Section 14. Expenses</w:t>
      </w:r>
      <w:r>
        <w:rPr>
          <w:rFonts w:ascii="Times New Roman" w:cs="Times New Roman" w:eastAsia="Times New Roman" w:hAnsi="Times New Roman"/>
          <w:sz w:val="14"/>
          <w:szCs w:val="14"/>
          <w:color w:val="auto"/>
        </w:rPr>
        <w:t>. Except as otherwise provided in this Agreement, each Separation Party and its Affiliates shall bear their own expenses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incurred in connection with preparation of Tax Returns, Tax Contests and other matters related to Taxes under the provisions of this Agreement.</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9" w:right="1440" w:bottom="1440" w:gutter="0" w:footer="0" w:header="0"/>
        </w:sectPr>
      </w:pPr>
    </w:p>
    <w:bookmarkStart w:id="539" w:name="page540"/>
    <w:bookmarkEnd w:id="539"/>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15. General Provisions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1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Section 15.1 Notices</w:t>
      </w:r>
      <w:r>
        <w:rPr>
          <w:rFonts w:ascii="Times New Roman" w:cs="Times New Roman" w:eastAsia="Times New Roman" w:hAnsi="Times New Roman"/>
          <w:sz w:val="14"/>
          <w:szCs w:val="14"/>
          <w:color w:val="auto"/>
        </w:rPr>
        <w:t>. All notices, requests, claims, demands or other communications under this Agreement shall be in writing and shall be given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or made (and except as provided herein, shall be deemed to have been duly given or made upon receipt) by delivery in person, by overnight courier service, by certified mail, return receipt requested, or by electronic mail (“e-mail”), so long as confirmation of receipt of such e-mail is requested and received, to the respective Parties at the following addresses (or at such other address for a Party as shall be specified in a notice given in accordance with this </w:t>
      </w:r>
      <w:r>
        <w:rPr>
          <w:rFonts w:ascii="Times New Roman" w:cs="Times New Roman" w:eastAsia="Times New Roman" w:hAnsi="Times New Roman"/>
          <w:sz w:val="14"/>
          <w:szCs w:val="14"/>
          <w:u w:val="single" w:color="auto"/>
          <w:color w:val="auto"/>
        </w:rPr>
        <w:t>Section 15.1</w:t>
      </w:r>
      <w:r>
        <w:rPr>
          <w:rFonts w:ascii="Times New Roman" w:cs="Times New Roman" w:eastAsia="Times New Roman" w:hAnsi="Times New Roman"/>
          <w:sz w:val="14"/>
          <w:szCs w:val="14"/>
          <w:color w:val="auto"/>
        </w:rPr>
        <w:t>):</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if to the Company to:</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Modine Manufacturing Company</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1500 De Koven Ave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Racine, Wisconsin 53403</w:t>
      </w:r>
    </w:p>
    <w:p>
      <w:pPr>
        <w:spacing w:after="0" w:line="7"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4"/>
          <w:szCs w:val="14"/>
          <w:color w:val="auto"/>
        </w:rPr>
        <w:t xml:space="preserve">Attention:    </w:t>
      </w:r>
      <w:r>
        <w:rPr>
          <w:sz w:val="20"/>
          <w:szCs w:val="20"/>
          <w:color w:val="auto"/>
        </w:rPr>
        <w:tab/>
      </w:r>
      <w:r>
        <w:rPr>
          <w:rFonts w:ascii="Times New Roman" w:cs="Times New Roman" w:eastAsia="Times New Roman" w:hAnsi="Times New Roman"/>
          <w:sz w:val="13"/>
          <w:szCs w:val="13"/>
          <w:color w:val="auto"/>
        </w:rPr>
        <w:t>General Counsel</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200 Park Avenue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New York, NY 10166</w:t>
      </w:r>
    </w:p>
    <w:p>
      <w:pPr>
        <w:spacing w:after="0" w:line="7"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4"/>
          <w:szCs w:val="14"/>
          <w:color w:val="auto"/>
        </w:rPr>
        <w:t xml:space="preserve">Attention:    </w:t>
      </w:r>
      <w:r>
        <w:rPr>
          <w:sz w:val="20"/>
          <w:szCs w:val="20"/>
          <w:color w:val="auto"/>
        </w:rPr>
        <w:tab/>
      </w:r>
      <w:r>
        <w:rPr>
          <w:rFonts w:ascii="Times New Roman" w:cs="Times New Roman" w:eastAsia="Times New Roman" w:hAnsi="Times New Roman"/>
          <w:sz w:val="13"/>
          <w:szCs w:val="13"/>
          <w:color w:val="auto"/>
        </w:rPr>
        <w:t>Andrew Kaplan</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if to RMT Partner or SpinCo, to:</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Gentherm Incorporated</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28875 Cabot Drive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Novi, MI 48377</w:t>
      </w:r>
    </w:p>
    <w:p>
      <w:pPr>
        <w:spacing w:after="0" w:line="7"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4"/>
          <w:szCs w:val="14"/>
          <w:color w:val="auto"/>
        </w:rPr>
        <w:t xml:space="preserve">Attention:    </w:t>
      </w:r>
      <w:r>
        <w:rPr>
          <w:sz w:val="20"/>
          <w:szCs w:val="20"/>
          <w:color w:val="auto"/>
        </w:rPr>
        <w:tab/>
      </w:r>
      <w:r>
        <w:rPr>
          <w:rFonts w:ascii="Times New Roman" w:cs="Times New Roman" w:eastAsia="Times New Roman" w:hAnsi="Times New Roman"/>
          <w:sz w:val="13"/>
          <w:szCs w:val="13"/>
          <w:color w:val="auto"/>
        </w:rPr>
        <w:t>Wayne Kauffman; Jon Douyard</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330 N Wabash Ave, Suite 2800</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Chicago, IL 60611</w:t>
      </w:r>
    </w:p>
    <w:p>
      <w:pPr>
        <w:spacing w:after="0" w:line="7"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4"/>
          <w:szCs w:val="14"/>
          <w:color w:val="auto"/>
        </w:rPr>
        <w:t xml:space="preserve">Attention:    </w:t>
      </w:r>
      <w:r>
        <w:rPr>
          <w:sz w:val="20"/>
          <w:szCs w:val="20"/>
          <w:color w:val="auto"/>
        </w:rPr>
        <w:tab/>
      </w:r>
      <w:r>
        <w:rPr>
          <w:rFonts w:ascii="Times New Roman" w:cs="Times New Roman" w:eastAsia="Times New Roman" w:hAnsi="Times New Roman"/>
          <w:sz w:val="13"/>
          <w:szCs w:val="13"/>
          <w:color w:val="auto"/>
        </w:rPr>
        <w:t>Bradley C. Faris; Jason Morelli</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and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9" w:right="1440" w:bottom="1440" w:gutter="0" w:footer="0" w:header="0"/>
        </w:sectPr>
      </w:pPr>
    </w:p>
    <w:bookmarkStart w:id="540" w:name="page541"/>
    <w:bookmarkEnd w:id="540"/>
    <w:p>
      <w:pPr>
        <w:ind w:left="9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Honigman LLP</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2290 First National Building</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660 Woodward Avenue</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Detroit, MI 48226</w:t>
      </w:r>
    </w:p>
    <w:p>
      <w:pPr>
        <w:spacing w:after="0" w:line="7" w:lineRule="exact"/>
        <w:rPr>
          <w:sz w:val="20"/>
          <w:szCs w:val="20"/>
          <w:color w:val="auto"/>
        </w:rPr>
      </w:pPr>
    </w:p>
    <w:p>
      <w:pPr>
        <w:ind w:left="980"/>
        <w:spacing w:after="0"/>
        <w:tabs>
          <w:tab w:leader="none" w:pos="1860" w:val="left"/>
        </w:tabs>
        <w:rPr>
          <w:sz w:val="20"/>
          <w:szCs w:val="20"/>
          <w:color w:val="auto"/>
        </w:rPr>
      </w:pPr>
      <w:r>
        <w:rPr>
          <w:rFonts w:ascii="Times New Roman" w:cs="Times New Roman" w:eastAsia="Times New Roman" w:hAnsi="Times New Roman"/>
          <w:sz w:val="14"/>
          <w:szCs w:val="14"/>
          <w:color w:val="auto"/>
        </w:rPr>
        <w:t xml:space="preserve">Attention:    </w:t>
      </w:r>
      <w:r>
        <w:rPr>
          <w:sz w:val="20"/>
          <w:szCs w:val="20"/>
          <w:color w:val="auto"/>
        </w:rPr>
        <w:tab/>
      </w:r>
      <w:r>
        <w:rPr>
          <w:rFonts w:ascii="Times New Roman" w:cs="Times New Roman" w:eastAsia="Times New Roman" w:hAnsi="Times New Roman"/>
          <w:sz w:val="13"/>
          <w:szCs w:val="13"/>
          <w:color w:val="auto"/>
        </w:rPr>
        <w:t>Michael S. Ben; Matt VanWasshnova</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Email:           [redacted]</w:t>
      </w:r>
    </w:p>
    <w:p>
      <w:pPr>
        <w:spacing w:after="0" w:line="161" w:lineRule="exact"/>
        <w:rPr>
          <w:sz w:val="20"/>
          <w:szCs w:val="20"/>
          <w:color w:val="auto"/>
        </w:rPr>
      </w:pPr>
    </w:p>
    <w:p>
      <w:pPr>
        <w:ind w:left="220" w:right="599" w:firstLine="343"/>
        <w:spacing w:after="0" w:line="283" w:lineRule="auto"/>
        <w:rPr>
          <w:sz w:val="20"/>
          <w:szCs w:val="20"/>
          <w:color w:val="auto"/>
        </w:rPr>
      </w:pPr>
      <w:r>
        <w:rPr>
          <w:rFonts w:ascii="Times New Roman" w:cs="Times New Roman" w:eastAsia="Times New Roman" w:hAnsi="Times New Roman"/>
          <w:sz w:val="14"/>
          <w:szCs w:val="14"/>
          <w:color w:val="auto"/>
        </w:rPr>
        <w:t>A Party may change the address for receiving notices under this Agreement by providing written notice of the change of address to the other Parties.</w:t>
      </w:r>
    </w:p>
    <w:p>
      <w:pPr>
        <w:spacing w:after="0" w:line="123" w:lineRule="exact"/>
        <w:rPr>
          <w:sz w:val="20"/>
          <w:szCs w:val="20"/>
          <w:color w:val="auto"/>
        </w:rPr>
      </w:pPr>
    </w:p>
    <w:p>
      <w:pPr>
        <w:ind w:left="220" w:right="27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Section 15.2 Waiver</w:t>
      </w:r>
      <w:r>
        <w:rPr>
          <w:rFonts w:ascii="Times New Roman" w:cs="Times New Roman" w:eastAsia="Times New Roman" w:hAnsi="Times New Roman"/>
          <w:sz w:val="14"/>
          <w:szCs w:val="14"/>
          <w:color w:val="auto"/>
        </w:rPr>
        <w:t>. No provisions of any Agreement shall be deemed waived, amended, supplemented or modified by a Party, unless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waiver, amendment, supplement or modification is in writing and signed by the authorized representative of the Party against whom it is sought to enforce such waiver, amendment, supplement or modification. A Party is not prevented from enforcing any right, remedy or condition in the Party’s favor because of any failure or delay in exercising any right or remedy or in requiring satisfaction of any condition, except to the extent that the Party specifically waives the same in writing. A written waiver given for one matter or occasion is effective only in that instance and only for the purpose stated. A waiver once given is not to be construed as a waiver for any other matter or occasion.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145" w:lineRule="exact"/>
        <w:rPr>
          <w:sz w:val="20"/>
          <w:szCs w:val="20"/>
          <w:color w:val="auto"/>
        </w:rPr>
      </w:pPr>
    </w:p>
    <w:p>
      <w:pPr>
        <w:ind w:left="220" w:right="23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Section 15.3 Severability</w:t>
      </w:r>
      <w:r>
        <w:rPr>
          <w:rFonts w:ascii="Times New Roman" w:cs="Times New Roman" w:eastAsia="Times New Roman" w:hAnsi="Times New Roman"/>
          <w:sz w:val="14"/>
          <w:szCs w:val="14"/>
          <w:color w:val="auto"/>
        </w:rPr>
        <w:t>. If any provision of this Agreement or the application thereof to any Person or circumstance is determined by a court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41" w:lineRule="exact"/>
        <w:rPr>
          <w:sz w:val="20"/>
          <w:szCs w:val="20"/>
          <w:color w:val="auto"/>
        </w:rPr>
      </w:pPr>
    </w:p>
    <w:p>
      <w:pPr>
        <w:ind w:left="220" w:right="29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Section 15.4 Authority</w:t>
      </w:r>
      <w:r>
        <w:rPr>
          <w:rFonts w:ascii="Times New Roman" w:cs="Times New Roman" w:eastAsia="Times New Roman" w:hAnsi="Times New Roman"/>
          <w:sz w:val="14"/>
          <w:szCs w:val="14"/>
          <w:color w:val="auto"/>
        </w:rPr>
        <w:t>. Each of the Parties represents to the other that (a) it has the corporate or other requisite power and authority to execute,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 and perform this Agreement, (b) the execution, delivery and performance of this Agreement have been duly authorized by all necessary corporate or other action, (c) 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41" w:lineRule="exact"/>
        <w:rPr>
          <w:sz w:val="20"/>
          <w:szCs w:val="20"/>
          <w:color w:val="auto"/>
        </w:rPr>
      </w:pPr>
    </w:p>
    <w:p>
      <w:pPr>
        <w:ind w:left="220" w:right="29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Section 15.5 Further Action</w:t>
      </w:r>
      <w:r>
        <w:rPr>
          <w:rFonts w:ascii="Times New Roman" w:cs="Times New Roman" w:eastAsia="Times New Roman" w:hAnsi="Times New Roman"/>
          <w:sz w:val="14"/>
          <w:szCs w:val="14"/>
          <w:color w:val="auto"/>
        </w:rPr>
        <w:t>. The Parties shall execute and deliver all documents, provide all information and take or refrain from taking action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be necessary or appropriate to achieve the purposes of this Agreement, including the execution and delivery to the other Parties and their Affiliates and representatives of such powers of attorney or other authorizing documentation as is reasonably necessary or appropriate in connection with Tax Contests (or portions thereof) under the control of such other Parties in accordance with Section 9.</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541" w:name="page542"/>
    <w:bookmarkEnd w:id="541"/>
    <w:p>
      <w:pPr>
        <w:ind w:left="220" w:right="21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15.6 Integration</w:t>
      </w:r>
      <w:r>
        <w:rPr>
          <w:rFonts w:ascii="Times New Roman" w:cs="Times New Roman" w:eastAsia="Times New Roman" w:hAnsi="Times New Roman"/>
          <w:sz w:val="14"/>
          <w:szCs w:val="14"/>
          <w:color w:val="auto"/>
        </w:rPr>
        <w:t>. This Agreement, together with each of the exhibits and schedules appended hereto constitutes the final agreement among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Parties, and is the complete and exclusive statement of the Parties’ agreement on the matters contained herein. All prior and contemporaneous negotiations and agreements among the Parties with respect to the matters contained herein are superseded by this Agreement, as applicable. In the event of any inconsistency between this Agreement and the Separation Agreement, or any other agreements relating to the transactions contemplated by the Separation Agreement, with respect to matters addressed herein, the provisions of this Agreement shall control.</w:t>
      </w:r>
    </w:p>
    <w:p>
      <w:pPr>
        <w:spacing w:after="0" w:line="141" w:lineRule="exact"/>
        <w:rPr>
          <w:sz w:val="20"/>
          <w:szCs w:val="20"/>
          <w:color w:val="auto"/>
        </w:rPr>
      </w:pPr>
    </w:p>
    <w:p>
      <w:pPr>
        <w:ind w:left="220" w:right="239" w:firstLine="343"/>
        <w:spacing w:after="0" w:line="252" w:lineRule="auto"/>
        <w:rPr>
          <w:sz w:val="20"/>
          <w:szCs w:val="20"/>
          <w:color w:val="auto"/>
        </w:rPr>
      </w:pPr>
      <w:r>
        <w:rPr>
          <w:rFonts w:ascii="Times New Roman" w:cs="Times New Roman" w:eastAsia="Times New Roman" w:hAnsi="Times New Roman"/>
          <w:sz w:val="14"/>
          <w:szCs w:val="14"/>
          <w:i w:val="1"/>
          <w:iCs w:val="1"/>
          <w:color w:val="auto"/>
        </w:rPr>
        <w:t>Section 15.7 Interpretation</w:t>
      </w:r>
      <w:r>
        <w:rPr>
          <w:rFonts w:ascii="Times New Roman" w:cs="Times New Roman" w:eastAsia="Times New Roman" w:hAnsi="Times New Roman"/>
          <w:sz w:val="14"/>
          <w:szCs w:val="14"/>
          <w:color w:val="auto"/>
        </w:rPr>
        <w:t>. As used in this Agreement, (a) words in the singular shall be deemed to include the plural and vice versa and words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one gender shall be deemed to include the other genders as the context requires; (b) the terms “hereof,” “herein,” and “herewith” and words of similar import shall, unless otherwise stated, be construed to refer to the applicable Transaction Document as a whole (including all of the Schedules, Exhibits and Appendices hereto and thereto) and not to any particular provision of any Transaction Document; (c) Article, Section, Schedule, Exhibit and Appendix references are to the Articles, Sections, Schedules, Exhibits and Appendices to the applicable Transaction Document unless otherwise specified; (d) unless otherwise stated, all references to any agreement (including each Transaction Document) shall be deemed to include the exhibits, schedules and annexes (including all Schedules, Exhibits and Appendices) to such agreement; (e) the word “including” and words of similar import when used in the applicable Transaction Document shall mean “including, without limitation,” unless otherwise specified; (f) the word “or” shall be disjunctive but not exclusive; (g) the word “extent” in the phrase “to the extent” shall mean the degree to which a subject or other thing extends, and such phrase shall not mean simply “if”; (h) unless otherwise specified in a particular case, the word “days” refers to calendar days;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any action is to be taken or given on or by a particular calendar day, and such calendar day is not a business day, then such action may be deferred until the next business day; (i)(A) references to “business day” shall mean any day other than a Saturday, a Sunday or a day on which banking institutions are generally authorized or required by Law to close in New York, New York, and (B) when calculating the period of time before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(j) references herein to this Agreement or any other agreement contemplated herein shall be deemed to refer to this Agreement or such other agreement as of the date on which it is executed and as it may be amended, modified or supplemented thereafter, unless otherwise specified; (k) unless expressly stated to the contrary in any Transaction Document, all references to “the date hereof,” “the date of this Agreement,” “hereby” and “hereupon” and words of similar import shall all be references to the date set forth in Section 9.13 of the Separation Agreement; (l) references to “paragraphs” or “clauses” shall be to separate paragraphs or clauses of the Section or subsection in which the reference occurs; (m) derivative forms of defined terms will have correlative meanings; (n)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8" w:right="1440" w:bottom="1440" w:gutter="0" w:footer="0" w:header="0"/>
        </w:sectPr>
      </w:pPr>
    </w:p>
    <w:bookmarkStart w:id="542" w:name="page543"/>
    <w:bookmarkEnd w:id="542"/>
    <w:p>
      <w:pPr>
        <w:ind w:left="220" w:right="2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published interpretations thereof; (o) references to any federal, state, local or foreign statute or Law shall include all rules and regulations promulgated thereunder; (p) references to any Person include references to such Person’s successors and permitted assigns, and in the case of any Governmental Authority, to any Person succeeding to its functions and capacities; (q) the terms “writing,” “written” and comparable terms refer to printing, typing and other means of reproducing words (including electronic media) in a visible form; (r) all monetary figures shall be in United States dollars unless otherwise specified; and (s) all accounting terms used herein and not expressly defined herein shall have the meanings given to them under GAAP, unless the context otherwise requires.</w:t>
      </w:r>
    </w:p>
    <w:p>
      <w:pPr>
        <w:spacing w:after="0" w:line="141" w:lineRule="exact"/>
        <w:rPr>
          <w:sz w:val="20"/>
          <w:szCs w:val="20"/>
          <w:color w:val="auto"/>
        </w:rPr>
      </w:pPr>
    </w:p>
    <w:p>
      <w:pPr>
        <w:ind w:left="220" w:right="37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Section 15.8 No Double Recovery</w:t>
      </w:r>
      <w:r>
        <w:rPr>
          <w:rFonts w:ascii="Times New Roman" w:cs="Times New Roman" w:eastAsia="Times New Roman" w:hAnsi="Times New Roman"/>
          <w:sz w:val="14"/>
          <w:szCs w:val="14"/>
          <w:color w:val="auto"/>
        </w:rPr>
        <w:t>. No provision of this Agreement shall be construed to provide an indemnity or other recovery for any costs,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damages or other amounts for which the damaged Party has been fully compensated under any other provision of this Agreement or under any other agreement or action at law or equity. Unless expressly required in this Agreement, a Party shall not be required to exhaust all remedies available under other agreements or at law or equity before recovering under the remedies provided in this Agreement.</w:t>
      </w:r>
    </w:p>
    <w:p>
      <w:pPr>
        <w:spacing w:after="0" w:line="138" w:lineRule="exact"/>
        <w:rPr>
          <w:sz w:val="20"/>
          <w:szCs w:val="20"/>
          <w:color w:val="auto"/>
        </w:rPr>
      </w:pPr>
    </w:p>
    <w:p>
      <w:pPr>
        <w:ind w:left="220" w:right="39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Section 15.9 Counterparts</w:t>
      </w:r>
      <w:r>
        <w:rPr>
          <w:rFonts w:ascii="Times New Roman" w:cs="Times New Roman" w:eastAsia="Times New Roman" w:hAnsi="Times New Roman"/>
          <w:sz w:val="14"/>
          <w:szCs w:val="14"/>
          <w:color w:val="auto"/>
        </w:rPr>
        <w:t>. This Agreement may be executed in one (1) or more counterparts, all of which shall be considered one and the same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and shall become effective when one (1) or more counterparts have been signed by each of the Parties and delivered to the other Party.</w:t>
      </w:r>
    </w:p>
    <w:p>
      <w:pPr>
        <w:spacing w:after="0" w:line="121" w:lineRule="exact"/>
        <w:rPr>
          <w:sz w:val="20"/>
          <w:szCs w:val="20"/>
          <w:color w:val="auto"/>
        </w:rPr>
      </w:pPr>
    </w:p>
    <w:p>
      <w:pPr>
        <w:ind w:left="220" w:right="25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Section 15.10 Governing Law</w:t>
      </w:r>
      <w:r>
        <w:rPr>
          <w:rFonts w:ascii="Times New Roman" w:cs="Times New Roman" w:eastAsia="Times New Roman" w:hAnsi="Times New Roman"/>
          <w:sz w:val="14"/>
          <w:szCs w:val="14"/>
          <w:color w:val="auto"/>
        </w:rPr>
        <w:t>. This Agreement (and any claims or disputes arising out of or related hereto or to the transactions contemplated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hereby or to the inducement of any party to enter herein, whether for breach of contract, tortious conduct or otherwise and whether predicated on common law, statute or otherwise), unless expressly provided herein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shall be governed by and construed and interpreted in accordance with the Laws of the State of Delaware irrespective of the choice of laws principles of the State of Delaware including all matters of validity, construction, effect, enforceability, performance and remedies</w:t>
      </w:r>
      <w:r>
        <w:rPr>
          <w:rFonts w:ascii="Times New Roman" w:cs="Times New Roman" w:eastAsia="Times New Roman" w:hAnsi="Times New Roman"/>
          <w:sz w:val="14"/>
          <w:szCs w:val="14"/>
          <w:i w:val="1"/>
          <w:iCs w:val="1"/>
          <w:color w:val="auto"/>
        </w:rPr>
        <w:t>.</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i w:val="1"/>
          <w:iCs w:val="1"/>
          <w:color w:val="auto"/>
        </w:rPr>
        <w:t>Section 15.11 Submission to Jurisdiction; Waiver of Jury Trial</w:t>
      </w: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20" w:right="259" w:firstLine="767"/>
        <w:spacing w:after="0" w:line="254" w:lineRule="auto"/>
        <w:tabs>
          <w:tab w:leader="none" w:pos="1182" w:val="left"/>
        </w:tabs>
        <w:numPr>
          <w:ilvl w:val="0"/>
          <w:numId w:val="5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cs="Times New Roman" w:eastAsia="Times New Roman" w:hAnsi="Times New Roman"/>
          <w:sz w:val="14"/>
          <w:szCs w:val="14"/>
          <w:b w:val="1"/>
          <w:bCs w:val="1"/>
          <w:color w:val="auto"/>
        </w:rPr>
        <w:t>Chosen Courts</w:t>
      </w:r>
      <w:r>
        <w:rPr>
          <w:rFonts w:ascii="Times New Roman" w:cs="Times New Roman" w:eastAsia="Times New Roman" w:hAnsi="Times New Roman"/>
          <w:sz w:val="14"/>
          <w:szCs w:val="14"/>
          <w:color w:val="auto"/>
        </w:rPr>
        <w:t>”).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543" w:name="page544"/>
    <w:bookmarkEnd w:id="543"/>
    <w:p>
      <w:pPr>
        <w:ind w:left="220" w:right="2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Section 15.1;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nothing herein shall affect the right of any Party to serve legal process in any other manner permitted by Law and (II) each such Party’s consent to jurisdiction and service contained in this Section 15.11(a) is solely for the purpose referred to in this Section 15.11(a) and shall not be deemed to be a general submission to said courts or in the State of Delaware other than for such purpose.</w:t>
      </w:r>
    </w:p>
    <w:p>
      <w:pPr>
        <w:spacing w:after="0" w:line="145" w:lineRule="exact"/>
        <w:rPr>
          <w:sz w:val="20"/>
          <w:szCs w:val="20"/>
          <w:color w:val="auto"/>
        </w:rPr>
      </w:pPr>
    </w:p>
    <w:p>
      <w:pPr>
        <w:ind w:left="220" w:right="359" w:firstLine="767"/>
        <w:spacing w:after="0" w:line="283" w:lineRule="auto"/>
        <w:tabs>
          <w:tab w:leader="none" w:pos="1190" w:val="left"/>
        </w:tabs>
        <w:numPr>
          <w:ilvl w:val="0"/>
          <w:numId w:val="5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HERETO IRREVOCABLY WAIVES ANY AND ALL RIGHT TO TRIAL BY JURY IN ANY DISPUTE ARISING OUT OF OR RELATING TO THIS AGREEMENT OR THE TRANSACTIONS CONTEMPLATED HEREBY.</w:t>
      </w:r>
    </w:p>
    <w:p>
      <w:pPr>
        <w:spacing w:after="0" w:line="123" w:lineRule="exact"/>
        <w:rPr>
          <w:sz w:val="20"/>
          <w:szCs w:val="20"/>
          <w:color w:val="auto"/>
        </w:rPr>
      </w:pPr>
    </w:p>
    <w:p>
      <w:pPr>
        <w:ind w:left="220" w:right="23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Section 15.12 Amendments</w:t>
      </w:r>
      <w:r>
        <w:rPr>
          <w:rFonts w:ascii="Times New Roman" w:cs="Times New Roman" w:eastAsia="Times New Roman" w:hAnsi="Times New Roman"/>
          <w:sz w:val="14"/>
          <w:szCs w:val="14"/>
          <w:color w:val="auto"/>
        </w:rPr>
        <w:t>. No provisions of this Agreement shall be deemed waived, amended, supplemented or modified by a Party, unless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waiver, amendment, supplement or modification is in writing and signed by the authorized representative of the Party against whom it is sought to enforce such waiver, amendment, supplement or modification;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 waiver by RMT Partner, amendment, supplement or modification of this Agreement shall be deemed effective unless signed by the authorized representative of RMT Partner.</w:t>
      </w:r>
    </w:p>
    <w:p>
      <w:pPr>
        <w:spacing w:after="0" w:line="138" w:lineRule="exact"/>
        <w:rPr>
          <w:sz w:val="20"/>
          <w:szCs w:val="20"/>
          <w:color w:val="auto"/>
        </w:rPr>
      </w:pPr>
    </w:p>
    <w:p>
      <w:pPr>
        <w:ind w:left="220" w:right="27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Section 15.13 Company Subsidiaries or SpinCo Subsidiaries</w:t>
      </w:r>
      <w:r>
        <w:rPr>
          <w:rFonts w:ascii="Times New Roman" w:cs="Times New Roman" w:eastAsia="Times New Roman" w:hAnsi="Times New Roman"/>
          <w:sz w:val="14"/>
          <w:szCs w:val="14"/>
          <w:color w:val="auto"/>
        </w:rPr>
        <w:t>. If, at any time, the Company or SpinCo acquires or creates one or more Subsidiaries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are includable in the Company Group or SpinCo Group, as the case may be, they shall be subject to this Agreement and all references to the Company Group or SpinCo Group, as the case may be, herein shall thereafter include a reference to such Subsidiaries.</w:t>
      </w:r>
    </w:p>
    <w:p>
      <w:pPr>
        <w:spacing w:after="0" w:line="133" w:lineRule="exact"/>
        <w:rPr>
          <w:sz w:val="20"/>
          <w:szCs w:val="20"/>
          <w:color w:val="auto"/>
        </w:rPr>
      </w:pPr>
    </w:p>
    <w:p>
      <w:pPr>
        <w:ind w:left="220" w:right="33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Section 15.14 Successors</w:t>
      </w:r>
      <w:r>
        <w:rPr>
          <w:rFonts w:ascii="Times New Roman" w:cs="Times New Roman" w:eastAsia="Times New Roman" w:hAnsi="Times New Roman"/>
          <w:sz w:val="14"/>
          <w:szCs w:val="14"/>
          <w:color w:val="auto"/>
        </w:rPr>
        <w:t>. This Agreement shall be binding on and inure to the benefit of any successor by merger, acquisition of assets,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otherwise, to any of the Parties hereto (including, but not limited to, any successor of the Company or SpinCo succeeding to the Tax attributes of either under Section 381 of the Code), to the same extent as if such successor had been an original Party to this Agreement. As of the Effective Time, this Agreement shall be binding on RMT Partner and RMT Partner shall be subject to the obligations and restrictions imposed on SpinCo hereunder.</w:t>
      </w:r>
    </w:p>
    <w:p>
      <w:pPr>
        <w:spacing w:after="0" w:line="138" w:lineRule="exact"/>
        <w:rPr>
          <w:sz w:val="20"/>
          <w:szCs w:val="20"/>
          <w:color w:val="auto"/>
        </w:rPr>
      </w:pPr>
    </w:p>
    <w:p>
      <w:pPr>
        <w:ind w:left="220" w:right="57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Section 15.15 Assignability</w:t>
      </w:r>
      <w:r>
        <w:rPr>
          <w:rFonts w:ascii="Times New Roman" w:cs="Times New Roman" w:eastAsia="Times New Roman" w:hAnsi="Times New Roman"/>
          <w:sz w:val="14"/>
          <w:szCs w:val="14"/>
          <w:color w:val="auto"/>
        </w:rPr>
        <w:t>. This Agreement shall be binding on and inure to the benefit of the Parties, and their respective successors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permitted assigns;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Party may assign its rights or delegate its obligations under this Agreement without the express prior written consent of all other Parties.</w:t>
      </w:r>
    </w:p>
    <w:p>
      <w:pPr>
        <w:spacing w:after="0" w:line="133" w:lineRule="exact"/>
        <w:rPr>
          <w:sz w:val="20"/>
          <w:szCs w:val="20"/>
          <w:color w:val="auto"/>
        </w:rPr>
      </w:pPr>
    </w:p>
    <w:p>
      <w:pPr>
        <w:ind w:left="220" w:right="25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Section 15.16 No Fiduciary Relationship</w:t>
      </w:r>
      <w:r>
        <w:rPr>
          <w:rFonts w:ascii="Times New Roman" w:cs="Times New Roman" w:eastAsia="Times New Roman" w:hAnsi="Times New Roman"/>
          <w:sz w:val="14"/>
          <w:szCs w:val="14"/>
          <w:color w:val="auto"/>
        </w:rPr>
        <w:t>. The duties and obligations of the Parties, and their respective successors and permitted assigns,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contained herein are the extent of the duties and obligations contemplated by this Agreement; nothing in this Agreement is intended to create a fiduciary relationship between the Parties hereto, or any of their successors and permitted assigns, or create any relationship or obligations other than those explicitly described.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1" w:right="1440" w:bottom="1440" w:gutter="0" w:footer="0" w:header="0"/>
        </w:sectPr>
      </w:pPr>
    </w:p>
    <w:bookmarkStart w:id="544" w:name="page545"/>
    <w:bookmarkEnd w:id="544"/>
    <w:p>
      <w:pPr>
        <w:ind w:left="220" w:right="83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Section 15.17 Mutual Drafting; Precedence</w:t>
      </w:r>
      <w:r>
        <w:rPr>
          <w:rFonts w:ascii="Times New Roman" w:cs="Times New Roman" w:eastAsia="Times New Roman" w:hAnsi="Times New Roman"/>
          <w:sz w:val="14"/>
          <w:szCs w:val="14"/>
          <w:color w:val="auto"/>
        </w:rPr>
        <w:t>. This Agreement shall be deemed to be the joint work product of the Parties and any rule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construction that a document shall be interpreted or construed against a drafter of such document shall not be applicable.</w:t>
      </w:r>
    </w:p>
    <w:p>
      <w:pPr>
        <w:spacing w:after="0" w:line="121"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Section 15.18 Injunctions</w:t>
      </w:r>
      <w:r>
        <w:rPr>
          <w:rFonts w:ascii="Times New Roman" w:cs="Times New Roman" w:eastAsia="Times New Roman" w:hAnsi="Times New Roman"/>
          <w:sz w:val="14"/>
          <w:szCs w:val="14"/>
          <w:color w:val="auto"/>
        </w:rPr>
        <w:t>. The Parties agree and acknowledge that the failure to perform under this Agreement will cause an actual, immediate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irreparable harm and injury and that the Parties would not have any adequate remedy at law in the event that any of the provisions of this Agreement were not performed in accordance with their specific terms or were otherwise breached. Accordingly, it is agreed that, each of the Parties shall be entitled to an injunction or injunctions to prevent breaches or threatened breaches of this Agreement by any other Party and to specifically enforce the terms and provisions of this Agreement in any court having jurisdiction, such remedy being in addition to any other remedy to which they may be entitled at law or in equity.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9" w:right="1440" w:bottom="1440" w:gutter="0" w:footer="0" w:header="0"/>
        </w:sectPr>
      </w:pPr>
    </w:p>
    <w:bookmarkStart w:id="545" w:name="page546"/>
    <w:bookmarkEnd w:id="545"/>
    <w:p>
      <w:pPr>
        <w:ind w:left="220" w:right="51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WITNESS WHEREOF, each Party has caused this Agreement to be executed on its behalf by a duly authorized officer on the date first set forth above.</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Modine Manufacturing Company, a Wisconsin corporation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-101600</wp:posOffset>
            </wp:positionV>
            <wp:extent cx="2022475"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2">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Platinum SpinCo Inc., a Delaware corporation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-101600</wp:posOffset>
            </wp:positionV>
            <wp:extent cx="202247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3">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4"/>
          <w:szCs w:val="14"/>
          <w:color w:val="auto"/>
        </w:rPr>
        <w:t>Title:</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Gentherm Incorporated, a Michigan corporation</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-101600</wp:posOffset>
            </wp:positionV>
            <wp:extent cx="202247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4">
                      <a:extLst>
                        <a:ext uri="{28A0092B-C50C-407E-A947-70E740481C1C}"/>
                      </a:extLst>
                    </a:blip>
                    <a:srcRect/>
                    <a:stretch>
                      <a:fillRect/>
                    </a:stretch>
                  </pic:blipFill>
                  <pic:spPr bwMode="auto">
                    <a:xfrm>
                      <a:off x="0" y="0"/>
                      <a:ext cx="2022475" cy="698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4"/>
          <w:szCs w:val="14"/>
          <w:color w:val="auto"/>
        </w:rPr>
        <w:t>Title: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Tax Matters Agreement]</w:t>
      </w:r>
    </w:p>
    <w:p>
      <w:pPr>
        <w:sectPr>
          <w:pgSz w:w="11900" w:h="16838" w:orient="portrait"/>
          <w:cols w:equalWidth="0" w:num="1">
            <w:col w:w="9019"/>
          </w:cols>
          <w:pgMar w:left="1440" w:top="240" w:right="1440" w:bottom="1440" w:gutter="0" w:footer="0" w:header="0"/>
        </w:sectPr>
      </w:pPr>
    </w:p>
    <w:bookmarkStart w:id="546" w:name="page547"/>
    <w:bookmarkEnd w:id="546"/>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10.4</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OF EMPLOYEE MATTERS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BY AND AMONG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MODINE MANUFACTURING COMPANY,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PLATINUM SPINCO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GENTHERM INCORPORATED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DATED AS OF [   ], 2026</w:t>
      </w:r>
    </w:p>
    <w:p>
      <w:pPr>
        <w:sectPr>
          <w:pgSz w:w="11900" w:h="16838" w:orient="portrait"/>
          <w:cols w:equalWidth="0" w:num="1">
            <w:col w:w="9019"/>
          </w:cols>
          <w:pgMar w:left="1440" w:top="123" w:right="1440" w:bottom="1440" w:gutter="0" w:footer="0" w:header="0"/>
        </w:sectPr>
      </w:pPr>
    </w:p>
    <w:bookmarkStart w:id="547" w:name="page548"/>
    <w:bookmarkEnd w:id="547"/>
    <w:tbl>
      <w:tblPr>
        <w:tblLayout w:type="fixed"/>
        <w:tblInd w:w="220" w:type="dxa"/>
        <w:tblCellMar>
          <w:top w:w="0" w:type="dxa"/>
          <w:left w:w="0" w:type="dxa"/>
          <w:bottom w:w="0" w:type="dxa"/>
          <w:right w:w="0" w:type="dxa"/>
        </w:tblCellMar>
      </w:tblPr>
      <w:tr>
        <w:trPr>
          <w:trHeight w:val="185"/>
        </w:trPr>
        <w:tc>
          <w:tcPr>
            <w:tcW w:w="6940" w:type="dxa"/>
            <w:vAlign w:val="bottom"/>
          </w:tcPr>
          <w:p>
            <w:pPr>
              <w:ind w:left="35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600" w:type="dxa"/>
            <w:vAlign w:val="bottom"/>
          </w:tcPr>
          <w:p>
            <w:pPr>
              <w:spacing w:after="0"/>
              <w:rPr>
                <w:sz w:val="16"/>
                <w:szCs w:val="16"/>
                <w:color w:val="auto"/>
              </w:rPr>
            </w:pPr>
          </w:p>
        </w:tc>
      </w:tr>
      <w:tr>
        <w:trPr>
          <w:trHeight w:val="442"/>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ARTICLE I DEFINITIONS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2</w:t>
            </w:r>
          </w:p>
        </w:tc>
      </w:tr>
      <w:tr>
        <w:trPr>
          <w:trHeight w:val="252"/>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1.01. D</w:t>
            </w:r>
            <w:r>
              <w:rPr>
                <w:rFonts w:ascii="Times New Roman" w:cs="Times New Roman" w:eastAsia="Times New Roman" w:hAnsi="Times New Roman"/>
                <w:sz w:val="11"/>
                <w:szCs w:val="11"/>
                <w:color w:val="auto"/>
              </w:rPr>
              <w:t>EFINITIONS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2</w:t>
            </w: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ARTICLE II GENERAL PRINCIPLES FOR ALLOCATION OF LIABILITIES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5</w:t>
            </w:r>
          </w:p>
        </w:tc>
      </w:tr>
      <w:tr>
        <w:trPr>
          <w:trHeight w:val="23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2.01. G</w:t>
            </w:r>
            <w:r>
              <w:rPr>
                <w:rFonts w:ascii="Times New Roman" w:cs="Times New Roman" w:eastAsia="Times New Roman" w:hAnsi="Times New Roman"/>
                <w:sz w:val="11"/>
                <w:szCs w:val="11"/>
                <w:color w:val="auto"/>
              </w:rPr>
              <w:t>ENERAL</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RINCIPLES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2.02. C</w:t>
            </w:r>
            <w:r>
              <w:rPr>
                <w:rFonts w:ascii="Times New Roman" w:cs="Times New Roman" w:eastAsia="Times New Roman" w:hAnsi="Times New Roman"/>
                <w:sz w:val="11"/>
                <w:szCs w:val="11"/>
                <w:color w:val="auto"/>
              </w:rPr>
              <w:t>OMPARABLE</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11"/>
                <w:szCs w:val="11"/>
                <w:color w:val="auto"/>
              </w:rPr>
              <w:t>OMPENSATION AND</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11"/>
                <w:szCs w:val="11"/>
                <w:color w:val="auto"/>
              </w:rPr>
              <w:t>ENEFITS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2.03. S</w:t>
            </w:r>
            <w:r>
              <w:rPr>
                <w:rFonts w:ascii="Times New Roman" w:cs="Times New Roman" w:eastAsia="Times New Roman" w:hAnsi="Times New Roman"/>
                <w:sz w:val="11"/>
                <w:szCs w:val="11"/>
                <w:color w:val="auto"/>
              </w:rPr>
              <w:t>ERVICE</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11"/>
                <w:szCs w:val="11"/>
                <w:color w:val="auto"/>
              </w:rPr>
              <w:t>REDIT</w:t>
            </w:r>
            <w:r>
              <w:rPr>
                <w:rFonts w:ascii="Times New Roman" w:cs="Times New Roman" w:eastAsia="Times New Roman" w:hAnsi="Times New Roman"/>
                <w:sz w:val="14"/>
                <w:szCs w:val="14"/>
                <w:color w:val="auto"/>
              </w:rPr>
              <w:t>; H</w:t>
            </w:r>
            <w:r>
              <w:rPr>
                <w:rFonts w:ascii="Times New Roman" w:cs="Times New Roman" w:eastAsia="Times New Roman" w:hAnsi="Times New Roman"/>
                <w:sz w:val="11"/>
                <w:szCs w:val="11"/>
                <w:color w:val="auto"/>
              </w:rPr>
              <w:t>EALTH AND</w:t>
            </w:r>
            <w:r>
              <w:rPr>
                <w:rFonts w:ascii="Times New Roman" w:cs="Times New Roman" w:eastAsia="Times New Roman" w:hAnsi="Times New Roman"/>
                <w:sz w:val="14"/>
                <w:szCs w:val="14"/>
                <w:color w:val="auto"/>
              </w:rPr>
              <w:t xml:space="preserve"> W</w:t>
            </w:r>
            <w:r>
              <w:rPr>
                <w:rFonts w:ascii="Times New Roman" w:cs="Times New Roman" w:eastAsia="Times New Roman" w:hAnsi="Times New Roman"/>
                <w:sz w:val="11"/>
                <w:szCs w:val="11"/>
                <w:color w:val="auto"/>
              </w:rPr>
              <w:t>ELFARE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LAN</w:t>
            </w:r>
            <w:r>
              <w:rPr>
                <w:rFonts w:ascii="Times New Roman" w:cs="Times New Roman" w:eastAsia="Times New Roman" w:hAnsi="Times New Roman"/>
                <w:sz w:val="14"/>
                <w:szCs w:val="14"/>
                <w:color w:val="auto"/>
              </w:rPr>
              <w:t xml:space="preserve"> T</w:t>
            </w:r>
            <w:r>
              <w:rPr>
                <w:rFonts w:ascii="Times New Roman" w:cs="Times New Roman" w:eastAsia="Times New Roman" w:hAnsi="Times New Roman"/>
                <w:sz w:val="11"/>
                <w:szCs w:val="11"/>
                <w:color w:val="auto"/>
              </w:rPr>
              <w:t>RANSITIONAL</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11"/>
                <w:szCs w:val="11"/>
                <w:color w:val="auto"/>
              </w:rPr>
              <w:t>REDITS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2.04. B</w:t>
            </w:r>
            <w:r>
              <w:rPr>
                <w:rFonts w:ascii="Times New Roman" w:cs="Times New Roman" w:eastAsia="Times New Roman" w:hAnsi="Times New Roman"/>
                <w:sz w:val="11"/>
                <w:szCs w:val="11"/>
                <w:color w:val="auto"/>
              </w:rPr>
              <w:t>ENEFIT</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LANS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9</w:t>
            </w: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ARTICLE III ASSIGNMENT OF EMPLOYEES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11</w:t>
            </w:r>
          </w:p>
        </w:tc>
      </w:tr>
      <w:tr>
        <w:trPr>
          <w:trHeight w:val="23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3.01. T</w:t>
            </w:r>
            <w:r>
              <w:rPr>
                <w:rFonts w:ascii="Times New Roman" w:cs="Times New Roman" w:eastAsia="Times New Roman" w:hAnsi="Times New Roman"/>
                <w:sz w:val="11"/>
                <w:szCs w:val="11"/>
                <w:color w:val="auto"/>
              </w:rPr>
              <w:t>RANSFER OF</w:t>
            </w:r>
            <w:r>
              <w:rPr>
                <w:rFonts w:ascii="Times New Roman" w:cs="Times New Roman" w:eastAsia="Times New Roman" w:hAnsi="Times New Roman"/>
                <w:sz w:val="14"/>
                <w:szCs w:val="14"/>
                <w:color w:val="auto"/>
              </w:rPr>
              <w:t xml:space="preserve"> E</w:t>
            </w:r>
            <w:r>
              <w:rPr>
                <w:rFonts w:ascii="Times New Roman" w:cs="Times New Roman" w:eastAsia="Times New Roman" w:hAnsi="Times New Roman"/>
                <w:sz w:val="11"/>
                <w:szCs w:val="11"/>
                <w:color w:val="auto"/>
              </w:rPr>
              <w:t>MPLOYEES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11</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3.02. I</w:t>
            </w:r>
            <w:r>
              <w:rPr>
                <w:rFonts w:ascii="Times New Roman" w:cs="Times New Roman" w:eastAsia="Times New Roman" w:hAnsi="Times New Roman"/>
                <w:sz w:val="11"/>
                <w:szCs w:val="11"/>
                <w:color w:val="auto"/>
              </w:rPr>
              <w:t>NDIVIDUAL</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GREEMENTS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13</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3.03. S</w:t>
            </w:r>
            <w:r>
              <w:rPr>
                <w:rFonts w:ascii="Times New Roman" w:cs="Times New Roman" w:eastAsia="Times New Roman" w:hAnsi="Times New Roman"/>
                <w:sz w:val="11"/>
                <w:szCs w:val="11"/>
                <w:color w:val="auto"/>
              </w:rPr>
              <w:t>PIN</w:t>
            </w:r>
            <w:r>
              <w:rPr>
                <w:rFonts w:ascii="Times New Roman" w:cs="Times New Roman" w:eastAsia="Times New Roman" w:hAnsi="Times New Roman"/>
                <w:sz w:val="14"/>
                <w:szCs w:val="14"/>
                <w:color w:val="auto"/>
              </w:rPr>
              <w:t>C</w:t>
            </w:r>
            <w:r>
              <w:rPr>
                <w:rFonts w:ascii="Times New Roman" w:cs="Times New Roman" w:eastAsia="Times New Roman" w:hAnsi="Times New Roman"/>
                <w:sz w:val="11"/>
                <w:szCs w:val="11"/>
                <w:color w:val="auto"/>
              </w:rPr>
              <w:t>O</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11"/>
                <w:szCs w:val="11"/>
                <w:color w:val="auto"/>
              </w:rPr>
              <w:t>ELAYED</w:t>
            </w:r>
            <w:r>
              <w:rPr>
                <w:rFonts w:ascii="Times New Roman" w:cs="Times New Roman" w:eastAsia="Times New Roman" w:hAnsi="Times New Roman"/>
                <w:sz w:val="14"/>
                <w:szCs w:val="14"/>
                <w:color w:val="auto"/>
              </w:rPr>
              <w:t xml:space="preserve"> T</w:t>
            </w:r>
            <w:r>
              <w:rPr>
                <w:rFonts w:ascii="Times New Roman" w:cs="Times New Roman" w:eastAsia="Times New Roman" w:hAnsi="Times New Roman"/>
                <w:sz w:val="11"/>
                <w:szCs w:val="11"/>
                <w:color w:val="auto"/>
              </w:rPr>
              <w:t>RANSFER</w:t>
            </w:r>
            <w:r>
              <w:rPr>
                <w:rFonts w:ascii="Times New Roman" w:cs="Times New Roman" w:eastAsia="Times New Roman" w:hAnsi="Times New Roman"/>
                <w:sz w:val="14"/>
                <w:szCs w:val="14"/>
                <w:color w:val="auto"/>
              </w:rPr>
              <w:t xml:space="preserve"> E</w:t>
            </w:r>
            <w:r>
              <w:rPr>
                <w:rFonts w:ascii="Times New Roman" w:cs="Times New Roman" w:eastAsia="Times New Roman" w:hAnsi="Times New Roman"/>
                <w:sz w:val="11"/>
                <w:szCs w:val="11"/>
                <w:color w:val="auto"/>
              </w:rPr>
              <w:t>MPLOYEES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14</w:t>
            </w:r>
          </w:p>
        </w:tc>
      </w:tr>
      <w:tr>
        <w:trPr>
          <w:trHeight w:val="183"/>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3.04. C</w:t>
            </w:r>
            <w:r>
              <w:rPr>
                <w:rFonts w:ascii="Times New Roman" w:cs="Times New Roman" w:eastAsia="Times New Roman" w:hAnsi="Times New Roman"/>
                <w:sz w:val="11"/>
                <w:szCs w:val="11"/>
                <w:color w:val="auto"/>
              </w:rPr>
              <w:t>ONSULTATION WITH</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11"/>
                <w:szCs w:val="11"/>
                <w:color w:val="auto"/>
              </w:rPr>
              <w:t>ABOR</w:t>
            </w:r>
            <w:r>
              <w:rPr>
                <w:rFonts w:ascii="Times New Roman" w:cs="Times New Roman" w:eastAsia="Times New Roman" w:hAnsi="Times New Roman"/>
                <w:sz w:val="14"/>
                <w:szCs w:val="14"/>
                <w:color w:val="auto"/>
              </w:rPr>
              <w:t xml:space="preserve"> R</w:t>
            </w:r>
            <w:r>
              <w:rPr>
                <w:rFonts w:ascii="Times New Roman" w:cs="Times New Roman" w:eastAsia="Times New Roman" w:hAnsi="Times New Roman"/>
                <w:sz w:val="11"/>
                <w:szCs w:val="11"/>
                <w:color w:val="auto"/>
              </w:rPr>
              <w:t>EPRESENTATIVES</w:t>
            </w:r>
            <w:r>
              <w:rPr>
                <w:rFonts w:ascii="Times New Roman" w:cs="Times New Roman" w:eastAsia="Times New Roman" w:hAnsi="Times New Roman"/>
                <w:sz w:val="14"/>
                <w:szCs w:val="14"/>
                <w:color w:val="auto"/>
              </w:rPr>
              <w:t>; L</w:t>
            </w:r>
            <w:r>
              <w:rPr>
                <w:rFonts w:ascii="Times New Roman" w:cs="Times New Roman" w:eastAsia="Times New Roman" w:hAnsi="Times New Roman"/>
                <w:sz w:val="11"/>
                <w:szCs w:val="11"/>
                <w:color w:val="auto"/>
              </w:rPr>
              <w:t>ABOR</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GREEMENTS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14</w:t>
            </w: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ARTICLE IV EQUITY AND OTHER INCENTIVE COMPENSATION</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15</w:t>
            </w:r>
          </w:p>
        </w:tc>
      </w:tr>
      <w:tr>
        <w:trPr>
          <w:trHeight w:val="23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4.01. E</w:t>
            </w:r>
            <w:r>
              <w:rPr>
                <w:rFonts w:ascii="Times New Roman" w:cs="Times New Roman" w:eastAsia="Times New Roman" w:hAnsi="Times New Roman"/>
                <w:sz w:val="11"/>
                <w:szCs w:val="11"/>
                <w:color w:val="auto"/>
              </w:rPr>
              <w:t>QUITY</w:t>
            </w:r>
            <w:r>
              <w:rPr>
                <w:rFonts w:ascii="Times New Roman" w:cs="Times New Roman" w:eastAsia="Times New Roman" w:hAnsi="Times New Roman"/>
                <w:sz w:val="14"/>
                <w:szCs w:val="14"/>
                <w:color w:val="auto"/>
              </w:rPr>
              <w:t xml:space="preserve"> I</w:t>
            </w:r>
            <w:r>
              <w:rPr>
                <w:rFonts w:ascii="Times New Roman" w:cs="Times New Roman" w:eastAsia="Times New Roman" w:hAnsi="Times New Roman"/>
                <w:sz w:val="11"/>
                <w:szCs w:val="11"/>
                <w:color w:val="auto"/>
              </w:rPr>
              <w:t>NCENTIVE</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WARDS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15</w:t>
            </w:r>
          </w:p>
        </w:tc>
      </w:tr>
      <w:tr>
        <w:trPr>
          <w:trHeight w:val="183"/>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4.02. N</w:t>
            </w:r>
            <w:r>
              <w:rPr>
                <w:rFonts w:ascii="Times New Roman" w:cs="Times New Roman" w:eastAsia="Times New Roman" w:hAnsi="Times New Roman"/>
                <w:sz w:val="11"/>
                <w:szCs w:val="11"/>
                <w:color w:val="auto"/>
              </w:rPr>
              <w:t>ON</w:t>
            </w:r>
            <w:r>
              <w:rPr>
                <w:rFonts w:ascii="Times New Roman" w:cs="Times New Roman" w:eastAsia="Times New Roman" w:hAnsi="Times New Roman"/>
                <w:sz w:val="14"/>
                <w:szCs w:val="14"/>
                <w:color w:val="auto"/>
              </w:rPr>
              <w:t>-E</w:t>
            </w:r>
            <w:r>
              <w:rPr>
                <w:rFonts w:ascii="Times New Roman" w:cs="Times New Roman" w:eastAsia="Times New Roman" w:hAnsi="Times New Roman"/>
                <w:sz w:val="11"/>
                <w:szCs w:val="11"/>
                <w:color w:val="auto"/>
              </w:rPr>
              <w:t>QUITY</w:t>
            </w:r>
            <w:r>
              <w:rPr>
                <w:rFonts w:ascii="Times New Roman" w:cs="Times New Roman" w:eastAsia="Times New Roman" w:hAnsi="Times New Roman"/>
                <w:sz w:val="14"/>
                <w:szCs w:val="14"/>
                <w:color w:val="auto"/>
              </w:rPr>
              <w:t xml:space="preserve"> I</w:t>
            </w:r>
            <w:r>
              <w:rPr>
                <w:rFonts w:ascii="Times New Roman" w:cs="Times New Roman" w:eastAsia="Times New Roman" w:hAnsi="Times New Roman"/>
                <w:sz w:val="11"/>
                <w:szCs w:val="11"/>
                <w:color w:val="auto"/>
              </w:rPr>
              <w:t>NCENTIVE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LANS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17</w:t>
            </w: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ARTICLE V RETIREMENT PLANS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18</w:t>
            </w:r>
          </w:p>
        </w:tc>
      </w:tr>
      <w:tr>
        <w:trPr>
          <w:trHeight w:val="23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5.01. C</w:t>
            </w:r>
            <w:r>
              <w:rPr>
                <w:rFonts w:ascii="Times New Roman" w:cs="Times New Roman" w:eastAsia="Times New Roman" w:hAnsi="Times New Roman"/>
                <w:sz w:val="11"/>
                <w:szCs w:val="11"/>
                <w:color w:val="auto"/>
              </w:rPr>
              <w:t>OMPANY</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11"/>
                <w:szCs w:val="11"/>
                <w:color w:val="auto"/>
              </w:rPr>
              <w:t>EFINED</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11"/>
                <w:szCs w:val="11"/>
                <w:color w:val="auto"/>
              </w:rPr>
              <w:t>ENEFIT</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LAN</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18</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5.02. S</w:t>
            </w:r>
            <w:r>
              <w:rPr>
                <w:rFonts w:ascii="Times New Roman" w:cs="Times New Roman" w:eastAsia="Times New Roman" w:hAnsi="Times New Roman"/>
                <w:sz w:val="11"/>
                <w:szCs w:val="11"/>
                <w:color w:val="auto"/>
              </w:rPr>
              <w:t>PIN</w:t>
            </w:r>
            <w:r>
              <w:rPr>
                <w:rFonts w:ascii="Times New Roman" w:cs="Times New Roman" w:eastAsia="Times New Roman" w:hAnsi="Times New Roman"/>
                <w:sz w:val="14"/>
                <w:szCs w:val="14"/>
                <w:color w:val="auto"/>
              </w:rPr>
              <w:t>C</w:t>
            </w:r>
            <w:r>
              <w:rPr>
                <w:rFonts w:ascii="Times New Roman" w:cs="Times New Roman" w:eastAsia="Times New Roman" w:hAnsi="Times New Roman"/>
                <w:sz w:val="11"/>
                <w:szCs w:val="11"/>
                <w:color w:val="auto"/>
              </w:rPr>
              <w:t>O</w:t>
            </w:r>
            <w:r>
              <w:rPr>
                <w:rFonts w:ascii="Times New Roman" w:cs="Times New Roman" w:eastAsia="Times New Roman" w:hAnsi="Times New Roman"/>
                <w:sz w:val="14"/>
                <w:szCs w:val="14"/>
                <w:color w:val="auto"/>
              </w:rPr>
              <w:t xml:space="preserve"> 401(</w:t>
            </w:r>
            <w:r>
              <w:rPr>
                <w:rFonts w:ascii="Times New Roman" w:cs="Times New Roman" w:eastAsia="Times New Roman" w:hAnsi="Times New Roman"/>
                <w:sz w:val="11"/>
                <w:szCs w:val="11"/>
                <w:color w:val="auto"/>
              </w:rPr>
              <w:t>K</w:t>
            </w:r>
            <w:r>
              <w:rPr>
                <w:rFonts w:ascii="Times New Roman" w:cs="Times New Roman" w:eastAsia="Times New Roman" w:hAnsi="Times New Roman"/>
                <w:sz w:val="14"/>
                <w:szCs w:val="14"/>
                <w:color w:val="auto"/>
              </w:rPr>
              <w:t>) P</w:t>
            </w:r>
            <w:r>
              <w:rPr>
                <w:rFonts w:ascii="Times New Roman" w:cs="Times New Roman" w:eastAsia="Times New Roman" w:hAnsi="Times New Roman"/>
                <w:sz w:val="11"/>
                <w:szCs w:val="11"/>
                <w:color w:val="auto"/>
              </w:rPr>
              <w:t>LAN</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18</w:t>
            </w:r>
          </w:p>
        </w:tc>
      </w:tr>
      <w:tr>
        <w:trPr>
          <w:trHeight w:val="183"/>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5.03. N</w:t>
            </w:r>
            <w:r>
              <w:rPr>
                <w:rFonts w:ascii="Times New Roman" w:cs="Times New Roman" w:eastAsia="Times New Roman" w:hAnsi="Times New Roman"/>
                <w:sz w:val="11"/>
                <w:szCs w:val="11"/>
                <w:color w:val="auto"/>
              </w:rPr>
              <w:t>ON</w:t>
            </w:r>
            <w:r>
              <w:rPr>
                <w:rFonts w:ascii="Times New Roman" w:cs="Times New Roman" w:eastAsia="Times New Roman" w:hAnsi="Times New Roman"/>
                <w:sz w:val="14"/>
                <w:szCs w:val="14"/>
                <w:color w:val="auto"/>
              </w:rPr>
              <w:t>-U.S. P</w:t>
            </w:r>
            <w:r>
              <w:rPr>
                <w:rFonts w:ascii="Times New Roman" w:cs="Times New Roman" w:eastAsia="Times New Roman" w:hAnsi="Times New Roman"/>
                <w:sz w:val="11"/>
                <w:szCs w:val="11"/>
                <w:color w:val="auto"/>
              </w:rPr>
              <w:t>ENSION</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LANS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19</w:t>
            </w: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ARTICLE VI NONQUALIFIED DEFERRED COMPENSATION PLAN</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20</w:t>
            </w:r>
          </w:p>
        </w:tc>
      </w:tr>
      <w:tr>
        <w:trPr>
          <w:trHeight w:val="23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6.01. A</w:t>
            </w:r>
            <w:r>
              <w:rPr>
                <w:rFonts w:ascii="Times New Roman" w:cs="Times New Roman" w:eastAsia="Times New Roman" w:hAnsi="Times New Roman"/>
                <w:sz w:val="11"/>
                <w:szCs w:val="11"/>
                <w:color w:val="auto"/>
              </w:rPr>
              <w:t>SSUMPTION OF</w:t>
            </w:r>
            <w:r>
              <w:rPr>
                <w:rFonts w:ascii="Times New Roman" w:cs="Times New Roman" w:eastAsia="Times New Roman" w:hAnsi="Times New Roman"/>
                <w:sz w:val="14"/>
                <w:szCs w:val="14"/>
                <w:color w:val="auto"/>
              </w:rPr>
              <w:t xml:space="preserve"> N</w:t>
            </w:r>
            <w:r>
              <w:rPr>
                <w:rFonts w:ascii="Times New Roman" w:cs="Times New Roman" w:eastAsia="Times New Roman" w:hAnsi="Times New Roman"/>
                <w:sz w:val="11"/>
                <w:szCs w:val="11"/>
                <w:color w:val="auto"/>
              </w:rPr>
              <w:t>ONQUALIFIED</w:t>
            </w:r>
            <w:r>
              <w:rPr>
                <w:rFonts w:ascii="Times New Roman" w:cs="Times New Roman" w:eastAsia="Times New Roman" w:hAnsi="Times New Roman"/>
                <w:sz w:val="14"/>
                <w:szCs w:val="14"/>
                <w:color w:val="auto"/>
              </w:rPr>
              <w:t xml:space="preserve"> D</w:t>
            </w:r>
            <w:r>
              <w:rPr>
                <w:rFonts w:ascii="Times New Roman" w:cs="Times New Roman" w:eastAsia="Times New Roman" w:hAnsi="Times New Roman"/>
                <w:sz w:val="11"/>
                <w:szCs w:val="11"/>
                <w:color w:val="auto"/>
              </w:rPr>
              <w:t>EFERRED</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11"/>
                <w:szCs w:val="11"/>
                <w:color w:val="auto"/>
              </w:rPr>
              <w:t>OMPENSATION</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LAN</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11"/>
                <w:szCs w:val="11"/>
                <w:color w:val="auto"/>
              </w:rPr>
              <w:t>ALANCES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20</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6.02. C</w:t>
            </w:r>
            <w:r>
              <w:rPr>
                <w:rFonts w:ascii="Times New Roman" w:cs="Times New Roman" w:eastAsia="Times New Roman" w:hAnsi="Times New Roman"/>
                <w:sz w:val="11"/>
                <w:szCs w:val="11"/>
                <w:color w:val="auto"/>
              </w:rPr>
              <w:t>OMPANY</w:t>
            </w:r>
            <w:r>
              <w:rPr>
                <w:rFonts w:ascii="Times New Roman" w:cs="Times New Roman" w:eastAsia="Times New Roman" w:hAnsi="Times New Roman"/>
                <w:sz w:val="14"/>
                <w:szCs w:val="14"/>
                <w:color w:val="auto"/>
              </w:rPr>
              <w:t xml:space="preserve"> N</w:t>
            </w:r>
            <w:r>
              <w:rPr>
                <w:rFonts w:ascii="Times New Roman" w:cs="Times New Roman" w:eastAsia="Times New Roman" w:hAnsi="Times New Roman"/>
                <w:sz w:val="11"/>
                <w:szCs w:val="11"/>
                <w:color w:val="auto"/>
              </w:rPr>
              <w:t>ONQUALIFIED</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LANS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20</w:t>
            </w:r>
          </w:p>
        </w:tc>
      </w:tr>
      <w:tr>
        <w:trPr>
          <w:trHeight w:val="183"/>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6.03. D</w:t>
            </w:r>
            <w:r>
              <w:rPr>
                <w:rFonts w:ascii="Times New Roman" w:cs="Times New Roman" w:eastAsia="Times New Roman" w:hAnsi="Times New Roman"/>
                <w:sz w:val="11"/>
                <w:szCs w:val="11"/>
                <w:color w:val="auto"/>
              </w:rPr>
              <w:t>ISTRIBUTIONS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20</w:t>
            </w: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ARTICLE VII WELFARE BENEFIT PLANS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20</w:t>
            </w:r>
          </w:p>
        </w:tc>
      </w:tr>
      <w:tr>
        <w:trPr>
          <w:trHeight w:val="23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7.01. W</w:t>
            </w:r>
            <w:r>
              <w:rPr>
                <w:rFonts w:ascii="Times New Roman" w:cs="Times New Roman" w:eastAsia="Times New Roman" w:hAnsi="Times New Roman"/>
                <w:sz w:val="11"/>
                <w:szCs w:val="11"/>
                <w:color w:val="auto"/>
              </w:rPr>
              <w:t>ELFARE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LANS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20</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7.02. V</w:t>
            </w:r>
            <w:r>
              <w:rPr>
                <w:rFonts w:ascii="Times New Roman" w:cs="Times New Roman" w:eastAsia="Times New Roman" w:hAnsi="Times New Roman"/>
                <w:sz w:val="11"/>
                <w:szCs w:val="11"/>
                <w:color w:val="auto"/>
              </w:rPr>
              <w:t>ACATION</w:t>
            </w:r>
            <w:r>
              <w:rPr>
                <w:rFonts w:ascii="Times New Roman" w:cs="Times New Roman" w:eastAsia="Times New Roman" w:hAnsi="Times New Roman"/>
                <w:sz w:val="14"/>
                <w:szCs w:val="14"/>
                <w:color w:val="auto"/>
              </w:rPr>
              <w:t>, H</w:t>
            </w:r>
            <w:r>
              <w:rPr>
                <w:rFonts w:ascii="Times New Roman" w:cs="Times New Roman" w:eastAsia="Times New Roman" w:hAnsi="Times New Roman"/>
                <w:sz w:val="11"/>
                <w:szCs w:val="11"/>
                <w:color w:val="auto"/>
              </w:rPr>
              <w:t>OLIDAYS AND</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11"/>
                <w:szCs w:val="11"/>
                <w:color w:val="auto"/>
              </w:rPr>
              <w:t>EAVES OF</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BSENCE</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22</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7.03. S</w:t>
            </w:r>
            <w:r>
              <w:rPr>
                <w:rFonts w:ascii="Times New Roman" w:cs="Times New Roman" w:eastAsia="Times New Roman" w:hAnsi="Times New Roman"/>
                <w:sz w:val="11"/>
                <w:szCs w:val="11"/>
                <w:color w:val="auto"/>
              </w:rPr>
              <w:t>EVERANCE AND</w:t>
            </w:r>
            <w:r>
              <w:rPr>
                <w:rFonts w:ascii="Times New Roman" w:cs="Times New Roman" w:eastAsia="Times New Roman" w:hAnsi="Times New Roman"/>
                <w:sz w:val="14"/>
                <w:szCs w:val="14"/>
                <w:color w:val="auto"/>
              </w:rPr>
              <w:t xml:space="preserve"> U</w:t>
            </w:r>
            <w:r>
              <w:rPr>
                <w:rFonts w:ascii="Times New Roman" w:cs="Times New Roman" w:eastAsia="Times New Roman" w:hAnsi="Times New Roman"/>
                <w:sz w:val="11"/>
                <w:szCs w:val="11"/>
                <w:color w:val="auto"/>
              </w:rPr>
              <w:t>NEMPLOYMENT</w:t>
            </w:r>
            <w:r>
              <w:rPr>
                <w:rFonts w:ascii="Times New Roman" w:cs="Times New Roman" w:eastAsia="Times New Roman" w:hAnsi="Times New Roman"/>
                <w:sz w:val="14"/>
                <w:szCs w:val="14"/>
                <w:color w:val="auto"/>
              </w:rPr>
              <w:t xml:space="preserve"> C</w:t>
            </w:r>
            <w:r>
              <w:rPr>
                <w:rFonts w:ascii="Times New Roman" w:cs="Times New Roman" w:eastAsia="Times New Roman" w:hAnsi="Times New Roman"/>
                <w:sz w:val="11"/>
                <w:szCs w:val="11"/>
                <w:color w:val="auto"/>
              </w:rPr>
              <w:t>OMPENSATION</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23</w:t>
            </w:r>
          </w:p>
        </w:tc>
      </w:tr>
      <w:tr>
        <w:trPr>
          <w:trHeight w:val="183"/>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7.04. W</w:t>
            </w:r>
            <w:r>
              <w:rPr>
                <w:rFonts w:ascii="Times New Roman" w:cs="Times New Roman" w:eastAsia="Times New Roman" w:hAnsi="Times New Roman"/>
                <w:sz w:val="11"/>
                <w:szCs w:val="11"/>
                <w:color w:val="auto"/>
              </w:rPr>
              <w:t>ORKERS</w:t>
            </w:r>
            <w:r>
              <w:rPr>
                <w:rFonts w:ascii="Times New Roman" w:cs="Times New Roman" w:eastAsia="Times New Roman" w:hAnsi="Times New Roman"/>
                <w:sz w:val="14"/>
                <w:szCs w:val="14"/>
                <w:color w:val="auto"/>
              </w:rPr>
              <w:t>’ C</w:t>
            </w:r>
            <w:r>
              <w:rPr>
                <w:rFonts w:ascii="Times New Roman" w:cs="Times New Roman" w:eastAsia="Times New Roman" w:hAnsi="Times New Roman"/>
                <w:sz w:val="11"/>
                <w:szCs w:val="11"/>
                <w:color w:val="auto"/>
              </w:rPr>
              <w:t>OMPENSATION</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23</w:t>
            </w: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ARTICLE VIII NON-U.S. EMPLOYEES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23</w:t>
            </w:r>
          </w:p>
        </w:tc>
      </w:tr>
      <w:tr>
        <w:trPr>
          <w:trHeight w:val="252"/>
        </w:trPr>
        <w:tc>
          <w:tcPr>
            <w:tcW w:w="6940" w:type="dxa"/>
            <w:vAlign w:val="bottom"/>
          </w:tcPr>
          <w:p>
            <w:pPr>
              <w:spacing w:after="0"/>
              <w:rPr>
                <w:sz w:val="20"/>
                <w:szCs w:val="20"/>
                <w:color w:val="auto"/>
              </w:rPr>
            </w:pPr>
            <w:r>
              <w:rPr>
                <w:rFonts w:ascii="Times New Roman" w:cs="Times New Roman" w:eastAsia="Times New Roman" w:hAnsi="Times New Roman"/>
                <w:sz w:val="14"/>
                <w:szCs w:val="14"/>
                <w:color w:val="auto"/>
              </w:rPr>
              <w:t>ARTICLE IX MISCELLANEOUS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24</w:t>
            </w:r>
          </w:p>
        </w:tc>
      </w:tr>
      <w:tr>
        <w:trPr>
          <w:trHeight w:val="23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9.01. I</w:t>
            </w:r>
            <w:r>
              <w:rPr>
                <w:rFonts w:ascii="Times New Roman" w:cs="Times New Roman" w:eastAsia="Times New Roman" w:hAnsi="Times New Roman"/>
                <w:sz w:val="11"/>
                <w:szCs w:val="11"/>
                <w:color w:val="auto"/>
              </w:rPr>
              <w:t>NFORMATION</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HARING AND</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CCESS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24</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9.02. P</w:t>
            </w:r>
            <w:r>
              <w:rPr>
                <w:rFonts w:ascii="Times New Roman" w:cs="Times New Roman" w:eastAsia="Times New Roman" w:hAnsi="Times New Roman"/>
                <w:sz w:val="11"/>
                <w:szCs w:val="11"/>
                <w:color w:val="auto"/>
              </w:rPr>
              <w:t>RESERVATION OF</w:t>
            </w:r>
            <w:r>
              <w:rPr>
                <w:rFonts w:ascii="Times New Roman" w:cs="Times New Roman" w:eastAsia="Times New Roman" w:hAnsi="Times New Roman"/>
                <w:sz w:val="14"/>
                <w:szCs w:val="14"/>
                <w:color w:val="auto"/>
              </w:rPr>
              <w:t xml:space="preserve"> R</w:t>
            </w:r>
            <w:r>
              <w:rPr>
                <w:rFonts w:ascii="Times New Roman" w:cs="Times New Roman" w:eastAsia="Times New Roman" w:hAnsi="Times New Roman"/>
                <w:sz w:val="11"/>
                <w:szCs w:val="11"/>
                <w:color w:val="auto"/>
              </w:rPr>
              <w:t>IGHTS TO</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MEND</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25</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9.03. F</w:t>
            </w:r>
            <w:r>
              <w:rPr>
                <w:rFonts w:ascii="Times New Roman" w:cs="Times New Roman" w:eastAsia="Times New Roman" w:hAnsi="Times New Roman"/>
                <w:sz w:val="11"/>
                <w:szCs w:val="11"/>
                <w:color w:val="auto"/>
              </w:rPr>
              <w:t>IDUCIARY</w:t>
            </w:r>
            <w:r>
              <w:rPr>
                <w:rFonts w:ascii="Times New Roman" w:cs="Times New Roman" w:eastAsia="Times New Roman" w:hAnsi="Times New Roman"/>
                <w:sz w:val="14"/>
                <w:szCs w:val="14"/>
                <w:color w:val="auto"/>
              </w:rPr>
              <w:t xml:space="preserve"> M</w:t>
            </w:r>
            <w:r>
              <w:rPr>
                <w:rFonts w:ascii="Times New Roman" w:cs="Times New Roman" w:eastAsia="Times New Roman" w:hAnsi="Times New Roman"/>
                <w:sz w:val="11"/>
                <w:szCs w:val="11"/>
                <w:color w:val="auto"/>
              </w:rPr>
              <w:t>ATTERS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25</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9.04. F</w:t>
            </w:r>
            <w:r>
              <w:rPr>
                <w:rFonts w:ascii="Times New Roman" w:cs="Times New Roman" w:eastAsia="Times New Roman" w:hAnsi="Times New Roman"/>
                <w:sz w:val="11"/>
                <w:szCs w:val="11"/>
                <w:color w:val="auto"/>
              </w:rPr>
              <w:t>URTHER</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SSURANCES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25</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9.05. D</w:t>
            </w:r>
            <w:r>
              <w:rPr>
                <w:rFonts w:ascii="Times New Roman" w:cs="Times New Roman" w:eastAsia="Times New Roman" w:hAnsi="Times New Roman"/>
                <w:sz w:val="11"/>
                <w:szCs w:val="11"/>
                <w:color w:val="auto"/>
              </w:rPr>
              <w:t>ISPUTE</w:t>
            </w:r>
            <w:r>
              <w:rPr>
                <w:rFonts w:ascii="Times New Roman" w:cs="Times New Roman" w:eastAsia="Times New Roman" w:hAnsi="Times New Roman"/>
                <w:sz w:val="14"/>
                <w:szCs w:val="14"/>
                <w:color w:val="auto"/>
              </w:rPr>
              <w:t xml:space="preserve"> R</w:t>
            </w:r>
            <w:r>
              <w:rPr>
                <w:rFonts w:ascii="Times New Roman" w:cs="Times New Roman" w:eastAsia="Times New Roman" w:hAnsi="Times New Roman"/>
                <w:sz w:val="11"/>
                <w:szCs w:val="11"/>
                <w:color w:val="auto"/>
              </w:rPr>
              <w:t>ESOLUTION</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25</w:t>
            </w:r>
          </w:p>
        </w:tc>
      </w:tr>
      <w:tr>
        <w:trPr>
          <w:trHeight w:val="16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9.06. T</w:t>
            </w:r>
            <w:r>
              <w:rPr>
                <w:rFonts w:ascii="Times New Roman" w:cs="Times New Roman" w:eastAsia="Times New Roman" w:hAnsi="Times New Roman"/>
                <w:sz w:val="11"/>
                <w:szCs w:val="11"/>
                <w:color w:val="auto"/>
              </w:rPr>
              <w:t>HIRD</w:t>
            </w: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ARTY</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11"/>
                <w:szCs w:val="11"/>
                <w:color w:val="auto"/>
              </w:rPr>
              <w:t>ENEFICIARIES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26</w:t>
            </w:r>
          </w:p>
        </w:tc>
      </w:tr>
      <w:tr>
        <w:trPr>
          <w:trHeight w:val="183"/>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r>
              <w:rPr>
                <w:rFonts w:ascii="Times New Roman" w:cs="Times New Roman" w:eastAsia="Times New Roman" w:hAnsi="Times New Roman"/>
                <w:sz w:val="14"/>
                <w:szCs w:val="14"/>
                <w:color w:val="auto"/>
              </w:rPr>
              <w:t xml:space="preserve"> 9.07. I</w:t>
            </w:r>
            <w:r>
              <w:rPr>
                <w:rFonts w:ascii="Times New Roman" w:cs="Times New Roman" w:eastAsia="Times New Roman" w:hAnsi="Times New Roman"/>
                <w:sz w:val="11"/>
                <w:szCs w:val="11"/>
                <w:color w:val="auto"/>
              </w:rPr>
              <w:t>NCORPORATION OF</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EPARATION</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GREEMENT</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ROVISIONS</w:t>
            </w:r>
          </w:p>
        </w:tc>
        <w:tc>
          <w:tcPr>
            <w:tcW w:w="1600" w:type="dxa"/>
            <w:vAlign w:val="bottom"/>
          </w:tcPr>
          <w:p>
            <w:pPr>
              <w:ind w:left="1460"/>
              <w:spacing w:after="0"/>
              <w:rPr>
                <w:sz w:val="20"/>
                <w:szCs w:val="20"/>
                <w:color w:val="auto"/>
              </w:rPr>
            </w:pPr>
            <w:r>
              <w:rPr>
                <w:rFonts w:ascii="Times New Roman" w:cs="Times New Roman" w:eastAsia="Times New Roman" w:hAnsi="Times New Roman"/>
                <w:sz w:val="14"/>
                <w:szCs w:val="14"/>
                <w:color w:val="auto"/>
                <w:w w:val="85"/>
              </w:rPr>
              <w:t>26</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8" w:right="1440" w:bottom="1440" w:gutter="0" w:footer="0" w:header="0"/>
        </w:sectPr>
      </w:pPr>
    </w:p>
    <w:bookmarkStart w:id="548" w:name="page549"/>
    <w:bookmarkEnd w:id="5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EMPLOYEE MATTERS AGREEMENT</w:t>
      </w:r>
    </w:p>
    <w:p>
      <w:pPr>
        <w:spacing w:after="0" w:line="177" w:lineRule="exact"/>
        <w:rPr>
          <w:sz w:val="20"/>
          <w:szCs w:val="20"/>
          <w:color w:val="auto"/>
        </w:rPr>
      </w:pPr>
    </w:p>
    <w:p>
      <w:pPr>
        <w:jc w:val="both"/>
        <w:ind w:left="220" w:right="519" w:firstLine="343"/>
        <w:spacing w:after="0" w:line="267" w:lineRule="auto"/>
        <w:rPr>
          <w:sz w:val="20"/>
          <w:szCs w:val="20"/>
          <w:color w:val="auto"/>
        </w:rPr>
      </w:pPr>
      <w:r>
        <w:rPr>
          <w:rFonts w:ascii="Times New Roman" w:cs="Times New Roman" w:eastAsia="Times New Roman" w:hAnsi="Times New Roman"/>
          <w:sz w:val="14"/>
          <w:szCs w:val="14"/>
          <w:color w:val="auto"/>
        </w:rPr>
        <w:t>This EMPLOYEE MATTERS AGREEMENT, dated as of [•], 2026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by and among Modine Manufacturing Company, a Wisconsin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Platinum SpinCo Inc., a Delaware corporation and wholly owned Subsidiary of Mercury (“</w:t>
      </w:r>
      <w:r>
        <w:rPr>
          <w:rFonts w:ascii="Times New Roman" w:cs="Times New Roman" w:eastAsia="Times New Roman" w:hAnsi="Times New Roman"/>
          <w:sz w:val="14"/>
          <w:szCs w:val="14"/>
          <w:u w:val="single" w:color="auto"/>
          <w:color w:val="auto"/>
        </w:rPr>
        <w:t>SpinCo</w:t>
      </w:r>
      <w:r>
        <w:rPr>
          <w:rFonts w:ascii="Times New Roman" w:cs="Times New Roman" w:eastAsia="Times New Roman" w:hAnsi="Times New Roman"/>
          <w:sz w:val="14"/>
          <w:szCs w:val="14"/>
          <w:color w:val="auto"/>
        </w:rPr>
        <w:t>”), and Gentherm Incorporated, a Michigan corporation (“</w:t>
      </w:r>
      <w:r>
        <w:rPr>
          <w:rFonts w:ascii="Times New Roman" w:cs="Times New Roman" w:eastAsia="Times New Roman" w:hAnsi="Times New Roman"/>
          <w:sz w:val="14"/>
          <w:szCs w:val="14"/>
          <w:u w:val="single" w:color="auto"/>
          <w:color w:val="auto"/>
        </w:rPr>
        <w:t>Gold</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 E C I T A L S:</w:t>
      </w:r>
    </w:p>
    <w:p>
      <w:pPr>
        <w:spacing w:after="0" w:line="175" w:lineRule="exact"/>
        <w:rPr>
          <w:sz w:val="20"/>
          <w:szCs w:val="20"/>
          <w:color w:val="auto"/>
        </w:rPr>
      </w:pPr>
    </w:p>
    <w:p>
      <w:pPr>
        <w:ind w:left="220" w:right="419" w:firstLine="343"/>
        <w:spacing w:after="0" w:line="267" w:lineRule="auto"/>
        <w:rPr>
          <w:sz w:val="20"/>
          <w:szCs w:val="20"/>
          <w:color w:val="auto"/>
        </w:rPr>
      </w:pPr>
      <w:r>
        <w:rPr>
          <w:rFonts w:ascii="Times New Roman" w:cs="Times New Roman" w:eastAsia="Times New Roman" w:hAnsi="Times New Roman"/>
          <w:sz w:val="14"/>
          <w:szCs w:val="14"/>
          <w:color w:val="auto"/>
        </w:rPr>
        <w:t>WHEREAS, pursuant to the Separation Agreement, dated as of January 29, 2026 (the “</w:t>
      </w:r>
      <w:r>
        <w:rPr>
          <w:rFonts w:ascii="Times New Roman" w:cs="Times New Roman" w:eastAsia="Times New Roman" w:hAnsi="Times New Roman"/>
          <w:sz w:val="14"/>
          <w:szCs w:val="14"/>
          <w:u w:val="single" w:color="auto"/>
          <w:color w:val="auto"/>
        </w:rPr>
        <w:t>Separation Agreement</w:t>
      </w:r>
      <w:r>
        <w:rPr>
          <w:rFonts w:ascii="Times New Roman" w:cs="Times New Roman" w:eastAsia="Times New Roman" w:hAnsi="Times New Roman"/>
          <w:sz w:val="14"/>
          <w:szCs w:val="14"/>
          <w:color w:val="auto"/>
        </w:rPr>
        <w:t>”), by and among the Company, SpinCo and Gold, the Company and SpinCo have set out the terms on which, and the conditions subject to which, they will implement the Separation and the Distribution (in each case as defined in the Separation Agreement);</w:t>
      </w:r>
    </w:p>
    <w:p>
      <w:pPr>
        <w:spacing w:after="0" w:line="136"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WHEREAS, pursuant to the Agreement and Plan of Merger, dated as of January 29, 2026 (the “</w:t>
      </w:r>
      <w:r>
        <w:rPr>
          <w:rFonts w:ascii="Times New Roman" w:cs="Times New Roman" w:eastAsia="Times New Roman" w:hAnsi="Times New Roman"/>
          <w:sz w:val="14"/>
          <w:szCs w:val="14"/>
          <w:u w:val="single" w:color="auto"/>
          <w:color w:val="auto"/>
        </w:rPr>
        <w:t>Merger Agreement</w:t>
      </w:r>
      <w:r>
        <w:rPr>
          <w:rFonts w:ascii="Times New Roman" w:cs="Times New Roman" w:eastAsia="Times New Roman" w:hAnsi="Times New Roman"/>
          <w:sz w:val="14"/>
          <w:szCs w:val="14"/>
          <w:color w:val="auto"/>
        </w:rPr>
        <w:t>”), by and among the Company, SpinCo, Gold and Platinum Gold Merger Sub Inc., a Delaware corporation (“</w:t>
      </w:r>
      <w:r>
        <w:rPr>
          <w:rFonts w:ascii="Times New Roman" w:cs="Times New Roman" w:eastAsia="Times New Roman" w:hAnsi="Times New Roman"/>
          <w:sz w:val="14"/>
          <w:szCs w:val="14"/>
          <w:u w:val="single" w:color="auto"/>
          <w:color w:val="auto"/>
        </w:rPr>
        <w:t>Merger Sub</w:t>
      </w:r>
      <w:r>
        <w:rPr>
          <w:rFonts w:ascii="Times New Roman" w:cs="Times New Roman" w:eastAsia="Times New Roman" w:hAnsi="Times New Roman"/>
          <w:sz w:val="14"/>
          <w:szCs w:val="14"/>
          <w:color w:val="auto"/>
        </w:rPr>
        <w:t>”), immediately following the Distribution, Merger Sub will merge with and into SpinCo with SpinCo as the surviving entity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whereupon each share of SpinCo Common Stock will be converted into the right to receive a number of shares of common stock, no par value, of Gold, all upon the terms and subject to the conditions set forth in the Merger Agreement;</w:t>
      </w:r>
    </w:p>
    <w:p>
      <w:pPr>
        <w:spacing w:after="0" w:line="144" w:lineRule="exact"/>
        <w:rPr>
          <w:sz w:val="20"/>
          <w:szCs w:val="20"/>
          <w:color w:val="auto"/>
        </w:rPr>
      </w:pPr>
    </w:p>
    <w:p>
      <w:pPr>
        <w:ind w:left="220" w:right="459" w:firstLine="343"/>
        <w:spacing w:after="0" w:line="283" w:lineRule="auto"/>
        <w:rPr>
          <w:sz w:val="20"/>
          <w:szCs w:val="20"/>
          <w:color w:val="auto"/>
        </w:rPr>
      </w:pPr>
      <w:r>
        <w:rPr>
          <w:rFonts w:ascii="Times New Roman" w:cs="Times New Roman" w:eastAsia="Times New Roman" w:hAnsi="Times New Roman"/>
          <w:sz w:val="14"/>
          <w:szCs w:val="14"/>
          <w:color w:val="auto"/>
        </w:rPr>
        <w:t>WHEREAS, in connection with the foregoing and in addition to the matters addressed by the Separation Agreement, the Parties desire to enter into this Agreement to set forth the terms and conditions of certain employment, compensation and benefit matters; and</w:t>
      </w:r>
    </w:p>
    <w:p>
      <w:pPr>
        <w:spacing w:after="0" w:line="125" w:lineRule="exact"/>
        <w:rPr>
          <w:sz w:val="20"/>
          <w:szCs w:val="20"/>
          <w:color w:val="auto"/>
        </w:rPr>
      </w:pPr>
    </w:p>
    <w:p>
      <w:pPr>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WHEREAS, the Parties acknowledge that this Agreement, the Merger Agreement, the Separation Agreement and the other Transaction Documents (as defined in the Merger Agreement) represent the integrated agreement of the Company, SpinCo and Gold relating to the Separation and the Distribution, are being entered into together and would not have been entered into independently.</w:t>
      </w:r>
    </w:p>
    <w:p>
      <w:pPr>
        <w:spacing w:after="0" w:line="136" w:lineRule="exact"/>
        <w:rPr>
          <w:sz w:val="20"/>
          <w:szCs w:val="20"/>
          <w:color w:val="auto"/>
        </w:rPr>
      </w:pPr>
    </w:p>
    <w:p>
      <w:pPr>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61" w:lineRule="exact"/>
        <w:rPr>
          <w:sz w:val="20"/>
          <w:szCs w:val="20"/>
          <w:color w:val="auto"/>
        </w:rPr>
      </w:pPr>
    </w:p>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purposes of this Agreement, the following terms have the meanings set forth below, and capitalized terms used but not otherwise defined herein shall have the meaning ascribed to them in the Separation Agreement.</w:t>
      </w:r>
    </w:p>
    <w:p>
      <w:pPr>
        <w:spacing w:after="0" w:line="125" w:lineRule="exact"/>
        <w:rPr>
          <w:sz w:val="20"/>
          <w:szCs w:val="20"/>
          <w:color w:val="auto"/>
        </w:rPr>
      </w:pPr>
    </w:p>
    <w:p>
      <w:pPr>
        <w:ind w:left="220" w:right="5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xml:space="preserve">” shall have the meaning set forth in the Preamble to this Agreement and shall include all Schedules hereto and all amendments, modifications, and changes hereto entered into pursuant to </w:t>
      </w:r>
      <w:r>
        <w:rPr>
          <w:rFonts w:ascii="Times New Roman" w:cs="Times New Roman" w:eastAsia="Times New Roman" w:hAnsi="Times New Roman"/>
          <w:sz w:val="14"/>
          <w:szCs w:val="14"/>
          <w:u w:val="single" w:color="auto"/>
          <w:color w:val="auto"/>
        </w:rPr>
        <w:t>Section 9.08</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549" w:name="page550"/>
    <w:bookmarkEnd w:id="549"/>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Applicable Exchange</w:t>
      </w:r>
      <w:r>
        <w:rPr>
          <w:rFonts w:ascii="Times New Roman" w:cs="Times New Roman" w:eastAsia="Times New Roman" w:hAnsi="Times New Roman"/>
          <w:sz w:val="14"/>
          <w:szCs w:val="14"/>
          <w:color w:val="auto"/>
        </w:rPr>
        <w:t>” shall mean the securities exchange as may at the applicable time be the principal market for shares of Company Common Stock or Gold Common Stock, as applicable.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Benefit Plan</w:t>
      </w:r>
      <w:r>
        <w:rPr>
          <w:rFonts w:ascii="Times New Roman" w:cs="Times New Roman" w:eastAsia="Times New Roman" w:hAnsi="Times New Roman"/>
          <w:sz w:val="14"/>
          <w:szCs w:val="14"/>
          <w:color w:val="auto"/>
        </w:rPr>
        <w:t>” shall have the meaning set forth in the Merger Agreement.</w:t>
      </w:r>
    </w:p>
    <w:p>
      <w:pPr>
        <w:spacing w:after="0" w:line="173" w:lineRule="exact"/>
        <w:rPr>
          <w:sz w:val="20"/>
          <w:szCs w:val="20"/>
          <w:color w:val="auto"/>
        </w:rPr>
      </w:pPr>
    </w:p>
    <w:p>
      <w:pPr>
        <w:ind w:left="220" w:right="53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COBRA</w:t>
      </w:r>
      <w:r>
        <w:rPr>
          <w:rFonts w:ascii="Times New Roman" w:cs="Times New Roman" w:eastAsia="Times New Roman" w:hAnsi="Times New Roman"/>
          <w:sz w:val="14"/>
          <w:szCs w:val="14"/>
          <w:color w:val="auto"/>
        </w:rPr>
        <w:t xml:space="preserve">” shall mean the U.S. Consolidated Omnibus Budget Reconciliation Act of 1985, as codified at Section 601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of ERISA and at Section 4980B of the Code.</w:t>
      </w:r>
    </w:p>
    <w:p>
      <w:pPr>
        <w:spacing w:after="0" w:line="1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shall have the meaning set forth in the Preamble.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401(k) Plan</w:t>
      </w:r>
      <w:r>
        <w:rPr>
          <w:rFonts w:ascii="Times New Roman" w:cs="Times New Roman" w:eastAsia="Times New Roman" w:hAnsi="Times New Roman"/>
          <w:sz w:val="14"/>
          <w:szCs w:val="14"/>
          <w:color w:val="auto"/>
        </w:rPr>
        <w:t>” shall mean the Modine Manufacturing Company 401(k) Retirement Plan.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Awards</w:t>
      </w:r>
      <w:r>
        <w:rPr>
          <w:rFonts w:ascii="Times New Roman" w:cs="Times New Roman" w:eastAsia="Times New Roman" w:hAnsi="Times New Roman"/>
          <w:sz w:val="14"/>
          <w:szCs w:val="14"/>
          <w:color w:val="auto"/>
        </w:rPr>
        <w:t>” shall mean Company Option Awards, Company RSU Awards, and Company PS Awards, collectively.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Benefit Plan</w:t>
      </w:r>
      <w:r>
        <w:rPr>
          <w:rFonts w:ascii="Times New Roman" w:cs="Times New Roman" w:eastAsia="Times New Roman" w:hAnsi="Times New Roman"/>
          <w:sz w:val="14"/>
          <w:szCs w:val="14"/>
          <w:color w:val="auto"/>
        </w:rPr>
        <w:t>” shall have the meaning set forth in the Merger Agreement but shall not include any SpinCo Benefit Plan.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Board</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Common Stock</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Deferred Compensation Plan</w:t>
      </w:r>
      <w:r>
        <w:rPr>
          <w:rFonts w:ascii="Times New Roman" w:cs="Times New Roman" w:eastAsia="Times New Roman" w:hAnsi="Times New Roman"/>
          <w:sz w:val="14"/>
          <w:szCs w:val="14"/>
          <w:color w:val="auto"/>
        </w:rPr>
        <w:t>” shall mean the Modine Manufacturing Company Deferred Compensation Plan.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Defined Benefit Plan</w:t>
      </w:r>
      <w:r>
        <w:rPr>
          <w:rFonts w:ascii="Times New Roman" w:cs="Times New Roman" w:eastAsia="Times New Roman" w:hAnsi="Times New Roman"/>
          <w:sz w:val="14"/>
          <w:szCs w:val="14"/>
          <w:color w:val="auto"/>
        </w:rPr>
        <w:t>” shall mean the Modine Manufacturing Company Frozen Pension Plan.</w:t>
      </w:r>
    </w:p>
    <w:p>
      <w:pPr>
        <w:spacing w:after="0" w:line="175" w:lineRule="exact"/>
        <w:rPr>
          <w:sz w:val="20"/>
          <w:szCs w:val="20"/>
          <w:color w:val="auto"/>
        </w:rPr>
      </w:pPr>
    </w:p>
    <w:p>
      <w:pPr>
        <w:ind w:left="220" w:right="4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Group Employee</w:t>
      </w:r>
      <w:r>
        <w:rPr>
          <w:rFonts w:ascii="Times New Roman" w:cs="Times New Roman" w:eastAsia="Times New Roman" w:hAnsi="Times New Roman"/>
          <w:sz w:val="14"/>
          <w:szCs w:val="14"/>
          <w:color w:val="auto"/>
        </w:rPr>
        <w:t>” shall mean each employee of the Company and its Subsidiaries as of immediately prior to the Distribution Time who is not a SpinCo Group Employee or a Former Employee.</w:t>
      </w:r>
    </w:p>
    <w:p>
      <w:pPr>
        <w:spacing w:after="0" w:line="125" w:lineRule="exact"/>
        <w:rPr>
          <w:sz w:val="20"/>
          <w:szCs w:val="20"/>
          <w:color w:val="auto"/>
        </w:rPr>
      </w:pPr>
    </w:p>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LTIP</w:t>
      </w:r>
      <w:r>
        <w:rPr>
          <w:rFonts w:ascii="Times New Roman" w:cs="Times New Roman" w:eastAsia="Times New Roman" w:hAnsi="Times New Roman"/>
          <w:sz w:val="14"/>
          <w:szCs w:val="14"/>
          <w:color w:val="auto"/>
        </w:rPr>
        <w:t>” shall mean each of the Amended and Restated 2008 Incentive Compensation Plan, the 2017 Incentive Compensation Plan, and the Amended and Restated 2020 Incentive Compensation Plan.</w:t>
      </w:r>
    </w:p>
    <w:p>
      <w:pPr>
        <w:spacing w:after="0" w:line="125"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Non-Employee Director</w:t>
      </w:r>
      <w:r>
        <w:rPr>
          <w:rFonts w:ascii="Times New Roman" w:cs="Times New Roman" w:eastAsia="Times New Roman" w:hAnsi="Times New Roman"/>
          <w:sz w:val="14"/>
          <w:szCs w:val="14"/>
          <w:color w:val="auto"/>
        </w:rPr>
        <w:t>” means an individual who serves or served as a non-employee director of the Company Board (other than a Company Group Employee or SpinCo Group Employee).</w:t>
      </w:r>
    </w:p>
    <w:p>
      <w:pPr>
        <w:spacing w:after="0" w:line="125" w:lineRule="exact"/>
        <w:rPr>
          <w:sz w:val="20"/>
          <w:szCs w:val="20"/>
          <w:color w:val="auto"/>
        </w:rPr>
      </w:pPr>
    </w:p>
    <w:p>
      <w:pPr>
        <w:ind w:left="220" w:right="4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Option Award</w:t>
      </w:r>
      <w:r>
        <w:rPr>
          <w:rFonts w:ascii="Times New Roman" w:cs="Times New Roman" w:eastAsia="Times New Roman" w:hAnsi="Times New Roman"/>
          <w:sz w:val="14"/>
          <w:szCs w:val="14"/>
          <w:color w:val="auto"/>
        </w:rPr>
        <w:t>” shall mean an award of stock options to purchase Company Common Stock granted pursuant to the Company LTIP that is outstanding as of immediately prior to the Distribution Time.</w:t>
      </w:r>
    </w:p>
    <w:p>
      <w:pPr>
        <w:spacing w:after="0" w:line="125"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RSU Award</w:t>
      </w:r>
      <w:r>
        <w:rPr>
          <w:rFonts w:ascii="Times New Roman" w:cs="Times New Roman" w:eastAsia="Times New Roman" w:hAnsi="Times New Roman"/>
          <w:sz w:val="14"/>
          <w:szCs w:val="14"/>
          <w:color w:val="auto"/>
        </w:rPr>
        <w:t>” shall mean an award of time-based restricted stock units granted pursuant to the Company LTIP that is outstanding as of immediately prior to the Distribution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550" w:name="page551"/>
    <w:bookmarkEnd w:id="550"/>
    <w:p>
      <w:pPr>
        <w:ind w:left="220" w:right="41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Company PS Award</w:t>
      </w:r>
      <w:r>
        <w:rPr>
          <w:rFonts w:ascii="Times New Roman" w:cs="Times New Roman" w:eastAsia="Times New Roman" w:hAnsi="Times New Roman"/>
          <w:sz w:val="14"/>
          <w:szCs w:val="14"/>
          <w:color w:val="auto"/>
        </w:rPr>
        <w:t>” shall mean an award of performance shares granted pursuant to the Company LTIP that is outstanding as of immediately prior to the Distribution Time.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Severance Plan</w:t>
      </w:r>
      <w:r>
        <w:rPr>
          <w:rFonts w:ascii="Times New Roman" w:cs="Times New Roman" w:eastAsia="Times New Roman" w:hAnsi="Times New Roman"/>
          <w:sz w:val="14"/>
          <w:szCs w:val="14"/>
          <w:color w:val="auto"/>
        </w:rPr>
        <w:t>” shall mean the Modine Salaried Employee Severance Plan and the Supplemental Severance Plan thereunder.</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Welfare Plan</w:t>
      </w:r>
      <w:r>
        <w:rPr>
          <w:rFonts w:ascii="Times New Roman" w:cs="Times New Roman" w:eastAsia="Times New Roman" w:hAnsi="Times New Roman"/>
          <w:sz w:val="14"/>
          <w:szCs w:val="14"/>
          <w:color w:val="auto"/>
        </w:rPr>
        <w:t>” shall mean any Company Benefit Plan which is a Welfare Plan.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Declining Company Group Employee</w:t>
      </w:r>
      <w:r>
        <w:rPr>
          <w:rFonts w:ascii="Times New Roman" w:cs="Times New Roman" w:eastAsia="Times New Roman" w:hAnsi="Times New Roman"/>
          <w:sz w:val="14"/>
          <w:szCs w:val="14"/>
          <w:color w:val="auto"/>
        </w:rPr>
        <w:t>” shall mean any employee of the Company or its Subsidiaries (i) who is not a SpinCo Group Employee,</w:t>
      </w:r>
    </w:p>
    <w:p>
      <w:pPr>
        <w:spacing w:after="0" w:line="22" w:lineRule="exact"/>
        <w:rPr>
          <w:sz w:val="20"/>
          <w:szCs w:val="20"/>
          <w:color w:val="auto"/>
        </w:rPr>
      </w:pPr>
    </w:p>
    <w:p>
      <w:pPr>
        <w:ind w:left="220" w:right="479" w:hanging="5"/>
        <w:spacing w:after="0" w:line="256" w:lineRule="auto"/>
        <w:tabs>
          <w:tab w:leader="none" w:pos="426" w:val="left"/>
        </w:tabs>
        <w:numPr>
          <w:ilvl w:val="0"/>
          <w:numId w:val="5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 is employed by a member of the SpinCo Group, (iii) whose transfer of employment to the Company Group requires the consent of such employee, and (iv) who refuses to, objects to, or does not provide consent to transfer his or her employment from the SpinCo Group to the Company Group.</w:t>
      </w:r>
    </w:p>
    <w:p>
      <w:pPr>
        <w:spacing w:after="0" w:line="143" w:lineRule="exact"/>
        <w:rPr>
          <w:sz w:val="20"/>
          <w:szCs w:val="20"/>
          <w:color w:val="auto"/>
        </w:rPr>
      </w:pPr>
    </w:p>
    <w:p>
      <w:pPr>
        <w:jc w:val="both"/>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Declining SpinCo Employee</w:t>
      </w:r>
      <w:r>
        <w:rPr>
          <w:rFonts w:ascii="Times New Roman" w:cs="Times New Roman" w:eastAsia="Times New Roman" w:hAnsi="Times New Roman"/>
          <w:sz w:val="14"/>
          <w:szCs w:val="14"/>
          <w:color w:val="auto"/>
        </w:rPr>
        <w:t>” shall mean any SpinCo Group Employee whose transfer of employment to the SpinCo Group requires the consent of such SpinCo Group Employee and who refuses to, objects to, or does not provide consent to transfer his or her employment from the Company Group to the SpinCo Group.</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Determination Time</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Employee</w:t>
      </w:r>
      <w:r>
        <w:rPr>
          <w:rFonts w:ascii="Times New Roman" w:cs="Times New Roman" w:eastAsia="Times New Roman" w:hAnsi="Times New Roman"/>
          <w:sz w:val="14"/>
          <w:szCs w:val="14"/>
          <w:color w:val="auto"/>
        </w:rPr>
        <w:t>” shall mean any Company Group Employee or SpinCo Group Employee.</w:t>
      </w:r>
    </w:p>
    <w:p>
      <w:pPr>
        <w:spacing w:after="0" w:line="173" w:lineRule="exact"/>
        <w:rPr>
          <w:sz w:val="20"/>
          <w:szCs w:val="20"/>
          <w:color w:val="auto"/>
        </w:rPr>
      </w:pPr>
    </w:p>
    <w:p>
      <w:pPr>
        <w:ind w:left="220" w:right="359" w:firstLine="343"/>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Award Exchange Ratio</w:t>
      </w:r>
      <w:r>
        <w:rPr>
          <w:rFonts w:ascii="Times New Roman" w:cs="Times New Roman" w:eastAsia="Times New Roman" w:hAnsi="Times New Roman"/>
          <w:sz w:val="14"/>
          <w:szCs w:val="14"/>
          <w:color w:val="auto"/>
        </w:rPr>
        <w:t xml:space="preserve">” shall mean the quotient, rounded down to four decimal places, obtained by </w:t>
      </w:r>
      <w:r>
        <w:rPr>
          <w:rFonts w:ascii="Times New Roman" w:cs="Times New Roman" w:eastAsia="Times New Roman" w:hAnsi="Times New Roman"/>
          <w:sz w:val="14"/>
          <w:szCs w:val="14"/>
          <w:i w:val="1"/>
          <w:iCs w:val="1"/>
          <w:color w:val="auto"/>
        </w:rPr>
        <w:t>dividing</w:t>
      </w:r>
      <w:r>
        <w:rPr>
          <w:rFonts w:ascii="Times New Roman" w:cs="Times New Roman" w:eastAsia="Times New Roman" w:hAnsi="Times New Roman"/>
          <w:sz w:val="14"/>
          <w:szCs w:val="14"/>
          <w:color w:val="auto"/>
        </w:rPr>
        <w:t xml:space="preserve"> (a) the average volume weighted average trading price of a share of Company Common Stock trading “regular way with due bills” on the Applicable Exchange (i.e., inclusive of SpinCo value) for the five (5) consecutive trading days ending two (2) trading days prior to the date on which the Determination Time occurs </w:t>
      </w:r>
      <w:r>
        <w:rPr>
          <w:rFonts w:ascii="Times New Roman" w:cs="Times New Roman" w:eastAsia="Times New Roman" w:hAnsi="Times New Roman"/>
          <w:sz w:val="14"/>
          <w:szCs w:val="14"/>
          <w:i w:val="1"/>
          <w:iCs w:val="1"/>
          <w:color w:val="auto"/>
        </w:rPr>
        <w:t>by</w:t>
      </w:r>
      <w:r>
        <w:rPr>
          <w:rFonts w:ascii="Times New Roman" w:cs="Times New Roman" w:eastAsia="Times New Roman" w:hAnsi="Times New Roman"/>
          <w:sz w:val="14"/>
          <w:szCs w:val="14"/>
          <w:color w:val="auto"/>
        </w:rPr>
        <w:t xml:space="preserve"> (b) the average volume weighted average trading price of a share of Gold Common Stock trading on the Applicable Exchange for the five</w:t>
      </w:r>
    </w:p>
    <w:p>
      <w:pPr>
        <w:spacing w:after="0" w:line="3" w:lineRule="exact"/>
        <w:rPr>
          <w:sz w:val="20"/>
          <w:szCs w:val="20"/>
          <w:color w:val="auto"/>
        </w:rPr>
      </w:pPr>
    </w:p>
    <w:p>
      <w:pPr>
        <w:ind w:left="220" w:right="799" w:hanging="5"/>
        <w:spacing w:after="0" w:line="261" w:lineRule="auto"/>
        <w:tabs>
          <w:tab w:leader="none" w:pos="418" w:val="left"/>
        </w:tabs>
        <w:numPr>
          <w:ilvl w:val="0"/>
          <w:numId w:val="5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consecutive trading days ending two (2) trading days prior to the date on which the Determination Time occurs, in each case as reported by Bloomberg, L.P.</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shall mean the U.S. Employee Retirement Income Security Act of 1974, as amended, and the regulations promulgated thereunder.</w:t>
      </w:r>
    </w:p>
    <w:p>
      <w:pPr>
        <w:spacing w:after="0" w:line="175" w:lineRule="exact"/>
        <w:rPr>
          <w:sz w:val="20"/>
          <w:szCs w:val="20"/>
          <w:color w:val="auto"/>
        </w:rPr>
      </w:pPr>
    </w:p>
    <w:p>
      <w:pPr>
        <w:ind w:left="220" w:right="4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Former Employee</w:t>
      </w:r>
      <w:r>
        <w:rPr>
          <w:rFonts w:ascii="Times New Roman" w:cs="Times New Roman" w:eastAsia="Times New Roman" w:hAnsi="Times New Roman"/>
          <w:sz w:val="14"/>
          <w:szCs w:val="14"/>
          <w:color w:val="auto"/>
        </w:rPr>
        <w:t>” shall mean any individual who is a former employee of the Company and its Subsidiaries as of the Distribution Time and who is not a SpinCo Group Employee .</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Benefit Plan</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Common Stock</w:t>
      </w:r>
      <w:r>
        <w:rPr>
          <w:rFonts w:ascii="Times New Roman" w:cs="Times New Roman" w:eastAsia="Times New Roman" w:hAnsi="Times New Roman"/>
          <w:sz w:val="14"/>
          <w:szCs w:val="14"/>
          <w:color w:val="auto"/>
        </w:rPr>
        <w:t xml:space="preserve"> ” shall have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Group</w:t>
      </w:r>
      <w:r>
        <w:rPr>
          <w:rFonts w:ascii="Times New Roman" w:cs="Times New Roman" w:eastAsia="Times New Roman" w:hAnsi="Times New Roman"/>
          <w:sz w:val="14"/>
          <w:szCs w:val="14"/>
          <w:color w:val="auto"/>
        </w:rPr>
        <w:t>” shall mean either the SpinCo Group or the Company Group, as the context requires.</w:t>
      </w:r>
    </w:p>
    <w:p>
      <w:pPr>
        <w:spacing w:after="0" w:line="175" w:lineRule="exact"/>
        <w:rPr>
          <w:sz w:val="20"/>
          <w:szCs w:val="20"/>
          <w:color w:val="auto"/>
        </w:rPr>
      </w:pPr>
    </w:p>
    <w:p>
      <w:pPr>
        <w:ind w:left="220" w:right="7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HIPAA</w:t>
      </w:r>
      <w:r>
        <w:rPr>
          <w:rFonts w:ascii="Times New Roman" w:cs="Times New Roman" w:eastAsia="Times New Roman" w:hAnsi="Times New Roman"/>
          <w:sz w:val="14"/>
          <w:szCs w:val="14"/>
          <w:color w:val="auto"/>
        </w:rPr>
        <w:t>” shall mean the U.S. Health Insurance Portability and Accountability Act of 1996, as amended, and the regulations promulgated thereunder.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551" w:name="page552"/>
    <w:bookmarkEnd w:id="551"/>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Inactive Employee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3.01(c)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Individual Agreement</w:t>
      </w:r>
      <w:r>
        <w:rPr>
          <w:rFonts w:ascii="Times New Roman" w:cs="Times New Roman" w:eastAsia="Times New Roman" w:hAnsi="Times New Roman"/>
          <w:sz w:val="14"/>
          <w:szCs w:val="14"/>
          <w:color w:val="auto"/>
        </w:rPr>
        <w:t>” shall mean any individual (a) employment or services contract or offer letter, (b) retention, severance or change in control agreement, (c) expatriate (including any international assignee) contract or agreement (including agreements and obligations regarding repatriation, relocation, equalization of Taxes and living standards in the host country), or (d) other agreement containing restrictive covenants (including confidentiality, non-competition and nonsolicitation provisions) between a member of the Company Group and a SpinCo Group Employee, in each case, as in effect immediately prior to the Distribution Time.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Labor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shall mean the parties to this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Requesting Party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9.05</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RSU Award</w:t>
      </w:r>
      <w:r>
        <w:rPr>
          <w:rFonts w:ascii="Times New Roman" w:cs="Times New Roman" w:eastAsia="Times New Roman" w:hAnsi="Times New Roman"/>
          <w:sz w:val="14"/>
          <w:szCs w:val="14"/>
          <w:color w:val="auto"/>
        </w:rPr>
        <w:t>” shall mean an award of time-based restricted stock units corresponding to shares of Gold Common Stock.</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Gold Option Award</w:t>
      </w:r>
      <w:r>
        <w:rPr>
          <w:rFonts w:ascii="Times New Roman" w:cs="Times New Roman" w:eastAsia="Times New Roman" w:hAnsi="Times New Roman"/>
          <w:sz w:val="14"/>
          <w:szCs w:val="14"/>
          <w:color w:val="auto"/>
        </w:rPr>
        <w:t>” shall mean an award of stock options to purchase shares of Gold Common Stock.</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Separation</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Separation Agreement</w:t>
      </w:r>
      <w:r>
        <w:rPr>
          <w:rFonts w:ascii="Times New Roman" w:cs="Times New Roman" w:eastAsia="Times New Roman" w:hAnsi="Times New Roman"/>
          <w:sz w:val="14"/>
          <w:szCs w:val="14"/>
          <w:color w:val="auto"/>
        </w:rPr>
        <w:t>” shall have the meaning set forth in the Recitals.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w:t>
      </w:r>
      <w:r>
        <w:rPr>
          <w:rFonts w:ascii="Times New Roman" w:cs="Times New Roman" w:eastAsia="Times New Roman" w:hAnsi="Times New Roman"/>
          <w:sz w:val="14"/>
          <w:szCs w:val="14"/>
          <w:color w:val="auto"/>
        </w:rPr>
        <w:t>” shall have the meaning set forth in the Preamble.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401(k) Plan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5.02(a)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Benefit Plan</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Delayed Employment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Delayed Transfer Employee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9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Group Employee</w:t>
      </w:r>
      <w:r>
        <w:rPr>
          <w:rFonts w:ascii="Times New Roman" w:cs="Times New Roman" w:eastAsia="Times New Roman" w:hAnsi="Times New Roman"/>
          <w:sz w:val="14"/>
          <w:szCs w:val="14"/>
          <w:color w:val="auto"/>
        </w:rPr>
        <w:t xml:space="preserve">” shall mean each employee of the Company and its Subsidiaries (i) whose services are primarily dedicated to the SpinCo Business (including SpinCo Group Employees who are Inactive Employees) or (ii) who is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attached hereto, but, in any event, excluding any individual who is set forth on the </w:t>
      </w:r>
      <w:r>
        <w:rPr>
          <w:rFonts w:ascii="Times New Roman" w:cs="Times New Roman" w:eastAsia="Times New Roman" w:hAnsi="Times New Roman"/>
          <w:sz w:val="14"/>
          <w:szCs w:val="14"/>
          <w:u w:val="single" w:color="auto"/>
          <w:color w:val="auto"/>
        </w:rPr>
        <w:t>Schedule B</w:t>
      </w:r>
      <w:r>
        <w:rPr>
          <w:rFonts w:ascii="Times New Roman" w:cs="Times New Roman" w:eastAsia="Times New Roman" w:hAnsi="Times New Roman"/>
          <w:sz w:val="14"/>
          <w:szCs w:val="14"/>
          <w:color w:val="auto"/>
        </w:rPr>
        <w:t xml:space="preserve"> attached hereto (the “</w:t>
      </w:r>
      <w:r>
        <w:rPr>
          <w:rFonts w:ascii="Times New Roman" w:cs="Times New Roman" w:eastAsia="Times New Roman" w:hAnsi="Times New Roman"/>
          <w:sz w:val="14"/>
          <w:szCs w:val="14"/>
          <w:u w:val="single" w:color="auto"/>
          <w:color w:val="auto"/>
        </w:rPr>
        <w:t>Specified Company Employee Roster</w:t>
      </w:r>
      <w:r>
        <w:rPr>
          <w:rFonts w:ascii="Times New Roman" w:cs="Times New Roman" w:eastAsia="Times New Roman" w:hAnsi="Times New Roman"/>
          <w:sz w:val="14"/>
          <w:szCs w:val="14"/>
          <w:color w:val="auto"/>
        </w:rPr>
        <w:t xml:space="preserve">”) . A list of each SpinCo Group Employee is set forth on </w:t>
      </w:r>
      <w:r>
        <w:rPr>
          <w:rFonts w:ascii="Times New Roman" w:cs="Times New Roman" w:eastAsia="Times New Roman" w:hAnsi="Times New Roman"/>
          <w:sz w:val="14"/>
          <w:szCs w:val="14"/>
          <w:u w:val="single" w:color="auto"/>
          <w:color w:val="auto"/>
        </w:rPr>
        <w:t>Schedule C</w:t>
      </w:r>
      <w:r>
        <w:rPr>
          <w:rFonts w:ascii="Times New Roman" w:cs="Times New Roman" w:eastAsia="Times New Roman" w:hAnsi="Times New Roman"/>
          <w:sz w:val="14"/>
          <w:szCs w:val="14"/>
          <w:color w:val="auto"/>
        </w:rPr>
        <w:t xml:space="preserve"> attached hereto (such schedule, the “</w:t>
      </w:r>
      <w:r>
        <w:rPr>
          <w:rFonts w:ascii="Times New Roman" w:cs="Times New Roman" w:eastAsia="Times New Roman" w:hAnsi="Times New Roman"/>
          <w:sz w:val="14"/>
          <w:szCs w:val="14"/>
          <w:u w:val="single" w:color="auto"/>
          <w:color w:val="auto"/>
        </w:rPr>
        <w:t>SpinCo Group Employee Roster</w:t>
      </w:r>
      <w:r>
        <w:rPr>
          <w:rFonts w:ascii="Times New Roman" w:cs="Times New Roman" w:eastAsia="Times New Roman" w:hAnsi="Times New Roman"/>
          <w:sz w:val="14"/>
          <w:szCs w:val="14"/>
          <w:color w:val="auto"/>
        </w:rPr>
        <w:t>” and, for clarity, the SpinCo Group Employee Roster may be anonymized if so required by applicable Law or in connection with the Company’s fulfillment of works council obligations). In no case shall any Former Employee or any Declining SpinCo Employee be considered a SpinCo Group Employe.</w:t>
      </w:r>
    </w:p>
    <w:p>
      <w:pPr>
        <w:spacing w:after="0" w:line="143" w:lineRule="exact"/>
        <w:rPr>
          <w:sz w:val="20"/>
          <w:szCs w:val="20"/>
          <w:color w:val="auto"/>
        </w:rPr>
      </w:pPr>
    </w:p>
    <w:p>
      <w:pPr>
        <w:jc w:val="center"/>
        <w:ind w:left="1720" w:right="280"/>
        <w:spacing w:after="0" w:line="4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SpinCo Severance Plan</w:t>
      </w:r>
      <w:r>
        <w:rPr>
          <w:rFonts w:ascii="Times New Roman" w:cs="Times New Roman" w:eastAsia="Times New Roman" w:hAnsi="Times New Roman"/>
          <w:sz w:val="14"/>
          <w:szCs w:val="14"/>
          <w:color w:val="auto"/>
        </w:rPr>
        <w:t xml:space="preserve">” shall mean the SpinCo Severance Plan, to be adopted by SpinCo as of the Distribution Time pursuant to </w:t>
      </w:r>
      <w:r>
        <w:rPr>
          <w:rFonts w:ascii="Times New Roman" w:cs="Times New Roman" w:eastAsia="Times New Roman" w:hAnsi="Times New Roman"/>
          <w:sz w:val="14"/>
          <w:szCs w:val="14"/>
          <w:u w:val="single" w:color="auto"/>
          <w:color w:val="auto"/>
        </w:rPr>
        <w:t>Article VI</w:t>
      </w:r>
      <w:r>
        <w:rPr>
          <w:rFonts w:ascii="Times New Roman" w:cs="Times New Roman" w:eastAsia="Times New Roman" w:hAnsi="Times New Roman"/>
          <w:sz w:val="14"/>
          <w:szCs w:val="14"/>
          <w:color w:val="auto"/>
        </w:rPr>
        <w:t>. 4</w:t>
      </w:r>
    </w:p>
    <w:p>
      <w:pPr>
        <w:sectPr>
          <w:pgSz w:w="11900" w:h="16838" w:orient="portrait"/>
          <w:cols w:equalWidth="0" w:num="1">
            <w:col w:w="9019"/>
          </w:cols>
          <w:pgMar w:left="1440" w:top="240" w:right="1440" w:bottom="1440" w:gutter="0" w:footer="0" w:header="0"/>
        </w:sectPr>
      </w:pPr>
    </w:p>
    <w:bookmarkStart w:id="552" w:name="page553"/>
    <w:bookmarkEnd w:id="552"/>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SpinCo Welfare Plan</w:t>
      </w:r>
      <w:r>
        <w:rPr>
          <w:rFonts w:ascii="Times New Roman" w:cs="Times New Roman" w:eastAsia="Times New Roman" w:hAnsi="Times New Roman"/>
          <w:sz w:val="14"/>
          <w:szCs w:val="14"/>
          <w:color w:val="auto"/>
        </w:rPr>
        <w:t>” shall mean a Welfare Plan established, sponsored, maintained, contributed to or designated by Gold or any member of the SpinCo Group for the benefit of SpinCo Group Employees.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Transactions</w:t>
      </w:r>
      <w:r>
        <w:rPr>
          <w:rFonts w:ascii="Times New Roman" w:cs="Times New Roman" w:eastAsia="Times New Roman" w:hAnsi="Times New Roman"/>
          <w:sz w:val="14"/>
          <w:szCs w:val="14"/>
          <w:color w:val="auto"/>
        </w:rPr>
        <w:t>” shall have the meaning set forth in the Merger Agreement.</w:t>
      </w:r>
    </w:p>
    <w:p>
      <w:pPr>
        <w:spacing w:after="0" w:line="175" w:lineRule="exact"/>
        <w:rPr>
          <w:sz w:val="20"/>
          <w:szCs w:val="20"/>
          <w:color w:val="auto"/>
        </w:rPr>
      </w:pPr>
    </w:p>
    <w:p>
      <w:pPr>
        <w:ind w:left="220" w:right="27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Welfare Plan</w:t>
      </w:r>
      <w:r>
        <w:rPr>
          <w:rFonts w:ascii="Times New Roman" w:cs="Times New Roman" w:eastAsia="Times New Roman" w:hAnsi="Times New Roman"/>
          <w:sz w:val="14"/>
          <w:szCs w:val="14"/>
          <w:color w:val="auto"/>
        </w:rPr>
        <w:t>” shall mean any “welfare plan” (as defined in Section 3(1) of ERISA) or a “cafeteria plan” under Section 125 of the Code, and any benefits offered thereunder, and any other plan offering health benefits (including medical, prescription drug, dental, vision, mental health, substance abuse and retiree health), disability benefits, or life, accidental death and dismemberment, and business travel insurance, pre-Tax premium conversion benefits, dependent care assistance programs, employee assistance programs, contribution funding toward a health savings account, or flexible spending accounts.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GENERAL PRINCIPLES FOR ALLOCATION OF LIABILITIES</w:t>
      </w:r>
    </w:p>
    <w:p>
      <w:pPr>
        <w:spacing w:after="0" w:line="161" w:lineRule="exact"/>
        <w:rPr>
          <w:sz w:val="20"/>
          <w:szCs w:val="20"/>
          <w:color w:val="auto"/>
        </w:rPr>
      </w:pPr>
    </w:p>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General Principles</w:t>
      </w:r>
      <w:r>
        <w:rPr>
          <w:rFonts w:ascii="Times New Roman" w:cs="Times New Roman" w:eastAsia="Times New Roman" w:hAnsi="Times New Roman"/>
          <w:sz w:val="14"/>
          <w:szCs w:val="14"/>
          <w:color w:val="auto"/>
        </w:rPr>
        <w:t>. All provisions herein shall be subject to the requirements of all applicable Law and any collective bargaining, works council or similar agreement with any labor union, works council or other labor representative (each, a “</w:t>
      </w:r>
      <w:r>
        <w:rPr>
          <w:rFonts w:ascii="Times New Roman" w:cs="Times New Roman" w:eastAsia="Times New Roman" w:hAnsi="Times New Roman"/>
          <w:sz w:val="14"/>
          <w:szCs w:val="14"/>
          <w:u w:val="single" w:color="auto"/>
          <w:color w:val="auto"/>
        </w:rPr>
        <w:t>Labor Agreement</w:t>
      </w:r>
      <w:r>
        <w:rPr>
          <w:rFonts w:ascii="Times New Roman" w:cs="Times New Roman" w:eastAsia="Times New Roman" w:hAnsi="Times New Roman"/>
          <w:sz w:val="14"/>
          <w:szCs w:val="14"/>
          <w:color w:val="auto"/>
        </w:rPr>
        <w:t xml:space="preserve">”). Notwithstanding anything in this Agreement to the contrary, if the terms of a Labor Agreement or applicable Law require that any Assets or Liabilities or employment relationships be retained or assumed by, or transferred to, a Party in a manner that is different than what is set forth in this Agreement and such requirements cannot be superseded pursuant to an agreement between the parties hereto, the Company and SpinCo shall inform Gold promptly of such requirement and must confer with Gold on this different allocation of Assets or Liabilities or employment relationships, and such retention, assumption or transfer shall be made in accordance with the terms of such Labor Agreement and applicable Law and shall not be made as otherwise set forth in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such case, the Parties shall take all commercially reasonable actions to preserve the economic terms of the allocation of Assets and Liabilities contemplated by this Agreement. Except as otherwise provided herein, the provisions of this Agreement shall apply in respect of all jurisdictions.</w:t>
      </w:r>
    </w:p>
    <w:p>
      <w:pPr>
        <w:spacing w:after="0" w:line="146" w:lineRule="exact"/>
        <w:rPr>
          <w:sz w:val="20"/>
          <w:szCs w:val="20"/>
          <w:color w:val="auto"/>
        </w:rPr>
      </w:pPr>
    </w:p>
    <w:p>
      <w:pPr>
        <w:ind w:left="220" w:right="259" w:firstLine="767"/>
        <w:spacing w:after="0" w:line="254" w:lineRule="auto"/>
        <w:tabs>
          <w:tab w:leader="none" w:pos="1182" w:val="left"/>
        </w:tabs>
        <w:numPr>
          <w:ilvl w:val="0"/>
          <w:numId w:val="5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Acceptance and Assumption of SpinCo Liabilities</w:t>
      </w:r>
      <w:r>
        <w:rPr>
          <w:rFonts w:ascii="Times New Roman" w:cs="Times New Roman" w:eastAsia="Times New Roman" w:hAnsi="Times New Roman"/>
          <w:sz w:val="14"/>
          <w:szCs w:val="14"/>
          <w:color w:val="auto"/>
        </w:rPr>
        <w:t>. Except as otherwise provided by this Agreement (and without limitation of the Company’s and SpinCo’s obligations under the Transition Services Agreement), on or prior to the Distribution Time, but in any case prior to the Distribution, SpinCo and the applicable SpinCo Designees shall accept, assume and agree faithfully to perform, discharge and fulfil all of the following Liabilities in accordance with their respective terms (each of which shall be considered a SpinCo Liability), regardless of when or where such Liabilities arose or arise or whether the facts on which they are based occurred prior to, at or subsequent to the Distribution Time, regardless of where or against whom such Liabilities are asserted or determined (including any Liabilities arising out of claims made by the Company’s or SpinCo’s respective directors, officers, Employees, Former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Former Employees, agents, Subsidiaries or Affiliates: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553" w:name="page554"/>
    <w:bookmarkEnd w:id="553"/>
    <w:p>
      <w:pPr>
        <w:ind w:left="980" w:right="239" w:firstLine="319"/>
        <w:spacing w:after="0" w:line="258" w:lineRule="auto"/>
        <w:tabs>
          <w:tab w:leader="none" w:pos="1459"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any and all wages, salaries, incentive compensation, equity compensation, commissions, bonuses and any other employee compensation or benefits payable to or on behalf of any SpinCo Group Employees after the Distribution Time, without regard to when such wages, salaries, incentive compensation, equity compensation, commissions, bonuses or other employee compensation or benefits are or may have been awarded or earned,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for any such compensation or benefits that are earned or accrued prior to the Distribution Time, solely to the extent included in Net Working Capital or SpinCo Indebtedness;</w:t>
      </w:r>
    </w:p>
    <w:p>
      <w:pPr>
        <w:spacing w:after="0" w:line="59" w:lineRule="exact"/>
        <w:rPr>
          <w:rFonts w:ascii="Times New Roman" w:cs="Times New Roman" w:eastAsia="Times New Roman" w:hAnsi="Times New Roman"/>
          <w:sz w:val="14"/>
          <w:szCs w:val="14"/>
          <w:color w:val="auto"/>
        </w:rPr>
      </w:pPr>
    </w:p>
    <w:p>
      <w:pPr>
        <w:ind w:left="1500" w:hanging="201"/>
        <w:spacing w:after="0"/>
        <w:tabs>
          <w:tab w:leader="none" w:pos="1500"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Liabilities under a SpinCo Benefit Plan; and</w:t>
      </w:r>
    </w:p>
    <w:p>
      <w:pPr>
        <w:spacing w:after="0" w:line="91" w:lineRule="exact"/>
        <w:rPr>
          <w:rFonts w:ascii="Times New Roman" w:cs="Times New Roman" w:eastAsia="Times New Roman" w:hAnsi="Times New Roman"/>
          <w:sz w:val="14"/>
          <w:szCs w:val="14"/>
          <w:color w:val="auto"/>
        </w:rPr>
      </w:pPr>
    </w:p>
    <w:p>
      <w:pPr>
        <w:ind w:left="1540" w:hanging="241"/>
        <w:spacing w:after="0"/>
        <w:tabs>
          <w:tab w:leader="none" w:pos="1540" w:val="left"/>
        </w:tabs>
        <w:numPr>
          <w:ilvl w:val="1"/>
          <w:numId w:val="5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Liabilities expressly assumed or retained by any member of the SpinCo Group pursuant to this Agreement.</w:t>
      </w:r>
    </w:p>
    <w:p>
      <w:pPr>
        <w:spacing w:after="0" w:line="175" w:lineRule="exact"/>
        <w:rPr>
          <w:rFonts w:ascii="Times New Roman" w:cs="Times New Roman" w:eastAsia="Times New Roman" w:hAnsi="Times New Roman"/>
          <w:sz w:val="14"/>
          <w:szCs w:val="14"/>
          <w:color w:val="auto"/>
        </w:rPr>
      </w:pPr>
    </w:p>
    <w:p>
      <w:pPr>
        <w:ind w:left="220" w:right="239" w:firstLine="767"/>
        <w:spacing w:after="0" w:line="254" w:lineRule="auto"/>
        <w:tabs>
          <w:tab w:leader="none" w:pos="1190" w:val="left"/>
        </w:tabs>
        <w:numPr>
          <w:ilvl w:val="0"/>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Acceptance and Assumption of Company Liabilities</w:t>
      </w:r>
      <w:r>
        <w:rPr>
          <w:rFonts w:ascii="Times New Roman" w:cs="Times New Roman" w:eastAsia="Times New Roman" w:hAnsi="Times New Roman"/>
          <w:sz w:val="14"/>
          <w:szCs w:val="14"/>
          <w:color w:val="auto"/>
        </w:rPr>
        <w:t>. Except as otherwise provided by this Agreement, on or prior to the Distribution Time, but in any case prior to the Distribution, the Company and certain members of the Company Group designated by the Company shall accept, assume and agree faithfully to perform, discharge and fulfil all of the following Liabilities in accordance with their respective terms (each of which shall be considered a Company Liability), regardless of when or where such Liabilities arose or arise, or whether the facts on which they are based occurred prior to, at or subsequent to the Distribution Time, regardless of where or against whom such Liabilities are asserted or determined (including any Liabilities arising out of claims made by the Company’s or SpinCo’s respective directors, officers, Employees, Former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Former Employees, agents, Subsidiaries or Affiliates:</w:t>
      </w:r>
    </w:p>
    <w:p>
      <w:pPr>
        <w:spacing w:after="0" w:line="64" w:lineRule="exact"/>
        <w:rPr>
          <w:rFonts w:ascii="Times New Roman" w:cs="Times New Roman" w:eastAsia="Times New Roman" w:hAnsi="Times New Roman"/>
          <w:sz w:val="14"/>
          <w:szCs w:val="14"/>
          <w:color w:val="auto"/>
        </w:rPr>
      </w:pPr>
    </w:p>
    <w:p>
      <w:pPr>
        <w:ind w:left="980" w:right="359" w:firstLine="319"/>
        <w:spacing w:after="0" w:line="261" w:lineRule="auto"/>
        <w:tabs>
          <w:tab w:leader="none" w:pos="1459" w:val="left"/>
        </w:tabs>
        <w:numPr>
          <w:ilvl w:val="1"/>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wages, salaries, incentive compensation, equity compensation, commissions, bonuses and any other employee compensation or benefits payable to or on behalf of any Company Group Employees or Former Employees, without regard to when such wages, salaries, incentive compensation, equity compensation, commissions, bonuses or other employee compensation or benefits are or may have been awarded or earned;</w:t>
      </w:r>
    </w:p>
    <w:p>
      <w:pPr>
        <w:spacing w:after="0" w:line="56" w:lineRule="exact"/>
        <w:rPr>
          <w:rFonts w:ascii="Times New Roman" w:cs="Times New Roman" w:eastAsia="Times New Roman" w:hAnsi="Times New Roman"/>
          <w:sz w:val="14"/>
          <w:szCs w:val="14"/>
          <w:color w:val="auto"/>
        </w:rPr>
      </w:pPr>
    </w:p>
    <w:p>
      <w:pPr>
        <w:ind w:left="980" w:right="859" w:firstLine="319"/>
        <w:spacing w:after="0" w:line="283" w:lineRule="auto"/>
        <w:tabs>
          <w:tab w:leader="none" w:pos="1498" w:val="left"/>
        </w:tabs>
        <w:numPr>
          <w:ilvl w:val="1"/>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Liabilities under a Company Benefit Plan, other than compensation or benefits liabilities for SpinCo Group Employees under a Company Benefit Plan that are included in Net Working Capital or SpinCo Indebtedness;</w:t>
      </w:r>
    </w:p>
    <w:p>
      <w:pPr>
        <w:spacing w:after="0" w:line="40" w:lineRule="exact"/>
        <w:rPr>
          <w:rFonts w:ascii="Times New Roman" w:cs="Times New Roman" w:eastAsia="Times New Roman" w:hAnsi="Times New Roman"/>
          <w:sz w:val="14"/>
          <w:szCs w:val="14"/>
          <w:color w:val="auto"/>
        </w:rPr>
      </w:pPr>
    </w:p>
    <w:p>
      <w:pPr>
        <w:jc w:val="both"/>
        <w:ind w:left="980" w:right="599" w:firstLine="319"/>
        <w:spacing w:after="0" w:line="267" w:lineRule="auto"/>
        <w:tabs>
          <w:tab w:leader="none" w:pos="1537" w:val="left"/>
        </w:tabs>
        <w:numPr>
          <w:ilvl w:val="1"/>
          <w:numId w:val="5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w:t>
      </w:r>
      <w:r>
        <w:rPr>
          <w:rFonts w:ascii="Times New Roman" w:cs="Times New Roman" w:eastAsia="Times New Roman" w:hAnsi="Times New Roman"/>
          <w:sz w:val="14"/>
          <w:szCs w:val="14"/>
          <w:u w:val="single" w:color="auto"/>
          <w:color w:val="auto"/>
        </w:rPr>
        <w:t>Section 2.01(b)(ii)</w:t>
      </w:r>
      <w:r>
        <w:rPr>
          <w:rFonts w:ascii="Times New Roman" w:cs="Times New Roman" w:eastAsia="Times New Roman" w:hAnsi="Times New Roman"/>
          <w:sz w:val="14"/>
          <w:szCs w:val="14"/>
          <w:color w:val="auto"/>
        </w:rPr>
        <w:t xml:space="preserve"> with respect to Liabilities under a Company Benefit Plan, any and all Liabilities, to the extent not included in Net Working Capital or SpinCo Indebtedness, for the compensation or employee benefits of all SpinCo Group Employees that are earned or accrued prior to the Distribution Time;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554" w:name="page555"/>
    <w:bookmarkEnd w:id="554"/>
    <w:p>
      <w:pPr>
        <w:ind w:left="1540" w:hanging="241"/>
        <w:spacing w:after="0"/>
        <w:tabs>
          <w:tab w:leader="none" w:pos="1540" w:val="left"/>
        </w:tabs>
        <w:numPr>
          <w:ilvl w:val="1"/>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any and all Liabilities expressly assumed or retained by any member of the Company Group pursuant to this Agreement; and</w:t>
      </w:r>
    </w:p>
    <w:p>
      <w:pPr>
        <w:spacing w:after="0" w:line="91" w:lineRule="exact"/>
        <w:rPr>
          <w:rFonts w:ascii="Times New Roman" w:cs="Times New Roman" w:eastAsia="Times New Roman" w:hAnsi="Times New Roman"/>
          <w:sz w:val="14"/>
          <w:szCs w:val="14"/>
          <w:color w:val="auto"/>
        </w:rPr>
      </w:pPr>
    </w:p>
    <w:p>
      <w:pPr>
        <w:jc w:val="both"/>
        <w:ind w:left="980" w:right="439" w:firstLine="319"/>
        <w:spacing w:after="0" w:line="267" w:lineRule="auto"/>
        <w:tabs>
          <w:tab w:leader="none" w:pos="1490" w:val="left"/>
        </w:tabs>
        <w:numPr>
          <w:ilvl w:val="1"/>
          <w:numId w:val="5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Liabilities associated with (i) SpinCo Group Employees to the extent related to any period prior to the Distribution Time and not accepted and assumed by SpinCo and the applicable SpinCo Designees pursuant to Section 2.01(a) and (ii) any Company Employee or Former Employee.</w:t>
      </w:r>
    </w:p>
    <w:p>
      <w:pPr>
        <w:spacing w:after="0" w:line="135" w:lineRule="exact"/>
        <w:rPr>
          <w:rFonts w:ascii="Times New Roman" w:cs="Times New Roman" w:eastAsia="Times New Roman" w:hAnsi="Times New Roman"/>
          <w:sz w:val="14"/>
          <w:szCs w:val="14"/>
          <w:color w:val="auto"/>
        </w:rPr>
      </w:pPr>
    </w:p>
    <w:p>
      <w:pPr>
        <w:ind w:left="220" w:right="279" w:firstLine="767"/>
        <w:spacing w:after="0" w:line="261" w:lineRule="auto"/>
        <w:tabs>
          <w:tab w:leader="none" w:pos="1182" w:val="left"/>
        </w:tabs>
        <w:numPr>
          <w:ilvl w:val="0"/>
          <w:numId w:val="5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Unaddressed Liabilities</w:t>
      </w:r>
      <w:r>
        <w:rPr>
          <w:rFonts w:ascii="Times New Roman" w:cs="Times New Roman" w:eastAsia="Times New Roman" w:hAnsi="Times New Roman"/>
          <w:sz w:val="14"/>
          <w:szCs w:val="14"/>
          <w:color w:val="auto"/>
        </w:rPr>
        <w:t>. Nothing in this Agreement shall require a transfer of Liabilities with respect to a Benefit Plan except as specifically set forth herein or as otherwise required by applicable Law. To the extent that this Agreement does not address particular Liabilities under any Benefit Plan and the Parties later determine that they should be allocated in connection with the Distribution, the Parties shall agree in good faith on the allocation, taking into account the handling of comparable Liabilities under this Agreement.</w:t>
      </w:r>
    </w:p>
    <w:p>
      <w:pPr>
        <w:spacing w:after="0" w:line="140" w:lineRule="exact"/>
        <w:rPr>
          <w:rFonts w:ascii="Times New Roman" w:cs="Times New Roman" w:eastAsia="Times New Roman" w:hAnsi="Times New Roman"/>
          <w:sz w:val="14"/>
          <w:szCs w:val="14"/>
          <w:color w:val="auto"/>
        </w:rPr>
      </w:pPr>
    </w:p>
    <w:p>
      <w:pPr>
        <w:ind w:left="220" w:right="219" w:firstLine="767"/>
        <w:spacing w:after="0" w:line="255" w:lineRule="auto"/>
        <w:tabs>
          <w:tab w:leader="none" w:pos="1190" w:val="left"/>
        </w:tabs>
        <w:numPr>
          <w:ilvl w:val="0"/>
          <w:numId w:val="5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Non-U.S. Employees</w:t>
      </w:r>
      <w:r>
        <w:rPr>
          <w:rFonts w:ascii="Times New Roman" w:cs="Times New Roman" w:eastAsia="Times New Roman" w:hAnsi="Times New Roman"/>
          <w:sz w:val="14"/>
          <w:szCs w:val="14"/>
          <w:color w:val="auto"/>
        </w:rPr>
        <w:t xml:space="preserve">. SpinCo Group Employees who are residents outside of the United States or otherwise are subject to non-U.S. Law and their related benefits and Liabilities shall be treated as described in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a local Transfer Document addresses employment, compensation or benefit matters, the terms of such local Transfer Document shall govern in respect of such matters in the applicable jurisdiction. Notwithstanding anything in this Agreement to the contrary, all actions taken with respect to non-U.S. Company Group Employees, non-U.S. Former Employees, and non-U.S. SpinCo Group Employees or any such employee who is a U.S. Employee working in non-U.S. jurisdictions, including any action under a Benefit Plan, shall be subject to and accomplished in accordance with applicable Law of the applicable jurisdiction and SpinCo may make such changes, modifications or amendments to the SpinCo Benefit Plans or Gold Benefit Plans as may be required by applicable Law, vendor limitations or as are necessary to reflect the Separation.</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Comparable Compensation and Benefits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99" w:firstLine="767"/>
        <w:spacing w:after="0" w:line="276" w:lineRule="auto"/>
        <w:tabs>
          <w:tab w:leader="none" w:pos="1182" w:val="left"/>
        </w:tabs>
        <w:numPr>
          <w:ilvl w:val="0"/>
          <w:numId w:val="5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Distribution Time through the first anniversary of the Distribution Time (or, if earlier, until the date of termination of employment of the relevant Continuing Employee (as defined below)) (the “</w:t>
      </w:r>
      <w:r>
        <w:rPr>
          <w:rFonts w:ascii="Times New Roman" w:cs="Times New Roman" w:eastAsia="Times New Roman" w:hAnsi="Times New Roman"/>
          <w:sz w:val="13"/>
          <w:szCs w:val="13"/>
          <w:u w:val="single" w:color="auto"/>
          <w:color w:val="auto"/>
        </w:rPr>
        <w:t>Protected Period</w:t>
      </w:r>
      <w:r>
        <w:rPr>
          <w:rFonts w:ascii="Times New Roman" w:cs="Times New Roman" w:eastAsia="Times New Roman" w:hAnsi="Times New Roman"/>
          <w:sz w:val="13"/>
          <w:szCs w:val="13"/>
          <w:color w:val="auto"/>
        </w:rPr>
        <w:t>”), SpinCo or its applicable Affiliate shall provide or cause to be provided to each SpinCo Group Employee as of immediately prior to the Distribution Time who is employed by SpinCo or its Affiliates after the Distribution Time (“</w:t>
      </w:r>
      <w:r>
        <w:rPr>
          <w:rFonts w:ascii="Times New Roman" w:cs="Times New Roman" w:eastAsia="Times New Roman" w:hAnsi="Times New Roman"/>
          <w:sz w:val="13"/>
          <w:szCs w:val="13"/>
          <w:u w:val="single" w:color="auto"/>
          <w:color w:val="auto"/>
        </w:rPr>
        <w:t>Continuing Employee</w:t>
      </w:r>
      <w:r>
        <w:rPr>
          <w:rFonts w:ascii="Times New Roman" w:cs="Times New Roman" w:eastAsia="Times New Roman" w:hAnsi="Times New Roman"/>
          <w:sz w:val="13"/>
          <w:szCs w:val="13"/>
          <w:color w:val="auto"/>
        </w:rPr>
        <w:t>”) with: (i) base salary or wage rate no less than that in effect for such Continuing Employee immediately prior to the Distribution Time, (ii) target annual cash incentive compensation opportunities and other short-term cash incentive compensation opportunities that are no less favorable than those in effect for such Continuing Employee immediately prior to the Distribution Time and (iii) other employee benefits (excluding severance, retention, transaction-based or other non-recurring compensation, perquisites, long-term or equity or equity-based incentive, defined benefit pension, nonqualified deferred compensation, retiree medical or insurance and post-employment welfare benefits) that are substantially comparable, in the aggregate, to those in effect for such Continuing Employee immediately prior to the Distribution Time.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555" w:name="page556"/>
    <w:bookmarkEnd w:id="555"/>
    <w:p>
      <w:pPr>
        <w:ind w:left="220" w:right="279" w:firstLine="767"/>
        <w:spacing w:after="0" w:line="258" w:lineRule="auto"/>
        <w:tabs>
          <w:tab w:leader="none" w:pos="1190" w:val="left"/>
        </w:tabs>
        <w:numPr>
          <w:ilvl w:val="0"/>
          <w:numId w:val="5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Following the Distribution Time through the first anniversary of the Distribution Time (or, if earlier, until the date of termination of employment of the relevant Continuing Employee), SpinCo or its applicable Affiliate shall provide or cause to be provided to each Continuing Employee eligibility, upon a qualifying termination of employment, to receive severance benefits no less favorable than the greater of (i) those in effect for such SpinCo Group Employee immediately prior to the Distribution Time and (ii) the severance benefits provided to similarly situated employees of Gold and its Affiliates at the time of such termination.</w:t>
      </w:r>
    </w:p>
    <w:p>
      <w:pPr>
        <w:spacing w:after="0" w:line="143" w:lineRule="exact"/>
        <w:rPr>
          <w:rFonts w:ascii="Times New Roman" w:cs="Times New Roman" w:eastAsia="Times New Roman" w:hAnsi="Times New Roman"/>
          <w:sz w:val="14"/>
          <w:szCs w:val="14"/>
          <w:color w:val="auto"/>
        </w:rPr>
      </w:pPr>
    </w:p>
    <w:p>
      <w:pPr>
        <w:ind w:left="220" w:right="559" w:firstLine="767"/>
        <w:spacing w:after="0" w:line="283" w:lineRule="auto"/>
        <w:tabs>
          <w:tab w:leader="none" w:pos="1182" w:val="left"/>
        </w:tabs>
        <w:numPr>
          <w:ilvl w:val="0"/>
          <w:numId w:val="5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Gold will provide long-term incentive compensation opportunities to those SpinCo Group Employees described on </w:t>
      </w:r>
      <w:r>
        <w:rPr>
          <w:rFonts w:ascii="Times New Roman" w:cs="Times New Roman" w:eastAsia="Times New Roman" w:hAnsi="Times New Roman"/>
          <w:sz w:val="14"/>
          <w:szCs w:val="14"/>
          <w:u w:val="single" w:color="auto"/>
          <w:color w:val="auto"/>
        </w:rPr>
        <w:t>Schedule D</w:t>
      </w:r>
      <w:r>
        <w:rPr>
          <w:rFonts w:ascii="Times New Roman" w:cs="Times New Roman" w:eastAsia="Times New Roman" w:hAnsi="Times New Roman"/>
          <w:sz w:val="14"/>
          <w:szCs w:val="14"/>
          <w:color w:val="auto"/>
        </w:rPr>
        <w:t xml:space="preserve"> in accordance with the requirements set forth on </w:t>
      </w:r>
      <w:r>
        <w:rPr>
          <w:rFonts w:ascii="Times New Roman" w:cs="Times New Roman" w:eastAsia="Times New Roman" w:hAnsi="Times New Roman"/>
          <w:sz w:val="14"/>
          <w:szCs w:val="14"/>
          <w:u w:val="single" w:color="auto"/>
          <w:color w:val="auto"/>
        </w:rPr>
        <w:t>Schedule D</w:t>
      </w:r>
      <w:r>
        <w:rPr>
          <w:rFonts w:ascii="Times New Roman" w:cs="Times New Roman" w:eastAsia="Times New Roman" w:hAnsi="Times New Roman"/>
          <w:sz w:val="14"/>
          <w:szCs w:val="14"/>
          <w:color w:val="auto"/>
        </w:rPr>
        <w:t>.</w:t>
      </w:r>
    </w:p>
    <w:p>
      <w:pPr>
        <w:spacing w:after="0" w:line="124"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90" w:val="left"/>
        </w:tabs>
        <w:numPr>
          <w:ilvl w:val="0"/>
          <w:numId w:val="5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provisions of this paragraph, Gold shall make an employer contribution to each participant under the Gold Deferred Compensation Plan at the same time and in the same amount as such contribution would have been made in respect of 2026 under the Company Deferred Compensation Plan had such participant remained employed by the Company through the date of such contribution, prorated to reflect only the portion of the plan year prior to the Distribution Time and only to the extent such liability is reflected in SpinCo Indebtedness.</w:t>
      </w:r>
    </w:p>
    <w:p>
      <w:pPr>
        <w:spacing w:after="0" w:line="144" w:lineRule="exact"/>
        <w:rPr>
          <w:sz w:val="20"/>
          <w:szCs w:val="20"/>
          <w:color w:val="auto"/>
        </w:rPr>
      </w:pPr>
    </w:p>
    <w:p>
      <w:pPr>
        <w:ind w:left="220" w:right="239" w:firstLine="343"/>
        <w:spacing w:after="0" w:line="252" w:lineRule="auto"/>
        <w:rPr>
          <w:sz w:val="20"/>
          <w:szCs w:val="20"/>
          <w:color w:val="auto"/>
        </w:rPr>
      </w:pPr>
      <w:r>
        <w:rPr>
          <w:rFonts w:ascii="Times New Roman" w:cs="Times New Roman" w:eastAsia="Times New Roman" w:hAnsi="Times New Roman"/>
          <w:sz w:val="14"/>
          <w:szCs w:val="14"/>
          <w:color w:val="auto"/>
        </w:rPr>
        <w:t xml:space="preserve">Section 2.03. </w:t>
      </w:r>
      <w:r>
        <w:rPr>
          <w:rFonts w:ascii="Times New Roman" w:cs="Times New Roman" w:eastAsia="Times New Roman" w:hAnsi="Times New Roman"/>
          <w:sz w:val="14"/>
          <w:szCs w:val="14"/>
          <w:u w:val="single" w:color="auto"/>
          <w:color w:val="auto"/>
        </w:rPr>
        <w:t>Service Credit; Health and Welfare Plan Transitional Credits</w:t>
      </w:r>
      <w:r>
        <w:rPr>
          <w:rFonts w:ascii="Times New Roman" w:cs="Times New Roman" w:eastAsia="Times New Roman" w:hAnsi="Times New Roman"/>
          <w:sz w:val="14"/>
          <w:szCs w:val="14"/>
          <w:color w:val="auto"/>
        </w:rPr>
        <w:t>. As of the Distribution Time (or, if later, the end date of the applicable benefits coverage pursuant to the Transition Services Agreement), the SpinCo Benefit Plans shall, and Gold or SpinCo shall, or shall cause its applicable Subsidiary or the applicable Gold Benefit Plan to, recognize the service of each Continuing Employee with the Company or any of its Subsidiaries or predecessor entities at or before the Distribution Time for purposes of eligibility to participate, vesting, determining the level of severance and paid-time-off benefits and for any other purposes required by applicable non-U.S. Law, to the same extent and for the same purposes that such service was recognized under the corresponding Company Benefit Plans prior to the Distribution Time, except the foregoing shall not apply (a) to the extent that credit for such service would result in duplication of compensation or benefits or (b) for any purpose under any defined benefit pension plans or retiree health or welfare plans. Gold or SpinCo shall, or shall cause its applicable Subsidiary to (i) waive (or, solely with respect to insured benefit plans, use commercially reasonable efforts to waive) as of and after the Distribution Time (or, if later, the end date of the applicable benefits coverage pursuant to the Transition Services Agreement) any limitation on health and welfare benefit coverage of Continuing Employees due to pre-existing conditions, waiting periods, active employment requirements and requirements to show evidence of good health under any applicable health and welfare benefit plan of Gold, SpinCo or its applicable Subsidiary to the extent such pre-existing conditions, waiting periods, active employment requirements and requirements to show evidence of good health were not applicable under the corresponding Company Benefit Plan as of immediately before the Distribution Date (or, if later, the end date of the applicable benefits coverage pursuant to the Transition Services Agreement); and (ii) if the Distribution Date (or, if later, the end date of the applicable benefits coverage pursuant to the Transition Services Agreement) does not occur at the end of the plan year of the applicable Company Benefit Plan,</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556" w:name="page557"/>
    <w:bookmarkEnd w:id="556"/>
    <w:p>
      <w:pPr>
        <w:ind w:left="220" w:right="2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use commercially reasonable efforts to credit each Continuing Employee with all deductible payments, co-payments and co-insurance paid by and credited to the Continuing Employee under the applicable Company Benefit Plan prior to the Distribution Date (or, if later, the end date of the applicable benefits coverage pursuant to the Transition Services Agreement) during the year in which the Distribution Date (or, if later, the end date of the applicable benefits coverage pursuant to the Transition Services Agreement) occurs for the purpose of determining the extent to which the Continuing Employee has satisfied the corresponding applicable deductible or similar requirements.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2.04. </w:t>
      </w:r>
      <w:r>
        <w:rPr>
          <w:rFonts w:ascii="Times New Roman" w:cs="Times New Roman" w:eastAsia="Times New Roman" w:hAnsi="Times New Roman"/>
          <w:sz w:val="14"/>
          <w:szCs w:val="14"/>
          <w:u w:val="single" w:color="auto"/>
          <w:color w:val="auto"/>
        </w:rPr>
        <w:t>Benefit Plans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767"/>
        <w:spacing w:after="0" w:line="254" w:lineRule="auto"/>
        <w:tabs>
          <w:tab w:leader="none" w:pos="1182" w:val="left"/>
        </w:tabs>
        <w:numPr>
          <w:ilvl w:val="0"/>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Establishment of SpinCo Benefit Plans</w:t>
      </w:r>
      <w:r>
        <w:rPr>
          <w:rFonts w:ascii="Times New Roman" w:cs="Times New Roman" w:eastAsia="Times New Roman" w:hAnsi="Times New Roman"/>
          <w:sz w:val="14"/>
          <w:szCs w:val="14"/>
          <w:color w:val="auto"/>
        </w:rPr>
        <w:t>. As of no later than the Distribution Time (or, if later, the end date of the applicable benefits coverage pursuant to the Transition Services Agreement or such other time as is set forth herein), SpinCo shall, or shall cause the members of the SpinCo Group to, adopt or designate Benefit Plans (and, if applicable, related trusts), to the extent applicable, as contemplated and in accordance with the terms of this Agreement. For the avoidance of doubt, such designated Benefit Plans may be existing Gold Benefit Plans, existing SpinCo Benefit Plans, or new plans sponsored, maintained or contributed to by Gold or any of its applicable Affiliates (and any such new plan shall constitute a SpinCo Benefit Plan under this Agreement regardless of whether sponsored by SpinCo or its Subsidiaries). Prior to the Distribution Time, the Company Group, the SpinCo Group, and Gold shall cooperate to ensure an orderly transition of SpinCo Group Employees into the SpinCo Benefit Plans, Gold Benefit Plans or such new plans, as applicable, as of the Distribution Time or such later date as coverage under the Company Benefit Plans would end for such Continuing Employees under the terms of such Company Benefit Plans, or such later end date of the applicable benefits coverage pursuant to the Transition Services Agreement.</w:t>
      </w:r>
    </w:p>
    <w:p>
      <w:pPr>
        <w:spacing w:after="0" w:line="146" w:lineRule="exact"/>
        <w:rPr>
          <w:rFonts w:ascii="Times New Roman" w:cs="Times New Roman" w:eastAsia="Times New Roman" w:hAnsi="Times New Roman"/>
          <w:sz w:val="14"/>
          <w:szCs w:val="14"/>
          <w:color w:val="auto"/>
        </w:rPr>
      </w:pPr>
    </w:p>
    <w:p>
      <w:pPr>
        <w:ind w:left="220" w:right="379" w:firstLine="767"/>
        <w:spacing w:after="0" w:line="267" w:lineRule="auto"/>
        <w:tabs>
          <w:tab w:leader="none" w:pos="1190" w:val="left"/>
        </w:tabs>
        <w:numPr>
          <w:ilvl w:val="0"/>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Retention b</w:t>
      </w:r>
      <w:r>
        <w:rPr>
          <w:rFonts w:ascii="Times New Roman" w:cs="Times New Roman" w:eastAsia="Times New Roman" w:hAnsi="Times New Roman"/>
          <w:sz w:val="14"/>
          <w:szCs w:val="14"/>
          <w:color w:val="auto"/>
        </w:rPr>
        <w:t xml:space="preserve">y </w:t>
      </w:r>
      <w:r>
        <w:rPr>
          <w:rFonts w:ascii="Times New Roman" w:cs="Times New Roman" w:eastAsia="Times New Roman" w:hAnsi="Times New Roman"/>
          <w:sz w:val="14"/>
          <w:szCs w:val="14"/>
          <w:u w:val="single" w:color="auto"/>
          <w:color w:val="auto"/>
        </w:rPr>
        <w:t>SpinCo of SpinCo Benefit Plans</w:t>
      </w:r>
      <w:r>
        <w:rPr>
          <w:rFonts w:ascii="Times New Roman" w:cs="Times New Roman" w:eastAsia="Times New Roman" w:hAnsi="Times New Roman"/>
          <w:sz w:val="14"/>
          <w:szCs w:val="14"/>
          <w:color w:val="auto"/>
        </w:rPr>
        <w:t>. From and after the Distribution Time, except as otherwise set forth herein, the SpinCo Group shall retain all of the SpinCo Benefit Plans, including all related Liabilities and Assets, and any related trusts and other funding vehicles and insurance contracts of any such plans other than as specifically provided in this Agreement.</w:t>
      </w:r>
    </w:p>
    <w:p>
      <w:pPr>
        <w:spacing w:after="0" w:line="135" w:lineRule="exact"/>
        <w:rPr>
          <w:rFonts w:ascii="Times New Roman" w:cs="Times New Roman" w:eastAsia="Times New Roman" w:hAnsi="Times New Roman"/>
          <w:sz w:val="14"/>
          <w:szCs w:val="14"/>
          <w:color w:val="auto"/>
        </w:rPr>
      </w:pPr>
    </w:p>
    <w:p>
      <w:pPr>
        <w:ind w:left="220" w:right="259" w:firstLine="767"/>
        <w:spacing w:after="0" w:line="261" w:lineRule="auto"/>
        <w:tabs>
          <w:tab w:leader="none" w:pos="1182" w:val="left"/>
        </w:tabs>
        <w:numPr>
          <w:ilvl w:val="0"/>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Plans Not Required to Be Established</w:t>
      </w:r>
      <w:r>
        <w:rPr>
          <w:rFonts w:ascii="Times New Roman" w:cs="Times New Roman" w:eastAsia="Times New Roman" w:hAnsi="Times New Roman"/>
          <w:sz w:val="14"/>
          <w:szCs w:val="14"/>
          <w:color w:val="auto"/>
        </w:rPr>
        <w:t>. With respect to any Benefit Plan not addressed in this Agreement, the Parties shall agree in good faith on the treatment of such plan taking into account the handling of any comparable plan under this Agreement, including by provision of services under the Transition Services Agreement, and SpinCo shall not have an obligation to continue to maintain any such plan with respect to the provision of future benefits from and after the Distribution Time.</w:t>
      </w:r>
    </w:p>
    <w:p>
      <w:pPr>
        <w:spacing w:after="0" w:line="140" w:lineRule="exact"/>
        <w:rPr>
          <w:rFonts w:ascii="Times New Roman" w:cs="Times New Roman" w:eastAsia="Times New Roman" w:hAnsi="Times New Roman"/>
          <w:sz w:val="14"/>
          <w:szCs w:val="14"/>
          <w:color w:val="auto"/>
        </w:rPr>
      </w:pPr>
    </w:p>
    <w:p>
      <w:pPr>
        <w:jc w:val="both"/>
        <w:ind w:left="220" w:right="399" w:firstLine="767"/>
        <w:spacing w:after="0" w:line="261" w:lineRule="auto"/>
        <w:tabs>
          <w:tab w:leader="none" w:pos="1190" w:val="left"/>
        </w:tabs>
        <w:numPr>
          <w:ilvl w:val="0"/>
          <w:numId w:val="5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Participation in Company Benefit Plans</w:t>
      </w:r>
      <w:r>
        <w:rPr>
          <w:rFonts w:ascii="Times New Roman" w:cs="Times New Roman" w:eastAsia="Times New Roman" w:hAnsi="Times New Roman"/>
          <w:sz w:val="14"/>
          <w:szCs w:val="14"/>
          <w:color w:val="auto"/>
        </w:rPr>
        <w:t>. Except as otherwise set forth in this Agreement or the Transition Services Agreement or as required by the terms of the applicable Company Benefit Plan, effective as of the Distribution Time, (i) all Continuing Employees shall cease actively participating in, and accruing benefits under, the Company Benefit Plans, and (ii) SpinCo and each member of the SpinCo Group, to the extent applicable, shall cease to be a participating employer in any Company Benefit Plan.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557" w:name="page558"/>
    <w:bookmarkEnd w:id="557"/>
    <w:p>
      <w:pPr>
        <w:ind w:left="220" w:right="279" w:firstLine="767"/>
        <w:spacing w:after="0" w:line="257" w:lineRule="auto"/>
        <w:tabs>
          <w:tab w:leader="none" w:pos="1182" w:val="left"/>
        </w:tabs>
        <w:numPr>
          <w:ilvl w:val="0"/>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No Obligation to Maintain Benefit Plans</w:t>
      </w:r>
      <w:r>
        <w:rPr>
          <w:rFonts w:ascii="Times New Roman" w:cs="Times New Roman" w:eastAsia="Times New Roman" w:hAnsi="Times New Roman"/>
          <w:sz w:val="14"/>
          <w:szCs w:val="14"/>
          <w:color w:val="auto"/>
        </w:rPr>
        <w:t>. Nothing in this Agreement shall preclude the Company, SpinCo or any member of their respective Group, at any time after the Distribution Time, from amending, merging, modifying, terminating, eliminating, reducing or otherwise altering in any respect any particular SpinCo Benefit Plan, Gold Benefit Plan, Company Benefit Plan, any benefit under any SpinCo Benefit Plan, Gold Benefit Plan, or Company Benefit Plan, or any trust, insurance policy or funding vehicle related to any SpinCo Benefit Plan, Gold Benefit Plan, or Company Benefit Plan, or any employment or other service arrangement with SpinCo Group Employees, Company Group Employees, independent contractors or vendors (except to the extent required by applicable Law).</w:t>
      </w:r>
    </w:p>
    <w:p>
      <w:pPr>
        <w:spacing w:after="0" w:line="143" w:lineRule="exact"/>
        <w:rPr>
          <w:rFonts w:ascii="Times New Roman" w:cs="Times New Roman" w:eastAsia="Times New Roman" w:hAnsi="Times New Roman"/>
          <w:sz w:val="14"/>
          <w:szCs w:val="14"/>
          <w:color w:val="auto"/>
        </w:rPr>
      </w:pPr>
    </w:p>
    <w:p>
      <w:pPr>
        <w:ind w:left="220" w:right="299" w:firstLine="767"/>
        <w:spacing w:after="0" w:line="267" w:lineRule="auto"/>
        <w:tabs>
          <w:tab w:leader="none" w:pos="1167" w:val="left"/>
        </w:tabs>
        <w:numPr>
          <w:ilvl w:val="0"/>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Transfers of Plan Assets</w:t>
      </w:r>
      <w:r>
        <w:rPr>
          <w:rFonts w:ascii="Times New Roman" w:cs="Times New Roman" w:eastAsia="Times New Roman" w:hAnsi="Times New Roman"/>
          <w:sz w:val="14"/>
          <w:szCs w:val="14"/>
          <w:color w:val="auto"/>
        </w:rPr>
        <w:t>. Except as expressly provided in this Agreement or as required by applicable Law, nothing in this Agreement shall require the Company or any member of the Company Group to transfer to the SpinCo Group any Assets of any member of the Company Group or of any Company Benefit Plan.</w:t>
      </w:r>
    </w:p>
    <w:p>
      <w:pPr>
        <w:spacing w:after="0" w:line="135" w:lineRule="exact"/>
        <w:rPr>
          <w:rFonts w:ascii="Times New Roman" w:cs="Times New Roman" w:eastAsia="Times New Roman" w:hAnsi="Times New Roman"/>
          <w:sz w:val="14"/>
          <w:szCs w:val="14"/>
          <w:color w:val="auto"/>
        </w:rPr>
      </w:pPr>
    </w:p>
    <w:p>
      <w:pPr>
        <w:ind w:left="220" w:right="279" w:firstLine="767"/>
        <w:spacing w:after="0" w:line="283" w:lineRule="auto"/>
        <w:tabs>
          <w:tab w:leader="none" w:pos="1190" w:val="left"/>
        </w:tabs>
        <w:numPr>
          <w:ilvl w:val="0"/>
          <w:numId w:val="5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Information and Operation</w:t>
      </w:r>
      <w:r>
        <w:rPr>
          <w:rFonts w:ascii="Times New Roman" w:cs="Times New Roman" w:eastAsia="Times New Roman" w:hAnsi="Times New Roman"/>
          <w:sz w:val="13"/>
          <w:szCs w:val="13"/>
          <w:color w:val="auto"/>
        </w:rPr>
        <w:t>. Each Party shall use its commercially reasonable efforts to provide the other Parties with information describing each Benefit Plan election made by an Employee or Former Employee that may have application to such Party’s Benefit Plans from and after the Distribution Time, and each Party shall use its commercially reasonable efforts to administer its Benefit Plans using those elections, including any beneficiary designations. Each Party shall, upon reasonable request, use its commercially reasonable efforts to provide the other Parties and the other Parties’ respective Affiliates, agents, and vendors all information reasonably necessary to such Party’s operation or administration of its Benefit Plans.</w:t>
      </w:r>
    </w:p>
    <w:p>
      <w:pPr>
        <w:spacing w:after="0" w:line="127" w:lineRule="exact"/>
        <w:rPr>
          <w:rFonts w:ascii="Times New Roman" w:cs="Times New Roman" w:eastAsia="Times New Roman" w:hAnsi="Times New Roman"/>
          <w:sz w:val="13"/>
          <w:szCs w:val="13"/>
          <w:color w:val="auto"/>
        </w:rPr>
      </w:pPr>
    </w:p>
    <w:p>
      <w:pPr>
        <w:ind w:left="220" w:right="439" w:firstLine="767"/>
        <w:spacing w:after="0" w:line="261" w:lineRule="auto"/>
        <w:tabs>
          <w:tab w:leader="none" w:pos="1190" w:val="left"/>
        </w:tabs>
        <w:numPr>
          <w:ilvl w:val="0"/>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Acceleration of Benefits</w:t>
      </w:r>
      <w:r>
        <w:rPr>
          <w:rFonts w:ascii="Times New Roman" w:cs="Times New Roman" w:eastAsia="Times New Roman" w:hAnsi="Times New Roman"/>
          <w:sz w:val="14"/>
          <w:szCs w:val="14"/>
          <w:color w:val="auto"/>
        </w:rPr>
        <w:t>. Unless expressly provided for in this Agreement, the Separation Agreement, the Merger Agreement or any other Transaction Document or required by applicable Law, no provision in this Agreement shall be construed to create any right to accelerated vesting, distributions or entitlements under any Benefit Plan sponsored or maintained by a member of the Company Group, member of the SpinCo Group, or Gold on the part of any Employee or Former Employee.</w:t>
      </w:r>
    </w:p>
    <w:p>
      <w:pPr>
        <w:spacing w:after="0" w:line="140" w:lineRule="exact"/>
        <w:rPr>
          <w:rFonts w:ascii="Times New Roman" w:cs="Times New Roman" w:eastAsia="Times New Roman" w:hAnsi="Times New Roman"/>
          <w:sz w:val="14"/>
          <w:szCs w:val="14"/>
          <w:color w:val="auto"/>
        </w:rPr>
      </w:pPr>
    </w:p>
    <w:p>
      <w:pPr>
        <w:ind w:left="220" w:right="519" w:firstLine="767"/>
        <w:spacing w:after="0" w:line="261" w:lineRule="auto"/>
        <w:tabs>
          <w:tab w:leader="none" w:pos="1159" w:val="left"/>
        </w:tabs>
        <w:numPr>
          <w:ilvl w:val="0"/>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Transition Services</w:t>
      </w:r>
      <w:r>
        <w:rPr>
          <w:rFonts w:ascii="Times New Roman" w:cs="Times New Roman" w:eastAsia="Times New Roman" w:hAnsi="Times New Roman"/>
          <w:sz w:val="14"/>
          <w:szCs w:val="14"/>
          <w:color w:val="auto"/>
        </w:rPr>
        <w:t>. The Parties acknowledge that the Company Group or the SpinCo Group may provide administrative or other benefit-related services for certain of the other Party’s compensation and benefit programs for a transitional period under the terms of the Transition Services Agreement. The Parties agree to enter into a customary business associate agreement (if required by HIPAA or other applicable health information privacy Laws) in connection with such Transition Services Agreement.</w:t>
      </w:r>
    </w:p>
    <w:p>
      <w:pPr>
        <w:spacing w:after="0" w:line="140" w:lineRule="exact"/>
        <w:rPr>
          <w:rFonts w:ascii="Times New Roman" w:cs="Times New Roman" w:eastAsia="Times New Roman" w:hAnsi="Times New Roman"/>
          <w:sz w:val="14"/>
          <w:szCs w:val="14"/>
          <w:color w:val="auto"/>
        </w:rPr>
      </w:pPr>
    </w:p>
    <w:p>
      <w:pPr>
        <w:ind w:left="1160" w:hanging="173"/>
        <w:spacing w:after="0"/>
        <w:tabs>
          <w:tab w:leader="none" w:pos="1160" w:val="left"/>
        </w:tabs>
        <w:numPr>
          <w:ilvl w:val="0"/>
          <w:numId w:val="5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Beneficiaries</w:t>
      </w:r>
      <w:r>
        <w:rPr>
          <w:rFonts w:ascii="Times New Roman" w:cs="Times New Roman" w:eastAsia="Times New Roman" w:hAnsi="Times New Roman"/>
          <w:sz w:val="14"/>
          <w:szCs w:val="14"/>
          <w:color w:val="auto"/>
        </w:rPr>
        <w:t>. References to SpinCo Group Employees, Company Group Employees, Former Employees and current and former</w:t>
      </w:r>
    </w:p>
    <w:p>
      <w:pPr>
        <w:spacing w:after="0" w:line="22" w:lineRule="exact"/>
        <w:rPr>
          <w:sz w:val="20"/>
          <w:szCs w:val="20"/>
          <w:color w:val="auto"/>
        </w:rPr>
      </w:pPr>
    </w:p>
    <w:p>
      <w:pPr>
        <w:ind w:left="220" w:right="359"/>
        <w:spacing w:after="0" w:line="261" w:lineRule="auto"/>
        <w:rPr>
          <w:sz w:val="20"/>
          <w:szCs w:val="20"/>
          <w:color w:val="auto"/>
        </w:rPr>
      </w:pPr>
      <w:r>
        <w:rPr>
          <w:rFonts w:ascii="Times New Roman" w:cs="Times New Roman" w:eastAsia="Times New Roman" w:hAnsi="Times New Roman"/>
          <w:sz w:val="14"/>
          <w:szCs w:val="14"/>
          <w:color w:val="auto"/>
        </w:rPr>
        <w:t>non-employee directors of either the Company or SpinCo shall be deemed to refer to their beneficiaries, dependents, survivors and alternate payees, as applicable and appropriate.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558" w:name="page559"/>
    <w:bookmarkEnd w:id="55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ASSIGNMENT OF EMPLOYEES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Transfer of Employees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19" w:firstLine="767"/>
        <w:spacing w:after="0" w:line="252" w:lineRule="auto"/>
        <w:tabs>
          <w:tab w:leader="none" w:pos="1182" w:val="left"/>
        </w:tabs>
        <w:numPr>
          <w:ilvl w:val="0"/>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and Transfer of Employees; Updates to SpinCo Group Employee Roster</w:t>
      </w:r>
      <w:r>
        <w:rPr>
          <w:rFonts w:ascii="Times New Roman" w:cs="Times New Roman" w:eastAsia="Times New Roman" w:hAnsi="Times New Roman"/>
          <w:sz w:val="14"/>
          <w:szCs w:val="14"/>
          <w:color w:val="auto"/>
        </w:rPr>
        <w:t>. Except as otherwise provided in this Article III, effective as of no later than the Distribution Time and except as otherwise agreed by the Parties, the applicable member of the Company Group shall have taken such actions as are necessary to ensure that (i) each SpinCo Group Employee (other than an Inactive Employee and a SpinCo Delayed Transfer Employee (as defined below)) is employed by a member of the SpinCo Group as of immediately after the Distribution Time, and (ii) each Company Group Employee is employed by a member of the Company Group as of immediately after the Distribution Time. Each of the Parties agrees to execute, and to seek to have the applicable Employees execute, such documentation, if any, as may be reasonably necessary to reflect such assignment and/or transfer (including automatic transfer, transfer via tripartite transfer agreement, offer and acceptance or any other applicable transfer mechanism). The Company and SpinCo shall, and shall use commercially reasonable efforts to cause their respective Affiliates to, not take any action designed to encourage any individual who would be a SpinCo Group Employee or any Company Group Employee to terminate employment or reject or otherwise resist a transfer of employment to the SpinCo Group or the Company Group, as applicable. With respect to any Declining SpinCo Employee, prior to the Distribution Time, the Company shall, or shall cause its applicable Affiliate to, promptly terminate the employment of such individual, in which case any Liability for severance or similar compensation or benefits arising from such termination shall be a SpinCo Liability. With respect to any Declining Company Group Employee, prior to the Distribution Time, SpinCo shall, or shall cause its applicable Affiliate to, promptly terminate the employment of such individual, in which case any Liability for severance or similar compensation or benefits arising from such termination shall be a Company Liability. Between the date hereof and the Closing Date, no less frequently than once per quarter, the Company Group shall provide Gold with an updated SpinCo Group Employee Roster, which update shall include any new hires and employment terminations. Additionally, between the date hereof and the Closing Date, the Company Group agrees that it will reasonably cooperate with Gold in its efforts to recruit for and fill open positions necessary to run the SpinCo Group Business following the Distribution Time (including providing information regarding open positions as reasonably requested by Gold in accordance with applicable Law and the Transaction Documents), it being understood that this sentence shall not be construed as limiting any applicable restrictions on Gold’s ability to solicit employees of the Company Group or as requiring the Company Group to cooperate with Gold’s solicitation of employees of the Company Group.</w:t>
      </w:r>
    </w:p>
    <w:p>
      <w:pPr>
        <w:spacing w:after="0" w:line="150" w:lineRule="exact"/>
        <w:rPr>
          <w:rFonts w:ascii="Times New Roman" w:cs="Times New Roman" w:eastAsia="Times New Roman" w:hAnsi="Times New Roman"/>
          <w:sz w:val="14"/>
          <w:szCs w:val="14"/>
          <w:color w:val="auto"/>
        </w:rPr>
      </w:pPr>
    </w:p>
    <w:p>
      <w:pPr>
        <w:ind w:left="220" w:right="259" w:firstLine="767"/>
        <w:spacing w:after="0" w:line="257" w:lineRule="auto"/>
        <w:tabs>
          <w:tab w:leader="none" w:pos="1190" w:val="left"/>
        </w:tabs>
        <w:numPr>
          <w:ilvl w:val="0"/>
          <w:numId w:val="5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Employees with Work Visas or Permits</w:t>
      </w:r>
      <w:r>
        <w:rPr>
          <w:rFonts w:ascii="Times New Roman" w:cs="Times New Roman" w:eastAsia="Times New Roman" w:hAnsi="Times New Roman"/>
          <w:sz w:val="14"/>
          <w:szCs w:val="14"/>
          <w:color w:val="auto"/>
        </w:rPr>
        <w:t xml:space="preserve">. Notwithstanding anything to the contrary in this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any SpinCo Group Employee who, immediately prior to the Distribution Time, is unable to transfer to the SpinCo Group due to a work or training visa or permit that authorizes employment only by a member of the Company Group, shall remain employed by such member of the Company Group following the Distribution Time until the visa or permit is amended or transferred or a new visa or permit is granted to authorize employment by a member of the SpinCo Group. Any such SpinCo Group Employee shall be treated as a SpinCo Delayed Transfer Employee for purposes of this Agreement. As of the Distribution Time, to the extent not otherwise required for purposes of the individual’s continued employment with the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559" w:name="page560"/>
    <w:bookmarkEnd w:id="559"/>
    <w:p>
      <w:pPr>
        <w:ind w:left="220" w:right="3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Company Group, the applicable member of the Company Group shall cease to serve, and SpinCo shall commence to serve, as the sponsoring and petitioning employer for U.S. immigration law purposes with respect to such SpinCo Delayed Transfer Employees. The Company Group will use reasonable best efforts to assist the SpinCo Group in obtaining the amendment or transfer of any such visa or permit, including by providing SpinCo with necessary information. SpinCo shall assume all immigration-related obligations and liabilities that arise in connection with the submission of petitions, applications or other filings to certain US government authorities within the U.S. Department of Homeland Security (U.S. Citizenship and Immigration Services, Immigration and Customs Enforcement, and Customs and Border Protection), the U.S. Department of Labor or the U.S. Department of State (including any U.S. embassy or consular post) requesting the grant of employment-based non-immigrant and immigrant visa benefits on behalf of these persons. The Parties intend that SpinCo or the applicable member of the SpinCo Group (by agreeing to employ any such SpinCo Group Employees and agreeing, as a sponsoring employer, to assume the immigration-related obligations and liabilities described above) shall be considered the successor in interest to the applicable member of the Company Group for U.S. immigration law.</w:t>
      </w:r>
    </w:p>
    <w:p>
      <w:pPr>
        <w:spacing w:after="0" w:line="146" w:lineRule="exact"/>
        <w:rPr>
          <w:sz w:val="20"/>
          <w:szCs w:val="20"/>
          <w:color w:val="auto"/>
        </w:rPr>
      </w:pPr>
    </w:p>
    <w:p>
      <w:pPr>
        <w:ind w:left="220" w:right="219" w:firstLine="767"/>
        <w:spacing w:after="0" w:line="253" w:lineRule="auto"/>
        <w:tabs>
          <w:tab w:leader="none" w:pos="1182"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Inactive Employees</w:t>
      </w:r>
      <w:r>
        <w:rPr>
          <w:rFonts w:ascii="Times New Roman" w:cs="Times New Roman" w:eastAsia="Times New Roman" w:hAnsi="Times New Roman"/>
          <w:sz w:val="14"/>
          <w:szCs w:val="14"/>
          <w:color w:val="auto"/>
        </w:rPr>
        <w:t xml:space="preserve">. Each SpinCo Group Employee who is on short-term or long-term disability under a Company Benefit Plan, in each case, as of the Distribution Time (or, if later, the end date of the applicable benefits coverage pursuant to the Transition Services Agreement) (each, an </w:t>
      </w:r>
      <w:r>
        <w:rPr>
          <w:rFonts w:ascii="Times New Roman" w:cs="Times New Roman" w:eastAsia="Times New Roman" w:hAnsi="Times New Roman"/>
          <w:sz w:val="14"/>
          <w:szCs w:val="14"/>
          <w:u w:val="single" w:color="auto"/>
          <w:color w:val="auto"/>
        </w:rPr>
        <w:t>“Inactive Employee</w:t>
      </w:r>
      <w:r>
        <w:rPr>
          <w:rFonts w:ascii="Times New Roman" w:cs="Times New Roman" w:eastAsia="Times New Roman" w:hAnsi="Times New Roman"/>
          <w:sz w:val="14"/>
          <w:szCs w:val="14"/>
          <w:color w:val="auto"/>
        </w:rPr>
        <w:t xml:space="preserve">”) shall become or remain, as applicable, an employee of the Company or one of its Affiliates (other than the SpinCo Group) as of the Distribution Time. If an Inactive Employee presents himself or herself for active employment within six (6) months following the Distribution Time, effective on such date the Company shall promptly notify Gold of such Inactive Employee’s return to active employment, and the Parties shall cooperate in good faith to cause such Inactive Employee to commence employment with a member of the SpinCo Group upon such date in such a manner that, to the maximum extent possible under applicable Law, does not trigger the right of such Inactive Employee to redundancy, termination or similar pay and is otherwise consistent with the terms and conditions of this Agreement and applicable Law or Labor Agreement, and, in respect of any such Inactive Employee, unless otherwise specified, references to “Distribution Time,” “Distribution Date” and “Effective Time” throughout this Agreement (including, without limitation, for purposes of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but excluding </w:t>
      </w: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xml:space="preserve">) shall be treated as references to the first date and time at which the applicable Inactive Employee’s employment commences with or transfers to a member of the SpinCo Group. In furtherance of the foregoing, Gold shall, or shall cause one of its Affiliates (including, following the Closing, SpinCo) to, offer employment to the applicable Inactive Employee on terms consistent with the requirements of </w:t>
      </w: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xml:space="preserve"> with such employment to be effective as of the date on which he or she commences active employment with Gold or such Affiliate.</w:t>
      </w:r>
    </w:p>
    <w:p>
      <w:pPr>
        <w:spacing w:after="0" w:line="145" w:lineRule="exact"/>
        <w:rPr>
          <w:rFonts w:ascii="Times New Roman" w:cs="Times New Roman" w:eastAsia="Times New Roman" w:hAnsi="Times New Roman"/>
          <w:sz w:val="14"/>
          <w:szCs w:val="14"/>
          <w:color w:val="auto"/>
        </w:rPr>
      </w:pPr>
    </w:p>
    <w:p>
      <w:pPr>
        <w:ind w:left="220" w:right="239" w:firstLine="767"/>
        <w:spacing w:after="0" w:line="257" w:lineRule="auto"/>
        <w:tabs>
          <w:tab w:leader="none" w:pos="1190" w:val="left"/>
        </w:tabs>
        <w:numPr>
          <w:ilvl w:val="0"/>
          <w:numId w:val="5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At-Will Status</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color w:val="auto"/>
        </w:rPr>
        <w:t xml:space="preserve"> Nothing in this Agreement shall create any obligation on the part of any member of the Company Group or any member of the SpinCo Group to (i) continue the employment of any Employee or permit the return from a leave of absence for any period after the date of this Agreement (except as required by applicable Law) or (ii) change the employment status of any Employee from “at-will,” to the extent that such Employee is an “at-will” employee under applicable Law. Except as provided in this Agreement, this Agreement shall not limit the ability of the Company Group or the SpinCo Group to change the position, compensation or benefits of any Employees for performance-related, business or any other reason.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560" w:name="page561"/>
    <w:bookmarkEnd w:id="560"/>
    <w:p>
      <w:pPr>
        <w:ind w:left="220" w:right="319" w:firstLine="767"/>
        <w:spacing w:after="0" w:line="254" w:lineRule="auto"/>
        <w:tabs>
          <w:tab w:leader="none" w:pos="1182"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Severance</w:t>
      </w:r>
      <w:r>
        <w:rPr>
          <w:rFonts w:ascii="Times New Roman" w:cs="Times New Roman" w:eastAsia="Times New Roman" w:hAnsi="Times New Roman"/>
          <w:sz w:val="14"/>
          <w:szCs w:val="14"/>
          <w:color w:val="auto"/>
        </w:rPr>
        <w:t xml:space="preserve">. The Parties acknowledge and agree that the Separation, the Distribution and the assignment, transfer or continuation of the employment of Employees as contemplated by this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shall not be deemed a termination of employment entitling any SpinCo Group Employee or Company Group Employee to severance, termination indemnities or other similar payments or benefits, except as otherwise required by applicable Laws. Without limiting the generality of the foregoing or of </w:t>
      </w: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xml:space="preserve">, the Company and its Affiliates (prior to the Closing) and Gold and its Affiliates (on and after the Closing) shall take such actions as are necessary to ensure that terms and conditions of employment for SpinCo Group Employees located in jurisdictions outside of the United States are sufficient to avoid triggering severance, termination indemnities or other similar payments or benefits in connection with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however, that in no event shall the SpinCo Group or Gold or its Affiliates be required to increase the compensation or benefits of any individual to avoid such severance, termination indemnities or other similar payments or benefits.</w:t>
      </w:r>
    </w:p>
    <w:p>
      <w:pPr>
        <w:spacing w:after="0" w:line="148" w:lineRule="exact"/>
        <w:rPr>
          <w:rFonts w:ascii="Times New Roman" w:cs="Times New Roman" w:eastAsia="Times New Roman" w:hAnsi="Times New Roman"/>
          <w:sz w:val="14"/>
          <w:szCs w:val="14"/>
          <w:color w:val="auto"/>
        </w:rPr>
      </w:pPr>
    </w:p>
    <w:p>
      <w:pPr>
        <w:ind w:left="220" w:right="279" w:firstLine="767"/>
        <w:spacing w:after="0" w:line="256" w:lineRule="auto"/>
        <w:tabs>
          <w:tab w:leader="none" w:pos="1167" w:val="left"/>
        </w:tabs>
        <w:numPr>
          <w:ilvl w:val="0"/>
          <w:numId w:val="5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Payroll and Related Taxes</w:t>
      </w:r>
      <w:r>
        <w:rPr>
          <w:rFonts w:ascii="Times New Roman" w:cs="Times New Roman" w:eastAsia="Times New Roman" w:hAnsi="Times New Roman"/>
          <w:sz w:val="14"/>
          <w:szCs w:val="14"/>
          <w:color w:val="auto"/>
        </w:rPr>
        <w:t>. SpinCo shall (i) be responsible for all payroll obligations, Tax withholding and reporting obligations, and associated government audit assessments; and (ii) furnish a Form W-2 or similar earnings statement, in each case, for all Employees employed by a member of the SpinCo Group with respect to the period during which they were employed by a member of the SpinCo Group before the Distribution Date and for all SpinCo Group Employees following the Distribution Time. The Company shall (A) be responsible for all payroll obligations, Tax withholding and reporting obligations, and associated government audit assessments; and (B) furnish a Form W-2 or similar earnings statement, in each case, for all Employees employed by a member of the Company Group with respect to the period during which they were employed by a member of the Company Group before Distribution Date and for all Company Group Employees following the Distribution Time.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u w:val="single" w:color="auto"/>
          <w:color w:val="auto"/>
        </w:rPr>
        <w:t>Individual Agreements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767"/>
        <w:spacing w:after="0" w:line="253" w:lineRule="auto"/>
        <w:tabs>
          <w:tab w:leader="none" w:pos="1182" w:val="left"/>
        </w:tabs>
        <w:numPr>
          <w:ilvl w:val="0"/>
          <w:numId w:val="5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by the Company</w:t>
      </w:r>
      <w:r>
        <w:rPr>
          <w:rFonts w:ascii="Times New Roman" w:cs="Times New Roman" w:eastAsia="Times New Roman" w:hAnsi="Times New Roman"/>
          <w:sz w:val="14"/>
          <w:szCs w:val="14"/>
          <w:color w:val="auto"/>
        </w:rPr>
        <w:t xml:space="preserve">. The Company shall assign, or cause an applicable member of the Company Group to assign, to SpinCo or another member of the SpinCo Group, as designated by SpinCo, Individual Agreements, with such assignment to be effective as of no later than the Distribution Date; </w:t>
      </w: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xml:space="preserve">, that to the extent that assignment of any such Individual Agreement is not permitted by the terms of such agreement or by applicable Law, effective as of the Distribution Date, each member of the SpinCo Group shall be considered to be a successor to each member of the Company Group, for purposes of, and a third-party beneficiary with respect to, such agreement, such that each member of the SpinCo Group shall enjoy all of the rights and benefits under such agreement (including rights and benefits as a third-party beneficiary), with respect to the business operations of the SpinCo Group;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that in no event shall the Company Group be permitted to enforce any Individual Agreement (including any agreement containing non-competition or non-solicitation covenants) against a SpinCo Group Employee for action taken in such individual’s capacity as a SpinCo Group Employee other than on behalf of the SpinCo Group as requested by the SpinCo Group in its capacity as a third-party beneficiary. Notwithstanding the foregoing, in no event shall any member of the SpinCo Group be required to assume any Individual Agreement (i) with an employee with annual compensation in excess of $250,000, (ii) that provides for retention, transaction or change in control payments and is not issued, entered into or granted pursuant to the “Retention Scheme” (as defined in the SpinCo Disclosure Letter to the Merger Agreement), or (iii) that provides for employment that cannot be terminated on less than 30 days’ notice, unless that Individual Agreement, or a materially similar form agreement, has been made available to Gold in accordance with and prior to the date of the Merger Agreement.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561" w:name="page562"/>
    <w:bookmarkEnd w:id="561"/>
    <w:p>
      <w:pPr>
        <w:ind w:left="220" w:right="359" w:firstLine="767"/>
        <w:spacing w:after="0" w:line="283" w:lineRule="auto"/>
        <w:tabs>
          <w:tab w:leader="none" w:pos="1190" w:val="left"/>
        </w:tabs>
        <w:numPr>
          <w:ilvl w:val="0"/>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Assumption by SpinCo</w:t>
      </w:r>
      <w:r>
        <w:rPr>
          <w:rFonts w:ascii="Times New Roman" w:cs="Times New Roman" w:eastAsia="Times New Roman" w:hAnsi="Times New Roman"/>
          <w:sz w:val="14"/>
          <w:szCs w:val="14"/>
          <w:color w:val="auto"/>
        </w:rPr>
        <w:t xml:space="preserve">. Effective as of no later than the Distribution Date, to the extent assigned pursuant to </w:t>
      </w:r>
      <w:r>
        <w:rPr>
          <w:rFonts w:ascii="Times New Roman" w:cs="Times New Roman" w:eastAsia="Times New Roman" w:hAnsi="Times New Roman"/>
          <w:sz w:val="14"/>
          <w:szCs w:val="14"/>
          <w:u w:val="single" w:color="auto"/>
          <w:color w:val="auto"/>
        </w:rPr>
        <w:t>Section 3.02(a)</w:t>
      </w:r>
      <w:r>
        <w:rPr>
          <w:rFonts w:ascii="Times New Roman" w:cs="Times New Roman" w:eastAsia="Times New Roman" w:hAnsi="Times New Roman"/>
          <w:sz w:val="14"/>
          <w:szCs w:val="14"/>
          <w:color w:val="auto"/>
        </w:rPr>
        <w:t>, SpinCo shall or shall cause the members of the SpinCo Group to, assume and honor any Individual Agreement.</w:t>
      </w:r>
    </w:p>
    <w:p>
      <w:pPr>
        <w:spacing w:after="0" w:line="124" w:lineRule="exact"/>
        <w:rPr>
          <w:rFonts w:ascii="Times New Roman" w:cs="Times New Roman" w:eastAsia="Times New Roman" w:hAnsi="Times New Roman"/>
          <w:sz w:val="14"/>
          <w:szCs w:val="14"/>
          <w:color w:val="auto"/>
        </w:rPr>
      </w:pPr>
    </w:p>
    <w:p>
      <w:pPr>
        <w:ind w:left="220" w:right="279" w:firstLine="767"/>
        <w:spacing w:after="0" w:line="258" w:lineRule="auto"/>
        <w:tabs>
          <w:tab w:leader="none" w:pos="1182" w:val="left"/>
        </w:tabs>
        <w:numPr>
          <w:ilvl w:val="0"/>
          <w:numId w:val="5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Patten Offer Letter</w:t>
      </w:r>
      <w:r>
        <w:rPr>
          <w:rFonts w:ascii="Times New Roman" w:cs="Times New Roman" w:eastAsia="Times New Roman" w:hAnsi="Times New Roman"/>
          <w:sz w:val="14"/>
          <w:szCs w:val="14"/>
          <w:color w:val="auto"/>
        </w:rPr>
        <w:t>. The Parties acknowledge and agree that the offer letter between the Company and Jeremy Patten, dated August 26, 2025 (the “</w:t>
      </w:r>
      <w:r>
        <w:rPr>
          <w:rFonts w:ascii="Times New Roman" w:cs="Times New Roman" w:eastAsia="Times New Roman" w:hAnsi="Times New Roman"/>
          <w:sz w:val="14"/>
          <w:szCs w:val="14"/>
          <w:u w:val="single" w:color="auto"/>
          <w:color w:val="auto"/>
        </w:rPr>
        <w:t>Patten Letter</w:t>
      </w:r>
      <w:r>
        <w:rPr>
          <w:rFonts w:ascii="Times New Roman" w:cs="Times New Roman" w:eastAsia="Times New Roman" w:hAnsi="Times New Roman"/>
          <w:sz w:val="14"/>
          <w:szCs w:val="14"/>
          <w:color w:val="auto"/>
        </w:rPr>
        <w:t>”) shall similarly be assigned to SpinCo no later than the Distribution Date. The parties further acknowledge and agree that the consummation of the transactions contemplated by the Merger Agreement will constitute a “change in control” for purposes of Section 11 of the Patten Letter. Nothing in this Section 3.02(c) shall be constructed to create any rights or benefits beyond those expressly provided under the Patten Letter or entitle Mr. Patten to duplicative payments or benefits in connection with the transactions contemplated by the Merger Agreement.</w:t>
      </w:r>
    </w:p>
    <w:p>
      <w:pPr>
        <w:spacing w:after="0" w:line="144"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3.03. </w:t>
      </w:r>
      <w:r>
        <w:rPr>
          <w:rFonts w:ascii="Times New Roman" w:cs="Times New Roman" w:eastAsia="Times New Roman" w:hAnsi="Times New Roman"/>
          <w:sz w:val="14"/>
          <w:szCs w:val="14"/>
          <w:u w:val="single" w:color="auto"/>
          <w:color w:val="auto"/>
        </w:rPr>
        <w:t>SpinCo Delayed Transfer Employees</w:t>
      </w:r>
      <w:r>
        <w:rPr>
          <w:rFonts w:ascii="Times New Roman" w:cs="Times New Roman" w:eastAsia="Times New Roman" w:hAnsi="Times New Roman"/>
          <w:sz w:val="14"/>
          <w:szCs w:val="14"/>
          <w:color w:val="auto"/>
        </w:rPr>
        <w:t>. In the case of a SpinCo Group Employee who is employed by a member of the Company Group as of immediately prior to the Distribution Time and whose employment cannot commence with, or be transferred to, the SpinCo Group or whose transfer of employment to the SpinCo Group is otherwise delayed (other than a Declining SpinCo Employee) (a “</w:t>
      </w:r>
      <w:r>
        <w:rPr>
          <w:rFonts w:ascii="Times New Roman" w:cs="Times New Roman" w:eastAsia="Times New Roman" w:hAnsi="Times New Roman"/>
          <w:sz w:val="14"/>
          <w:szCs w:val="14"/>
          <w:u w:val="single" w:color="auto"/>
          <w:color w:val="auto"/>
        </w:rPr>
        <w:t>SpinCo Delayed Transfer Employee”),</w:t>
      </w:r>
      <w:r>
        <w:rPr>
          <w:rFonts w:ascii="Times New Roman" w:cs="Times New Roman" w:eastAsia="Times New Roman" w:hAnsi="Times New Roman"/>
          <w:sz w:val="14"/>
          <w:szCs w:val="14"/>
          <w:color w:val="auto"/>
        </w:rPr>
        <w:t xml:space="preserve"> the Parties shall cooperate in good faith (including entering into any leasing or other agreements, as permitted by applicable Law) to cause such SpinCo Delayed Transfer Employee to provide services to the SpinCo Group and cause the SpinCo Group to, subject to applicable Law, have day-to-day operational control while remaining employed by the Company Group until such time as such SpinCo Delayed Transfer Employee’s employment can be transferred to the SpinCo Group or otherwise terminates with the Company Group. The Parties shall cooperate in good faith to cause each SpinCo Delayed Transfer Employee to commence employment with a member of the SpinCo Group as soon as reasonably practicable following the Distribution Date as permitted by applicable Law in such a manner that, to the maximum extent possible under applicable Law, does not trigger the right of such SpinCo Group Employee to redundancy, severance, termination or similar pay and is otherwise consistent with the terms and conditions of this Agreement and applicable Law or Labor Agreement. In respect of the SpinCo Delayed Transfer Employees, unless otherwise specified, references to “Distribution Time,” “Distribution Date” and “Effective Time” throughout this Agreement (other than in Section 2.02) (including, without limitation, for purposes of Section 4.01) shall be treated as references to the first date and time at which the applicable SpinCo Delayed Transfer Employee’s employment commences with or transfers to a member of the SpinCo Group.</w:t>
      </w:r>
    </w:p>
    <w:p>
      <w:pPr>
        <w:spacing w:after="0" w:line="147" w:lineRule="exact"/>
        <w:rPr>
          <w:sz w:val="20"/>
          <w:szCs w:val="20"/>
          <w:color w:val="auto"/>
        </w:rPr>
      </w:pPr>
    </w:p>
    <w:p>
      <w:pPr>
        <w:ind w:left="220" w:right="2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Consultation with Labor Representatives; Labor Agreements</w:t>
      </w:r>
      <w:r>
        <w:rPr>
          <w:rFonts w:ascii="Times New Roman" w:cs="Times New Roman" w:eastAsia="Times New Roman" w:hAnsi="Times New Roman"/>
          <w:sz w:val="14"/>
          <w:szCs w:val="14"/>
          <w:color w:val="auto"/>
        </w:rPr>
        <w:t>.The Parties shall cooperate in order for the Company Group to fulfill any obligations to notify, inform and/or consult with any labor union, works council or other labor representative regarding the Transactions to the extent required by Law or a Labor Agreement, and the Company Group agrees to take all actions reasonably necessary to fulfill such obligations. No later than as of immediately before the Distribution Time, (a) SpinCo shall have taken, or caused another member of the SpinCo Group to take, all actions that are necessary (if any) for SpinCo or another member of the SpinCo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1" w:right="1440" w:bottom="1440" w:gutter="0" w:footer="0" w:header="0"/>
        </w:sectPr>
      </w:pPr>
    </w:p>
    <w:bookmarkStart w:id="562" w:name="page563"/>
    <w:bookmarkEnd w:id="562"/>
    <w:p>
      <w:pPr>
        <w:ind w:left="220" w:right="2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Group to (i) assume any Labor Agreements in effect with respect to SpinCo Group Employees (excluding obligations thereunder with respect to any Company Group Employees or Former Employees, to the extent applicable) and (ii) unless otherwise provided in this Agreement, assume and honor any obligations of the Company Group under any Labor Agreements as such obligations relate to SpinCo Group Employees, and (b) the Company shall have taken, or caused another member of the Company Group to take, all actions that are necessary (if any) for the Company or another member of the Company Group to (i) assume any Labor Agreements in effect with respect to Company Employees and Former Employees (excluding obligations thereunder with respect to any SpinCo Group Employees) and (ii) unless otherwise provided in this Agreement, assume and honor any obligations of the SpinCo Group under any Labor Agreements as such obligations relate to Company Group Employees and Former Employees.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EQUITY AND OTHER INCENTIVE COMPENSATION</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Equity Incentive Awards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767"/>
        <w:spacing w:after="0" w:line="257" w:lineRule="auto"/>
        <w:tabs>
          <w:tab w:leader="none" w:pos="1182" w:val="left"/>
        </w:tabs>
        <w:numPr>
          <w:ilvl w:val="0"/>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Awards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Option Awards</w:t>
      </w:r>
      <w:r>
        <w:rPr>
          <w:rFonts w:ascii="Times New Roman" w:cs="Times New Roman" w:eastAsia="Times New Roman" w:hAnsi="Times New Roman"/>
          <w:sz w:val="14"/>
          <w:szCs w:val="14"/>
          <w:color w:val="auto"/>
        </w:rPr>
        <w:t xml:space="preserve">. Each Company Option Award that is outstanding as of immediately prior to the Distribution Time (whether vested or unvested) and that is held by a SpinCo Group Employee shall be converted, as of the Effective Time, into an Gold Option Award and shall, except as otherwise provided in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be subject to the same terms and conditions (including with respect to vesting and expiration) after the Effective Time as were applicable to such Company Option Award immediately prior to the Distribution Time (with such administrative and non-substantive changes as Gold determines are reasonably required to reflect the transactions contemplated by this Agreement, the Separation Agreement and/or Merger Agreement); </w:t>
      </w: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that from and after the Effective Time:</w:t>
      </w:r>
    </w:p>
    <w:p>
      <w:pPr>
        <w:spacing w:after="0" w:line="58" w:lineRule="exact"/>
        <w:rPr>
          <w:rFonts w:ascii="Times New Roman" w:cs="Times New Roman" w:eastAsia="Times New Roman" w:hAnsi="Times New Roman"/>
          <w:sz w:val="14"/>
          <w:szCs w:val="14"/>
          <w:color w:val="auto"/>
        </w:rPr>
      </w:pPr>
    </w:p>
    <w:p>
      <w:pPr>
        <w:ind w:left="980" w:right="279" w:firstLine="319"/>
        <w:spacing w:after="0" w:line="267" w:lineRule="auto"/>
        <w:tabs>
          <w:tab w:leader="none" w:pos="1459" w:val="left"/>
        </w:tabs>
        <w:numPr>
          <w:ilvl w:val="1"/>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number of shares of Gold Common Stock underlying such Gold Option Award shall be equal to the product, rounded down to the nearest whole share, of (A) the number of shares of Company Common Stock subject to the corresponding Company Option Award immediately prior to the Distribution Time,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(B) the Equity Award Exchange Ratio; and</w:t>
      </w:r>
    </w:p>
    <w:p>
      <w:pPr>
        <w:spacing w:after="0" w:line="51" w:lineRule="exact"/>
        <w:rPr>
          <w:rFonts w:ascii="Times New Roman" w:cs="Times New Roman" w:eastAsia="Times New Roman" w:hAnsi="Times New Roman"/>
          <w:sz w:val="14"/>
          <w:szCs w:val="14"/>
          <w:color w:val="auto"/>
        </w:rPr>
      </w:pPr>
    </w:p>
    <w:p>
      <w:pPr>
        <w:ind w:left="980" w:right="359" w:firstLine="319"/>
        <w:spacing w:after="0" w:line="267" w:lineRule="auto"/>
        <w:tabs>
          <w:tab w:leader="none" w:pos="1498" w:val="left"/>
        </w:tabs>
        <w:numPr>
          <w:ilvl w:val="1"/>
          <w:numId w:val="5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per-share exercise price of such Gold Option Award shall be equal to the quotient, rounded up to the nearest cent, of (A) the per-share exercise price of the corresponding Company Option Award immediately prior to the Distribution Time,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(B) the Equity Award Exchange Ratio.</w:t>
      </w:r>
    </w:p>
    <w:p>
      <w:pPr>
        <w:spacing w:after="0" w:line="136" w:lineRule="exact"/>
        <w:rPr>
          <w:sz w:val="20"/>
          <w:szCs w:val="20"/>
          <w:color w:val="auto"/>
        </w:rPr>
      </w:pPr>
    </w:p>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4.01(a)</w:t>
      </w:r>
      <w:r>
        <w:rPr>
          <w:rFonts w:ascii="Times New Roman" w:cs="Times New Roman" w:eastAsia="Times New Roman" w:hAnsi="Times New Roman"/>
          <w:sz w:val="14"/>
          <w:szCs w:val="14"/>
          <w:color w:val="auto"/>
        </w:rPr>
        <w:t>, the exercise price, the number of shares of Gold Common Stock underlying each Gold Option Award and the terms and conditions of exercise of such awards shall be determined in a manner consistent with the requirements of Sections 424 and 409A of the Code.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563" w:name="page564"/>
    <w:bookmarkEnd w:id="563"/>
    <w:p>
      <w:pPr>
        <w:ind w:left="220" w:right="259" w:firstLine="767"/>
        <w:spacing w:after="0" w:line="255" w:lineRule="auto"/>
        <w:tabs>
          <w:tab w:leader="none" w:pos="1190"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RSU Awards</w:t>
      </w:r>
      <w:r>
        <w:rPr>
          <w:rFonts w:ascii="Times New Roman" w:cs="Times New Roman" w:eastAsia="Times New Roman" w:hAnsi="Times New Roman"/>
          <w:sz w:val="14"/>
          <w:szCs w:val="14"/>
          <w:color w:val="auto"/>
        </w:rPr>
        <w:t xml:space="preserve">. Each Company RSU Award that is outstanding as of immediately prior to the Distribution Time (whether vested or unvested) and that is held by a SpinCo Group Employee shall be converted, as of the Effective Time, into an Gold RSU Award and shall, except as otherwise provided in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be subject to the same terms and conditions (including with respect to settlement and vesting) after the Effective Time as were applicable to such Company RSU Award immediately prior to the Distribution Time (with such administrative and non-substantive changes as Gold determines are reasonably required to reflect the transactions contemplated by this Agreement, the Separation Agreement and/or Merger Agreement); p</w:t>
      </w:r>
      <w:r>
        <w:rPr>
          <w:rFonts w:ascii="Times New Roman" w:cs="Times New Roman" w:eastAsia="Times New Roman" w:hAnsi="Times New Roman"/>
          <w:sz w:val="14"/>
          <w:szCs w:val="14"/>
          <w:u w:val="single" w:color="auto"/>
          <w:color w:val="auto"/>
        </w:rPr>
        <w:t>rovided, however</w:t>
      </w:r>
      <w:r>
        <w:rPr>
          <w:rFonts w:ascii="Times New Roman" w:cs="Times New Roman" w:eastAsia="Times New Roman" w:hAnsi="Times New Roman"/>
          <w:sz w:val="14"/>
          <w:szCs w:val="14"/>
          <w:color w:val="auto"/>
        </w:rPr>
        <w:t xml:space="preserve">, that from and after the Effective Time, the number of shares of Gold Common Stock subject to such Gold RSU Award shall be equal to the product, rounded to the nearest whole share, of (i) the number of shares of Company Common Stock subject to the corresponding Company RSU Award immediately prior to the Distribution Time,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Equity Award Exchange Ratio.</w:t>
      </w:r>
    </w:p>
    <w:p>
      <w:pPr>
        <w:spacing w:after="0" w:line="145" w:lineRule="exact"/>
        <w:rPr>
          <w:rFonts w:ascii="Times New Roman" w:cs="Times New Roman" w:eastAsia="Times New Roman" w:hAnsi="Times New Roman"/>
          <w:sz w:val="14"/>
          <w:szCs w:val="14"/>
          <w:color w:val="auto"/>
        </w:rPr>
      </w:pPr>
    </w:p>
    <w:p>
      <w:pPr>
        <w:ind w:left="220" w:right="239" w:firstLine="767"/>
        <w:spacing w:after="0" w:line="254" w:lineRule="auto"/>
        <w:tabs>
          <w:tab w:leader="none" w:pos="1182"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PS Awards</w:t>
      </w:r>
      <w:r>
        <w:rPr>
          <w:rFonts w:ascii="Times New Roman" w:cs="Times New Roman" w:eastAsia="Times New Roman" w:hAnsi="Times New Roman"/>
          <w:sz w:val="14"/>
          <w:szCs w:val="14"/>
          <w:color w:val="auto"/>
        </w:rPr>
        <w:t xml:space="preserve">. Each Company PS Award that is outstanding as of immediately prior to the Distribution Time (whether vested or unvested) and that is held by a SpinCo Group Employee shall be converted, as of the Effective Time, into an Gold RSU Award and shall, except as otherwise provided in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be subject to the same terms and conditions (including with respect to settlement and vesting) after the Effective Time as were applicable to such Company PS Award immediately prior to the Distribution Time (except that performance conditions shall no longer apply) (with such administrative and non-substantive changes as Gold determines are reasonably required to reflect the transactions contemplated by this Agreement, the Separation Agreement and/or Merger Agreement); </w:t>
      </w:r>
      <w:r>
        <w:rPr>
          <w:rFonts w:ascii="Times New Roman" w:cs="Times New Roman" w:eastAsia="Times New Roman" w:hAnsi="Times New Roman"/>
          <w:sz w:val="14"/>
          <w:szCs w:val="14"/>
          <w:u w:val="single" w:color="auto"/>
          <w:color w:val="auto"/>
        </w:rPr>
        <w:t>provided, however</w:t>
      </w:r>
      <w:r>
        <w:rPr>
          <w:rFonts w:ascii="Times New Roman" w:cs="Times New Roman" w:eastAsia="Times New Roman" w:hAnsi="Times New Roman"/>
          <w:sz w:val="14"/>
          <w:szCs w:val="14"/>
          <w:color w:val="auto"/>
        </w:rPr>
        <w:t xml:space="preserve">, that from and after the Effective Time, the number of shares of Gold Common Stock subject to such Gold RSU Award shall be equal to the product, rounded to the nearest whole share, of (i) the number of shares of Company Common Stock subject to the corresponding Company PS Award immediately prior to the Distribution Time based on the greater of target or actual performance (as determined by the Company Board or a committee thereof in good faith) (except with respect to any Company PS Award granted within twelve (12) months prior to the Distribution Time, which shall be based on target performance),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(ii) the Equity Award Exchange Ratio.</w:t>
      </w:r>
    </w:p>
    <w:p>
      <w:pPr>
        <w:spacing w:after="0" w:line="144" w:lineRule="exact"/>
        <w:rPr>
          <w:rFonts w:ascii="Times New Roman" w:cs="Times New Roman" w:eastAsia="Times New Roman" w:hAnsi="Times New Roman"/>
          <w:sz w:val="14"/>
          <w:szCs w:val="14"/>
          <w:color w:val="auto"/>
        </w:rPr>
      </w:pPr>
    </w:p>
    <w:p>
      <w:pPr>
        <w:ind w:left="220" w:right="319" w:firstLine="767"/>
        <w:spacing w:after="0" w:line="257" w:lineRule="auto"/>
        <w:tabs>
          <w:tab w:leader="none" w:pos="1190"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w:t>
      </w:r>
      <w:r>
        <w:rPr>
          <w:rFonts w:ascii="Times New Roman" w:cs="Times New Roman" w:eastAsia="Times New Roman" w:hAnsi="Times New Roman"/>
          <w:sz w:val="14"/>
          <w:szCs w:val="14"/>
          <w:color w:val="auto"/>
        </w:rPr>
        <w:t xml:space="preserve">. Notwithstanding anything to the contrary in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in the event of a termination of employment as of or within one year following the Effective Time by Gold or any of its Subsidiaries by action of the Gold or its Subsidiaries for a reason other than Cause (as defined in Gold’s 2023 Equity Incentive Plan) of a Specified SpinCo Group Employee (as described on </w:t>
      </w:r>
      <w:r>
        <w:rPr>
          <w:rFonts w:ascii="Times New Roman" w:cs="Times New Roman" w:eastAsia="Times New Roman" w:hAnsi="Times New Roman"/>
          <w:sz w:val="14"/>
          <w:szCs w:val="14"/>
          <w:u w:val="single" w:color="auto"/>
          <w:color w:val="auto"/>
        </w:rPr>
        <w:t>Schedule D)</w:t>
      </w:r>
      <w:r>
        <w:rPr>
          <w:rFonts w:ascii="Times New Roman" w:cs="Times New Roman" w:eastAsia="Times New Roman" w:hAnsi="Times New Roman"/>
          <w:sz w:val="14"/>
          <w:szCs w:val="14"/>
          <w:color w:val="auto"/>
        </w:rPr>
        <w:t xml:space="preserve">, any outstanding and unvested Gold Option Awards and Gold RSU Awards granted to such Specified SpinCo Group Employee pursuant to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that would be eligible to vest in the 12-month period following such termination shall vest and for Gold Option Awards, become immediately exercisable, as of such termination of employment.</w:t>
      </w:r>
    </w:p>
    <w:p>
      <w:pPr>
        <w:spacing w:after="0" w:line="143" w:lineRule="exact"/>
        <w:rPr>
          <w:rFonts w:ascii="Times New Roman" w:cs="Times New Roman" w:eastAsia="Times New Roman" w:hAnsi="Times New Roman"/>
          <w:sz w:val="14"/>
          <w:szCs w:val="14"/>
          <w:color w:val="auto"/>
        </w:rPr>
      </w:pPr>
    </w:p>
    <w:p>
      <w:pPr>
        <w:ind w:left="220" w:right="239" w:firstLine="767"/>
        <w:spacing w:after="0" w:line="258" w:lineRule="auto"/>
        <w:tabs>
          <w:tab w:leader="none" w:pos="1182" w:val="left"/>
        </w:tabs>
        <w:numPr>
          <w:ilvl w:val="0"/>
          <w:numId w:val="5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Awards Held by Company Group Employees, Former Employees and Company Non-Employee Directors</w:t>
      </w:r>
      <w:r>
        <w:rPr>
          <w:rFonts w:ascii="Times New Roman" w:cs="Times New Roman" w:eastAsia="Times New Roman" w:hAnsi="Times New Roman"/>
          <w:sz w:val="14"/>
          <w:szCs w:val="14"/>
          <w:color w:val="auto"/>
        </w:rPr>
        <w:t xml:space="preserve">. Each Company Award that is held by a Company Group Employee, Former Employee or Company Non-Employee Director and that is outstanding immediately prior to the Distribution Time shall remain denominated, as of immediately following the Distribution Time, in shares of Company Common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may adjust the terms of Company Awards (including any applicable performance metrics) as the Company determines, in its sole discretion, to be appropriate to preserve the value of such awards as of immediately prior to and immediately following the Distribution Time.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564" w:name="page565"/>
    <w:bookmarkEnd w:id="564"/>
    <w:p>
      <w:pPr>
        <w:ind w:left="220" w:right="339" w:firstLine="767"/>
        <w:spacing w:after="0" w:line="258" w:lineRule="auto"/>
        <w:tabs>
          <w:tab w:leader="none" w:pos="1167"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Necessary Actions</w:t>
      </w:r>
      <w:r>
        <w:rPr>
          <w:rFonts w:ascii="Times New Roman" w:cs="Times New Roman" w:eastAsia="Times New Roman" w:hAnsi="Times New Roman"/>
          <w:sz w:val="14"/>
          <w:szCs w:val="14"/>
          <w:color w:val="auto"/>
        </w:rPr>
        <w:t xml:space="preserve">. Gold agrees to file or have on file the appropriate registration statements at or promptly following the Effective Time with respect to the shares of Gold Common Stock issuable in respect of the Gold Option Awards and Gold RSU Awards granted in conversion of Company Awards pursuant to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The Parties shall take such additional actions as are deemed necessary or advisable to effectuate the foregoing provisions of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including, to the extent applicable, compliance with securities Laws and other legal requirements associated with equity compensation awards in affected non-U.S. jurisdictions.</w:t>
      </w:r>
    </w:p>
    <w:p>
      <w:pPr>
        <w:spacing w:after="0" w:line="143" w:lineRule="exact"/>
        <w:rPr>
          <w:rFonts w:ascii="Times New Roman" w:cs="Times New Roman" w:eastAsia="Times New Roman" w:hAnsi="Times New Roman"/>
          <w:sz w:val="14"/>
          <w:szCs w:val="14"/>
          <w:color w:val="auto"/>
        </w:rPr>
      </w:pPr>
    </w:p>
    <w:p>
      <w:pPr>
        <w:ind w:left="220" w:right="379" w:firstLine="767"/>
        <w:spacing w:after="0" w:line="283" w:lineRule="auto"/>
        <w:tabs>
          <w:tab w:leader="none" w:pos="1190" w:val="left"/>
        </w:tabs>
        <w:numPr>
          <w:ilvl w:val="0"/>
          <w:numId w:val="5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Termination of Service</w:t>
      </w:r>
      <w:r>
        <w:rPr>
          <w:rFonts w:ascii="Times New Roman" w:cs="Times New Roman" w:eastAsia="Times New Roman" w:hAnsi="Times New Roman"/>
          <w:sz w:val="14"/>
          <w:szCs w:val="14"/>
          <w:color w:val="auto"/>
        </w:rPr>
        <w:t>. For the avoidance of doubt, the Separation shall not constitute a termination of employment or service or otherwise create a break in employment or service with respect to each SpinCo Group Employee’s Company Awards.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u w:val="single" w:color="auto"/>
          <w:color w:val="auto"/>
        </w:rPr>
        <w:t>Non-Equity Incentive Plans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767"/>
        <w:spacing w:after="0" w:line="252" w:lineRule="auto"/>
        <w:tabs>
          <w:tab w:leader="none" w:pos="1182" w:val="left"/>
        </w:tabs>
        <w:numPr>
          <w:ilvl w:val="0"/>
          <w:numId w:val="5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SpinCo Non-Equity Incentives</w:t>
      </w:r>
      <w:r>
        <w:rPr>
          <w:rFonts w:ascii="Times New Roman" w:cs="Times New Roman" w:eastAsia="Times New Roman" w:hAnsi="Times New Roman"/>
          <w:sz w:val="14"/>
          <w:szCs w:val="14"/>
          <w:color w:val="auto"/>
        </w:rPr>
        <w:t>. With respect to all non-equity incentive awards or entitlements (the “</w:t>
      </w:r>
      <w:r>
        <w:rPr>
          <w:rFonts w:ascii="Times New Roman" w:cs="Times New Roman" w:eastAsia="Times New Roman" w:hAnsi="Times New Roman"/>
          <w:sz w:val="14"/>
          <w:szCs w:val="14"/>
          <w:u w:val="single" w:color="auto"/>
          <w:color w:val="auto"/>
        </w:rPr>
        <w:t>Cash Incentive Awards</w:t>
      </w:r>
      <w:r>
        <w:rPr>
          <w:rFonts w:ascii="Times New Roman" w:cs="Times New Roman" w:eastAsia="Times New Roman" w:hAnsi="Times New Roman"/>
          <w:sz w:val="14"/>
          <w:szCs w:val="14"/>
          <w:color w:val="auto"/>
        </w:rPr>
        <w:t>”) that are or may become payable to SpinCo Group Employees for any performance periods that are open as of the Distribution Date, the Company shall establish or designate one or more cash incentive plans applicable to SpinCo Group Employees (each, a “</w:t>
      </w:r>
      <w:r>
        <w:rPr>
          <w:rFonts w:ascii="Times New Roman" w:cs="Times New Roman" w:eastAsia="Times New Roman" w:hAnsi="Times New Roman"/>
          <w:sz w:val="14"/>
          <w:szCs w:val="14"/>
          <w:u w:val="single" w:color="auto"/>
          <w:color w:val="auto"/>
        </w:rPr>
        <w:t>SpinCo Incentive Plan</w:t>
      </w:r>
      <w:r>
        <w:rPr>
          <w:rFonts w:ascii="Times New Roman" w:cs="Times New Roman" w:eastAsia="Times New Roman" w:hAnsi="Times New Roman"/>
          <w:sz w:val="14"/>
          <w:szCs w:val="14"/>
          <w:color w:val="auto"/>
        </w:rPr>
        <w:t>”) to govern such Cash Incentive Awards through the Distribution Date. The performance period under all SpinCo Incentive Plans shall be deemed to end as of the Distribution Date (the “</w:t>
      </w:r>
      <w:r>
        <w:rPr>
          <w:rFonts w:ascii="Times New Roman" w:cs="Times New Roman" w:eastAsia="Times New Roman" w:hAnsi="Times New Roman"/>
          <w:sz w:val="14"/>
          <w:szCs w:val="14"/>
          <w:u w:val="single" w:color="auto"/>
          <w:color w:val="auto"/>
        </w:rPr>
        <w:t>Truncated Performance Period</w:t>
      </w:r>
      <w:r>
        <w:rPr>
          <w:rFonts w:ascii="Times New Roman" w:cs="Times New Roman" w:eastAsia="Times New Roman" w:hAnsi="Times New Roman"/>
          <w:sz w:val="14"/>
          <w:szCs w:val="14"/>
          <w:color w:val="auto"/>
        </w:rPr>
        <w:t>”), and performance shall be measured based on actual performance achieved through the Truncated Performance Period (as determined by the Company in good faith). Amounts earned under the Cash Incentive Awards shall be paid to the applicable SpinCo Group Employees on the earlier of (i) the date such Cash Incentive Awards would otherwise have been paid under the SpinCo Incentive Plan absent the Separation and (ii) the date on which Gold customarily pays annual incentive compensation under Gold’s short-term incentive arrangements (such earlier date, the “</w:t>
      </w:r>
      <w:r>
        <w:rPr>
          <w:rFonts w:ascii="Times New Roman" w:cs="Times New Roman" w:eastAsia="Times New Roman" w:hAnsi="Times New Roman"/>
          <w:sz w:val="14"/>
          <w:szCs w:val="14"/>
          <w:u w:val="single" w:color="auto"/>
          <w:color w:val="auto"/>
        </w:rPr>
        <w:t>STI Payment Date</w:t>
      </w:r>
      <w:r>
        <w:rPr>
          <w:rFonts w:ascii="Times New Roman" w:cs="Times New Roman" w:eastAsia="Times New Roman" w:hAnsi="Times New Roman"/>
          <w:sz w:val="14"/>
          <w:szCs w:val="14"/>
          <w:color w:val="auto"/>
        </w:rPr>
        <w:t xml:space="preserve">”). To the extent not included as a liability in the calculation of Net Working Capital or SpinCo Indebtedness, the Company shall reimburse Gold for all Cash Incentive Awards accrued through the Distribution Date, based on actual performance extrapolated through the end of such performance period and prorated based on the number of days from the beginning of such open performance period through the Distribution Date. Following the Distribution Date, Gold will continue all SpinCo Incentive Plans until the earlier of (i) the end of the calendar year in which the Distribution Date occurs and (ii) the end of the original performance period for the applicable SpinCo Incentive Plan and will, in all cases, assume responsibility for the administration and payment of any Cash Incentive Awards earned for the periods following the Distribution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the remainder of such period, Gold will make associated payments at the STI Payment Date, and will initially calculate performance at “target” levels and, to the extent that actual performance exceeds target for such period, Gold shall make an additional “true up” payment equal to positive difference, if any, between target performance and actual performance for such period on the date on which Gold customarily pays annual incentive compensation under Gold’s short-term incentive arrangements;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further, that Gold may adjust the terms of the SpinCo Incentive Plans as Gold determines reasonably and in good faith to be appropriate to reflect the Distribution and operation of the SpinCo business thereafter so long as such adjustment does not cause incentive compensation opportunities under the applicable SpinCo Incentive Plan(s) to be materially more difficult to achieve, as determined by Gold in its reasonable good faith discretion.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565" w:name="page566"/>
    <w:bookmarkEnd w:id="565"/>
    <w:p>
      <w:pPr>
        <w:ind w:left="220" w:right="319" w:firstLine="767"/>
        <w:spacing w:after="0" w:line="256" w:lineRule="auto"/>
        <w:tabs>
          <w:tab w:leader="none" w:pos="1190" w:val="left"/>
        </w:tabs>
        <w:numPr>
          <w:ilvl w:val="0"/>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Company Non-Equity Incentives</w:t>
      </w:r>
      <w:r>
        <w:rPr>
          <w:rFonts w:ascii="Times New Roman" w:cs="Times New Roman" w:eastAsia="Times New Roman" w:hAnsi="Times New Roman"/>
          <w:sz w:val="14"/>
          <w:szCs w:val="14"/>
          <w:color w:val="auto"/>
        </w:rPr>
        <w:t>. The Company Group shall assume or retain all Liabilities with respect to any non-equity incentive awards that would otherwise be payable to Company Group Employees or Former Employees for any performance periods that are open as of the Distribution Date. The Company Group shall also determine for the Company Group Employees or Former Employees (i) the extent to which established performance criteria (as interpreted by the Company Group, in its sole discretion) have been met, and (ii) the payment level for each Company Group Employee or Former Employee. The Company Group shall assume or retain all Liabilities with respect to any such incentive awards payable to Company Group Employees or Former Employees for any performance periods that are open as of the Distribution Time and thereafter, and no member of the SpinCo Group shall have any obligations with respect thereto.</w:t>
      </w:r>
    </w:p>
    <w:p>
      <w:pPr>
        <w:spacing w:after="0" w:line="143" w:lineRule="exact"/>
        <w:rPr>
          <w:rFonts w:ascii="Times New Roman" w:cs="Times New Roman" w:eastAsia="Times New Roman" w:hAnsi="Times New Roman"/>
          <w:sz w:val="14"/>
          <w:szCs w:val="14"/>
          <w:color w:val="auto"/>
        </w:rPr>
      </w:pPr>
    </w:p>
    <w:p>
      <w:pPr>
        <w:jc w:val="both"/>
        <w:ind w:left="220" w:right="259" w:firstLine="767"/>
        <w:spacing w:after="0" w:line="267" w:lineRule="auto"/>
        <w:tabs>
          <w:tab w:leader="none" w:pos="1182" w:val="left"/>
        </w:tabs>
        <w:numPr>
          <w:ilvl w:val="0"/>
          <w:numId w:val="5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SpinCo Retained Incentive Plans</w:t>
      </w:r>
      <w:r>
        <w:rPr>
          <w:rFonts w:ascii="Times New Roman" w:cs="Times New Roman" w:eastAsia="Times New Roman" w:hAnsi="Times New Roman"/>
          <w:sz w:val="14"/>
          <w:szCs w:val="14"/>
          <w:color w:val="auto"/>
        </w:rPr>
        <w:t>. From and following the Distribution Date, the SpinCo Group shall assume or retain any annual cash incentive plan for the exclusive benefit of SpinCo Group Employees, whether or not sponsored by the SpinCo Group, and shall be solely responsible for all Liabilities thereunder from and after the Distribution Time.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RETIREMENT PLANS</w:t>
      </w:r>
    </w:p>
    <w:p>
      <w:pPr>
        <w:spacing w:after="0" w:line="161" w:lineRule="exact"/>
        <w:rPr>
          <w:sz w:val="20"/>
          <w:szCs w:val="20"/>
          <w:color w:val="auto"/>
        </w:rPr>
      </w:pPr>
    </w:p>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t xml:space="preserve">Section 5.01. </w:t>
      </w:r>
      <w:r>
        <w:rPr>
          <w:rFonts w:ascii="Times New Roman" w:cs="Times New Roman" w:eastAsia="Times New Roman" w:hAnsi="Times New Roman"/>
          <w:sz w:val="14"/>
          <w:szCs w:val="14"/>
          <w:u w:val="single" w:color="auto"/>
          <w:color w:val="auto"/>
        </w:rPr>
        <w:t>Company Defined Benefit Plan</w:t>
      </w:r>
      <w:r>
        <w:rPr>
          <w:rFonts w:ascii="Times New Roman" w:cs="Times New Roman" w:eastAsia="Times New Roman" w:hAnsi="Times New Roman"/>
          <w:sz w:val="14"/>
          <w:szCs w:val="14"/>
          <w:color w:val="auto"/>
        </w:rPr>
        <w:t>. The Company shall, and shall cause its Affiliates (other than the SpinCo Group) to, retain all Liabilities (and assume any Liabilities of the SpinCo Group)at any time arising under, pursuant to or in connection with, the Company Defined Benefit Plan as of the Distribution Time, including the termination thereof, and notwithstanding any other provision of this Agreement, the Separation Agreement or Merger Agreement, neither Gold nor any member of the SpinCo Group shall assume or retain any Liability with respect to the Company Defined Benefit Plan.</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5.02. </w:t>
      </w:r>
      <w:r>
        <w:rPr>
          <w:rFonts w:ascii="Times New Roman" w:cs="Times New Roman" w:eastAsia="Times New Roman" w:hAnsi="Times New Roman"/>
          <w:sz w:val="14"/>
          <w:szCs w:val="14"/>
          <w:u w:val="single" w:color="auto"/>
          <w:color w:val="auto"/>
        </w:rPr>
        <w:t>SpinCo 401(k) Plan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767"/>
        <w:spacing w:after="0" w:line="254" w:lineRule="auto"/>
        <w:tabs>
          <w:tab w:leader="none" w:pos="1182" w:val="left"/>
        </w:tabs>
        <w:numPr>
          <w:ilvl w:val="0"/>
          <w:numId w:val="5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Establishment of SpinCo 401(k) Plan</w:t>
      </w:r>
      <w:r>
        <w:rPr>
          <w:rFonts w:ascii="Times New Roman" w:cs="Times New Roman" w:eastAsia="Times New Roman" w:hAnsi="Times New Roman"/>
          <w:sz w:val="14"/>
          <w:szCs w:val="14"/>
          <w:color w:val="auto"/>
        </w:rPr>
        <w:t>. Effective on the Distribution Date, SpinCo or Gold shall, or shall cause its Subsidiary to, adopt or designate a qualified defined contribution plan (the “</w:t>
      </w:r>
      <w:r>
        <w:rPr>
          <w:rFonts w:ascii="Times New Roman" w:cs="Times New Roman" w:eastAsia="Times New Roman" w:hAnsi="Times New Roman"/>
          <w:sz w:val="14"/>
          <w:szCs w:val="14"/>
          <w:u w:val="single" w:color="auto"/>
          <w:color w:val="auto"/>
        </w:rPr>
        <w:t>SpinCo 401(k) Plan</w:t>
      </w:r>
      <w:r>
        <w:rPr>
          <w:rFonts w:ascii="Times New Roman" w:cs="Times New Roman" w:eastAsia="Times New Roman" w:hAnsi="Times New Roman"/>
          <w:sz w:val="14"/>
          <w:szCs w:val="14"/>
          <w:color w:val="auto"/>
        </w:rPr>
        <w:t>”) intended to be qualified under Section 401(a) of the Code with the related trust thereunder exempt under Section 501(a) of the Code. Immediately prior to the Distribution Date, SpinCo Group Employees shall cease active participation in the Company 401(k) Plan, and upon the Distribution Date, Continuing Employees shall be eligible to commence participation in the SpinCo 401(k) Plan and receive a distribution of their account balances under the Company 401(k) Plan. Any minimum age or service requirements contained in the SpinCo 401(k) Plan with respect to eligibility to participate generally or eligibility to share in any employer contributions under such plan shall be waived or deemed satisfied for Continuing Employees to the extent waived or satisfied under the Company 401(k) Plan immediately prior to the Distribution Date. Any service or end of year employment requirements contained in the Company 401(k) Plan with respect to eligibility to share in any employer contributions under such plan shall be waived or deemed satisfied for Continuing Employees such that such Continuing Employees can receive the portion of such contribution with respect to compensation paid prior to the Distribution Time, and the Company shall take all actions necessary to ensure that all Continuing Employees’ accounts under the Company 401(k) Plan are fully vested as of the Distribution Time.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566" w:name="page567"/>
    <w:bookmarkEnd w:id="566"/>
    <w:p>
      <w:pPr>
        <w:ind w:left="220" w:right="239" w:firstLine="767"/>
        <w:spacing w:after="0" w:line="254" w:lineRule="auto"/>
        <w:tabs>
          <w:tab w:leader="none" w:pos="1190" w:val="left"/>
        </w:tabs>
        <w:numPr>
          <w:ilvl w:val="0"/>
          <w:numId w:val="6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Rollover of Account Balances</w:t>
      </w:r>
      <w:r>
        <w:rPr>
          <w:rFonts w:ascii="Times New Roman" w:cs="Times New Roman" w:eastAsia="Times New Roman" w:hAnsi="Times New Roman"/>
          <w:sz w:val="14"/>
          <w:szCs w:val="14"/>
          <w:color w:val="auto"/>
        </w:rPr>
        <w:t>. As soon as practicable after the Distribution Date, the Company, SpinCo and Gold shall take any and all actions as may be reasonably required to permit each Continuing Employee to elect to make rollover contributions of “eligible rollover distributions” (within the meaning of Section 402(c)(4) of the Code) in cash (and, subject to the immediately following sentence, loan notes) in an amount equal to the entire eligible rollover distribution distributable to such Continuing Employee from the Company 401(k) Plan to SpinCo 401(k) Plan if so elected by the applicable Continuing Employee in accordance with the terms of the Company 401(k) Plan and applicable Law. The Parties shall cooperate and take commercially reasonable efforts to prevent a default of any Continuing Employees’ loans under the Company 401(k) Plan as a result of the transactions contemplated by this Agreement, the Separation Agreement and/or Merger Agreement, which shall include allowing a distribution and rollover of loan notes if the applicable Continuing Employee complies with reasonable procedures established by the SpinCo 401(k) Plan administrator to effect a group rollover of loans in connection with the Transactions.</w:t>
      </w:r>
    </w:p>
    <w:p>
      <w:pPr>
        <w:spacing w:after="0" w:line="148" w:lineRule="exact"/>
        <w:rPr>
          <w:rFonts w:ascii="Times New Roman" w:cs="Times New Roman" w:eastAsia="Times New Roman" w:hAnsi="Times New Roman"/>
          <w:sz w:val="14"/>
          <w:szCs w:val="14"/>
          <w:color w:val="auto"/>
        </w:rPr>
      </w:pPr>
    </w:p>
    <w:p>
      <w:pPr>
        <w:ind w:left="220" w:right="399" w:firstLine="767"/>
        <w:spacing w:after="0" w:line="267" w:lineRule="auto"/>
        <w:tabs>
          <w:tab w:leader="none" w:pos="1182" w:val="left"/>
        </w:tabs>
        <w:numPr>
          <w:ilvl w:val="0"/>
          <w:numId w:val="6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Distribution Rights.</w:t>
      </w:r>
      <w:r>
        <w:rPr>
          <w:rFonts w:ascii="Times New Roman" w:cs="Times New Roman" w:eastAsia="Times New Roman" w:hAnsi="Times New Roman"/>
          <w:sz w:val="14"/>
          <w:szCs w:val="14"/>
          <w:color w:val="auto"/>
        </w:rPr>
        <w:t xml:space="preserve"> No SpinCo Group Employee shall be entitled to a right to a distribution of his or her benefit under the Company 401(k) Plan as a result of the Separation itself or the assignment of his or her transfer of employment contemplated by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prior to the Distribution, but shall be entitled to such right on account of the Distribution and Merger.</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5.03. </w:t>
      </w:r>
      <w:r>
        <w:rPr>
          <w:rFonts w:ascii="Times New Roman" w:cs="Times New Roman" w:eastAsia="Times New Roman" w:hAnsi="Times New Roman"/>
          <w:sz w:val="14"/>
          <w:szCs w:val="14"/>
          <w:u w:val="single" w:color="auto"/>
          <w:color w:val="auto"/>
        </w:rPr>
        <w:t>Non-U.S. Pension Plans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767"/>
        <w:spacing w:after="0" w:line="255" w:lineRule="auto"/>
        <w:tabs>
          <w:tab w:leader="none" w:pos="1182" w:val="left"/>
        </w:tabs>
        <w:numPr>
          <w:ilvl w:val="0"/>
          <w:numId w:val="6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no later than the Distribution Time, SpinCo shall, or shall cause the members of the SpinCo Group to, assume all Liabilities relating to non-U.S. SpinCo Group Employees (and their dependents and beneficiaries) under Company Benefit Plans that provide defined benefit pension, termination indemnities or similar retirement or post-employment benefits (including post-employment medical and life insurance benefits), which assumption shall be in conjunction with a transfer of assets in accordance with applicable Law in the case of each such Company Benefit Plan that is funded. The amount of unfunded or underfunded Liabilities, if any, under each such Company Benefit Plan after taking into account such transferred assets with respect to such plan shall be included in the calculation of SpinCo Indebtedness. For the avoidance of doubt, the preceding sentence shall only apply if such transfer of defined benefit pension, termination indemnities or similar Liabilities from the Company Group to the SpinCo Group is required by applicable Law.</w:t>
      </w:r>
    </w:p>
    <w:p>
      <w:pPr>
        <w:spacing w:after="0" w:line="145" w:lineRule="exact"/>
        <w:rPr>
          <w:rFonts w:ascii="Times New Roman" w:cs="Times New Roman" w:eastAsia="Times New Roman" w:hAnsi="Times New Roman"/>
          <w:sz w:val="14"/>
          <w:szCs w:val="14"/>
          <w:color w:val="auto"/>
        </w:rPr>
      </w:pPr>
    </w:p>
    <w:p>
      <w:pPr>
        <w:ind w:left="220" w:right="219" w:firstLine="767"/>
        <w:spacing w:after="0" w:line="258" w:lineRule="auto"/>
        <w:tabs>
          <w:tab w:leader="none" w:pos="1190" w:val="left"/>
        </w:tabs>
        <w:numPr>
          <w:ilvl w:val="0"/>
          <w:numId w:val="6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cause the applicable member of the Company Group or the SpinCo Group to take such actions as are necessary to ensure that effective as of no later than the Closing, (i) all Liabilities under any SpinCo Benefit Plan that covers or provides benefits to any Person who is not a SpinCo Group Employee shall, along with a proportionate share of the assets of such plans as determined under applicable Law, be transferred to retirement plans maintained by the Company Group, and (ii) all such Persons who are not SpinCo Group Employees cease participation in such SpinCo Benefit Plans effective as of no later than the Closing.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567" w:name="page568"/>
    <w:bookmarkEnd w:id="56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ARTICLE VI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NONQUALIFIED DEFERRED COMPENSATION PLAN</w:t>
      </w:r>
    </w:p>
    <w:p>
      <w:pPr>
        <w:spacing w:after="0" w:line="161"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Assumption of Nonqualified Deferred Compensation Plan Balances</w:t>
      </w:r>
      <w:r>
        <w:rPr>
          <w:rFonts w:ascii="Times New Roman" w:cs="Times New Roman" w:eastAsia="Times New Roman" w:hAnsi="Times New Roman"/>
          <w:sz w:val="14"/>
          <w:szCs w:val="14"/>
          <w:color w:val="auto"/>
        </w:rPr>
        <w:t>. Effective as of no later than the Distribution Time, Gold shall, or shall cause its applicable Affiliate, to assume all obligations with respect to the account balances of the Continuing Employees under the Company Deferred Compensation Plan. As soon as reasonably practicable following the Distribution Time, the account balances of the Continuing Employees under the Company Deferred Compensation Plan shall be rolled over, on a book-entry basis, into one or more nonqualified deferred compensation plans maintained by Gold or its Affiliates (each, a “</w:t>
      </w:r>
      <w:r>
        <w:rPr>
          <w:rFonts w:ascii="Times New Roman" w:cs="Times New Roman" w:eastAsia="Times New Roman" w:hAnsi="Times New Roman"/>
          <w:sz w:val="14"/>
          <w:szCs w:val="14"/>
          <w:u w:val="single" w:color="auto"/>
          <w:color w:val="auto"/>
        </w:rPr>
        <w:t>Gold Deferred Compensation Plan</w:t>
      </w:r>
      <w:r>
        <w:rPr>
          <w:rFonts w:ascii="Times New Roman" w:cs="Times New Roman" w:eastAsia="Times New Roman" w:hAnsi="Times New Roman"/>
          <w:sz w:val="14"/>
          <w:szCs w:val="14"/>
          <w:color w:val="auto"/>
        </w:rPr>
        <w:t>”) and such account balances shall be included as SpinCo Indebtedness. Gold shall amend the Gold Deferred Compensation Plan(s) or take such other actions as it deems necessary or appropriate, to accept such rolled-over account balances and to reflect the assumption of the related Liabilities in a manner intended to comply with Section 409A of the Code and applicable guidance thereunder. From and after the Distribution Time, Gold (or its applicable Affiliate) shall be solely responsible for all Liabilities and obligations relating to such rolled-over account balances. Gold shall use commercially reasonable efforts to preserve, with respect to the rolled-over account balances, the material terms of the Company Deferred Compensation Plan applicable to the Continuing Employees immediately prior to the Distribution Time, including payment timing, form of payment, and investment crediting features; provided, however, that, unless required by applicable law including Section 409A of the Code, nothing herein shall require the Gold to maintain identical plan terms where doing so would be administratively impracticable or inconsistent with the Gold Deferred Compensation Plan structure or applicable law.</w:t>
      </w:r>
    </w:p>
    <w:p>
      <w:pPr>
        <w:spacing w:after="0" w:line="149"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 xml:space="preserve">Section 6.02. </w:t>
      </w:r>
      <w:r>
        <w:rPr>
          <w:rFonts w:ascii="Times New Roman" w:cs="Times New Roman" w:eastAsia="Times New Roman" w:hAnsi="Times New Roman"/>
          <w:sz w:val="14"/>
          <w:szCs w:val="14"/>
          <w:u w:val="single" w:color="auto"/>
          <w:color w:val="auto"/>
        </w:rPr>
        <w:t>Company Nonqualified Plans</w:t>
      </w:r>
      <w:r>
        <w:rPr>
          <w:rFonts w:ascii="Times New Roman" w:cs="Times New Roman" w:eastAsia="Times New Roman" w:hAnsi="Times New Roman"/>
          <w:sz w:val="14"/>
          <w:szCs w:val="14"/>
          <w:color w:val="auto"/>
        </w:rPr>
        <w:t>. From and after the Distribution Time (or, if later, the end date of the applicable benefits coverage pursuant to the Transition Services Agreement), no SpinCo Group Employees shall participate in or accrue any benefits under the Company Deferred Compensation Plan, and the Company shall continue to be responsible for Liabilities in respect of Company Group Employees and Former Employees under the Company Deferred Compensation Plan.</w:t>
      </w:r>
    </w:p>
    <w:p>
      <w:pPr>
        <w:spacing w:after="0" w:line="141"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Distributions</w:t>
      </w:r>
      <w:r>
        <w:rPr>
          <w:rFonts w:ascii="Times New Roman" w:cs="Times New Roman" w:eastAsia="Times New Roman" w:hAnsi="Times New Roman"/>
          <w:sz w:val="14"/>
          <w:szCs w:val="14"/>
          <w:color w:val="auto"/>
        </w:rPr>
        <w:t>. The parties acknowledge that none of the transactions contemplated by this Agreement, the Separation Agreement, the Merger Agreement or any other Transaction Document will trigger a payment or distribution of compensation under the Company Deferred Compensation Plan or Gold Deferred Compensation Plan.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WELFARE BENEFIT PLANS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Welfare Plans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220" w:right="379" w:firstLine="767"/>
        <w:spacing w:after="0" w:line="261" w:lineRule="auto"/>
        <w:tabs>
          <w:tab w:leader="none" w:pos="1182" w:val="left"/>
        </w:tabs>
        <w:numPr>
          <w:ilvl w:val="0"/>
          <w:numId w:val="6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Establishment of SpinCo Welfare Plans</w:t>
      </w:r>
      <w:r>
        <w:rPr>
          <w:rFonts w:ascii="Times New Roman" w:cs="Times New Roman" w:eastAsia="Times New Roman" w:hAnsi="Times New Roman"/>
          <w:sz w:val="14"/>
          <w:szCs w:val="14"/>
          <w:color w:val="auto"/>
        </w:rPr>
        <w:t>. Effective as of the Distribution Time or such later date as coverage under the Company Benefit Plans would end for such Continuing Employees under the terms of such Company Benefit Plans, or such later end date of the applicable benefits coverage pursuant to the Transition Services Agreement, Gold or SpinCo shall, or shall cause its Subsidiary to, adopt or designate the SpinCo Welfare Plans in which such</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9" w:right="1440" w:bottom="1440" w:gutter="0" w:footer="0" w:header="0"/>
        </w:sectPr>
      </w:pPr>
    </w:p>
    <w:bookmarkStart w:id="568" w:name="page569"/>
    <w:bookmarkEnd w:id="568"/>
    <w:p>
      <w:pPr>
        <w:ind w:left="220" w:right="2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SpinCo Group Employees may participate immediately after such time. Beginning on the Distribution Date or such later date as coverage under the Company Benefit Plans would end for such Continuing Employees under the terms of such Company Benefit Plans, or such later end date of the applicable benefits coverage pursuant to the Transition Services Agreement, SpinCo Group Employees who are employed by SpinCo or members of the SpinCo Group as of such date shall cease active participation in all Company Welfare Plans. Without limiting the generality of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SpinCo may modify the terms of the SpinCo Welfare Plans as it deems necessary and appropriate.</w:t>
      </w:r>
    </w:p>
    <w:p>
      <w:pPr>
        <w:spacing w:after="0" w:line="144" w:lineRule="exact"/>
        <w:rPr>
          <w:sz w:val="20"/>
          <w:szCs w:val="20"/>
          <w:color w:val="auto"/>
        </w:rPr>
      </w:pPr>
    </w:p>
    <w:p>
      <w:pPr>
        <w:ind w:left="220" w:right="259" w:firstLine="767"/>
        <w:spacing w:after="0" w:line="257" w:lineRule="auto"/>
        <w:tabs>
          <w:tab w:leader="none" w:pos="1190" w:val="left"/>
        </w:tabs>
        <w:numPr>
          <w:ilvl w:val="1"/>
          <w:numId w:val="6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Welfare Plan Liabilities</w:t>
      </w:r>
      <w:r>
        <w:rPr>
          <w:rFonts w:ascii="Times New Roman" w:cs="Times New Roman" w:eastAsia="Times New Roman" w:hAnsi="Times New Roman"/>
          <w:sz w:val="14"/>
          <w:szCs w:val="14"/>
          <w:color w:val="auto"/>
        </w:rPr>
        <w:t>. From and after the Distribution Time, the Company Group shall retain all Liabilities relating to, arising out of or resulting from health and welfare coverage or claims incurred by or on behalf of SpinCo Group Employees under the Company Benefit Plans that are Welfare Plans before, at or after the Distribution Time, regardless of when such claims are reported. Effective as of the Distribution Time, the SpinCo Group shall retain or assume, as applicable, all Liabilities relating to, arising out of or resulting from health and welfare coverage or claims incurred by or on behalf of Continuing Employees under the SpinCo Benefit Plans and Gold Benefit Plans that are Welfare Plans from and after the Distribution Time.</w:t>
      </w:r>
    </w:p>
    <w:p>
      <w:pPr>
        <w:spacing w:after="0" w:line="143" w:lineRule="exact"/>
        <w:rPr>
          <w:rFonts w:ascii="Times New Roman" w:cs="Times New Roman" w:eastAsia="Times New Roman" w:hAnsi="Times New Roman"/>
          <w:sz w:val="14"/>
          <w:szCs w:val="14"/>
          <w:color w:val="auto"/>
        </w:rPr>
      </w:pPr>
    </w:p>
    <w:p>
      <w:pPr>
        <w:ind w:left="220" w:right="259" w:firstLine="767"/>
        <w:spacing w:after="0" w:line="277" w:lineRule="auto"/>
        <w:tabs>
          <w:tab w:leader="none" w:pos="1182" w:val="left"/>
        </w:tabs>
        <w:numPr>
          <w:ilvl w:val="1"/>
          <w:numId w:val="6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COBRA.</w:t>
      </w:r>
      <w:r>
        <w:rPr>
          <w:rFonts w:ascii="Times New Roman" w:cs="Times New Roman" w:eastAsia="Times New Roman" w:hAnsi="Times New Roman"/>
          <w:sz w:val="13"/>
          <w:szCs w:val="13"/>
          <w:color w:val="auto"/>
        </w:rPr>
        <w:t xml:space="preserve"> Effective as of the Distribution Time, the SpinCo Group shall be responsible for (i) all Liabilities with respect to continuation coverage under COBRA and any state continuation coverage requirements relating to any Continuing Employee (including any covered dependents thereof) whose qualifying event occurs after the Distribution Time other than under a Company Benefit Plan (which is addressed by clause (ii)), and</w:t>
      </w:r>
    </w:p>
    <w:p>
      <w:pPr>
        <w:spacing w:after="0" w:line="1" w:lineRule="exact"/>
        <w:rPr>
          <w:rFonts w:ascii="Times New Roman" w:cs="Times New Roman" w:eastAsia="Times New Roman" w:hAnsi="Times New Roman"/>
          <w:sz w:val="13"/>
          <w:szCs w:val="13"/>
          <w:color w:val="auto"/>
        </w:rPr>
      </w:pPr>
    </w:p>
    <w:p>
      <w:pPr>
        <w:ind w:left="220" w:right="259" w:hanging="5"/>
        <w:spacing w:after="0" w:line="253" w:lineRule="auto"/>
        <w:tabs>
          <w:tab w:leader="none" w:pos="426" w:val="left"/>
        </w:tabs>
        <w:numPr>
          <w:ilvl w:val="0"/>
          <w:numId w:val="6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set forth in the Transition Services Agreement with respect to continuation coverage under COBRA and any state continuation coverage requirements relating to any Continuing Employee (including any covered dependents thereof) whose qualifying event occurs under a Company Benefit Plan after the Distribution Time. The Company Group shall retain all Liabilities with respect to continuation of coverage under COBRA and any state continuation coverage requirements with respect to (i) any Company Group Employee or Former Employee (including any covered dependents thereof) and (ii) any “M&amp;A qualified beneficiary” (as defined in Treasury Regulation Section 54.4980B-9).</w:t>
      </w:r>
    </w:p>
    <w:p>
      <w:pPr>
        <w:spacing w:after="0" w:line="146" w:lineRule="exact"/>
        <w:rPr>
          <w:rFonts w:ascii="Times New Roman" w:cs="Times New Roman" w:eastAsia="Times New Roman" w:hAnsi="Times New Roman"/>
          <w:sz w:val="14"/>
          <w:szCs w:val="14"/>
          <w:color w:val="auto"/>
        </w:rPr>
      </w:pPr>
    </w:p>
    <w:p>
      <w:pPr>
        <w:ind w:left="1180" w:hanging="193"/>
        <w:spacing w:after="0"/>
        <w:tabs>
          <w:tab w:leader="none" w:pos="1180" w:val="left"/>
        </w:tabs>
        <w:numPr>
          <w:ilvl w:val="1"/>
          <w:numId w:val="6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Reimbursement Account Plans</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980" w:right="239" w:firstLine="319"/>
        <w:spacing w:after="0" w:line="256" w:lineRule="auto"/>
        <w:tabs>
          <w:tab w:leader="none" w:pos="1459" w:val="left"/>
        </w:tabs>
        <w:numPr>
          <w:ilvl w:val="2"/>
          <w:numId w:val="6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the Distribution Time (or, if later, the end date of the applicable benefits coverage pursuant to the Transition Services Agreement), the Continuing Employees shall cease to be active participants in the flexible reimbursement account plans of the Company and its Affiliates (the “</w:t>
      </w:r>
      <w:r>
        <w:rPr>
          <w:rFonts w:ascii="Times New Roman" w:cs="Times New Roman" w:eastAsia="Times New Roman" w:hAnsi="Times New Roman"/>
          <w:sz w:val="14"/>
          <w:szCs w:val="14"/>
          <w:u w:val="single" w:color="auto"/>
          <w:color w:val="auto"/>
        </w:rPr>
        <w:t>Company Reimbursement Account Plan</w:t>
      </w:r>
      <w:r>
        <w:rPr>
          <w:rFonts w:ascii="Times New Roman" w:cs="Times New Roman" w:eastAsia="Times New Roman" w:hAnsi="Times New Roman"/>
          <w:sz w:val="14"/>
          <w:szCs w:val="14"/>
          <w:color w:val="auto"/>
        </w:rPr>
        <w:t>”), and the Company Group shall retain all Assets and Liabilities in respect of the Company Reimbursement Account Plan. Effective as of no later than the Distribution Time (or, if later, the end date of the applicable benefits coverage pursuant to the Transition Services Agreement), Gold or SpinCo shall, or shall cause one of their Affiliates to, adopt or designate flexible reimbursement account plans in which Continuing Employees shall be eligible to participate (the “</w:t>
      </w:r>
      <w:r>
        <w:rPr>
          <w:rFonts w:ascii="Times New Roman" w:cs="Times New Roman" w:eastAsia="Times New Roman" w:hAnsi="Times New Roman"/>
          <w:sz w:val="14"/>
          <w:szCs w:val="14"/>
          <w:u w:val="single" w:color="auto"/>
          <w:color w:val="auto"/>
        </w:rPr>
        <w:t>SpinCo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Reimbursement Account Plan</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1" w:right="1440" w:bottom="1440" w:gutter="0" w:footer="0" w:header="0"/>
        </w:sectPr>
      </w:pPr>
    </w:p>
    <w:bookmarkStart w:id="569" w:name="page570"/>
    <w:bookmarkEnd w:id="569"/>
    <w:p>
      <w:pPr>
        <w:ind w:left="980" w:right="279" w:firstLine="319"/>
        <w:spacing w:after="0" w:line="252" w:lineRule="auto"/>
        <w:tabs>
          <w:tab w:leader="none" w:pos="1498" w:val="left"/>
        </w:tabs>
        <w:numPr>
          <w:ilvl w:val="0"/>
          <w:numId w:val="6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If the Distribution Time (or, if later, the end date of the applicable benefits coverage pursuant to the Transition Services Agreement) does not occur at the end of the plan year of the Company Reimbursement Account Plan, this Section 7.01(d)(ii) shall apply. The Parties shall use commercially reasonable efforts to take all steps necessary or appropriate so that the account balances (whether positive or negative) (the “</w:t>
      </w:r>
      <w:r>
        <w:rPr>
          <w:rFonts w:ascii="Times New Roman" w:cs="Times New Roman" w:eastAsia="Times New Roman" w:hAnsi="Times New Roman"/>
          <w:sz w:val="14"/>
          <w:szCs w:val="14"/>
          <w:u w:val="single" w:color="auto"/>
          <w:color w:val="auto"/>
        </w:rPr>
        <w:t>Transferred Account Balances</w:t>
      </w:r>
      <w:r>
        <w:rPr>
          <w:rFonts w:ascii="Times New Roman" w:cs="Times New Roman" w:eastAsia="Times New Roman" w:hAnsi="Times New Roman"/>
          <w:sz w:val="14"/>
          <w:szCs w:val="14"/>
          <w:color w:val="auto"/>
        </w:rPr>
        <w:t>”) under the Company Reimbursement Account Plan of each Continuing Employee who has elected to participate therein in the year in which the Distribution Time (or, if later, the end date of the applicable benefits coverage pursuant to the Transition Services Agreement) occurs shall be transferred, as soon as reasonably practicable following the Distribution Time (or, if later, the end date of the applicable benefits coverage pursuant to the Transition Services Agreement), from the Company Reimbursement Account Plan to the SpinCo Reimbursement Account Plan. The SpinCo Reimbursement Account Plan shall assume responsibility for all outstanding claims under the Company Reimbursement Account Plan of each Continuing Employee for the year in which the Distribution Time (or, if later, the end date of the applicable benefits coverage pursuant to the Transition Services Agreement) occurs and shall assume and agree to perform the obligations of the analogous Company Reimbursement Account Plan from and after the Distribution Time (or, if later, the end date of the applicable benefits coverage pursuant to the Transition Services Agreement). As soon as practicable after the Distribution Time (or, if later, the end date of the applicable benefits coverage pursuant to the Transition Services Agreement), and in any event within 30 days after the amount of the Transferred Account Balances is determined or such later date as mutually agreed upon by the Parties, the Company shall pay SpinCo the net aggregate amount of the Transferred Account Balances if such amount is positive, and SpinCo shall pay the Company the net aggregate amount of the Transferred Account Balances if such amount is negative.</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 xml:space="preserve">Section 7.02. </w:t>
      </w:r>
      <w:r>
        <w:rPr>
          <w:rFonts w:ascii="Times New Roman" w:cs="Times New Roman" w:eastAsia="Times New Roman" w:hAnsi="Times New Roman"/>
          <w:sz w:val="13"/>
          <w:szCs w:val="13"/>
          <w:u w:val="single" w:color="auto"/>
          <w:color w:val="auto"/>
        </w:rPr>
        <w:t>Vacation, Holidays and Leaves of Absence</w:t>
      </w:r>
      <w:r>
        <w:rPr>
          <w:rFonts w:ascii="Times New Roman" w:cs="Times New Roman" w:eastAsia="Times New Roman" w:hAnsi="Times New Roman"/>
          <w:sz w:val="13"/>
          <w:szCs w:val="13"/>
          <w:color w:val="auto"/>
        </w:rPr>
        <w:t>. From and following the Distribution Time, unless otherwise required by applicable Law,</w:t>
      </w:r>
    </w:p>
    <w:p>
      <w:pPr>
        <w:spacing w:after="0" w:line="33" w:lineRule="exact"/>
        <w:rPr>
          <w:sz w:val="20"/>
          <w:szCs w:val="20"/>
          <w:color w:val="auto"/>
        </w:rPr>
      </w:pPr>
    </w:p>
    <w:p>
      <w:pPr>
        <w:ind w:left="220" w:right="319" w:hanging="5"/>
        <w:spacing w:after="0" w:line="252" w:lineRule="auto"/>
        <w:tabs>
          <w:tab w:leader="none" w:pos="410" w:val="left"/>
        </w:tabs>
        <w:numPr>
          <w:ilvl w:val="0"/>
          <w:numId w:val="6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SpinCo Group’s assumption of Liabilities under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 xml:space="preserve">, the SpinCo Group shall credit and allow each SpinCo Group Employee to use any vacation or other paid time off accrued as of the Distribution Time in accordance with the terms of the applicable SpinCo Benefit Plan or Gold Benefit Plan as in effect immediately after to the Distribution Time, and (b) the Company Group shall retain all Liabilities with respect to vacation, holiday, annual leave or other leave of absence, and required payments related thereto, for each Company Group Employee and Former Employee. For clarity, in the event that the Company Group is required under applicable Law to pay out accrued vacation or other paid time off for any SpinCo Group Employee in connection with the Transactions, no such vacation or other paid time off shall be credited to the applicable SpinCo Group Employee pursuant to this paragraph but the amount of such payment shall be an assumed Liability pursuant to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570" w:name="page571"/>
    <w:bookmarkEnd w:id="570"/>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Section 7.03. </w:t>
      </w:r>
      <w:r>
        <w:rPr>
          <w:rFonts w:ascii="Times New Roman" w:cs="Times New Roman" w:eastAsia="Times New Roman" w:hAnsi="Times New Roman"/>
          <w:sz w:val="14"/>
          <w:szCs w:val="14"/>
          <w:u w:val="single" w:color="auto"/>
          <w:color w:val="auto"/>
        </w:rPr>
        <w:t>Severance and Unemployment Compensation</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679" w:firstLine="767"/>
        <w:spacing w:after="0" w:line="281" w:lineRule="auto"/>
        <w:tabs>
          <w:tab w:leader="none" w:pos="1182" w:val="left"/>
        </w:tabs>
        <w:numPr>
          <w:ilvl w:val="1"/>
          <w:numId w:val="6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following the Distribution Time, (i) the SpinCo Group shall retain any and all Liabilities to, or relating to, Continuing Employees in respect of severance and unemployment compensation for terminations of employment occurring after the Distribution Time, and</w:t>
      </w:r>
    </w:p>
    <w:p>
      <w:pPr>
        <w:spacing w:after="0" w:line="1" w:lineRule="exact"/>
        <w:rPr>
          <w:rFonts w:ascii="Times New Roman" w:cs="Times New Roman" w:eastAsia="Times New Roman" w:hAnsi="Times New Roman"/>
          <w:sz w:val="13"/>
          <w:szCs w:val="13"/>
          <w:color w:val="auto"/>
        </w:rPr>
      </w:pPr>
    </w:p>
    <w:p>
      <w:pPr>
        <w:ind w:left="220" w:right="379" w:hanging="5"/>
        <w:spacing w:after="0" w:line="256" w:lineRule="auto"/>
        <w:tabs>
          <w:tab w:leader="none" w:pos="426" w:val="left"/>
        </w:tabs>
        <w:numPr>
          <w:ilvl w:val="0"/>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7.03(c)</w:t>
      </w:r>
      <w:r>
        <w:rPr>
          <w:rFonts w:ascii="Times New Roman" w:cs="Times New Roman" w:eastAsia="Times New Roman" w:hAnsi="Times New Roman"/>
          <w:sz w:val="14"/>
          <w:szCs w:val="14"/>
          <w:color w:val="auto"/>
        </w:rPr>
        <w:t>, the Company Group shall retain any and all Liabilities to, or relating to all Company Group Employees and Former Employees in respect of severance and unemployment compensation, regardless of whether the event giving rise to the Liability occurred before, at or after the Distribution Time.</w:t>
      </w:r>
    </w:p>
    <w:p>
      <w:pPr>
        <w:spacing w:after="0" w:line="142" w:lineRule="exact"/>
        <w:rPr>
          <w:rFonts w:ascii="Times New Roman" w:cs="Times New Roman" w:eastAsia="Times New Roman" w:hAnsi="Times New Roman"/>
          <w:sz w:val="14"/>
          <w:szCs w:val="14"/>
          <w:color w:val="auto"/>
        </w:rPr>
      </w:pPr>
    </w:p>
    <w:p>
      <w:pPr>
        <w:ind w:left="220" w:right="239" w:firstLine="767"/>
        <w:spacing w:after="0" w:line="257" w:lineRule="auto"/>
        <w:tabs>
          <w:tab w:leader="none" w:pos="1190" w:val="left"/>
        </w:tabs>
        <w:numPr>
          <w:ilvl w:val="1"/>
          <w:numId w:val="6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Group shall retain or assume, as appropriate, any and all Liabilities in respect of severance, termination indemnities or other similar payments or similar benefits arising out of, relating to or resulting from the transfer of SpinCo Group Employees from the Company Group to the SpinCo Group or otherwise in connection with the Transactions (including any such Liabilities that arise in respect of any applicable notice and/or severance obligations, obligations to transfer or obligations to notify and/or consult in compliance with a Labor Agreement or applicable Law), except to the extent such Liabilities arise out of Gold’s or the SpinCo Group’s failure to comply with this Agreement (including </w:t>
      </w: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xml:space="preserve">), or as provided in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Workers’ Compensation</w:t>
      </w:r>
      <w:r>
        <w:rPr>
          <w:rFonts w:ascii="Times New Roman" w:cs="Times New Roman" w:eastAsia="Times New Roman" w:hAnsi="Times New Roman"/>
          <w:sz w:val="14"/>
          <w:szCs w:val="14"/>
          <w:color w:val="auto"/>
        </w:rPr>
        <w:t>. With respect to claims for workers’ compensation under a self-insured workers’ compensation program,</w:t>
      </w:r>
    </w:p>
    <w:p>
      <w:pPr>
        <w:spacing w:after="0" w:line="22" w:lineRule="exact"/>
        <w:rPr>
          <w:sz w:val="20"/>
          <w:szCs w:val="20"/>
          <w:color w:val="auto"/>
        </w:rPr>
      </w:pPr>
    </w:p>
    <w:p>
      <w:pPr>
        <w:ind w:left="220" w:right="279" w:hanging="5"/>
        <w:spacing w:after="0" w:line="252" w:lineRule="auto"/>
        <w:tabs>
          <w:tab w:leader="none" w:pos="410" w:val="left"/>
        </w:tabs>
        <w:numPr>
          <w:ilvl w:val="0"/>
          <w:numId w:val="6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SpinCo Group shall be responsible for claims in respect of SpinCo Group Employees whether the injury giving rise to such claim first occurred before, at or after the Distribution Time, it being understood that (i) current claims related to injuries first occurring prior to the Distribution Date shall be reflected in Net Working Capital and (ii) the long-term claim reserve for workers’ compensation claims related to injuries first occurring prior to the Distribution Date shall be included in SpinCo Indebtedness, and (b) the Company Group shall be responsible for all claims in respect of all Company Group Employees and Former Employees, whether the injury giving rise to such claim occurred before, at or after the Distribution Time. The treatment of workers’ compensation claims by SpinCo with respect to Company insurance policies shall be governed by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of the Separation Agreement.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NON-U.S. EMPLOYEES</w:t>
      </w:r>
    </w:p>
    <w:p>
      <w:pPr>
        <w:spacing w:after="0" w:line="161" w:lineRule="exact"/>
        <w:rPr>
          <w:sz w:val="20"/>
          <w:szCs w:val="20"/>
          <w:color w:val="auto"/>
        </w:rPr>
      </w:pPr>
    </w:p>
    <w:p>
      <w:pPr>
        <w:ind w:left="220" w:right="279"/>
        <w:spacing w:after="0" w:line="254" w:lineRule="auto"/>
        <w:rPr>
          <w:sz w:val="20"/>
          <w:szCs w:val="20"/>
          <w:color w:val="auto"/>
        </w:rPr>
      </w:pPr>
      <w:r>
        <w:rPr>
          <w:rFonts w:ascii="Times New Roman" w:cs="Times New Roman" w:eastAsia="Times New Roman" w:hAnsi="Times New Roman"/>
          <w:sz w:val="14"/>
          <w:szCs w:val="14"/>
          <w:color w:val="auto"/>
        </w:rPr>
        <w:t xml:space="preserve">All actions taken under this Agreement with respect to benefits and Liabilities related to SpinCo Group Employees who are residents outside of the United States or otherwise subject to non-U.S. Law shall be subject to and accomplished in accordance with applicable Laws or regulations of countries outside of the United States in the custom of the applicable jurisdictions (including, as set forth in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above, as required by any applicable Labor Agreement). Except as otherwise may be expressly set forth in this Agreement or applicable local Transfer Documents, in the event that such applicable Law does not require the Company and/or SpinCo to take any specific action with respect to any such benefit or Liability, such benefits and Liabilities shall be treated in the same manner as those related to SpinCo Group Employees, respectively, who are residents of the United States and are not subject to non-U.S. Law. For the avoidance of doubt, the Parties shall, in consultation with the other Parties, have the authority to adjust any treatment described in this Agreement with respect to SpinCo Group Employees who are located outside of the United States in order to ensure compliance with the applicable Laws or regulations of countries outside of the United States or to preserve the tax benefits provided under local tax law or regulation before the Distribution;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Parties shall take all necessary action to preserve the economic terms of the allocation of Assets and Liabilities contemplated by this Agreement.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571" w:name="page572"/>
    <w:bookmarkEnd w:id="57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ARTICLE IX</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Information Sharing and Access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19" w:firstLine="767"/>
        <w:spacing w:after="0" w:line="256" w:lineRule="auto"/>
        <w:tabs>
          <w:tab w:leader="none" w:pos="1182" w:val="left"/>
        </w:tabs>
        <w:numPr>
          <w:ilvl w:val="0"/>
          <w:numId w:val="6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Sharing of Information</w:t>
      </w:r>
      <w:r>
        <w:rPr>
          <w:rFonts w:ascii="Times New Roman" w:cs="Times New Roman" w:eastAsia="Times New Roman" w:hAnsi="Times New Roman"/>
          <w:sz w:val="14"/>
          <w:szCs w:val="14"/>
          <w:color w:val="auto"/>
        </w:rPr>
        <w:t>. Subject to any limitations imposed by applicable Law, each of the Company and SpinCo (acting directly or through members of the Company Group or the SpinCo Group, respectively) shall provide to the other Party and to Gold and its authorized agents and vendors all information necessary (including information for purposes of determining benefit eligibility, participation, vesting, calculation of benefits) on a timely basis under the circumstances for the Party to perform its duties under this Agreement, including in connection with a reasonable request of the Company, SpinCo and/or Gold, as applicable. Such information shall include information relating to equity awards under stock plans. To the extent that such information is maintained by a third-party vendor, each Party shall use its commercially reasonable efforts to require the third-party vendor to provide the necessary information and assist in resolving discrepancies or obtaining missing data.</w:t>
      </w:r>
    </w:p>
    <w:p>
      <w:pPr>
        <w:spacing w:after="0" w:line="143" w:lineRule="exact"/>
        <w:rPr>
          <w:rFonts w:ascii="Times New Roman" w:cs="Times New Roman" w:eastAsia="Times New Roman" w:hAnsi="Times New Roman"/>
          <w:sz w:val="14"/>
          <w:szCs w:val="14"/>
          <w:color w:val="auto"/>
        </w:rPr>
      </w:pPr>
    </w:p>
    <w:p>
      <w:pPr>
        <w:ind w:left="220" w:right="299" w:firstLine="767"/>
        <w:spacing w:after="0" w:line="256" w:lineRule="auto"/>
        <w:tabs>
          <w:tab w:leader="none" w:pos="1190" w:val="left"/>
        </w:tabs>
        <w:numPr>
          <w:ilvl w:val="0"/>
          <w:numId w:val="6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of Personnel Records and Authorization</w:t>
      </w:r>
      <w:r>
        <w:rPr>
          <w:rFonts w:ascii="Times New Roman" w:cs="Times New Roman" w:eastAsia="Times New Roman" w:hAnsi="Times New Roman"/>
          <w:sz w:val="14"/>
          <w:szCs w:val="14"/>
          <w:color w:val="auto"/>
        </w:rPr>
        <w:t>. Subject to any limitation imposed by applicable Law and to the extent that it has not done so before the Distribution Time, the Company shall transfer to SpinCo any and all employment records (including any Form 1-9, Form W-2 or other IRS or similar non-U.S. forms) with respect to SpinCo Group Employees and other records reasonably required by SpinCo to enable SpinCo properly to carry out its obligations under this Agreement and to continue to employ the SpinCo Group Employees following the Distribution Time. Such transfer of records generally shall occur as soon as administratively practicable at or after the Distribution Time. Each Party shall permit the other Party and Gold reasonable access to its Employee records, to the extent reasonably necessary for such accessing Party to carry out its obligations hereunder.</w:t>
      </w:r>
    </w:p>
    <w:p>
      <w:pPr>
        <w:spacing w:after="0" w:line="143" w:lineRule="exact"/>
        <w:rPr>
          <w:rFonts w:ascii="Times New Roman" w:cs="Times New Roman" w:eastAsia="Times New Roman" w:hAnsi="Times New Roman"/>
          <w:sz w:val="14"/>
          <w:szCs w:val="14"/>
          <w:color w:val="auto"/>
        </w:rPr>
      </w:pPr>
    </w:p>
    <w:p>
      <w:pPr>
        <w:jc w:val="both"/>
        <w:ind w:left="220" w:right="279" w:firstLine="767"/>
        <w:spacing w:after="0" w:line="267" w:lineRule="auto"/>
        <w:tabs>
          <w:tab w:leader="none" w:pos="1182" w:val="left"/>
        </w:tabs>
        <w:numPr>
          <w:ilvl w:val="0"/>
          <w:numId w:val="6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Access to Records</w:t>
      </w:r>
      <w:r>
        <w:rPr>
          <w:rFonts w:ascii="Times New Roman" w:cs="Times New Roman" w:eastAsia="Times New Roman" w:hAnsi="Times New Roman"/>
          <w:sz w:val="14"/>
          <w:szCs w:val="14"/>
          <w:color w:val="auto"/>
        </w:rPr>
        <w:t>. To the extent not inconsistent with this Agreement, the Separation Agreement or any applicable privacy protection Laws or regulations, reasonable access to Employee-related and benefit plan related records after the Distribution Time shall be provided to members of the Company Group and members of the SpinCo Group pursuant to the terms and conditions of Article VI of the Separation Agreement.</w:t>
      </w:r>
    </w:p>
    <w:p>
      <w:pPr>
        <w:spacing w:after="0" w:line="135" w:lineRule="exact"/>
        <w:rPr>
          <w:rFonts w:ascii="Times New Roman" w:cs="Times New Roman" w:eastAsia="Times New Roman" w:hAnsi="Times New Roman"/>
          <w:sz w:val="14"/>
          <w:szCs w:val="14"/>
          <w:color w:val="auto"/>
        </w:rPr>
      </w:pPr>
    </w:p>
    <w:p>
      <w:pPr>
        <w:ind w:left="220" w:right="319" w:firstLine="767"/>
        <w:spacing w:after="0" w:line="257" w:lineRule="auto"/>
        <w:tabs>
          <w:tab w:leader="none" w:pos="1190" w:val="left"/>
        </w:tabs>
        <w:numPr>
          <w:ilvl w:val="0"/>
          <w:numId w:val="6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Maintenance of Records</w:t>
      </w:r>
      <w:r>
        <w:rPr>
          <w:rFonts w:ascii="Times New Roman" w:cs="Times New Roman" w:eastAsia="Times New Roman" w:hAnsi="Times New Roman"/>
          <w:sz w:val="14"/>
          <w:szCs w:val="14"/>
          <w:color w:val="auto"/>
        </w:rPr>
        <w:t xml:space="preserve">. With respect to retaining, destroying, transferring, sharing, copying and permitting access to all Employee-related information, the Company and SpinCo shall comply with all applicable Laws, regulations and internal policies, and shall indemnify and hold harmless each other from and against any and all Liability, Actions, and damages that arise from a failure (by the indemnifying Party or its Subsidiaries or their respective agents) to so comply with all applicable Laws, regulations and internal policies applicable to such information. Except to the extent inconsistent with this Agreement,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(Record Retention) of the Separation Agreement shall apply to Employee-related records as if set forth herein </w:t>
      </w:r>
      <w:r>
        <w:rPr>
          <w:rFonts w:ascii="Times New Roman" w:cs="Times New Roman" w:eastAsia="Times New Roman" w:hAnsi="Times New Roman"/>
          <w:sz w:val="14"/>
          <w:szCs w:val="14"/>
          <w:i w:val="1"/>
          <w:iCs w:val="1"/>
          <w:color w:val="auto"/>
        </w:rPr>
        <w:t>mutatis mutandis.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8" w:right="1440" w:bottom="1440" w:gutter="0" w:footer="0" w:header="0"/>
        </w:sectPr>
      </w:pPr>
    </w:p>
    <w:bookmarkStart w:id="572" w:name="page573"/>
    <w:bookmarkEnd w:id="572"/>
    <w:p>
      <w:pPr>
        <w:ind w:left="220" w:right="239" w:firstLine="767"/>
        <w:spacing w:after="0" w:line="277" w:lineRule="auto"/>
        <w:tabs>
          <w:tab w:leader="none" w:pos="1182" w:val="left"/>
        </w:tabs>
        <w:numPr>
          <w:ilvl w:val="0"/>
          <w:numId w:val="6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Cooperation</w:t>
      </w:r>
      <w:r>
        <w:rPr>
          <w:rFonts w:ascii="Times New Roman" w:cs="Times New Roman" w:eastAsia="Times New Roman" w:hAnsi="Times New Roman"/>
          <w:sz w:val="13"/>
          <w:szCs w:val="13"/>
          <w:color w:val="auto"/>
        </w:rPr>
        <w:t xml:space="preserve">. Each Party shall use commercially reasonable efforts to cooperate and work together to unify, consolidate and share (to the extent permissible under applicable privacy/data protection Laws) all relevant documents, resolutions, government filings, data, payroll, employment and benefit plan information on regular timetables and cooperate as needed with respect to (i) any claims under or audit of or litigation with respect to any employee benefit plan, policy or arrangement contemplated by this Agreement, (ii) efforts to seek a determination letter, private letter ruling or advisory opinion from the IRS or U.S. Department of Labor on behalf of any employee benefit plan, policy or arrangement contemplated by this Agreement, (iii) any filings that are required to be made or supplemented to the IRS, U.S. Pension Benefit Guaranty Corporation, U.S. Department of Labor or any other Governmental Authority, and (iv) any audits by a Governmental Authority or corrective actions, relating to any Benefit Plan, labor or payroll practices; </w:t>
      </w:r>
      <w:r>
        <w:rPr>
          <w:rFonts w:ascii="Times New Roman" w:cs="Times New Roman" w:eastAsia="Times New Roman" w:hAnsi="Times New Roman"/>
          <w:sz w:val="13"/>
          <w:szCs w:val="13"/>
          <w:u w:val="single" w:color="auto"/>
          <w:color w:val="auto"/>
        </w:rPr>
        <w:t>provided, however</w:t>
      </w:r>
      <w:r>
        <w:rPr>
          <w:rFonts w:ascii="Times New Roman" w:cs="Times New Roman" w:eastAsia="Times New Roman" w:hAnsi="Times New Roman"/>
          <w:sz w:val="13"/>
          <w:szCs w:val="13"/>
          <w:color w:val="auto"/>
        </w:rPr>
        <w:t>, that requests for cooperation must be reasonable and not interfere with daily business operations.</w:t>
      </w:r>
    </w:p>
    <w:p>
      <w:pPr>
        <w:spacing w:after="0" w:line="133" w:lineRule="exact"/>
        <w:rPr>
          <w:rFonts w:ascii="Times New Roman" w:cs="Times New Roman" w:eastAsia="Times New Roman" w:hAnsi="Times New Roman"/>
          <w:sz w:val="13"/>
          <w:szCs w:val="13"/>
          <w:color w:val="auto"/>
        </w:rPr>
      </w:pPr>
    </w:p>
    <w:p>
      <w:pPr>
        <w:jc w:val="both"/>
        <w:ind w:left="220" w:right="279" w:firstLine="767"/>
        <w:spacing w:after="0" w:line="323" w:lineRule="auto"/>
        <w:tabs>
          <w:tab w:leader="none" w:pos="1167" w:val="left"/>
        </w:tabs>
        <w:numPr>
          <w:ilvl w:val="0"/>
          <w:numId w:val="6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xml:space="preserve">. Notwithstanding anything in this Agreement to the contrary, all confidential records and data relating to Employees to be shared or transferred pursuant to this Agreement shall be subject to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of the Separation Agreement and the requirements of applicable Law.</w:t>
      </w:r>
    </w:p>
    <w:p>
      <w:pPr>
        <w:spacing w:after="0" w:line="102" w:lineRule="exact"/>
        <w:rPr>
          <w:sz w:val="20"/>
          <w:szCs w:val="20"/>
          <w:color w:val="auto"/>
        </w:rPr>
      </w:pPr>
    </w:p>
    <w:p>
      <w:pPr>
        <w:ind w:left="220" w:right="4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Preservation of R</w:t>
      </w:r>
      <w:r>
        <w:rPr>
          <w:rFonts w:ascii="Times New Roman" w:cs="Times New Roman" w:eastAsia="Times New Roman" w:hAnsi="Times New Roman"/>
          <w:sz w:val="14"/>
          <w:szCs w:val="14"/>
          <w:color w:val="auto"/>
        </w:rPr>
        <w:t>ig</w:t>
      </w:r>
      <w:r>
        <w:rPr>
          <w:rFonts w:ascii="Times New Roman" w:cs="Times New Roman" w:eastAsia="Times New Roman" w:hAnsi="Times New Roman"/>
          <w:sz w:val="14"/>
          <w:szCs w:val="14"/>
          <w:u w:val="single" w:color="auto"/>
          <w:color w:val="auto"/>
        </w:rPr>
        <w:t>hts to Amend</w:t>
      </w:r>
      <w:r>
        <w:rPr>
          <w:rFonts w:ascii="Times New Roman" w:cs="Times New Roman" w:eastAsia="Times New Roman" w:hAnsi="Times New Roman"/>
          <w:sz w:val="14"/>
          <w:szCs w:val="14"/>
          <w:color w:val="auto"/>
        </w:rPr>
        <w:t>. Except as specifically set forth in this Agreement, the rights of each member of the Company Group and each member of the SpinCo Group to amend, waive, or terminate any plan, arrangement, agreement, program, or policy referred to herein shall not be limited in any way by this Agreement.</w:t>
      </w:r>
    </w:p>
    <w:p>
      <w:pPr>
        <w:spacing w:after="0" w:line="136"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Fiduciary Matters</w:t>
      </w:r>
      <w:r>
        <w:rPr>
          <w:rFonts w:ascii="Times New Roman" w:cs="Times New Roman" w:eastAsia="Times New Roman" w:hAnsi="Times New Roman"/>
          <w:sz w:val="14"/>
          <w:szCs w:val="14"/>
          <w:color w:val="auto"/>
        </w:rPr>
        <w:t>. The Company and SpinCo each acknowledges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 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 Nothing contained in this Agreement is intended to make a Party a fiduciary to the other Parties’ Benefit Plans.</w:t>
      </w:r>
    </w:p>
    <w:p>
      <w:pPr>
        <w:spacing w:after="0" w:line="144" w:lineRule="exact"/>
        <w:rPr>
          <w:sz w:val="20"/>
          <w:szCs w:val="20"/>
          <w:color w:val="auto"/>
        </w:rPr>
      </w:pPr>
    </w:p>
    <w:p>
      <w:pPr>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 xml:space="preserve">Section 9.04.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Each Party hereto shall take, or cause to be taken, any and all reasonable actions, including the execution, acknowledgment, filing and delivery of any and all documents and instruments that any other Party hereto may reasonably require in order to effect the intent and purpose of this Agreement and the transactions contemplated hereby.</w:t>
      </w:r>
    </w:p>
    <w:p>
      <w:pPr>
        <w:spacing w:after="0" w:line="136" w:lineRule="exact"/>
        <w:rPr>
          <w:sz w:val="20"/>
          <w:szCs w:val="20"/>
          <w:color w:val="auto"/>
        </w:rPr>
      </w:pPr>
    </w:p>
    <w:p>
      <w:pPr>
        <w:ind w:left="220" w:right="65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9.05. </w:t>
      </w: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 The dispute resolution procedures set forth in Article VII of the Separation Agreement shall apply to any dispute, controversy or claim arising out of or relating to this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1" w:right="1440" w:bottom="1440" w:gutter="0" w:footer="0" w:header="0"/>
        </w:sectPr>
      </w:pPr>
    </w:p>
    <w:bookmarkStart w:id="573" w:name="page574"/>
    <w:bookmarkEnd w:id="573"/>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Section 9.06. </w:t>
      </w:r>
      <w:r>
        <w:rPr>
          <w:rFonts w:ascii="Times New Roman" w:cs="Times New Roman" w:eastAsia="Times New Roman" w:hAnsi="Times New Roman"/>
          <w:sz w:val="14"/>
          <w:szCs w:val="14"/>
          <w:u w:val="single" w:color="auto"/>
          <w:color w:val="auto"/>
        </w:rPr>
        <w:t>Third-Party Beneficiaries</w:t>
      </w:r>
      <w:r>
        <w:rPr>
          <w:rFonts w:ascii="Times New Roman" w:cs="Times New Roman" w:eastAsia="Times New Roman" w:hAnsi="Times New Roman"/>
          <w:sz w:val="14"/>
          <w:szCs w:val="14"/>
          <w:color w:val="auto"/>
        </w:rPr>
        <w:t>. The provisions of this Agreement are solely for the benefit of the Parties and are not intended to confer upon any other Person except the Parties any rights or remedies hereunder. There are no third-party beneficiaries of this Agreement, and this Agreement shall not provide any Third Person with any remedy, claim, Liability, reimbursement, claim of action or other right in excess of those existing without reference to this Agreement. Without limiting the generality of the foregoing, (a) nothing in this Agreement is intended to amend any employee benefit plan or affect the applicable plan sponsor’s right to amend or terminate any employee benefit plan pursuant to the terms of such plan and (b) the provisions of this Agreement are solely for the benefit of the Parties, and no current or former Employee, officer, director, or independent contractor or any other individual associated therewith shall be regarded for any purpose as a third-party beneficiary of this Agreement.</w:t>
      </w:r>
    </w:p>
    <w:p>
      <w:pPr>
        <w:spacing w:after="0" w:line="144"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 xml:space="preserve">Section 9.07. </w:t>
      </w:r>
      <w:r>
        <w:rPr>
          <w:rFonts w:ascii="Times New Roman" w:cs="Times New Roman" w:eastAsia="Times New Roman" w:hAnsi="Times New Roman"/>
          <w:sz w:val="14"/>
          <w:szCs w:val="14"/>
          <w:u w:val="single" w:color="auto"/>
          <w:color w:val="auto"/>
        </w:rPr>
        <w:t>Incorporation of Separation Agreement Provisions</w:t>
      </w:r>
      <w:r>
        <w:rPr>
          <w:rFonts w:ascii="Times New Roman" w:cs="Times New Roman" w:eastAsia="Times New Roman" w:hAnsi="Times New Roman"/>
          <w:sz w:val="14"/>
          <w:szCs w:val="14"/>
          <w:color w:val="auto"/>
        </w:rPr>
        <w:t xml:space="preserve">. Article X of the Separation Agreement is incorporated herein by reference and shall apply to this Agreement as if set forth herein </w:t>
      </w:r>
      <w:r>
        <w:rPr>
          <w:rFonts w:ascii="Times New Roman" w:cs="Times New Roman" w:eastAsia="Times New Roman" w:hAnsi="Times New Roman"/>
          <w:sz w:val="14"/>
          <w:szCs w:val="14"/>
          <w:i w:val="1"/>
          <w:iCs w:val="1"/>
          <w:color w:val="auto"/>
        </w:rPr>
        <w:t>mutatis mutandis.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Remainder of page intentionally left blank</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1" w:right="1440" w:bottom="1440" w:gutter="0" w:footer="0" w:header="0"/>
        </w:sectPr>
      </w:pPr>
    </w:p>
    <w:bookmarkStart w:id="574" w:name="page575"/>
    <w:bookmarkEnd w:id="574"/>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have caused this Employee Matters Agreement to be executed by their duly authorized representatives as of the date first written above.</w:t>
      </w:r>
    </w:p>
    <w:p>
      <w:pPr>
        <w:spacing w:after="0" w:line="1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MODINE MANUFACTURING COMPANY</w:t>
      </w:r>
    </w:p>
    <w:p>
      <w:pPr>
        <w:spacing w:after="0" w:line="17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-101600</wp:posOffset>
            </wp:positionV>
            <wp:extent cx="191579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3">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PLATINUM SPINCO INC.</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-101600</wp:posOffset>
            </wp:positionV>
            <wp:extent cx="191579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4">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GENTHERM INCORPORATED</w:t>
      </w:r>
    </w:p>
    <w:p>
      <w:pPr>
        <w:spacing w:after="0" w:line="2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-101600</wp:posOffset>
            </wp:positionV>
            <wp:extent cx="191579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5">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Title: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Employee Matters Agreement]</w:t>
      </w:r>
    </w:p>
    <w:p>
      <w:pPr>
        <w:sectPr>
          <w:pgSz w:w="11900" w:h="16838" w:orient="portrait"/>
          <w:cols w:equalWidth="0" w:num="1">
            <w:col w:w="9019"/>
          </w:cols>
          <w:pgMar w:left="1440" w:top="241" w:right="1440" w:bottom="1440" w:gutter="0" w:footer="0" w:header="0"/>
        </w:sectPr>
      </w:pPr>
    </w:p>
    <w:bookmarkStart w:id="575" w:name="page576"/>
    <w:bookmarkEnd w:id="57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10.6</w:t>
      </w:r>
    </w:p>
    <w:p>
      <w:pPr>
        <w:spacing w:after="0" w:line="9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17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u w:val="single" w:color="auto"/>
          <w:color w:val="auto"/>
        </w:rPr>
        <w:t>CUSIP Numbers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Deal: 72767RAA0</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Term Loan: 72767RAB8</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CREDIT AGREEMENT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dated as of June 29, 2026</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among</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PLATINUM SPINCO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the Borrower,</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Guarantors from time to time party hereto,</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Lenders from time to time party hereto,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BANK OF AMERICA, N.A.,</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the Administrative Agent,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JPMORGAN CHASE BANK, N.A.,</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HSBC BANK USA, N.A.,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PNC BANK, NATIONAL ASSOCIATION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WELLS FARGO BANK, N.A.,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Co-Syndication Agents,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FIFTH THIRD BANK, N.A.,</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Documentation Agent,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BOFA SECURITIES,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JPMORGAN CHASE BANK, N.A.</w:t>
      </w: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HSBC SECURITIES (USA) INC.</w:t>
      </w: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PNC CAPITAL MARKETS LLC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and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WELLS FARGO SECURITIES, LLC</w:t>
      </w:r>
      <w:r>
        <w:rPr>
          <w:rFonts w:ascii="Times New Roman" w:cs="Times New Roman" w:eastAsia="Times New Roman" w:hAnsi="Times New Roman"/>
          <w:sz w:val="14"/>
          <w:szCs w:val="14"/>
          <w:color w:val="auto"/>
        </w:rPr>
        <w: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Joint Lead Arrangers,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BOFA SECURITIES,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as Sole Bookrunner</w:t>
      </w:r>
    </w:p>
    <w:p>
      <w:pPr>
        <w:sectPr>
          <w:pgSz w:w="11900" w:h="16838" w:orient="portrait"/>
          <w:cols w:equalWidth="0" w:num="1">
            <w:col w:w="9019"/>
          </w:cols>
          <w:pgMar w:left="1440" w:top="124" w:right="1440" w:bottom="1440" w:gutter="0" w:footer="0" w:header="0"/>
        </w:sectPr>
      </w:pPr>
    </w:p>
    <w:bookmarkStart w:id="576" w:name="page577"/>
    <w:bookmarkEnd w:id="576"/>
    <w:tbl>
      <w:tblPr>
        <w:tblLayout w:type="fixed"/>
        <w:tblInd w:w="22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610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40" w:type="dxa"/>
            <w:vAlign w:val="bottom"/>
          </w:tcPr>
          <w:p>
            <w:pPr>
              <w:spacing w:after="0"/>
              <w:rPr>
                <w:sz w:val="16"/>
                <w:szCs w:val="16"/>
                <w:color w:val="auto"/>
              </w:rPr>
            </w:pPr>
          </w:p>
        </w:tc>
      </w:tr>
      <w:tr>
        <w:trPr>
          <w:trHeight w:val="318"/>
        </w:trPr>
        <w:tc>
          <w:tcPr>
            <w:tcW w:w="6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Page</w:t>
            </w:r>
          </w:p>
        </w:tc>
      </w:tr>
      <w:tr>
        <w:trPr>
          <w:trHeight w:val="239"/>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DEFINITIONS AND ACCOUNTING TERMS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Defined Terms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Interpretive Provisions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Accounting Terms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Rounding</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1.05</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Conforming Changes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1.06</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1.07</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Times of Day</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1.09</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1.10</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Certain Calculations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3"/>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1.11</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Limited Condition Transactions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52"/>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THE COMMITMENTS AND CREDIT EXTENSIONS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3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2.01</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Loans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2.02</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Borrowings; Conversions and Continuations of Term Loans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2.03</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2.04</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2.05</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Prepayments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2.06</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Termination or Reduction of Commitments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2.07</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Repayment of Loans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2.08</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2.09</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Fees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2.10</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Computation of Interest and Fees; Retroactive Adjustments of Applicable Rate</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2.11</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Evidence of Debt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2.12</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Payments Generally; Administrative Agent’s Clawback</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2.13</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Sharing of Payments by Lenders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2.14</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2.15</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2.16</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Defaulting Lenders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2.17</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2.18</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Designated Lenders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3"/>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2.19</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[Reserved]</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52"/>
        </w:trPr>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TAXES, YIELD PROTECTION AND ILLEGALITY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3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3.01</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Taxes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3.02</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Illegality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3.03</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Inability to Determine Rates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3.04</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Increased Costs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3.05</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Compensation for Losses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3.06</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Mitigation Obligations; Replacement of Lenders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3.07</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Successor Rates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3"/>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3.08</w:t>
            </w:r>
          </w:p>
        </w:tc>
        <w:tc>
          <w:tcPr>
            <w:tcW w:w="6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Survival</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8" w:right="1440" w:bottom="1440" w:gutter="0" w:footer="0" w:header="0"/>
        </w:sectPr>
      </w:pPr>
    </w:p>
    <w:bookmarkStart w:id="577" w:name="page578"/>
    <w:bookmarkEnd w:id="577"/>
    <w:tbl>
      <w:tblPr>
        <w:tblLayout w:type="fixed"/>
        <w:tblInd w:w="220" w:type="dxa"/>
        <w:tblCellMar>
          <w:top w:w="0" w:type="dxa"/>
          <w:left w:w="0" w:type="dxa"/>
          <w:bottom w:w="0" w:type="dxa"/>
          <w:right w:w="0" w:type="dxa"/>
        </w:tblCellMar>
      </w:tblPr>
      <w:tr>
        <w:trPr>
          <w:trHeight w:val="18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CONDITIONS PRECEDENT TO CREDIT EXTENSIONS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3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4.01</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Conditions of Closing Date</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3"/>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4.02</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Conditions to Funding</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52"/>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REPRESENTATIONS AND WARRANTIES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3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5.01</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Existence, Qualification and Power</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5.02</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Authorization; No Contravention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5.03</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Governmental Authorization; Other Consents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5.04</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Binding Effect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5.05</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Financial Statements; No Material Adverse Effect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5.06</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Litigation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5.07</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 Default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5.08</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Ownership of Property; Liens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5.09</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Environmental Compliance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5.10</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Insurance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5.11</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Taxes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5.12</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ERISA Compliance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5.13</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Subsidiaries; Equity Interests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5.14</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Margin Regulations; Investment Company Act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5.15</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Disclosure</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5.16</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Compliance with Laws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5.17</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Intellectual Property; Licenses,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5.18</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Solvency</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5.19</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Labor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5.20</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5.21</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Collateral Documents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5.22</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5.23</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5.24</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Government Sanctions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5.25</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PATRIOT Act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5.26</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Anti-Corruption Laws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3"/>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5.27</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Affected Financial Institutions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52"/>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AFFIRMATIVE COVENANTS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3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6.01</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Financial Statements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6.02</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Certificates; Other Information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6.03</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Notices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6.04</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Payment of Obligations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6.05</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Preservation of Existence,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6.06</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Maintenance of Properties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6.07</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Maintenance of Insurance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6.08</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Compliance with Laws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6.09</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Books and Records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6.10</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Inspection Rights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6.11</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Use of Proceeds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6.12</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6.13</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Covenant to Guarantee Obligations and Give Security</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6.14</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Compliance with Environmental Laws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68"/>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6.15</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Further Assurances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3"/>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6.16</w:t>
            </w:r>
          </w:p>
        </w:tc>
        <w:tc>
          <w:tcPr>
            <w:tcW w:w="5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Anti-Corruption Laws; Sanctions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324" w:right="1440" w:bottom="1440" w:gutter="0" w:footer="0" w:header="0"/>
        </w:sectPr>
      </w:pPr>
    </w:p>
    <w:bookmarkStart w:id="578" w:name="page579"/>
    <w:bookmarkEnd w:id="578"/>
    <w:tbl>
      <w:tblPr>
        <w:tblLayout w:type="fixed"/>
        <w:tblInd w:w="220" w:type="dxa"/>
        <w:tblCellMar>
          <w:top w:w="0" w:type="dxa"/>
          <w:left w:w="0" w:type="dxa"/>
          <w:bottom w:w="0" w:type="dxa"/>
          <w:right w:w="0" w:type="dxa"/>
        </w:tblCellMar>
      </w:tblPr>
      <w:tr>
        <w:trPr>
          <w:trHeight w:val="183"/>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NEGATIVE COVENANTS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3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Liens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7.02</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Indebtedness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7.04</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Fundamental Changes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7.05</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Dispositions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7.06</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Payments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7.07</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 in Nature of Business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7.08</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Transactions with Affiliates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7.09</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Burdensome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7.10</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Use of Proceeds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Financial Covenants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7.12</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Amendments of Organization Documents, Material IP Rights,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Accounting Changes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7.14</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Prepayments, Etc. of Junior Indebtedness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7.15</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Sanctions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7.16</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Anti-Corruption Laws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83"/>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7.17</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Permitted Activities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52"/>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EVENTS OF DEFAULT AND REMEDIES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3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8.01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Events of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8.02</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Remedies Upon Event of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83"/>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8.03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Application of Funds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52"/>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ADMINISTRATIVE AGENT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3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9.01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Appointment and Authority</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9.02</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Rights as a Lender</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9.03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Exculpatory Provisions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9.04</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Reliance by Administrative Agent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9.05</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Delegation of Duties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9.06</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Resignation of Administrative Agent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9.07</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Non-Reliance on Administrative Agent, Arrangers and Other Lenders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9.08</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Other Duties, Etc.</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9.09</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Administrative Agent May File Proofs of Claim; Credit Bidding</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9.10</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Collateral and Guaranty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9.11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[Reserved]</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9.12</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ERISA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3"/>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9.13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Recovery of Erroneous Payments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52"/>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GUARANTY</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23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10.01</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Guaranty</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10.02</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Obligations Unconditional</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10.03</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Reinstatement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3"/>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10.04</w:t>
            </w:r>
          </w:p>
        </w:tc>
        <w:tc>
          <w:tcPr>
            <w:tcW w:w="5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Certain Additional Waivers</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324" w:right="1440" w:bottom="1440" w:gutter="0" w:footer="0" w:header="0"/>
        </w:sectPr>
      </w:pPr>
    </w:p>
    <w:bookmarkStart w:id="579" w:name="page580"/>
    <w:bookmarkEnd w:id="579"/>
    <w:tbl>
      <w:tblPr>
        <w:tblLayout w:type="fixed"/>
        <w:tblInd w:w="220" w:type="dxa"/>
        <w:tblCellMar>
          <w:top w:w="0" w:type="dxa"/>
          <w:left w:w="0" w:type="dxa"/>
          <w:bottom w:w="0" w:type="dxa"/>
          <w:right w:w="0" w:type="dxa"/>
        </w:tblCellMar>
      </w:tblP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10.05</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Remedies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10.06</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Rights of Contribution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10.07</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 of Payment; Continuing Guarantee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3"/>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10.08</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Keepwell</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52"/>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MISCELLANEOUS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23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11.01</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Amendments,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11.02</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Notices; Effectiveness; Electronic Communication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11.03</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Waiver; Cumulative Remedies; Enforcement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11.04</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Expenses; Indemnity; Damage Waiver</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11.05</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Payments Set Aside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11.06</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11.07</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Treatment of Certain Information; Confidentiality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11.08</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Right of Setoff</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11.09</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 Limitation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11.10</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Integration; Effectiveness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11.11</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Survival of Representations and Warranties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11.12</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Severability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11.13</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Replacement of Lenders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11.14</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Governing Law; Jurisdiction; Etc.</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11.15</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Waiver of Jury Trial</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11.16</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 Advisory or Fiduciary Responsibility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11.17</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Electronic Execution; Electronic Records; Counterparts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11.18</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USA PATRIOT Act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11.19</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[Reserved]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11.20</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Entire Agreement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11.21</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Acknowledgement and Consent to Bail-In of Affected Financial Institutions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68"/>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11.22</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Acknowledgement Regarding Any Supported QFCs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3"/>
        </w:trPr>
        <w:tc>
          <w:tcPr>
            <w:tcW w:w="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11.23</w:t>
            </w:r>
          </w:p>
        </w:tc>
        <w:tc>
          <w:tcPr>
            <w:tcW w:w="6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Assumption by the Company of the Borrower’s Obligations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bl>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b w:val="1"/>
          <w:bCs w:val="1"/>
          <w:color w:val="auto"/>
        </w:rPr>
        <w:t>SCHEDULES</w:t>
      </w:r>
    </w:p>
    <w:p>
      <w:pPr>
        <w:spacing w:after="0" w:line="198" w:lineRule="exact"/>
        <w:rPr>
          <w:sz w:val="20"/>
          <w:szCs w:val="20"/>
          <w:color w:val="auto"/>
        </w:rPr>
      </w:pPr>
    </w:p>
    <w:p>
      <w:pPr>
        <w:ind w:left="220"/>
        <w:spacing w:after="0"/>
        <w:tabs>
          <w:tab w:leader="none" w:pos="620" w:val="left"/>
        </w:tabs>
        <w:rPr>
          <w:sz w:val="20"/>
          <w:szCs w:val="20"/>
          <w:color w:val="auto"/>
        </w:rPr>
      </w:pPr>
      <w:r>
        <w:rPr>
          <w:rFonts w:ascii="Times New Roman" w:cs="Times New Roman" w:eastAsia="Times New Roman" w:hAnsi="Times New Roman"/>
          <w:sz w:val="14"/>
          <w:szCs w:val="14"/>
          <w:color w:val="auto"/>
        </w:rPr>
        <w:t>2.01</w:t>
        <w:tab/>
        <w:t>Commitments and Applicable Percentages</w:t>
      </w:r>
    </w:p>
    <w:p>
      <w:pPr>
        <w:spacing w:after="0" w:line="22" w:lineRule="exact"/>
        <w:rPr>
          <w:sz w:val="20"/>
          <w:szCs w:val="20"/>
          <w:color w:val="auto"/>
        </w:rPr>
      </w:pPr>
    </w:p>
    <w:p>
      <w:pPr>
        <w:ind w:left="220"/>
        <w:spacing w:after="0"/>
        <w:tabs>
          <w:tab w:leader="none" w:pos="620" w:val="left"/>
        </w:tabs>
        <w:rPr>
          <w:sz w:val="20"/>
          <w:szCs w:val="20"/>
          <w:color w:val="auto"/>
        </w:rPr>
      </w:pPr>
      <w:r>
        <w:rPr>
          <w:rFonts w:ascii="Times New Roman" w:cs="Times New Roman" w:eastAsia="Times New Roman" w:hAnsi="Times New Roman"/>
          <w:sz w:val="14"/>
          <w:szCs w:val="14"/>
          <w:color w:val="auto"/>
        </w:rPr>
        <w:t>5.13</w:t>
        <w:tab/>
        <w:t>Subsidiaries; Other Equity Investments</w:t>
      </w:r>
    </w:p>
    <w:p>
      <w:pPr>
        <w:spacing w:after="0" w:line="7" w:lineRule="exact"/>
        <w:rPr>
          <w:sz w:val="20"/>
          <w:szCs w:val="20"/>
          <w:color w:val="auto"/>
        </w:rPr>
      </w:pPr>
    </w:p>
    <w:p>
      <w:pPr>
        <w:ind w:left="220"/>
        <w:spacing w:after="0"/>
        <w:tabs>
          <w:tab w:leader="none" w:pos="620" w:val="left"/>
        </w:tabs>
        <w:rPr>
          <w:sz w:val="20"/>
          <w:szCs w:val="20"/>
          <w:color w:val="auto"/>
        </w:rPr>
      </w:pPr>
      <w:r>
        <w:rPr>
          <w:rFonts w:ascii="Times New Roman" w:cs="Times New Roman" w:eastAsia="Times New Roman" w:hAnsi="Times New Roman"/>
          <w:sz w:val="14"/>
          <w:szCs w:val="14"/>
          <w:color w:val="auto"/>
        </w:rPr>
        <w:t>7.01</w:t>
        <w:tab/>
        <w:t>Existing Liens</w:t>
      </w:r>
    </w:p>
    <w:p>
      <w:pPr>
        <w:spacing w:after="0" w:line="7" w:lineRule="exact"/>
        <w:rPr>
          <w:sz w:val="20"/>
          <w:szCs w:val="20"/>
          <w:color w:val="auto"/>
        </w:rPr>
      </w:pPr>
    </w:p>
    <w:p>
      <w:pPr>
        <w:ind w:left="220"/>
        <w:spacing w:after="0"/>
        <w:tabs>
          <w:tab w:leader="none" w:pos="620" w:val="left"/>
        </w:tabs>
        <w:rPr>
          <w:sz w:val="20"/>
          <w:szCs w:val="20"/>
          <w:color w:val="auto"/>
        </w:rPr>
      </w:pPr>
      <w:r>
        <w:rPr>
          <w:rFonts w:ascii="Times New Roman" w:cs="Times New Roman" w:eastAsia="Times New Roman" w:hAnsi="Times New Roman"/>
          <w:sz w:val="14"/>
          <w:szCs w:val="14"/>
          <w:color w:val="auto"/>
        </w:rPr>
        <w:t>7.02</w:t>
        <w:tab/>
        <w:t>Existing Investments</w:t>
      </w:r>
    </w:p>
    <w:p>
      <w:pPr>
        <w:spacing w:after="0" w:line="7" w:lineRule="exact"/>
        <w:rPr>
          <w:sz w:val="20"/>
          <w:szCs w:val="20"/>
          <w:color w:val="auto"/>
        </w:rPr>
      </w:pPr>
    </w:p>
    <w:p>
      <w:pPr>
        <w:ind w:left="220"/>
        <w:spacing w:after="0"/>
        <w:tabs>
          <w:tab w:leader="none" w:pos="620" w:val="left"/>
        </w:tabs>
        <w:rPr>
          <w:sz w:val="20"/>
          <w:szCs w:val="20"/>
          <w:color w:val="auto"/>
        </w:rPr>
      </w:pPr>
      <w:r>
        <w:rPr>
          <w:rFonts w:ascii="Times New Roman" w:cs="Times New Roman" w:eastAsia="Times New Roman" w:hAnsi="Times New Roman"/>
          <w:sz w:val="14"/>
          <w:szCs w:val="14"/>
          <w:color w:val="auto"/>
        </w:rPr>
        <w:t>7.03</w:t>
        <w:tab/>
        <w:t>Existing Indebtedness</w:t>
      </w:r>
    </w:p>
    <w:p>
      <w:pPr>
        <w:spacing w:after="0" w:line="7" w:lineRule="exact"/>
        <w:rPr>
          <w:sz w:val="20"/>
          <w:szCs w:val="20"/>
          <w:color w:val="auto"/>
        </w:rPr>
      </w:pPr>
    </w:p>
    <w:p>
      <w:pPr>
        <w:ind w:left="220"/>
        <w:spacing w:after="0"/>
        <w:tabs>
          <w:tab w:leader="none" w:pos="620" w:val="left"/>
        </w:tabs>
        <w:rPr>
          <w:sz w:val="20"/>
          <w:szCs w:val="20"/>
          <w:color w:val="auto"/>
        </w:rPr>
      </w:pPr>
      <w:r>
        <w:rPr>
          <w:rFonts w:ascii="Times New Roman" w:cs="Times New Roman" w:eastAsia="Times New Roman" w:hAnsi="Times New Roman"/>
          <w:sz w:val="14"/>
          <w:szCs w:val="14"/>
          <w:color w:val="auto"/>
        </w:rPr>
        <w:t>11.02</w:t>
      </w:r>
      <w:r>
        <w:rPr>
          <w:sz w:val="20"/>
          <w:szCs w:val="20"/>
          <w:color w:val="auto"/>
        </w:rPr>
        <w:tab/>
      </w:r>
      <w:r>
        <w:rPr>
          <w:rFonts w:ascii="Times New Roman" w:cs="Times New Roman" w:eastAsia="Times New Roman" w:hAnsi="Times New Roman"/>
          <w:sz w:val="13"/>
          <w:szCs w:val="13"/>
          <w:color w:val="auto"/>
        </w:rPr>
        <w:t>Administrative Agent’s Office; Certain Addresses for Notices</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Form of</w:t>
      </w:r>
    </w:p>
    <w:p>
      <w:pPr>
        <w:spacing w:after="0" w:line="104" w:lineRule="exact"/>
        <w:rPr>
          <w:sz w:val="20"/>
          <w:szCs w:val="20"/>
          <w:color w:val="auto"/>
        </w:rPr>
      </w:pPr>
    </w:p>
    <w:p>
      <w:pPr>
        <w:ind w:left="560" w:hanging="345"/>
        <w:spacing w:after="0"/>
        <w:tabs>
          <w:tab w:leader="none" w:pos="560" w:val="left"/>
        </w:tabs>
        <w:numPr>
          <w:ilvl w:val="0"/>
          <w:numId w:val="6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Loan Notice</w:t>
      </w:r>
    </w:p>
    <w:p>
      <w:pPr>
        <w:spacing w:after="0" w:line="22" w:lineRule="exact"/>
        <w:rPr>
          <w:sz w:val="20"/>
          <w:szCs w:val="20"/>
          <w:color w:val="auto"/>
        </w:rPr>
      </w:pPr>
    </w:p>
    <w:p>
      <w:pPr>
        <w:ind w:left="560" w:hanging="345"/>
        <w:spacing w:after="0"/>
        <w:tabs>
          <w:tab w:leader="none" w:pos="560" w:val="left"/>
        </w:tabs>
        <w:numPr>
          <w:ilvl w:val="0"/>
          <w:numId w:val="6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7"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Note</w:t>
      </w:r>
    </w:p>
    <w:p>
      <w:pPr>
        <w:spacing w:after="0" w:line="7" w:lineRule="exact"/>
        <w:rPr>
          <w:rFonts w:ascii="Times New Roman" w:cs="Times New Roman" w:eastAsia="Times New Roman" w:hAnsi="Times New Roman"/>
          <w:sz w:val="14"/>
          <w:szCs w:val="14"/>
          <w:color w:val="auto"/>
        </w:rPr>
      </w:pPr>
    </w:p>
    <w:p>
      <w:pPr>
        <w:ind w:left="220" w:right="679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Compliance Certificate E-1 Assignment and Assumption E-2 Administrative Questionnaire</w:t>
      </w:r>
    </w:p>
    <w:p>
      <w:pPr>
        <w:spacing w:after="0" w:line="1" w:lineRule="exact"/>
        <w:rPr>
          <w:rFonts w:ascii="Times New Roman" w:cs="Times New Roman" w:eastAsia="Times New Roman" w:hAnsi="Times New Roman"/>
          <w:sz w:val="14"/>
          <w:szCs w:val="14"/>
          <w:color w:val="auto"/>
        </w:rPr>
      </w:pPr>
    </w:p>
    <w:p>
      <w:pPr>
        <w:ind w:left="220" w:right="533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F-1 Mirror Transactions Funding Date Subsidiary Guaranty F-2 Mirror Transactions Funding Date Company Joinder G Security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41" w:right="1440" w:bottom="1440" w:gutter="0" w:footer="0" w:header="0"/>
        </w:sectPr>
      </w:pPr>
    </w:p>
    <w:bookmarkStart w:id="580" w:name="page581"/>
    <w:bookmarkEnd w:id="580"/>
    <w:p>
      <w:pPr>
        <w:ind w:left="560" w:hanging="345"/>
        <w:spacing w:after="0"/>
        <w:tabs>
          <w:tab w:leader="none" w:pos="560" w:val="left"/>
        </w:tabs>
        <w:numPr>
          <w:ilvl w:val="0"/>
          <w:numId w:val="6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Mirror Intercreditor Agreement</w:t>
      </w:r>
    </w:p>
    <w:p>
      <w:pPr>
        <w:spacing w:after="0" w:line="21"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INotice of Loan Prepayment</w:t>
      </w:r>
    </w:p>
    <w:p>
      <w:pPr>
        <w:spacing w:after="0" w:line="7" w:lineRule="exact"/>
        <w:rPr>
          <w:rFonts w:ascii="Times New Roman" w:cs="Times New Roman" w:eastAsia="Times New Roman" w:hAnsi="Times New Roman"/>
          <w:sz w:val="14"/>
          <w:szCs w:val="14"/>
          <w:color w:val="auto"/>
        </w:rPr>
      </w:pPr>
    </w:p>
    <w:p>
      <w:pPr>
        <w:jc w:val="both"/>
        <w:ind w:left="220" w:right="783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 [Reserved] K-1 [Reserved] K-2 [Reserved]</w:t>
      </w:r>
    </w:p>
    <w:p>
      <w:pPr>
        <w:spacing w:after="0" w:line="1" w:lineRule="exact"/>
        <w:rPr>
          <w:rFonts w:ascii="Times New Roman" w:cs="Times New Roman" w:eastAsia="Times New Roman" w:hAnsi="Times New Roman"/>
          <w:sz w:val="14"/>
          <w:szCs w:val="14"/>
          <w:color w:val="auto"/>
        </w:rPr>
      </w:pPr>
    </w:p>
    <w:p>
      <w:pPr>
        <w:ind w:left="220" w:right="647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 Pari Passu Intercreditor Agreement M [Reserved]</w:t>
      </w:r>
    </w:p>
    <w:p>
      <w:pPr>
        <w:spacing w:after="0" w:line="1" w:lineRule="exact"/>
        <w:rPr>
          <w:rFonts w:ascii="Times New Roman" w:cs="Times New Roman" w:eastAsia="Times New Roman" w:hAnsi="Times New Roman"/>
          <w:sz w:val="14"/>
          <w:szCs w:val="14"/>
          <w:color w:val="auto"/>
        </w:rPr>
      </w:pPr>
    </w:p>
    <w:p>
      <w:pPr>
        <w:ind w:left="220" w:right="231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N-1 U.S. Tax Certificate (For Foreign Lenders that are not Partnerships for U.S. Federal Income Tax Purposes N-2 U.S. Tax Certificate (For Foreign Participants that are not Partnerships for U.S. Federal Income Tax Purposes N-3 U.S. Tax Certificate (For Foreign Participants that are Partnerships for U.S. Federal Income Tax Purposes N-4 U.S. Tax Certificate (For Foreign Lenders that are Partnerships for U.S. Federal Income Tax Purposes</w:t>
      </w:r>
    </w:p>
    <w:p>
      <w:pPr>
        <w:spacing w:after="0" w:line="2" w:lineRule="exact"/>
        <w:rPr>
          <w:rFonts w:ascii="Times New Roman" w:cs="Times New Roman" w:eastAsia="Times New Roman" w:hAnsi="Times New Roman"/>
          <w:sz w:val="14"/>
          <w:szCs w:val="14"/>
          <w:color w:val="auto"/>
        </w:rPr>
      </w:pP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Company Debt Assumption Supplement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ectPr>
          <w:pgSz w:w="11900" w:h="16838" w:orient="portrait"/>
          <w:cols w:equalWidth="0" w:num="1">
            <w:col w:w="9019"/>
          </w:cols>
          <w:pgMar w:left="1440" w:top="241" w:right="1440" w:bottom="1440" w:gutter="0" w:footer="0" w:header="0"/>
        </w:sectPr>
      </w:pPr>
    </w:p>
    <w:bookmarkStart w:id="581" w:name="page582"/>
    <w:bookmarkEnd w:id="58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CREDIT AGREEMENT</w:t>
      </w:r>
    </w:p>
    <w:p>
      <w:pPr>
        <w:spacing w:after="0" w:line="177" w:lineRule="exact"/>
        <w:rPr>
          <w:sz w:val="20"/>
          <w:szCs w:val="20"/>
          <w:color w:val="auto"/>
        </w:rPr>
      </w:pPr>
    </w:p>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t>This CREDIT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entered into as of June 29, 2026, among PLATINUM SPINCO INC., a Delaware corporation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each Lender from time to time party hereto and BANK OF AMERICA, N.A., as the Administrative Agent.</w:t>
      </w:r>
    </w:p>
    <w:p>
      <w:pPr>
        <w:spacing w:after="0" w:line="125" w:lineRule="exact"/>
        <w:rPr>
          <w:sz w:val="20"/>
          <w:szCs w:val="20"/>
          <w:color w:val="auto"/>
        </w:rPr>
      </w:pPr>
    </w:p>
    <w:p>
      <w:pPr>
        <w:ind w:left="220" w:right="719" w:firstLine="343"/>
        <w:spacing w:after="0" w:line="283" w:lineRule="auto"/>
        <w:rPr>
          <w:sz w:val="20"/>
          <w:szCs w:val="20"/>
          <w:color w:val="auto"/>
        </w:rPr>
      </w:pPr>
      <w:r>
        <w:rPr>
          <w:rFonts w:ascii="Times New Roman" w:cs="Times New Roman" w:eastAsia="Times New Roman" w:hAnsi="Times New Roman"/>
          <w:sz w:val="14"/>
          <w:szCs w:val="14"/>
          <w:color w:val="auto"/>
        </w:rPr>
        <w:t>The parties hereto wish to provide a $250,000,000 delayed draw term loan facility, subject to the terms and conditions set forth herein, the proceeds of which are to be used solely by the Borrower to consummate the Mirror Transactions on the Mirror Transactions Funding Date.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consideration of the mutual covenants and agreements herein contained, the parties hereto covenant and agree as follows: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 AND ACCOUNTING TERMS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1.01 Defined Terms</w:t>
      </w:r>
      <w:r>
        <w:rPr>
          <w:rFonts w:ascii="Times New Roman" w:cs="Times New Roman" w:eastAsia="Times New Roman" w:hAnsi="Times New Roman"/>
          <w:sz w:val="14"/>
          <w:szCs w:val="14"/>
          <w:color w:val="auto"/>
        </w:rPr>
        <w:t>. As used in this Agreement, the following terms have the meanings set forth below:</w:t>
      </w:r>
    </w:p>
    <w:p>
      <w:pPr>
        <w:spacing w:after="0" w:line="93"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Account Control Agreement</w:t>
      </w:r>
      <w:r>
        <w:rPr>
          <w:rFonts w:ascii="Times New Roman" w:cs="Times New Roman" w:eastAsia="Times New Roman" w:hAnsi="Times New Roman"/>
          <w:sz w:val="14"/>
          <w:szCs w:val="14"/>
          <w:color w:val="auto"/>
        </w:rPr>
        <w:t>” means an agreement, among a Loan Party, a depository institution or securities intermediary and the Administrative Agent, which agreement is in form and substance reasonably acceptable to the Administrative Agent and which provides the Administrative Agent (or the Company Credit Agreement Agent as bailee for the Administrative Agent pursuant to the Mirror Intercreditor Agreement) with “control” (as such term is used in Article 9 of the UCC) over the deposit account(s) or securities account(s) described therein.</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Acquisition</w:t>
      </w:r>
      <w:r>
        <w:rPr>
          <w:rFonts w:ascii="Times New Roman" w:cs="Times New Roman" w:eastAsia="Times New Roman" w:hAnsi="Times New Roman"/>
          <w:sz w:val="14"/>
          <w:szCs w:val="14"/>
          <w:color w:val="auto"/>
        </w:rPr>
        <w:t>” means, with respect to any Person, the acquisition by such Person, in a single transaction or in a series of related transactions, of</w:t>
      </w:r>
    </w:p>
    <w:p>
      <w:pPr>
        <w:spacing w:after="0" w:line="22" w:lineRule="exact"/>
        <w:rPr>
          <w:sz w:val="20"/>
          <w:szCs w:val="20"/>
          <w:color w:val="auto"/>
        </w:rPr>
      </w:pPr>
    </w:p>
    <w:p>
      <w:pPr>
        <w:ind w:left="220" w:right="219" w:hanging="5"/>
        <w:spacing w:after="0" w:line="256" w:lineRule="auto"/>
        <w:tabs>
          <w:tab w:leader="none" w:pos="410" w:val="left"/>
        </w:tabs>
        <w:numPr>
          <w:ilvl w:val="0"/>
          <w:numId w:val="6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substantial portion of the property of another Person, or any division, line of business or other business unit of another Person or (b) at least a majority of the Voting Stock of another Person, in each case whether or not involving a merger, amalgamation or consolidation with such other Person and whether for cash, property, services, assumption of Indebtedness, securities or otherwise.</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11.18</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Administrative Agent</w:t>
      </w:r>
      <w:r>
        <w:rPr>
          <w:rFonts w:ascii="Times New Roman" w:cs="Times New Roman" w:eastAsia="Times New Roman" w:hAnsi="Times New Roman"/>
          <w:sz w:val="14"/>
          <w:szCs w:val="14"/>
          <w:color w:val="auto"/>
        </w:rPr>
        <w:t>” means Bank of America (or any of its designated branch offices or affiliates) in its capacity as administrative agent under any of the Loan Documents, or any successor administrative agent.</w:t>
      </w:r>
    </w:p>
    <w:p>
      <w:pPr>
        <w:spacing w:after="0" w:line="125" w:lineRule="exact"/>
        <w:rPr>
          <w:sz w:val="20"/>
          <w:szCs w:val="20"/>
          <w:color w:val="auto"/>
        </w:rPr>
      </w:pPr>
    </w:p>
    <w:p>
      <w:pPr>
        <w:ind w:left="220" w:right="4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Administrative Agent’s Office</w:t>
      </w:r>
      <w:r>
        <w:rPr>
          <w:rFonts w:ascii="Times New Roman" w:cs="Times New Roman" w:eastAsia="Times New Roman" w:hAnsi="Times New Roman"/>
          <w:sz w:val="14"/>
          <w:szCs w:val="14"/>
          <w:color w:val="auto"/>
        </w:rPr>
        <w:t xml:space="preserve">” means the Administrative Agent’s address and, as appropriate, account as set forth on </w:t>
      </w:r>
      <w:r>
        <w:rPr>
          <w:rFonts w:ascii="Times New Roman" w:cs="Times New Roman" w:eastAsia="Times New Roman" w:hAnsi="Times New Roman"/>
          <w:sz w:val="14"/>
          <w:szCs w:val="14"/>
          <w:u w:val="single" w:color="auto"/>
          <w:color w:val="auto"/>
        </w:rPr>
        <w:t>Schedule 11.02</w:t>
      </w:r>
      <w:r>
        <w:rPr>
          <w:rFonts w:ascii="Times New Roman" w:cs="Times New Roman" w:eastAsia="Times New Roman" w:hAnsi="Times New Roman"/>
          <w:sz w:val="14"/>
          <w:szCs w:val="14"/>
          <w:color w:val="auto"/>
        </w:rPr>
        <w:t>, or such other address or account as the Administrative Agent may from time to time notify to the Borrower and the Lenders.</w:t>
      </w:r>
    </w:p>
    <w:p>
      <w:pPr>
        <w:spacing w:after="0" w:line="125" w:lineRule="exact"/>
        <w:rPr>
          <w:sz w:val="20"/>
          <w:szCs w:val="20"/>
          <w:color w:val="auto"/>
        </w:rPr>
      </w:pPr>
    </w:p>
    <w:p>
      <w:pPr>
        <w:ind w:left="220" w:right="4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Administrative Questionnaire</w:t>
      </w:r>
      <w:r>
        <w:rPr>
          <w:rFonts w:ascii="Times New Roman" w:cs="Times New Roman" w:eastAsia="Times New Roman" w:hAnsi="Times New Roman"/>
          <w:sz w:val="14"/>
          <w:szCs w:val="14"/>
          <w:color w:val="auto"/>
        </w:rPr>
        <w:t xml:space="preserve">” means an Administrative Questionnaire in substantially the form of </w:t>
      </w:r>
      <w:r>
        <w:rPr>
          <w:rFonts w:ascii="Times New Roman" w:cs="Times New Roman" w:eastAsia="Times New Roman" w:hAnsi="Times New Roman"/>
          <w:sz w:val="14"/>
          <w:szCs w:val="14"/>
          <w:u w:val="single" w:color="auto"/>
          <w:color w:val="auto"/>
        </w:rPr>
        <w:t>Exhibit E-2</w:t>
      </w:r>
      <w:r>
        <w:rPr>
          <w:rFonts w:ascii="Times New Roman" w:cs="Times New Roman" w:eastAsia="Times New Roman" w:hAnsi="Times New Roman"/>
          <w:sz w:val="14"/>
          <w:szCs w:val="14"/>
          <w:color w:val="auto"/>
        </w:rPr>
        <w:t xml:space="preserve"> or any other form approved by the Administrative Agent.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Affected Financial Institution</w:t>
      </w:r>
      <w:r>
        <w:rPr>
          <w:rFonts w:ascii="Times New Roman" w:cs="Times New Roman" w:eastAsia="Times New Roman" w:hAnsi="Times New Roman"/>
          <w:sz w:val="14"/>
          <w:szCs w:val="14"/>
          <w:color w:val="auto"/>
        </w:rPr>
        <w:t>” means (a) any EEA Financial Institution, or (b) any UK Financial Institution.</w:t>
      </w:r>
    </w:p>
    <w:p>
      <w:pPr>
        <w:sectPr>
          <w:pgSz w:w="11900" w:h="16838" w:orient="portrait"/>
          <w:cols w:equalWidth="0" w:num="1">
            <w:col w:w="9019"/>
          </w:cols>
          <w:pgMar w:left="1440" w:top="238" w:right="1440" w:bottom="1440" w:gutter="0" w:footer="0" w:header="0"/>
        </w:sectPr>
      </w:pPr>
    </w:p>
    <w:bookmarkStart w:id="582" w:name="page583"/>
    <w:bookmarkEnd w:id="582"/>
    <w:p>
      <w:pPr>
        <w:ind w:left="220" w:right="6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another Person that directly, or indirectly through one or more intermediaries, Controls or is Controlled by or is under common Control with the Person specified.</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 Parties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11.02(c)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means this Credit Agreement.</w:t>
      </w:r>
    </w:p>
    <w:p>
      <w:pPr>
        <w:spacing w:after="0" w:line="175"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Percentage</w:t>
      </w:r>
      <w:r>
        <w:rPr>
          <w:rFonts w:ascii="Times New Roman" w:cs="Times New Roman" w:eastAsia="Times New Roman" w:hAnsi="Times New Roman"/>
          <w:sz w:val="14"/>
          <w:szCs w:val="14"/>
          <w:color w:val="auto"/>
        </w:rPr>
        <w:t xml:space="preserve">” means, with respect to any Lender at any time, the percentage (carried out to the ninth decimal place) of the Term Facility represented by (a) at any time during the Availability Period, the sum of (i) such Lender’s Commitment at such time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(ii) the outstanding principal amount of such Lender’s Term Loans at such time and (b) at any time thereafter, the outstanding principal amount of such Lender’s Term Loans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commitment of each Lender to make Loans has been terminated pursuant to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or if the Commitments have expired, then the Applicable Percentage of each Lender in respect of the Term Facility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xml:space="preserve"> or in the Assignment and Assumption or other agreement pursuant to which such Lender becomes a party hereto, as applicable.</w:t>
      </w:r>
    </w:p>
    <w:p>
      <w:pPr>
        <w:spacing w:after="0" w:line="145" w:lineRule="exact"/>
        <w:rPr>
          <w:sz w:val="20"/>
          <w:szCs w:val="20"/>
          <w:color w:val="auto"/>
        </w:rPr>
      </w:pPr>
    </w:p>
    <w:p>
      <w:pPr>
        <w:ind w:left="220" w:right="4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Rate</w:t>
      </w:r>
      <w:r>
        <w:rPr>
          <w:rFonts w:ascii="Times New Roman" w:cs="Times New Roman" w:eastAsia="Times New Roman" w:hAnsi="Times New Roman"/>
          <w:sz w:val="14"/>
          <w:szCs w:val="14"/>
          <w:color w:val="auto"/>
        </w:rPr>
        <w:t xml:space="preserve">” means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14"/>
          <w:szCs w:val="14"/>
          <w:u w:val="single" w:color="auto"/>
          <w:color w:val="auto"/>
        </w:rPr>
        <w:t>Section 6.02(a)</w:t>
      </w:r>
      <w:r>
        <w:rPr>
          <w:rFonts w:ascii="Times New Roman" w:cs="Times New Roman" w:eastAsia="Times New Roman" w:hAnsi="Times New Roman"/>
          <w:sz w:val="14"/>
          <w:szCs w:val="14"/>
          <w:color w:val="auto"/>
        </w:rPr>
        <w:t xml:space="preserve"> (or, prior to the Parent Change Time, the Compliance Certificate received by the Company Credit Agreement Agent pursuant to Section 6.02(a) of the Company Credit Agreement):</w:t>
      </w:r>
    </w:p>
    <w:p>
      <w:pPr>
        <w:spacing w:after="0" w:line="150"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3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Pricing</w:t>
            </w:r>
          </w:p>
        </w:tc>
        <w:tc>
          <w:tcPr>
            <w:tcW w:w="1820" w:type="dxa"/>
            <w:vAlign w:val="bottom"/>
            <w:gridSpan w:val="6"/>
          </w:tcPr>
          <w:p>
            <w:pPr>
              <w:jc w:val="center"/>
              <w:ind w:right="480"/>
              <w:spacing w:after="0"/>
              <w:rPr>
                <w:sz w:val="20"/>
                <w:szCs w:val="20"/>
                <w:color w:val="auto"/>
              </w:rPr>
            </w:pPr>
            <w:r>
              <w:rPr>
                <w:rFonts w:ascii="Times New Roman" w:cs="Times New Roman" w:eastAsia="Times New Roman" w:hAnsi="Times New Roman"/>
                <w:sz w:val="11"/>
                <w:szCs w:val="11"/>
                <w:color w:val="auto"/>
              </w:rPr>
              <w:t>Consolidated Net Leverage</w:t>
            </w:r>
          </w:p>
        </w:tc>
        <w:tc>
          <w:tcPr>
            <w:tcW w:w="1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color w:val="auto"/>
              </w:rPr>
              <w:t>Term SOFR Loans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Base Rate Loans</w:t>
            </w:r>
          </w:p>
        </w:tc>
        <w:tc>
          <w:tcPr>
            <w:tcW w:w="0" w:type="dxa"/>
            <w:vAlign w:val="bottom"/>
          </w:tcPr>
          <w:p>
            <w:pPr>
              <w:spacing w:after="0"/>
              <w:rPr>
                <w:sz w:val="1"/>
                <w:szCs w:val="1"/>
                <w:color w:val="auto"/>
              </w:rPr>
            </w:pPr>
          </w:p>
        </w:tc>
      </w:tr>
      <w:tr>
        <w:trPr>
          <w:trHeight w:val="146"/>
        </w:trPr>
        <w:tc>
          <w:tcPr>
            <w:tcW w:w="3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center"/>
              <w:ind w:right="880"/>
              <w:spacing w:after="0"/>
              <w:rPr>
                <w:sz w:val="20"/>
                <w:szCs w:val="20"/>
                <w:color w:val="auto"/>
              </w:rPr>
            </w:pPr>
            <w:r>
              <w:rPr>
                <w:rFonts w:ascii="Times New Roman" w:cs="Times New Roman" w:eastAsia="Times New Roman" w:hAnsi="Times New Roman"/>
                <w:sz w:val="11"/>
                <w:szCs w:val="11"/>
                <w:color w:val="auto"/>
              </w:rPr>
              <w:t>Ratio</w:t>
            </w:r>
          </w:p>
        </w:tc>
        <w:tc>
          <w:tcPr>
            <w:tcW w:w="12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0" w:type="dxa"/>
            <w:vAlign w:val="bottom"/>
            <w:tcBorders>
              <w:top w:val="single" w:sz="8" w:color="auto"/>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1</w:t>
            </w:r>
          </w:p>
        </w:tc>
        <w:tc>
          <w:tcPr>
            <w:tcW w:w="3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gridSpan w:val="4"/>
            <w:shd w:val="clear" w:color="auto" w:fill="CCEEFF"/>
          </w:tcPr>
          <w:p>
            <w:pPr>
              <w:jc w:val="center"/>
              <w:ind w:right="320"/>
              <w:spacing w:after="0" w:line="118" w:lineRule="exact"/>
              <w:rPr>
                <w:sz w:val="20"/>
                <w:szCs w:val="20"/>
                <w:color w:val="auto"/>
              </w:rPr>
            </w:pPr>
            <w:r>
              <w:rPr>
                <w:rFonts w:ascii="Times New Roman" w:cs="Times New Roman" w:eastAsia="Times New Roman" w:hAnsi="Times New Roman"/>
                <w:sz w:val="13"/>
                <w:szCs w:val="13"/>
                <w:color w:val="auto"/>
              </w:rPr>
              <w:t>&lt; 1.00 to 1.0</w:t>
            </w:r>
          </w:p>
        </w:tc>
        <w:tc>
          <w:tcPr>
            <w:tcW w:w="4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color w:val="auto"/>
              </w:rPr>
              <w:t>1.125%</w:t>
            </w:r>
          </w:p>
        </w:tc>
        <w:tc>
          <w:tcPr>
            <w:tcW w:w="4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color w:val="auto"/>
              </w:rPr>
              <w:t>0.125%</w:t>
            </w:r>
          </w:p>
        </w:tc>
        <w:tc>
          <w:tcPr>
            <w:tcW w:w="0" w:type="dxa"/>
            <w:vAlign w:val="bottom"/>
          </w:tcPr>
          <w:p>
            <w:pPr>
              <w:spacing w:after="0"/>
              <w:rPr>
                <w:sz w:val="1"/>
                <w:szCs w:val="1"/>
                <w:color w:val="auto"/>
              </w:rPr>
            </w:pPr>
          </w:p>
        </w:tc>
      </w:tr>
      <w:tr>
        <w:trPr>
          <w:trHeight w:val="32"/>
        </w:trPr>
        <w:tc>
          <w:tcPr>
            <w:tcW w:w="2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0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2</w:t>
            </w:r>
          </w:p>
        </w:tc>
        <w:tc>
          <w:tcPr>
            <w:tcW w:w="3160" w:type="dxa"/>
            <w:vAlign w:val="bottom"/>
          </w:tcPr>
          <w:p>
            <w:pPr>
              <w:spacing w:after="0"/>
              <w:rPr>
                <w:sz w:val="11"/>
                <w:szCs w:val="11"/>
                <w:color w:val="auto"/>
              </w:rPr>
            </w:pPr>
          </w:p>
        </w:tc>
        <w:tc>
          <w:tcPr>
            <w:tcW w:w="1820" w:type="dxa"/>
            <w:vAlign w:val="bottom"/>
            <w:gridSpan w:val="6"/>
          </w:tcPr>
          <w:p>
            <w:pPr>
              <w:jc w:val="center"/>
              <w:ind w:right="480"/>
              <w:spacing w:after="0" w:line="137" w:lineRule="exact"/>
              <w:rPr>
                <w:sz w:val="20"/>
                <w:szCs w:val="20"/>
                <w:color w:val="auto"/>
              </w:rPr>
            </w:pPr>
            <w:r>
              <w:rPr>
                <w:rFonts w:ascii="Times New Roman" w:cs="Times New Roman" w:eastAsia="Times New Roman" w:hAnsi="Times New Roman"/>
                <w:sz w:val="14"/>
                <w:szCs w:val="14"/>
                <w:color w:val="auto"/>
              </w:rPr>
              <w:t>&gt; 1.00 to 1.0 but &lt; 1.75</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to 1.0</w:t>
            </w:r>
          </w:p>
        </w:tc>
        <w:tc>
          <w:tcPr>
            <w:tcW w:w="80" w:type="dxa"/>
            <w:vAlign w:val="bottom"/>
            <w:tcBorders>
              <w:top w:val="single" w:sz="8" w:color="auto"/>
            </w:tcBorders>
          </w:tcPr>
          <w:p>
            <w:pPr>
              <w:spacing w:after="0"/>
              <w:rPr>
                <w:sz w:val="15"/>
                <w:szCs w:val="15"/>
                <w:color w:val="auto"/>
              </w:rPr>
            </w:pPr>
          </w:p>
        </w:tc>
        <w:tc>
          <w:tcPr>
            <w:tcW w:w="760" w:type="dxa"/>
            <w:vAlign w:val="bottom"/>
            <w:gridSpan w:val="2"/>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1.250%</w:t>
            </w:r>
          </w:p>
        </w:tc>
        <w:tc>
          <w:tcPr>
            <w:tcW w:w="4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0.250%</w:t>
            </w:r>
          </w:p>
        </w:tc>
        <w:tc>
          <w:tcPr>
            <w:tcW w:w="0" w:type="dxa"/>
            <w:vAlign w:val="bottom"/>
          </w:tcPr>
          <w:p>
            <w:pPr>
              <w:spacing w:after="0"/>
              <w:rPr>
                <w:sz w:val="1"/>
                <w:szCs w:val="1"/>
                <w:color w:val="auto"/>
              </w:rPr>
            </w:pPr>
          </w:p>
        </w:tc>
      </w:tr>
      <w:tr>
        <w:trPr>
          <w:trHeight w:val="137"/>
        </w:trPr>
        <w:tc>
          <w:tcPr>
            <w:tcW w:w="2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3</w:t>
            </w:r>
          </w:p>
        </w:tc>
        <w:tc>
          <w:tcPr>
            <w:tcW w:w="3160" w:type="dxa"/>
            <w:vAlign w:val="bottom"/>
            <w:shd w:val="clear" w:color="auto" w:fill="CCEEFF"/>
          </w:tcPr>
          <w:p>
            <w:pPr>
              <w:spacing w:after="0"/>
              <w:rPr>
                <w:sz w:val="11"/>
                <w:szCs w:val="11"/>
                <w:color w:val="auto"/>
              </w:rPr>
            </w:pPr>
          </w:p>
        </w:tc>
        <w:tc>
          <w:tcPr>
            <w:tcW w:w="1820" w:type="dxa"/>
            <w:vAlign w:val="bottom"/>
            <w:gridSpan w:val="6"/>
            <w:shd w:val="clear" w:color="auto" w:fill="CCEEFF"/>
          </w:tcPr>
          <w:p>
            <w:pPr>
              <w:jc w:val="center"/>
              <w:ind w:right="480"/>
              <w:spacing w:after="0" w:line="137" w:lineRule="exact"/>
              <w:rPr>
                <w:sz w:val="20"/>
                <w:szCs w:val="20"/>
                <w:color w:val="auto"/>
              </w:rPr>
            </w:pPr>
            <w:r>
              <w:rPr>
                <w:rFonts w:ascii="Times New Roman" w:cs="Times New Roman" w:eastAsia="Times New Roman" w:hAnsi="Times New Roman"/>
                <w:sz w:val="14"/>
                <w:szCs w:val="14"/>
                <w:color w:val="auto"/>
              </w:rPr>
              <w:t>&gt; 1.75 to 1.0 but &lt; 2.50</w:t>
            </w: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 w:type="dxa"/>
            <w:vAlign w:val="bottom"/>
            <w:tcBorders>
              <w:top w:val="single" w:sz="8" w:color="CCEEFF"/>
            </w:tcBorders>
            <w:shd w:val="clear" w:color="auto" w:fill="CCEEFF"/>
          </w:tcPr>
          <w:p>
            <w:pPr>
              <w:spacing w:after="0"/>
              <w:rPr>
                <w:sz w:val="15"/>
                <w:szCs w:val="15"/>
                <w:color w:val="auto"/>
              </w:rPr>
            </w:pPr>
          </w:p>
        </w:tc>
        <w:tc>
          <w:tcPr>
            <w:tcW w:w="3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to 1.0</w:t>
            </w: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gridSpan w:val="2"/>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4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0.500%</w:t>
            </w:r>
          </w:p>
        </w:tc>
        <w:tc>
          <w:tcPr>
            <w:tcW w:w="0" w:type="dxa"/>
            <w:vAlign w:val="bottom"/>
          </w:tcPr>
          <w:p>
            <w:pPr>
              <w:spacing w:after="0"/>
              <w:rPr>
                <w:sz w:val="1"/>
                <w:szCs w:val="1"/>
                <w:color w:val="auto"/>
              </w:rPr>
            </w:pPr>
          </w:p>
        </w:tc>
      </w:tr>
      <w:tr>
        <w:trPr>
          <w:trHeight w:val="137"/>
        </w:trPr>
        <w:tc>
          <w:tcPr>
            <w:tcW w:w="20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4</w:t>
            </w:r>
          </w:p>
        </w:tc>
        <w:tc>
          <w:tcPr>
            <w:tcW w:w="3160" w:type="dxa"/>
            <w:vAlign w:val="bottom"/>
          </w:tcPr>
          <w:p>
            <w:pPr>
              <w:spacing w:after="0"/>
              <w:rPr>
                <w:sz w:val="11"/>
                <w:szCs w:val="11"/>
                <w:color w:val="auto"/>
              </w:rPr>
            </w:pPr>
          </w:p>
        </w:tc>
        <w:tc>
          <w:tcPr>
            <w:tcW w:w="1820" w:type="dxa"/>
            <w:vAlign w:val="bottom"/>
            <w:gridSpan w:val="6"/>
          </w:tcPr>
          <w:p>
            <w:pPr>
              <w:jc w:val="center"/>
              <w:ind w:right="480"/>
              <w:spacing w:after="0" w:line="137" w:lineRule="exact"/>
              <w:rPr>
                <w:sz w:val="20"/>
                <w:szCs w:val="20"/>
                <w:color w:val="auto"/>
              </w:rPr>
            </w:pPr>
            <w:r>
              <w:rPr>
                <w:rFonts w:ascii="Times New Roman" w:cs="Times New Roman" w:eastAsia="Times New Roman" w:hAnsi="Times New Roman"/>
                <w:sz w:val="14"/>
                <w:szCs w:val="14"/>
                <w:color w:val="auto"/>
              </w:rPr>
              <w:t>&gt; 2.50 to 1.0 but &lt; 3.25</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to 1.0</w:t>
            </w:r>
          </w:p>
        </w:tc>
        <w:tc>
          <w:tcPr>
            <w:tcW w:w="80" w:type="dxa"/>
            <w:vAlign w:val="bottom"/>
            <w:tcBorders>
              <w:top w:val="single" w:sz="8" w:color="auto"/>
            </w:tcBorders>
          </w:tcPr>
          <w:p>
            <w:pPr>
              <w:spacing w:after="0"/>
              <w:rPr>
                <w:sz w:val="15"/>
                <w:szCs w:val="15"/>
                <w:color w:val="auto"/>
              </w:rPr>
            </w:pPr>
          </w:p>
        </w:tc>
        <w:tc>
          <w:tcPr>
            <w:tcW w:w="760" w:type="dxa"/>
            <w:vAlign w:val="bottom"/>
            <w:gridSpan w:val="2"/>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1.750%</w:t>
            </w:r>
          </w:p>
        </w:tc>
        <w:tc>
          <w:tcPr>
            <w:tcW w:w="4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0.750%</w:t>
            </w:r>
          </w:p>
        </w:tc>
        <w:tc>
          <w:tcPr>
            <w:tcW w:w="0" w:type="dxa"/>
            <w:vAlign w:val="bottom"/>
          </w:tcPr>
          <w:p>
            <w:pPr>
              <w:spacing w:after="0"/>
              <w:rPr>
                <w:sz w:val="1"/>
                <w:szCs w:val="1"/>
                <w:color w:val="auto"/>
              </w:rPr>
            </w:pPr>
          </w:p>
        </w:tc>
      </w:tr>
      <w:tr>
        <w:trPr>
          <w:trHeight w:val="168"/>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w:t>
            </w:r>
          </w:p>
        </w:tc>
        <w:tc>
          <w:tcPr>
            <w:tcW w:w="3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00" w:type="dxa"/>
            <w:vAlign w:val="bottom"/>
            <w:gridSpan w:val="5"/>
            <w:shd w:val="clear" w:color="auto" w:fill="CCEEFF"/>
          </w:tcPr>
          <w:p>
            <w:pPr>
              <w:jc w:val="center"/>
              <w:ind w:right="800"/>
              <w:spacing w:after="0"/>
              <w:rPr>
                <w:sz w:val="20"/>
                <w:szCs w:val="20"/>
                <w:color w:val="auto"/>
              </w:rPr>
            </w:pPr>
            <w:r>
              <w:rPr>
                <w:rFonts w:ascii="Times New Roman" w:cs="Times New Roman" w:eastAsia="Times New Roman" w:hAnsi="Times New Roman"/>
                <w:sz w:val="14"/>
                <w:szCs w:val="14"/>
                <w:color w:val="auto"/>
                <w:w w:val="98"/>
              </w:rPr>
              <w:t>&gt; 3.25 to 1.0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t xml:space="preserve">Any increase or decrease in the Applicable Rate resulting from a change in the Consolidated Net Leverage Ratio shall become effective as of the first Business Day immediately following the date a Compliance Certificate indicating a Consolidated Net Leverage Ratio that results in such increase or decrease is delivered pursuant to </w:t>
      </w:r>
      <w:r>
        <w:rPr>
          <w:rFonts w:ascii="Times New Roman" w:cs="Times New Roman" w:eastAsia="Times New Roman" w:hAnsi="Times New Roman"/>
          <w:sz w:val="14"/>
          <w:szCs w:val="14"/>
          <w:u w:val="single" w:color="auto"/>
          <w:color w:val="auto"/>
        </w:rPr>
        <w:t>Section 6.02(a)</w:t>
      </w:r>
      <w:r>
        <w:rPr>
          <w:rFonts w:ascii="Times New Roman" w:cs="Times New Roman" w:eastAsia="Times New Roman" w:hAnsi="Times New Roman"/>
          <w:sz w:val="14"/>
          <w:szCs w:val="14"/>
          <w:color w:val="auto"/>
        </w:rPr>
        <w:t xml:space="preserve"> (or, prior to the Parent Change Time, pursuant to Section 6.02(a) of the Company Credit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Compliance Certificate is not delivered when due in accordance with such Section, then, upon the request of the Required Lenders, Pricing Tier 5 shall apply as of the first Business Day after the date on which such Compliance Certificate was required to have been delivered and shall continue to apply until the first Business Day immediately following the date a Compliance Certificate is delivered in accordance with </w:t>
      </w:r>
      <w:r>
        <w:rPr>
          <w:rFonts w:ascii="Times New Roman" w:cs="Times New Roman" w:eastAsia="Times New Roman" w:hAnsi="Times New Roman"/>
          <w:sz w:val="14"/>
          <w:szCs w:val="14"/>
          <w:u w:val="single" w:color="auto"/>
          <w:color w:val="auto"/>
        </w:rPr>
        <w:t>Section 6.02(a)</w:t>
      </w:r>
      <w:r>
        <w:rPr>
          <w:rFonts w:ascii="Times New Roman" w:cs="Times New Roman" w:eastAsia="Times New Roman" w:hAnsi="Times New Roman"/>
          <w:sz w:val="14"/>
          <w:szCs w:val="14"/>
          <w:color w:val="auto"/>
        </w:rPr>
        <w:t xml:space="preserve"> (or, prior to the Parent Change Time, pursuant to Section 6.02(a) of the Company Credit Agreement), whereupon the Applicable Rate shall be adjusted based upon the calculation of the Consolidated Net Leverage Ratio contained in such Compliance Certificate. 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14"/>
          <w:szCs w:val="14"/>
          <w:u w:val="single" w:color="auto"/>
          <w:color w:val="auto"/>
        </w:rPr>
        <w:t>Section 2.10(b)</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583" w:name="page584"/>
    <w:bookmarkEnd w:id="583"/>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Approved Fund</w:t>
      </w:r>
      <w:r>
        <w:rPr>
          <w:rFonts w:ascii="Times New Roman" w:cs="Times New Roman" w:eastAsia="Times New Roman" w:hAnsi="Times New Roman"/>
          <w:sz w:val="14"/>
          <w:szCs w:val="14"/>
          <w:color w:val="auto"/>
        </w:rPr>
        <w:t>” means any Fund that is administered or managed by (a) a Lender, (b) an Affiliate of a Lender or (c) an entity or an Affiliate of an entity that administers or manages a Lender.</w:t>
      </w:r>
    </w:p>
    <w:p>
      <w:pPr>
        <w:spacing w:after="0" w:line="125" w:lineRule="exact"/>
        <w:rPr>
          <w:sz w:val="20"/>
          <w:szCs w:val="20"/>
          <w:color w:val="auto"/>
        </w:rPr>
      </w:pPr>
    </w:p>
    <w:p>
      <w:pPr>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Arranger</w:t>
      </w:r>
      <w:r>
        <w:rPr>
          <w:rFonts w:ascii="Times New Roman" w:cs="Times New Roman" w:eastAsia="Times New Roman" w:hAnsi="Times New Roman"/>
          <w:sz w:val="14"/>
          <w:szCs w:val="14"/>
          <w:color w:val="auto"/>
        </w:rPr>
        <w:t>” means each of (a) BofA Securities, in its capacities as a joint lead arranger and the sole bookrunner, (b) JPMorgan Chase Bank, N.A., in its capacity as a joint lead arranger, (c) HSBC Securities (USA) Inc., in its capacity as a joint lead arranger, (d) PNC Capital Markets LLC, in its capacity as a joint lead arranger and (e) Wells Fargo Securities, LLC, in its capacity as a joint lead arranger.</w:t>
      </w:r>
    </w:p>
    <w:p>
      <w:pPr>
        <w:spacing w:after="0" w:line="136" w:lineRule="exact"/>
        <w:rPr>
          <w:sz w:val="20"/>
          <w:szCs w:val="20"/>
          <w:color w:val="auto"/>
        </w:rPr>
      </w:pPr>
    </w:p>
    <w:p>
      <w:pPr>
        <w:jc w:val="both"/>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Assignment and Assumption</w:t>
      </w:r>
      <w:r>
        <w:rPr>
          <w:rFonts w:ascii="Times New Roman" w:cs="Times New Roman" w:eastAsia="Times New Roman" w:hAnsi="Times New Roman"/>
          <w:sz w:val="14"/>
          <w:szCs w:val="14"/>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4"/>
          <w:szCs w:val="14"/>
          <w:u w:val="single" w:color="auto"/>
          <w:color w:val="auto"/>
        </w:rPr>
        <w:t>Section 11.06(b)</w:t>
      </w:r>
      <w:r>
        <w:rPr>
          <w:rFonts w:ascii="Times New Roman" w:cs="Times New Roman" w:eastAsia="Times New Roman" w:hAnsi="Times New Roman"/>
          <w:sz w:val="14"/>
          <w:szCs w:val="14"/>
          <w:color w:val="auto"/>
        </w:rPr>
        <w:t xml:space="preserve">), and accepted by the Administrative Agent, in substantially the form of </w:t>
      </w:r>
      <w:r>
        <w:rPr>
          <w:rFonts w:ascii="Times New Roman" w:cs="Times New Roman" w:eastAsia="Times New Roman" w:hAnsi="Times New Roman"/>
          <w:sz w:val="14"/>
          <w:szCs w:val="14"/>
          <w:u w:val="single" w:color="auto"/>
          <w:color w:val="auto"/>
        </w:rPr>
        <w:t>Exhibit E-1</w:t>
      </w:r>
      <w:r>
        <w:rPr>
          <w:rFonts w:ascii="Times New Roman" w:cs="Times New Roman" w:eastAsia="Times New Roman" w:hAnsi="Times New Roman"/>
          <w:sz w:val="14"/>
          <w:szCs w:val="14"/>
          <w:color w:val="auto"/>
        </w:rPr>
        <w:t xml:space="preserve"> or any other form (including an electronic documentation form generated by use of an electronic platform) approved by the Administrative Agent.</w:t>
      </w:r>
    </w:p>
    <w:p>
      <w:pPr>
        <w:spacing w:after="0" w:line="136"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Attributable Indebtedness</w:t>
      </w:r>
      <w:r>
        <w:rPr>
          <w:rFonts w:ascii="Times New Roman" w:cs="Times New Roman" w:eastAsia="Times New Roman" w:hAnsi="Times New Roman"/>
          <w:sz w:val="14"/>
          <w:szCs w:val="14"/>
          <w:color w:val="auto"/>
        </w:rPr>
        <w:t>” means, on any date, (a) in respect of any Capitalized Lease of any Person, the capitalized amount thereof that would appear on a balance sheet of such Person prepared as of such date in accordance with GAAP, (b) in respect of any Synthetic Lease Obligation of any Person,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all Synthetic Debt of such Person, and (d) in respect of any Securitization Transaction of any Person, the amount of obligations outstanding on such date under the legal documents entered into as part of such Securitization Transaction that corresponds to the outstanding net investment (including loans) of, or cash purchase price paid by, the unaffiliated third party purchasers or financial institutions participating in such Securitization Transaction and, as such, would be characterized as principal if such transaction were structured as a secured lending transaction rather than as a purchase (or, to the extent structured as a secured lending transaction, is principal).</w:t>
      </w:r>
    </w:p>
    <w:p>
      <w:pPr>
        <w:spacing w:after="0" w:line="149" w:lineRule="exact"/>
        <w:rPr>
          <w:sz w:val="20"/>
          <w:szCs w:val="20"/>
          <w:color w:val="auto"/>
        </w:rPr>
      </w:pPr>
    </w:p>
    <w:p>
      <w:pPr>
        <w:ind w:left="220" w:right="5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Audited Financial Statements</w:t>
      </w:r>
      <w:r>
        <w:rPr>
          <w:rFonts w:ascii="Times New Roman" w:cs="Times New Roman" w:eastAsia="Times New Roman" w:hAnsi="Times New Roman"/>
          <w:sz w:val="14"/>
          <w:szCs w:val="14"/>
          <w:color w:val="auto"/>
        </w:rPr>
        <w:t>” means the audited consolidated balance sheet of the Company and its Subsidiaries for the fiscal year ended December 31, 2025, and the related consolidated statements of income or operations, shareholders’ equity and cash flows for such fiscal year of the Company and its Subsidiaries, including the notes thereto.</w:t>
      </w:r>
    </w:p>
    <w:p>
      <w:pPr>
        <w:spacing w:after="0" w:line="136"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Availability Period</w:t>
      </w:r>
      <w:r>
        <w:rPr>
          <w:rFonts w:ascii="Times New Roman" w:cs="Times New Roman" w:eastAsia="Times New Roman" w:hAnsi="Times New Roman"/>
          <w:sz w:val="14"/>
          <w:szCs w:val="14"/>
          <w:color w:val="auto"/>
        </w:rPr>
        <w:t xml:space="preserve">” means the period from and including the Closing Date to the earliest of (a) the date that is five (5) Business Days after the Outside Date (as defined in the Mirror Merger Agreement as in effect on the Closing Date, and giving effect to any extensions permitted thereunder), (b) the date of termination of the Term Facility pursuant to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 xml:space="preserve">, and (c) the date of termination of the Commitment of each Lender to make Loans pursuant to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Available Amount</w:t>
      </w:r>
      <w:r>
        <w:rPr>
          <w:rFonts w:ascii="Times New Roman" w:cs="Times New Roman" w:eastAsia="Times New Roman" w:hAnsi="Times New Roman"/>
          <w:sz w:val="14"/>
          <w:szCs w:val="14"/>
          <w:color w:val="auto"/>
        </w:rPr>
        <w:t>” means, on any date of determination (the “</w:t>
      </w:r>
      <w:r>
        <w:rPr>
          <w:rFonts w:ascii="Times New Roman" w:cs="Times New Roman" w:eastAsia="Times New Roman" w:hAnsi="Times New Roman"/>
          <w:sz w:val="14"/>
          <w:szCs w:val="14"/>
          <w:u w:val="single" w:color="auto"/>
          <w:color w:val="auto"/>
        </w:rPr>
        <w:t>Reference Date</w:t>
      </w:r>
      <w:r>
        <w:rPr>
          <w:rFonts w:ascii="Times New Roman" w:cs="Times New Roman" w:eastAsia="Times New Roman" w:hAnsi="Times New Roman"/>
          <w:sz w:val="14"/>
          <w:szCs w:val="14"/>
          <w:color w:val="auto"/>
        </w:rPr>
        <w:t>”), an amount (not less than zero) equal to the total of:</w:t>
      </w:r>
    </w:p>
    <w:p>
      <w:pPr>
        <w:spacing w:after="0" w:line="91" w:lineRule="exact"/>
        <w:rPr>
          <w:sz w:val="20"/>
          <w:szCs w:val="20"/>
          <w:color w:val="auto"/>
        </w:rPr>
      </w:pPr>
    </w:p>
    <w:p>
      <w:pPr>
        <w:ind w:left="740" w:hanging="182"/>
        <w:spacing w:after="0"/>
        <w:tabs>
          <w:tab w:leader="none" w:pos="740" w:val="left"/>
        </w:tabs>
        <w:numPr>
          <w:ilvl w:val="0"/>
          <w:numId w:val="6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without duplication:</w:t>
      </w:r>
    </w:p>
    <w:p>
      <w:pPr>
        <w:spacing w:after="0" w:line="91" w:lineRule="exact"/>
        <w:rPr>
          <w:rFonts w:ascii="Times New Roman" w:cs="Times New Roman" w:eastAsia="Times New Roman" w:hAnsi="Times New Roman"/>
          <w:sz w:val="14"/>
          <w:szCs w:val="14"/>
          <w:color w:val="auto"/>
        </w:rPr>
      </w:pPr>
    </w:p>
    <w:p>
      <w:pPr>
        <w:ind w:left="4460" w:right="3439" w:hanging="3573"/>
        <w:spacing w:after="0" w:line="455" w:lineRule="auto"/>
        <w:tabs>
          <w:tab w:leader="none" w:pos="1046" w:val="left"/>
        </w:tabs>
        <w:numPr>
          <w:ilvl w:val="1"/>
          <w:numId w:val="6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greater of (x) $56,000,000 and (y) 30% of TTM Consolidated EBITDA;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3</w:t>
      </w:r>
    </w:p>
    <w:p>
      <w:pPr>
        <w:sectPr>
          <w:pgSz w:w="11900" w:h="16838" w:orient="portrait"/>
          <w:cols w:equalWidth="0" w:num="1">
            <w:col w:w="9019"/>
          </w:cols>
          <w:pgMar w:left="1440" w:top="240" w:right="1440" w:bottom="1440" w:gutter="0" w:footer="0" w:header="0"/>
        </w:sectPr>
      </w:pPr>
    </w:p>
    <w:bookmarkStart w:id="584" w:name="page585"/>
    <w:bookmarkEnd w:id="584"/>
    <w:p>
      <w:pPr>
        <w:ind w:left="560" w:right="299" w:firstLine="327"/>
        <w:spacing w:after="0" w:line="261" w:lineRule="auto"/>
        <w:tabs>
          <w:tab w:leader="none" w:pos="1095" w:val="left"/>
        </w:tabs>
        <w:numPr>
          <w:ilvl w:val="1"/>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an amount equal to 50% of Consolidated Net Income for the period (taken as one accounting period) from the first day of the first full fiscal quarter of the Company ending after the Closing Date to the end of the fiscal quarter of the Company most recently ended on or prior to the Reference Date for which financial statements have been delivered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6.01(b)</w:t>
      </w:r>
      <w:r>
        <w:rPr>
          <w:rFonts w:ascii="Times New Roman" w:cs="Times New Roman" w:eastAsia="Times New Roman" w:hAnsi="Times New Roman"/>
          <w:sz w:val="14"/>
          <w:szCs w:val="14"/>
          <w:color w:val="auto"/>
        </w:rPr>
        <w:t xml:space="preserve"> and a Compliance Certificate has been delivered pursuant to </w:t>
      </w:r>
      <w:r>
        <w:rPr>
          <w:rFonts w:ascii="Times New Roman" w:cs="Times New Roman" w:eastAsia="Times New Roman" w:hAnsi="Times New Roman"/>
          <w:sz w:val="14"/>
          <w:szCs w:val="14"/>
          <w:u w:val="single" w:color="auto"/>
          <w:color w:val="auto"/>
        </w:rPr>
        <w:t>Section 6.02(a)</w:t>
      </w:r>
      <w:r>
        <w:rPr>
          <w:rFonts w:ascii="Times New Roman" w:cs="Times New Roman" w:eastAsia="Times New Roman" w:hAnsi="Times New Roman"/>
          <w:sz w:val="14"/>
          <w:szCs w:val="14"/>
          <w:color w:val="auto"/>
        </w:rPr>
        <w:t xml:space="preserve"> (it being understood that any such amount shall not be less than zero for any fiscal quarter); </w:t>
      </w:r>
      <w:r>
        <w:rPr>
          <w:rFonts w:ascii="Times New Roman" w:cs="Times New Roman" w:eastAsia="Times New Roman" w:hAnsi="Times New Roman"/>
          <w:sz w:val="14"/>
          <w:szCs w:val="14"/>
          <w:u w:val="single" w:color="auto"/>
          <w:color w:val="auto"/>
        </w:rPr>
        <w:t>plus</w:t>
      </w:r>
    </w:p>
    <w:p>
      <w:pPr>
        <w:spacing w:after="0" w:line="56" w:lineRule="exact"/>
        <w:rPr>
          <w:rFonts w:ascii="Times New Roman" w:cs="Times New Roman" w:eastAsia="Times New Roman" w:hAnsi="Times New Roman"/>
          <w:sz w:val="14"/>
          <w:szCs w:val="14"/>
          <w:color w:val="auto"/>
        </w:rPr>
      </w:pPr>
    </w:p>
    <w:p>
      <w:pPr>
        <w:ind w:left="560" w:right="399" w:firstLine="327"/>
        <w:spacing w:after="0" w:line="261" w:lineRule="auto"/>
        <w:tabs>
          <w:tab w:leader="none" w:pos="1134" w:val="left"/>
        </w:tabs>
        <w:numPr>
          <w:ilvl w:val="1"/>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100% of the aggregate net proceeds received in cash or Cash Equivalents by the Company or any of its Subsidiaries since the Closing Date (from any Person other than the Company or any Subsidiary) as a contribution to its common equity capital, or received by the Company since the Closing Date from the issuance or sale of common Equity Interests of the Company (to any Person other than the Company or any Subsidiary), in each case to the extent any such amount is Not Otherwise Applied; </w:t>
      </w:r>
      <w:r>
        <w:rPr>
          <w:rFonts w:ascii="Times New Roman" w:cs="Times New Roman" w:eastAsia="Times New Roman" w:hAnsi="Times New Roman"/>
          <w:sz w:val="14"/>
          <w:szCs w:val="14"/>
          <w:u w:val="single" w:color="auto"/>
          <w:color w:val="auto"/>
        </w:rPr>
        <w:t>plus</w:t>
      </w:r>
    </w:p>
    <w:p>
      <w:pPr>
        <w:spacing w:after="0" w:line="56" w:lineRule="exact"/>
        <w:rPr>
          <w:rFonts w:ascii="Times New Roman" w:cs="Times New Roman" w:eastAsia="Times New Roman" w:hAnsi="Times New Roman"/>
          <w:sz w:val="14"/>
          <w:szCs w:val="14"/>
          <w:color w:val="auto"/>
        </w:rPr>
      </w:pPr>
    </w:p>
    <w:p>
      <w:pPr>
        <w:ind w:left="560" w:right="339" w:firstLine="327"/>
        <w:spacing w:after="0" w:line="283" w:lineRule="auto"/>
        <w:tabs>
          <w:tab w:leader="none" w:pos="1127" w:val="left"/>
        </w:tabs>
        <w:numPr>
          <w:ilvl w:val="1"/>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100% of the principal amount of Indebtedness of the Company or any Subsidiary incurred after the Closing Date and owed to a Person that is not the Company or any Subsidiary that is converted to common Equity Interests of the Company after the Closing Date; </w:t>
      </w:r>
      <w:r>
        <w:rPr>
          <w:rFonts w:ascii="Times New Roman" w:cs="Times New Roman" w:eastAsia="Times New Roman" w:hAnsi="Times New Roman"/>
          <w:sz w:val="14"/>
          <w:szCs w:val="14"/>
          <w:u w:val="single" w:color="auto"/>
          <w:color w:val="auto"/>
        </w:rPr>
        <w:t>plus</w:t>
      </w:r>
    </w:p>
    <w:p>
      <w:pPr>
        <w:spacing w:after="0" w:line="40" w:lineRule="exact"/>
        <w:rPr>
          <w:rFonts w:ascii="Times New Roman" w:cs="Times New Roman" w:eastAsia="Times New Roman" w:hAnsi="Times New Roman"/>
          <w:sz w:val="14"/>
          <w:szCs w:val="14"/>
          <w:color w:val="auto"/>
        </w:rPr>
      </w:pPr>
    </w:p>
    <w:p>
      <w:pPr>
        <w:ind w:left="560" w:right="319" w:firstLine="327"/>
        <w:spacing w:after="0" w:line="267" w:lineRule="auto"/>
        <w:tabs>
          <w:tab w:leader="none" w:pos="1088" w:val="left"/>
        </w:tabs>
        <w:numPr>
          <w:ilvl w:val="1"/>
          <w:numId w:val="6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amount equal to any after-tax returns received in cash or Cash Equivalents by the Company or any Subsidiary since the Closing Date in respect of any Investments made pursuant to </w:t>
      </w:r>
      <w:r>
        <w:rPr>
          <w:rFonts w:ascii="Times New Roman" w:cs="Times New Roman" w:eastAsia="Times New Roman" w:hAnsi="Times New Roman"/>
          <w:sz w:val="14"/>
          <w:szCs w:val="14"/>
          <w:u w:val="single" w:color="auto"/>
          <w:color w:val="auto"/>
        </w:rPr>
        <w:t>Section 7.02(m)</w:t>
      </w:r>
      <w:r>
        <w:rPr>
          <w:rFonts w:ascii="Times New Roman" w:cs="Times New Roman" w:eastAsia="Times New Roman" w:hAnsi="Times New Roman"/>
          <w:sz w:val="14"/>
          <w:szCs w:val="14"/>
          <w:color w:val="auto"/>
        </w:rPr>
        <w:t xml:space="preserve"> (such amount not to exceed the original amount of such Investment pursuant to </w:t>
      </w:r>
      <w:r>
        <w:rPr>
          <w:rFonts w:ascii="Times New Roman" w:cs="Times New Roman" w:eastAsia="Times New Roman" w:hAnsi="Times New Roman"/>
          <w:sz w:val="14"/>
          <w:szCs w:val="14"/>
          <w:u w:val="single" w:color="auto"/>
          <w:color w:val="auto"/>
        </w:rPr>
        <w:t>Section 7.02(m)</w:t>
      </w:r>
      <w:r>
        <w:rPr>
          <w:rFonts w:ascii="Times New Roman" w:cs="Times New Roman" w:eastAsia="Times New Roman" w:hAnsi="Times New Roman"/>
          <w:sz w:val="14"/>
          <w:szCs w:val="14"/>
          <w:color w:val="auto"/>
        </w:rPr>
        <w:t xml:space="preserve">) to the extent any such amount is Not Otherwise Applied; </w:t>
      </w:r>
      <w:r>
        <w:rPr>
          <w:rFonts w:ascii="Times New Roman" w:cs="Times New Roman" w:eastAsia="Times New Roman" w:hAnsi="Times New Roman"/>
          <w:sz w:val="14"/>
          <w:szCs w:val="14"/>
          <w:u w:val="single" w:color="auto"/>
          <w:color w:val="auto"/>
        </w:rPr>
        <w:t>minus</w:t>
      </w:r>
    </w:p>
    <w:p>
      <w:pPr>
        <w:spacing w:after="0" w:line="135"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without duplication:</w:t>
      </w:r>
    </w:p>
    <w:p>
      <w:pPr>
        <w:spacing w:after="0" w:line="91" w:lineRule="exact"/>
        <w:rPr>
          <w:rFonts w:ascii="Times New Roman" w:cs="Times New Roman" w:eastAsia="Times New Roman" w:hAnsi="Times New Roman"/>
          <w:sz w:val="14"/>
          <w:szCs w:val="14"/>
          <w:color w:val="auto"/>
        </w:rPr>
      </w:pPr>
    </w:p>
    <w:p>
      <w:pPr>
        <w:ind w:left="560" w:right="399" w:firstLine="327"/>
        <w:spacing w:after="0" w:line="267" w:lineRule="auto"/>
        <w:tabs>
          <w:tab w:leader="none" w:pos="1057"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aggregate amount of all Investments made by the Company and its Subsidiaries in reliance on the Available Amount pursuant to </w:t>
      </w:r>
      <w:r>
        <w:rPr>
          <w:rFonts w:ascii="Times New Roman" w:cs="Times New Roman" w:eastAsia="Times New Roman" w:hAnsi="Times New Roman"/>
          <w:sz w:val="14"/>
          <w:szCs w:val="14"/>
          <w:u w:val="single" w:color="auto"/>
          <w:color w:val="auto"/>
        </w:rPr>
        <w:t>Section 7.02(m)</w:t>
      </w:r>
      <w:r>
        <w:rPr>
          <w:rFonts w:ascii="Times New Roman" w:cs="Times New Roman" w:eastAsia="Times New Roman" w:hAnsi="Times New Roman"/>
          <w:sz w:val="14"/>
          <w:szCs w:val="14"/>
          <w:color w:val="auto"/>
        </w:rPr>
        <w:t xml:space="preserve"> during the period from and including the Mirror Transactions Funding Date through and including the Reference Date (without taking into account the intended usage of the Available Amount on such Reference Date); </w:t>
      </w:r>
      <w:r>
        <w:rPr>
          <w:rFonts w:ascii="Times New Roman" w:cs="Times New Roman" w:eastAsia="Times New Roman" w:hAnsi="Times New Roman"/>
          <w:sz w:val="14"/>
          <w:szCs w:val="14"/>
          <w:u w:val="single" w:color="auto"/>
          <w:color w:val="auto"/>
        </w:rPr>
        <w:t>plus</w:t>
      </w:r>
    </w:p>
    <w:p>
      <w:pPr>
        <w:spacing w:after="0" w:line="51" w:lineRule="exact"/>
        <w:rPr>
          <w:rFonts w:ascii="Times New Roman" w:cs="Times New Roman" w:eastAsia="Times New Roman" w:hAnsi="Times New Roman"/>
          <w:sz w:val="14"/>
          <w:szCs w:val="14"/>
          <w:color w:val="auto"/>
        </w:rPr>
      </w:pPr>
    </w:p>
    <w:p>
      <w:pPr>
        <w:ind w:left="560" w:right="279" w:firstLine="327"/>
        <w:spacing w:after="0" w:line="267" w:lineRule="auto"/>
        <w:tabs>
          <w:tab w:leader="none" w:pos="1095"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aggregate amount of all Restricted Payments made by the Company and its Subsidiaries in reliance on the Available Amount pursuant to </w:t>
      </w:r>
      <w:r>
        <w:rPr>
          <w:rFonts w:ascii="Times New Roman" w:cs="Times New Roman" w:eastAsia="Times New Roman" w:hAnsi="Times New Roman"/>
          <w:sz w:val="14"/>
          <w:szCs w:val="14"/>
          <w:u w:val="single" w:color="auto"/>
          <w:color w:val="auto"/>
        </w:rPr>
        <w:t>Section 7.06(g)</w:t>
      </w:r>
      <w:r>
        <w:rPr>
          <w:rFonts w:ascii="Times New Roman" w:cs="Times New Roman" w:eastAsia="Times New Roman" w:hAnsi="Times New Roman"/>
          <w:sz w:val="14"/>
          <w:szCs w:val="14"/>
          <w:color w:val="auto"/>
        </w:rPr>
        <w:t xml:space="preserve"> during the period from and including the Mirror Transactions Funding Date through and including the Reference Date (without taking into account the intended usage of the Available Amount on such Reference Date); </w:t>
      </w:r>
      <w:r>
        <w:rPr>
          <w:rFonts w:ascii="Times New Roman" w:cs="Times New Roman" w:eastAsia="Times New Roman" w:hAnsi="Times New Roman"/>
          <w:sz w:val="14"/>
          <w:szCs w:val="14"/>
          <w:u w:val="single" w:color="auto"/>
          <w:color w:val="auto"/>
        </w:rPr>
        <w:t>plus</w:t>
      </w:r>
    </w:p>
    <w:p>
      <w:pPr>
        <w:spacing w:after="0" w:line="51" w:lineRule="exact"/>
        <w:rPr>
          <w:rFonts w:ascii="Times New Roman" w:cs="Times New Roman" w:eastAsia="Times New Roman" w:hAnsi="Times New Roman"/>
          <w:sz w:val="14"/>
          <w:szCs w:val="14"/>
          <w:color w:val="auto"/>
        </w:rPr>
      </w:pPr>
    </w:p>
    <w:p>
      <w:pPr>
        <w:ind w:left="560" w:right="699" w:firstLine="327"/>
        <w:spacing w:after="0" w:line="261" w:lineRule="auto"/>
        <w:tabs>
          <w:tab w:leader="none" w:pos="1134"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aggregate amount of all prepayments, redemptions, purchases, defeasances and satisfactions made by the Company and its Subsidiaries in reliance on the Available Amount pursuant to </w:t>
      </w:r>
      <w:r>
        <w:rPr>
          <w:rFonts w:ascii="Times New Roman" w:cs="Times New Roman" w:eastAsia="Times New Roman" w:hAnsi="Times New Roman"/>
          <w:sz w:val="14"/>
          <w:szCs w:val="14"/>
          <w:u w:val="single" w:color="auto"/>
          <w:color w:val="auto"/>
        </w:rPr>
        <w:t>Section 7.14(f)</w:t>
      </w:r>
      <w:r>
        <w:rPr>
          <w:rFonts w:ascii="Times New Roman" w:cs="Times New Roman" w:eastAsia="Times New Roman" w:hAnsi="Times New Roman"/>
          <w:sz w:val="14"/>
          <w:szCs w:val="14"/>
          <w:color w:val="auto"/>
        </w:rPr>
        <w:t xml:space="preserve"> during the period from and including the Mirror Transactions Funding Date through and including the Reference Date (without taking into account the intended usage of the Available Amount on such Reference Date); </w:t>
      </w:r>
      <w:r>
        <w:rPr>
          <w:rFonts w:ascii="Times New Roman" w:cs="Times New Roman" w:eastAsia="Times New Roman" w:hAnsi="Times New Roman"/>
          <w:sz w:val="14"/>
          <w:szCs w:val="14"/>
          <w:u w:val="single" w:color="auto"/>
          <w:color w:val="auto"/>
        </w:rPr>
        <w:t>plus</w:t>
      </w:r>
    </w:p>
    <w:p>
      <w:pPr>
        <w:spacing w:after="0" w:line="56" w:lineRule="exact"/>
        <w:rPr>
          <w:rFonts w:ascii="Times New Roman" w:cs="Times New Roman" w:eastAsia="Times New Roman" w:hAnsi="Times New Roman"/>
          <w:sz w:val="14"/>
          <w:szCs w:val="14"/>
          <w:color w:val="auto"/>
        </w:rPr>
      </w:pPr>
    </w:p>
    <w:p>
      <w:pPr>
        <w:ind w:left="560" w:right="279" w:firstLine="327"/>
        <w:spacing w:after="0" w:line="256" w:lineRule="auto"/>
        <w:tabs>
          <w:tab w:leader="none" w:pos="1127" w:val="left"/>
        </w:tabs>
        <w:numPr>
          <w:ilvl w:val="1"/>
          <w:numId w:val="6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sum of (A) the aggregate amount of all Investments made by the Company and its Subsidiaries in reliance on the Available Amount pursuant to </w:t>
      </w:r>
      <w:r>
        <w:rPr>
          <w:rFonts w:ascii="Times New Roman" w:cs="Times New Roman" w:eastAsia="Times New Roman" w:hAnsi="Times New Roman"/>
          <w:sz w:val="14"/>
          <w:szCs w:val="14"/>
          <w:u w:val="single" w:color="auto"/>
          <w:color w:val="auto"/>
        </w:rPr>
        <w:t>Section 7.02(m)</w:t>
      </w:r>
      <w:r>
        <w:rPr>
          <w:rFonts w:ascii="Times New Roman" w:cs="Times New Roman" w:eastAsia="Times New Roman" w:hAnsi="Times New Roman"/>
          <w:sz w:val="14"/>
          <w:szCs w:val="14"/>
          <w:color w:val="auto"/>
        </w:rPr>
        <w:t xml:space="preserve"> of the Company Credit Agreement during the period from and including the Closing Date through the Mirror Transactions Funding Date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(B) the aggregate amount of all Restricted Payments made by the Company and its Subsidiaries in reliance on the Available Amount pursuant to </w:t>
      </w:r>
      <w:r>
        <w:rPr>
          <w:rFonts w:ascii="Times New Roman" w:cs="Times New Roman" w:eastAsia="Times New Roman" w:hAnsi="Times New Roman"/>
          <w:sz w:val="14"/>
          <w:szCs w:val="14"/>
          <w:u w:val="single" w:color="auto"/>
          <w:color w:val="auto"/>
        </w:rPr>
        <w:t>Section 7.06(g)</w:t>
      </w:r>
      <w:r>
        <w:rPr>
          <w:rFonts w:ascii="Times New Roman" w:cs="Times New Roman" w:eastAsia="Times New Roman" w:hAnsi="Times New Roman"/>
          <w:sz w:val="14"/>
          <w:szCs w:val="14"/>
          <w:color w:val="auto"/>
        </w:rPr>
        <w:t xml:space="preserve"> of the Company Credit Agreement during the period from and including the Closing Date through the Mirror Transactions Funding Date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(C) the aggregate amount of all prepayments, redemptions, purchases, defeasances and satisfactions made by the Company and its Subsidiaries in reliance on the Available Amount pursuant to </w:t>
      </w:r>
      <w:r>
        <w:rPr>
          <w:rFonts w:ascii="Times New Roman" w:cs="Times New Roman" w:eastAsia="Times New Roman" w:hAnsi="Times New Roman"/>
          <w:sz w:val="14"/>
          <w:szCs w:val="14"/>
          <w:u w:val="single" w:color="auto"/>
          <w:color w:val="auto"/>
        </w:rPr>
        <w:t>Section 7.14(f)</w:t>
      </w:r>
      <w:r>
        <w:rPr>
          <w:rFonts w:ascii="Times New Roman" w:cs="Times New Roman" w:eastAsia="Times New Roman" w:hAnsi="Times New Roman"/>
          <w:sz w:val="14"/>
          <w:szCs w:val="14"/>
          <w:color w:val="auto"/>
        </w:rPr>
        <w:t xml:space="preserve"> of the Company Credit Agreement during the period from and including the Closing Date through the Mirror Transactions Funding Date.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585" w:name="page586"/>
    <w:bookmarkEnd w:id="585"/>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Bail-In Action</w:t>
      </w:r>
      <w:r>
        <w:rPr>
          <w:rFonts w:ascii="Times New Roman" w:cs="Times New Roman" w:eastAsia="Times New Roman" w:hAnsi="Times New Roman"/>
          <w:sz w:val="14"/>
          <w:szCs w:val="14"/>
          <w:color w:val="auto"/>
        </w:rPr>
        <w:t>” means the exercise of any Write-Down and Conversion Powers by the applicable Resolution Authority in respect of any liability of an Affected Financial Institution.</w:t>
      </w:r>
    </w:p>
    <w:p>
      <w:pPr>
        <w:spacing w:after="0" w:line="125"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Bail-In Legislation</w:t>
      </w:r>
      <w:r>
        <w:rPr>
          <w:rFonts w:ascii="Times New Roman" w:cs="Times New Roman" w:eastAsia="Times New Roman" w:hAnsi="Times New Roman"/>
          <w:sz w:val="14"/>
          <w:szCs w:val="14"/>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 of America</w:t>
      </w:r>
      <w:r>
        <w:rPr>
          <w:rFonts w:ascii="Times New Roman" w:cs="Times New Roman" w:eastAsia="Times New Roman" w:hAnsi="Times New Roman"/>
          <w:sz w:val="14"/>
          <w:szCs w:val="14"/>
          <w:color w:val="auto"/>
        </w:rPr>
        <w:t>” means Bank of America, N.A. and its successors.</w:t>
      </w:r>
    </w:p>
    <w:p>
      <w:pPr>
        <w:spacing w:after="0" w:line="175" w:lineRule="exact"/>
        <w:rPr>
          <w:sz w:val="20"/>
          <w:szCs w:val="20"/>
          <w:color w:val="auto"/>
        </w:rPr>
      </w:pPr>
    </w:p>
    <w:p>
      <w:pPr>
        <w:ind w:left="220" w:right="219" w:firstLine="343"/>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Rate</w:t>
      </w:r>
      <w:r>
        <w:rPr>
          <w:rFonts w:ascii="Times New Roman" w:cs="Times New Roman" w:eastAsia="Times New Roman" w:hAnsi="Times New Roman"/>
          <w:sz w:val="14"/>
          <w:szCs w:val="14"/>
          <w:color w:val="auto"/>
        </w:rPr>
        <w:t xml:space="preserve">” means for any day a fluctuating rate of interest per annum equal to the highest of (a) the Federal Funds Rate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1/2 of 1%, (b) the rate of interest in effect for such day as publicly announced from time to time by Bank of America as its “prime rate,” and (c) Term SOFR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1.00%;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then the Base Rate shall be the greater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and</w:t>
      </w:r>
    </w:p>
    <w:p>
      <w:pPr>
        <w:spacing w:after="0" w:line="4" w:lineRule="exact"/>
        <w:rPr>
          <w:sz w:val="20"/>
          <w:szCs w:val="20"/>
          <w:color w:val="auto"/>
        </w:rPr>
      </w:pPr>
    </w:p>
    <w:p>
      <w:pPr>
        <w:ind w:left="420" w:hanging="205"/>
        <w:spacing w:after="0"/>
        <w:tabs>
          <w:tab w:leader="none" w:pos="420" w:val="left"/>
        </w:tabs>
        <w:numPr>
          <w:ilvl w:val="0"/>
          <w:numId w:val="61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above and shall be determined without reference to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above.</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Base Rate Loan</w:t>
      </w:r>
      <w:r>
        <w:rPr>
          <w:rFonts w:ascii="Times New Roman" w:cs="Times New Roman" w:eastAsia="Times New Roman" w:hAnsi="Times New Roman"/>
          <w:sz w:val="14"/>
          <w:szCs w:val="14"/>
          <w:color w:val="auto"/>
        </w:rPr>
        <w:t>” means a Loan that bears interest based on the Base Rate.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Ownership Certification</w:t>
      </w:r>
      <w:r>
        <w:rPr>
          <w:rFonts w:ascii="Times New Roman" w:cs="Times New Roman" w:eastAsia="Times New Roman" w:hAnsi="Times New Roman"/>
          <w:sz w:val="14"/>
          <w:szCs w:val="14"/>
          <w:color w:val="auto"/>
        </w:rPr>
        <w:t>” means a certification regarding beneficial ownership required by the Beneficial Ownership Regulation.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Beneficial Ownership Regulation</w:t>
      </w:r>
      <w:r>
        <w:rPr>
          <w:rFonts w:ascii="Times New Roman" w:cs="Times New Roman" w:eastAsia="Times New Roman" w:hAnsi="Times New Roman"/>
          <w:sz w:val="14"/>
          <w:szCs w:val="14"/>
          <w:color w:val="auto"/>
        </w:rPr>
        <w:t>” means 31 C.F.R. § 1010.230.</w:t>
      </w:r>
    </w:p>
    <w:p>
      <w:pPr>
        <w:spacing w:after="0" w:line="175"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Benefit Plan</w:t>
      </w:r>
      <w:r>
        <w:rPr>
          <w:rFonts w:ascii="Times New Roman" w:cs="Times New Roman" w:eastAsia="Times New Roman" w:hAnsi="Times New Roman"/>
          <w:sz w:val="14"/>
          <w:szCs w:val="14"/>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BHC Act Affiliate</w:t>
      </w:r>
      <w:r>
        <w:rPr>
          <w:rFonts w:ascii="Times New Roman" w:cs="Times New Roman" w:eastAsia="Times New Roman" w:hAnsi="Times New Roman"/>
          <w:sz w:val="14"/>
          <w:szCs w:val="14"/>
          <w:color w:val="auto"/>
        </w:rPr>
        <w:t>” of a party means an “affiliate” (as such term is defined under, and interpreted in accordance with, 12 U.S.C. 1841(k)) of such</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party.</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BofA Securities</w:t>
      </w:r>
      <w:r>
        <w:rPr>
          <w:rFonts w:ascii="Times New Roman" w:cs="Times New Roman" w:eastAsia="Times New Roman" w:hAnsi="Times New Roman"/>
          <w:sz w:val="14"/>
          <w:szCs w:val="14"/>
          <w:color w:val="auto"/>
        </w:rPr>
        <w:t>” means BofA Securities, Inc.</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has the meaning specified in the introductory paragraph hereto.</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Borrower Materials</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6.02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Borrowing</w:t>
      </w:r>
      <w:r>
        <w:rPr>
          <w:rFonts w:ascii="Times New Roman" w:cs="Times New Roman" w:eastAsia="Times New Roman" w:hAnsi="Times New Roman"/>
          <w:sz w:val="14"/>
          <w:szCs w:val="14"/>
          <w:color w:val="auto"/>
        </w:rPr>
        <w:t xml:space="preserve">” means a borrowing consisting of simultaneous Term Loans of the same Type and, in the case of Term SOFR Loans, having the same Interest Period made by each of the Lenders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586" w:name="page587"/>
    <w:bookmarkEnd w:id="586"/>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other than a Saturday, Sunday or other day on which commercial banks are authorized to close under the Laws of, or are in fact closed in, the state where the Administrative Agent’s Office is located.</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Capitalized Leases</w:t>
      </w:r>
      <w:r>
        <w:rPr>
          <w:rFonts w:ascii="Times New Roman" w:cs="Times New Roman" w:eastAsia="Times New Roman" w:hAnsi="Times New Roman"/>
          <w:sz w:val="14"/>
          <w:szCs w:val="14"/>
          <w:color w:val="auto"/>
        </w:rPr>
        <w:t>” means all leases that have been or should be, in accordance with GAAP, recorded as capitalized leases.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Equivalents</w:t>
      </w:r>
      <w:r>
        <w:rPr>
          <w:rFonts w:ascii="Times New Roman" w:cs="Times New Roman" w:eastAsia="Times New Roman" w:hAnsi="Times New Roman"/>
          <w:sz w:val="14"/>
          <w:szCs w:val="14"/>
          <w:color w:val="auto"/>
        </w:rPr>
        <w:t>” means any of the following types of Investments:</w:t>
      </w:r>
    </w:p>
    <w:p>
      <w:pPr>
        <w:spacing w:after="0" w:line="91" w:lineRule="exact"/>
        <w:rPr>
          <w:sz w:val="20"/>
          <w:szCs w:val="20"/>
          <w:color w:val="auto"/>
        </w:rPr>
      </w:pPr>
    </w:p>
    <w:p>
      <w:pPr>
        <w:jc w:val="both"/>
        <w:ind w:left="220" w:right="299" w:firstLine="338"/>
        <w:spacing w:after="0" w:line="267" w:lineRule="auto"/>
        <w:tabs>
          <w:tab w:leader="none" w:pos="753" w:val="left"/>
        </w:tabs>
        <w:numPr>
          <w:ilvl w:val="1"/>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readily marketable obligations issued or directly and fully guaranteed or insured by the United States or any agency or instrumentality thereof having maturities of not more than one year from the date of acquisition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full faith and credit of the United States is pledged in support thereof;</w:t>
      </w:r>
    </w:p>
    <w:p>
      <w:pPr>
        <w:spacing w:after="0" w:line="135" w:lineRule="exact"/>
        <w:rPr>
          <w:rFonts w:ascii="Times New Roman" w:cs="Times New Roman" w:eastAsia="Times New Roman" w:hAnsi="Times New Roman"/>
          <w:sz w:val="14"/>
          <w:szCs w:val="14"/>
          <w:color w:val="auto"/>
        </w:rPr>
      </w:pPr>
    </w:p>
    <w:p>
      <w:pPr>
        <w:ind w:left="220" w:right="379" w:firstLine="338"/>
        <w:spacing w:after="0" w:line="258" w:lineRule="auto"/>
        <w:tabs>
          <w:tab w:leader="none" w:pos="761" w:val="left"/>
        </w:tabs>
        <w:numPr>
          <w:ilvl w:val="1"/>
          <w:numId w:val="6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w:t>
      </w:r>
    </w:p>
    <w:p>
      <w:pPr>
        <w:ind w:left="220" w:right="239" w:hanging="5"/>
        <w:spacing w:after="0" w:line="261" w:lineRule="auto"/>
        <w:tabs>
          <w:tab w:leader="none" w:pos="426" w:val="left"/>
        </w:tabs>
        <w:numPr>
          <w:ilvl w:val="0"/>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issues (or the parent of which issues) commercial paper rated as described in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of this definition and (iii) has combined capital and surplus of at least $1,000,000,000, in each case, with maturities of not more than 180 days from the date of acquisition thereof;</w:t>
      </w:r>
    </w:p>
    <w:p>
      <w:pPr>
        <w:spacing w:after="0" w:line="139" w:lineRule="exact"/>
        <w:rPr>
          <w:rFonts w:ascii="Times New Roman" w:cs="Times New Roman" w:eastAsia="Times New Roman" w:hAnsi="Times New Roman"/>
          <w:sz w:val="14"/>
          <w:szCs w:val="14"/>
          <w:color w:val="auto"/>
        </w:rPr>
      </w:pPr>
    </w:p>
    <w:p>
      <w:pPr>
        <w:ind w:left="220" w:right="339" w:firstLine="338"/>
        <w:spacing w:after="0" w:line="267" w:lineRule="auto"/>
        <w:tabs>
          <w:tab w:leader="none" w:pos="753" w:val="left"/>
        </w:tabs>
        <w:numPr>
          <w:ilvl w:val="1"/>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paper issued by any Person organized under the laws of any state of the United States and rated at least “P-1” (or the then equivalent grade) by Moody’s or at least “A-1” (or the then equivalent grade) by S&amp;P, in each case, with maturities of not more than 270 days from the date of acquisition thereof;</w:t>
      </w:r>
    </w:p>
    <w:p>
      <w:pPr>
        <w:spacing w:after="0" w:line="135" w:lineRule="exact"/>
        <w:rPr>
          <w:rFonts w:ascii="Times New Roman" w:cs="Times New Roman" w:eastAsia="Times New Roman" w:hAnsi="Times New Roman"/>
          <w:sz w:val="14"/>
          <w:szCs w:val="14"/>
          <w:color w:val="auto"/>
        </w:rPr>
      </w:pPr>
    </w:p>
    <w:p>
      <w:pPr>
        <w:ind w:left="220" w:right="419" w:firstLine="338"/>
        <w:spacing w:after="0" w:line="283" w:lineRule="auto"/>
        <w:tabs>
          <w:tab w:leader="none" w:pos="761" w:val="left"/>
        </w:tabs>
        <w:numPr>
          <w:ilvl w:val="1"/>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fully collateralized repurchase agreements with a term of not more than 30 days for securities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 and entered into with a financial institution satisfying the criteria described in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above;</w:t>
      </w:r>
    </w:p>
    <w:p>
      <w:pPr>
        <w:spacing w:after="0" w:line="124" w:lineRule="exact"/>
        <w:rPr>
          <w:rFonts w:ascii="Times New Roman" w:cs="Times New Roman" w:eastAsia="Times New Roman" w:hAnsi="Times New Roman"/>
          <w:sz w:val="14"/>
          <w:szCs w:val="14"/>
          <w:color w:val="auto"/>
        </w:rPr>
      </w:pPr>
    </w:p>
    <w:p>
      <w:pPr>
        <w:ind w:left="220" w:right="279" w:firstLine="338"/>
        <w:spacing w:after="0" w:line="261" w:lineRule="auto"/>
        <w:tabs>
          <w:tab w:leader="none" w:pos="753" w:val="left"/>
        </w:tabs>
        <w:numPr>
          <w:ilvl w:val="1"/>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with maturities of 365 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140" w:lineRule="exact"/>
        <w:rPr>
          <w:rFonts w:ascii="Times New Roman" w:cs="Times New Roman" w:eastAsia="Times New Roman" w:hAnsi="Times New Roman"/>
          <w:sz w:val="14"/>
          <w:szCs w:val="14"/>
          <w:color w:val="auto"/>
        </w:rPr>
      </w:pPr>
    </w:p>
    <w:p>
      <w:pPr>
        <w:ind w:left="220" w:right="619" w:firstLine="338"/>
        <w:spacing w:after="0" w:line="283" w:lineRule="auto"/>
        <w:tabs>
          <w:tab w:leader="none" w:pos="738" w:val="left"/>
        </w:tabs>
        <w:numPr>
          <w:ilvl w:val="1"/>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securities with maturities of 180 days or less from the date of acquisition backed by standby letters of credit issued by any Lender or any commercial bank satisfying the requirements of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this definition;</w:t>
      </w:r>
    </w:p>
    <w:p>
      <w:pPr>
        <w:spacing w:after="0" w:line="124" w:lineRule="exact"/>
        <w:rPr>
          <w:rFonts w:ascii="Times New Roman" w:cs="Times New Roman" w:eastAsia="Times New Roman" w:hAnsi="Times New Roman"/>
          <w:sz w:val="14"/>
          <w:szCs w:val="14"/>
          <w:color w:val="auto"/>
        </w:rPr>
      </w:pPr>
    </w:p>
    <w:p>
      <w:pPr>
        <w:ind w:left="220" w:right="379" w:firstLine="338"/>
        <w:spacing w:after="0" w:line="283" w:lineRule="auto"/>
        <w:tabs>
          <w:tab w:leader="none" w:pos="761" w:val="left"/>
        </w:tabs>
        <w:numPr>
          <w:ilvl w:val="1"/>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Investments in accordance with the investment policy of the Parent that the Administrative Agent may approve from time to time in its reasonable discretion; and</w:t>
      </w:r>
    </w:p>
    <w:p>
      <w:pPr>
        <w:spacing w:after="0" w:line="124" w:lineRule="exact"/>
        <w:rPr>
          <w:rFonts w:ascii="Times New Roman" w:cs="Times New Roman" w:eastAsia="Times New Roman" w:hAnsi="Times New Roman"/>
          <w:sz w:val="14"/>
          <w:szCs w:val="14"/>
          <w:color w:val="auto"/>
        </w:rPr>
      </w:pPr>
    </w:p>
    <w:p>
      <w:pPr>
        <w:ind w:left="220" w:right="259" w:firstLine="338"/>
        <w:spacing w:after="0" w:line="267" w:lineRule="auto"/>
        <w:tabs>
          <w:tab w:leader="none" w:pos="761" w:val="left"/>
        </w:tabs>
        <w:numPr>
          <w:ilvl w:val="1"/>
          <w:numId w:val="6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the foregoing clauses of this definition.</w:t>
      </w:r>
    </w:p>
    <w:p>
      <w:pPr>
        <w:spacing w:after="0" w:line="136"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Pooling Arrangement</w:t>
      </w:r>
      <w:r>
        <w:rPr>
          <w:rFonts w:ascii="Times New Roman" w:cs="Times New Roman" w:eastAsia="Times New Roman" w:hAnsi="Times New Roman"/>
          <w:sz w:val="14"/>
          <w:szCs w:val="14"/>
          <w:color w:val="auto"/>
        </w:rPr>
        <w:t>” means any cash pooling, notional pooling, netting, overdraft, intraday, sweep, zero-balance, balance transfer, profit-and-loss, daily exposure or similar cash management arrangement and any related foreign exchange settlement exposure of the Parent or any of its Subsidiaries, in each case entered into in the ordinary course of business and with a Lender (or any of its Affiliates).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587" w:name="page588"/>
    <w:bookmarkEnd w:id="587"/>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CFC</w:t>
      </w:r>
      <w:r>
        <w:rPr>
          <w:rFonts w:ascii="Times New Roman" w:cs="Times New Roman" w:eastAsia="Times New Roman" w:hAnsi="Times New Roman"/>
          <w:sz w:val="14"/>
          <w:szCs w:val="14"/>
          <w:color w:val="auto"/>
        </w:rPr>
        <w:t>” means a Person that is a controlled foreign corporation under Section 957 of the Code.</w:t>
      </w:r>
    </w:p>
    <w:p>
      <w:pPr>
        <w:spacing w:after="0" w:line="175"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CFC Holdco</w:t>
      </w:r>
      <w:r>
        <w:rPr>
          <w:rFonts w:ascii="Times New Roman" w:cs="Times New Roman" w:eastAsia="Times New Roman" w:hAnsi="Times New Roman"/>
          <w:sz w:val="14"/>
          <w:szCs w:val="14"/>
          <w:color w:val="auto"/>
        </w:rPr>
        <w:t>” means a Subsidiary all or substantially all the assets of which consist of Equity Interests in (or Equity Interests in and debt of) one or more CFCs.</w:t>
      </w:r>
    </w:p>
    <w:p>
      <w:pPr>
        <w:spacing w:after="0" w:line="125"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Law</w:t>
      </w:r>
      <w:r>
        <w:rPr>
          <w:rFonts w:ascii="Times New Roman" w:cs="Times New Roman" w:eastAsia="Times New Roman" w:hAnsi="Times New Roman"/>
          <w:sz w:val="14"/>
          <w:szCs w:val="14"/>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means an event or series of events by which:</w:t>
      </w:r>
    </w:p>
    <w:p>
      <w:pPr>
        <w:spacing w:after="0" w:line="91" w:lineRule="exact"/>
        <w:rPr>
          <w:sz w:val="20"/>
          <w:szCs w:val="20"/>
          <w:color w:val="auto"/>
        </w:rPr>
      </w:pPr>
    </w:p>
    <w:p>
      <w:pPr>
        <w:ind w:left="220" w:right="259" w:firstLine="338"/>
        <w:spacing w:after="0" w:line="256" w:lineRule="auto"/>
        <w:tabs>
          <w:tab w:leader="none" w:pos="753" w:val="left"/>
        </w:tabs>
        <w:numPr>
          <w:ilvl w:val="1"/>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40%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w:t>
      </w:r>
    </w:p>
    <w:p>
      <w:pPr>
        <w:spacing w:after="0" w:line="143" w:lineRule="exact"/>
        <w:rPr>
          <w:rFonts w:ascii="Times New Roman" w:cs="Times New Roman" w:eastAsia="Times New Roman" w:hAnsi="Times New Roman"/>
          <w:sz w:val="14"/>
          <w:szCs w:val="14"/>
          <w:color w:val="auto"/>
        </w:rPr>
      </w:pPr>
    </w:p>
    <w:p>
      <w:pPr>
        <w:ind w:left="220" w:right="479" w:firstLine="338"/>
        <w:spacing w:after="0" w:line="261" w:lineRule="auto"/>
        <w:tabs>
          <w:tab w:leader="none" w:pos="761" w:val="left"/>
        </w:tabs>
        <w:numPr>
          <w:ilvl w:val="1"/>
          <w:numId w:val="6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any period of 12 consecutive months, a majority of the members of the board of directors or other equivalent governing body of the Company cease to be composed of individuals (i) who were members of that board or equivalent governing body on the first day of such period,</w:t>
      </w:r>
    </w:p>
    <w:p>
      <w:pPr>
        <w:ind w:left="220" w:right="299" w:hanging="5"/>
        <w:spacing w:after="0" w:line="254" w:lineRule="auto"/>
        <w:tabs>
          <w:tab w:leader="none" w:pos="426" w:val="left"/>
        </w:tabs>
        <w:numPr>
          <w:ilvl w:val="0"/>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whose election or nomination to that board or equivalent governing body was approved by individuals referred to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constituting at the time of such election or nomination at least a majority of that board or equivalent governing body;</w:t>
      </w:r>
    </w:p>
    <w:p>
      <w:pPr>
        <w:spacing w:after="0" w:line="144" w:lineRule="exact"/>
        <w:rPr>
          <w:rFonts w:ascii="Times New Roman" w:cs="Times New Roman" w:eastAsia="Times New Roman" w:hAnsi="Times New Roman"/>
          <w:sz w:val="14"/>
          <w:szCs w:val="14"/>
          <w:color w:val="auto"/>
        </w:rPr>
      </w:pPr>
    </w:p>
    <w:p>
      <w:pPr>
        <w:ind w:left="220" w:right="819" w:firstLine="338"/>
        <w:spacing w:after="0" w:line="283" w:lineRule="auto"/>
        <w:tabs>
          <w:tab w:leader="none" w:pos="753" w:val="left"/>
        </w:tabs>
        <w:numPr>
          <w:ilvl w:val="1"/>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Parent Change Time, the Company shall cease to own, directly or indirectly, 100% of the outstanding Equity Interests of the Borrower;</w:t>
      </w:r>
    </w:p>
    <w:p>
      <w:pPr>
        <w:spacing w:after="0" w:line="124"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1"/>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Parent Change Time, the occurrence of a “change of control” (or any comparable event) under the Company Credit Agreement; or</w:t>
      </w:r>
    </w:p>
    <w:p>
      <w:pPr>
        <w:spacing w:after="0" w:line="175" w:lineRule="exact"/>
        <w:rPr>
          <w:rFonts w:ascii="Times New Roman" w:cs="Times New Roman" w:eastAsia="Times New Roman" w:hAnsi="Times New Roman"/>
          <w:sz w:val="14"/>
          <w:szCs w:val="14"/>
          <w:color w:val="auto"/>
        </w:rPr>
      </w:pPr>
    </w:p>
    <w:p>
      <w:pPr>
        <w:ind w:left="220" w:right="279" w:firstLine="338"/>
        <w:spacing w:after="0" w:line="267" w:lineRule="auto"/>
        <w:tabs>
          <w:tab w:leader="none" w:pos="753" w:val="left"/>
        </w:tabs>
        <w:numPr>
          <w:ilvl w:val="1"/>
          <w:numId w:val="6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 “change of control” (or any comparable event) under the documentation governing any Consolidated Funded Indebtedness (other than the Company Credit Agreement) that is secured by the Collateral on a pari passu basis with the Obligations with an aggregate outstanding principal amount in excess of the Threshold Amount;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1" w:right="1440" w:bottom="1440" w:gutter="0" w:footer="0" w:header="0"/>
        </w:sectPr>
      </w:pPr>
    </w:p>
    <w:bookmarkStart w:id="588" w:name="page589"/>
    <w:bookmarkEnd w:id="588"/>
    <w:p>
      <w:pPr>
        <w:ind w:left="220" w:right="239" w:firstLine="343"/>
        <w:spacing w:after="0" w:line="261"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provided</w:t>
      </w:r>
      <w:r>
        <w:rPr>
          <w:rFonts w:ascii="Times New Roman" w:cs="Times New Roman" w:eastAsia="Times New Roman" w:hAnsi="Times New Roman"/>
          <w:sz w:val="14"/>
          <w:szCs w:val="14"/>
          <w:color w:val="auto"/>
        </w:rPr>
        <w:t xml:space="preserve"> that (x) the consummation of the Mirror Transactions shall not constitute a Change of Control and (y) the consummation of the TopCo Restructuring shall not constitute a Change of Control under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of this definition so long as TopCo owns, directly or indirectly, 100% of the outstanding Equity Interests of the Borrower (except to the extent TopCo fails to so own such Equity Interests pursuant to a transaction not prohibited by the Loan Documents).</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means the date hereof.</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CME</w:t>
      </w:r>
      <w:r>
        <w:rPr>
          <w:rFonts w:ascii="Times New Roman" w:cs="Times New Roman" w:eastAsia="Times New Roman" w:hAnsi="Times New Roman"/>
          <w:sz w:val="14"/>
          <w:szCs w:val="14"/>
          <w:color w:val="auto"/>
        </w:rPr>
        <w:t>” means CME Group Benchmark Administration Limited.</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w:t>
      </w:r>
    </w:p>
    <w:p>
      <w:pPr>
        <w:spacing w:after="0" w:line="175" w:lineRule="exact"/>
        <w:rPr>
          <w:sz w:val="20"/>
          <w:szCs w:val="20"/>
          <w:color w:val="auto"/>
        </w:rPr>
      </w:pPr>
    </w:p>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Collateral</w:t>
      </w:r>
      <w:r>
        <w:rPr>
          <w:rFonts w:ascii="Times New Roman" w:cs="Times New Roman" w:eastAsia="Times New Roman" w:hAnsi="Times New Roman"/>
          <w:sz w:val="14"/>
          <w:szCs w:val="14"/>
          <w:color w:val="auto"/>
        </w:rPr>
        <w:t>” means a collective reference to all personal property with respect to which Liens in favor of the Administrative Agent, for the benefit of the Secured Parties, are purported to be granted pursuant to and in accordance with the terms of the Collateral Documents.</w:t>
      </w:r>
    </w:p>
    <w:p>
      <w:pPr>
        <w:spacing w:after="0" w:line="125" w:lineRule="exact"/>
        <w:rPr>
          <w:sz w:val="20"/>
          <w:szCs w:val="20"/>
          <w:color w:val="auto"/>
        </w:rPr>
      </w:pPr>
    </w:p>
    <w:p>
      <w:pPr>
        <w:ind w:left="220" w:right="3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Collateral Documents</w:t>
      </w:r>
      <w:r>
        <w:rPr>
          <w:rFonts w:ascii="Times New Roman" w:cs="Times New Roman" w:eastAsia="Times New Roman" w:hAnsi="Times New Roman"/>
          <w:sz w:val="14"/>
          <w:szCs w:val="14"/>
          <w:color w:val="auto"/>
        </w:rPr>
        <w:t xml:space="preserve">” means, collectively, the Security Agreement, the Account Control Agreements, each of the collateral assignments, Security Agreement Supplements, security agreements, pledge agreements or other similar agreements delivered to the Administrative Agent pursuant to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 and each other agreement, instrument or document that creates or purports to create a Lien in favor of the Administrative Agent for the benefit of the Secured Parties.</w:t>
      </w:r>
    </w:p>
    <w:p>
      <w:pPr>
        <w:spacing w:after="0" w:line="141" w:lineRule="exact"/>
        <w:rPr>
          <w:sz w:val="20"/>
          <w:szCs w:val="20"/>
          <w:color w:val="auto"/>
        </w:rPr>
      </w:pPr>
    </w:p>
    <w:p>
      <w:pPr>
        <w:jc w:val="both"/>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Commitment</w:t>
      </w:r>
      <w:r>
        <w:rPr>
          <w:rFonts w:ascii="Times New Roman" w:cs="Times New Roman" w:eastAsia="Times New Roman" w:hAnsi="Times New Roman"/>
          <w:sz w:val="14"/>
          <w:szCs w:val="14"/>
          <w:color w:val="auto"/>
        </w:rPr>
        <w:t xml:space="preserve">” means, as to each Lender, its obligation to make a Term Loan to the Borrower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14"/>
          <w:szCs w:val="14"/>
          <w:u w:val="single" w:color="auto"/>
          <w:color w:val="auto"/>
        </w:rPr>
        <w:t>Schedule 2.01</w:t>
      </w:r>
      <w:r>
        <w:rPr>
          <w:rFonts w:ascii="Times New Roman" w:cs="Times New Roman" w:eastAsia="Times New Roman" w:hAnsi="Times New Roman"/>
          <w:sz w:val="14"/>
          <w:szCs w:val="14"/>
          <w:color w:val="auto"/>
        </w:rPr>
        <w:t xml:space="preserve"> under the caption “Commitment” or opposite such caption in the Assignment and Assumption or other agreement pursuant to which such Lender becomes a party hereto, as applicable, as such amount may be adjusted from time to time in accordance with this Agreement.</w:t>
      </w:r>
    </w:p>
    <w:p>
      <w:pPr>
        <w:spacing w:after="0" w:line="141" w:lineRule="exact"/>
        <w:rPr>
          <w:sz w:val="20"/>
          <w:szCs w:val="20"/>
          <w:color w:val="auto"/>
        </w:rPr>
      </w:pPr>
    </w:p>
    <w:p>
      <w:pPr>
        <w:ind w:left="220" w:right="259" w:firstLine="343"/>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Committed Loan Notice</w:t>
      </w:r>
      <w:r>
        <w:rPr>
          <w:rFonts w:ascii="Times New Roman" w:cs="Times New Roman" w:eastAsia="Times New Roman" w:hAnsi="Times New Roman"/>
          <w:sz w:val="13"/>
          <w:szCs w:val="13"/>
          <w:color w:val="auto"/>
        </w:rPr>
        <w:t xml:space="preserve">” means a notice of (a) a Borrowing, (b) a conversion of Term SOFR Loans to Base Rate Loans, (c) a conversion of Base Rate Loans to Term SOFR Loans, or (d) a continuation of Term SOFR Loans, as applicable, pursuant to </w:t>
      </w:r>
      <w:r>
        <w:rPr>
          <w:rFonts w:ascii="Times New Roman" w:cs="Times New Roman" w:eastAsia="Times New Roman" w:hAnsi="Times New Roman"/>
          <w:sz w:val="13"/>
          <w:szCs w:val="13"/>
          <w:u w:val="single" w:color="auto"/>
          <w:color w:val="auto"/>
        </w:rPr>
        <w:t>Section 2.02(a)</w:t>
      </w:r>
      <w:r>
        <w:rPr>
          <w:rFonts w:ascii="Times New Roman" w:cs="Times New Roman" w:eastAsia="Times New Roman" w:hAnsi="Times New Roman"/>
          <w:sz w:val="13"/>
          <w:szCs w:val="13"/>
          <w:color w:val="auto"/>
        </w:rPr>
        <w:t xml:space="preserve">, which shall be substantially in the form of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24" w:lineRule="exact"/>
        <w:rPr>
          <w:sz w:val="20"/>
          <w:szCs w:val="20"/>
          <w:color w:val="auto"/>
        </w:rPr>
      </w:pPr>
    </w:p>
    <w:p>
      <w:pPr>
        <w:ind w:left="220" w:right="459" w:firstLine="343"/>
        <w:spacing w:after="0" w:line="28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Commodity Exchange Act</w:t>
      </w:r>
      <w:r>
        <w:rPr>
          <w:rFonts w:ascii="Times New Roman" w:cs="Times New Roman" w:eastAsia="Times New Roman" w:hAnsi="Times New Roman"/>
          <w:sz w:val="14"/>
          <w:szCs w:val="14"/>
          <w:color w:val="auto"/>
        </w:rPr>
        <w:t xml:space="preserve">” means the Commodity Exchange Act (7 U.S.C. § 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as amended or otherwise modified, and any successor statute.</w:t>
      </w:r>
    </w:p>
    <w:p>
      <w:pPr>
        <w:spacing w:after="0" w:line="123" w:lineRule="exact"/>
        <w:rPr>
          <w:sz w:val="20"/>
          <w:szCs w:val="20"/>
          <w:color w:val="auto"/>
        </w:rPr>
      </w:pPr>
    </w:p>
    <w:p>
      <w:pPr>
        <w:ind w:left="220" w:right="2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Communication</w:t>
      </w:r>
      <w:r>
        <w:rPr>
          <w:rFonts w:ascii="Times New Roman" w:cs="Times New Roman" w:eastAsia="Times New Roman" w:hAnsi="Times New Roman"/>
          <w:sz w:val="14"/>
          <w:szCs w:val="14"/>
          <w:color w:val="auto"/>
        </w:rPr>
        <w:t>” means this Agreement, any other Loan Document, and any other document, amendment, approval, consent, information, notice, certificate, request, statement, disclosure, or authorization related to any Loan Document.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Gentherm Incorporated, a Michigan corporation.</w:t>
      </w:r>
    </w:p>
    <w:p>
      <w:pPr>
        <w:spacing w:after="0" w:line="175"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Credit Agreement</w:t>
      </w:r>
      <w:r>
        <w:rPr>
          <w:rFonts w:ascii="Times New Roman" w:cs="Times New Roman" w:eastAsia="Times New Roman" w:hAnsi="Times New Roman"/>
          <w:sz w:val="14"/>
          <w:szCs w:val="14"/>
          <w:color w:val="auto"/>
        </w:rPr>
        <w:t>” means that certain Third Amended and Restated Credit Agreement, dated as of June 29, 2026, by and among the Company and the other borrowers party thereto, as borrowers, the lenders party thereto, the Company Credit Agreement Agent and Bank of America, as the swing line lender and the letter of credit issuer, as the same may be amended, restated, amended and restated, replaced, refinanced, supplemented or otherwise modified from time to time.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589" w:name="page590"/>
    <w:bookmarkEnd w:id="589"/>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Company Credit Agreement Agent</w:t>
      </w:r>
      <w:r>
        <w:rPr>
          <w:rFonts w:ascii="Times New Roman" w:cs="Times New Roman" w:eastAsia="Times New Roman" w:hAnsi="Times New Roman"/>
          <w:sz w:val="14"/>
          <w:szCs w:val="14"/>
          <w:color w:val="auto"/>
        </w:rPr>
        <w:t>” means Bank of America, as the administrative agent under the Company Credit Agreement.</w:t>
      </w:r>
    </w:p>
    <w:p>
      <w:pPr>
        <w:spacing w:after="0" w:line="175" w:lineRule="exact"/>
        <w:rPr>
          <w:sz w:val="20"/>
          <w:szCs w:val="20"/>
          <w:color w:val="auto"/>
        </w:rPr>
      </w:pPr>
    </w:p>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Debt Assumption</w:t>
      </w:r>
      <w:r>
        <w:rPr>
          <w:rFonts w:ascii="Times New Roman" w:cs="Times New Roman" w:eastAsia="Times New Roman" w:hAnsi="Times New Roman"/>
          <w:sz w:val="14"/>
          <w:szCs w:val="14"/>
          <w:color w:val="auto"/>
        </w:rPr>
        <w:t xml:space="preserve">” means an assumption by the Company of the obligations of the Borrower under this Agreement and the other Loan Documents pursuant to the Company Debt Assumption Supplement in accordance with </w:t>
      </w:r>
      <w:r>
        <w:rPr>
          <w:rFonts w:ascii="Times New Roman" w:cs="Times New Roman" w:eastAsia="Times New Roman" w:hAnsi="Times New Roman"/>
          <w:sz w:val="14"/>
          <w:szCs w:val="14"/>
          <w:u w:val="single" w:color="auto"/>
          <w:color w:val="auto"/>
        </w:rPr>
        <w:t>Section 11.23</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Debt Assumption Supplement</w:t>
      </w:r>
      <w:r>
        <w:rPr>
          <w:rFonts w:ascii="Times New Roman" w:cs="Times New Roman" w:eastAsia="Times New Roman" w:hAnsi="Times New Roman"/>
          <w:sz w:val="14"/>
          <w:szCs w:val="14"/>
          <w:color w:val="auto"/>
        </w:rPr>
        <w:t xml:space="preserve">” means a supplement to this Agreement executed by the Company and the Borrower and acknowledged by the Administrative Agent, substantially in the form of </w:t>
      </w:r>
      <w:r>
        <w:rPr>
          <w:rFonts w:ascii="Times New Roman" w:cs="Times New Roman" w:eastAsia="Times New Roman" w:hAnsi="Times New Roman"/>
          <w:sz w:val="14"/>
          <w:szCs w:val="14"/>
          <w:u w:val="single" w:color="auto"/>
          <w:color w:val="auto"/>
        </w:rPr>
        <w:t>Exhibit O</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Debt Guarantor</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Indebtedness</w:t>
      </w:r>
      <w:r>
        <w:rPr>
          <w:rFonts w:ascii="Times New Roman" w:cs="Times New Roman" w:eastAsia="Times New Roman" w:hAnsi="Times New Roman"/>
          <w:sz w:val="14"/>
          <w:szCs w:val="14"/>
          <w:color w:val="auto"/>
        </w:rPr>
        <w:t>” means Indebtedness and other obligations under the Company Credit Agreement and the other Loan Documents (as defined in the Company Credit Agreement).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 xml:space="preserve">” means a certificate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4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Connection Income Taxes</w:t>
      </w:r>
      <w:r>
        <w:rPr>
          <w:rFonts w:ascii="Times New Roman" w:cs="Times New Roman" w:eastAsia="Times New Roman" w:hAnsi="Times New Roman"/>
          <w:sz w:val="14"/>
          <w:szCs w:val="14"/>
          <w:color w:val="auto"/>
        </w:rPr>
        <w:t>” means Other Connection Taxes that are imposed on or measured by net income (however denominated) or that are franchise Taxes or branch profits Taxes.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EBITDA</w:t>
      </w:r>
      <w:r>
        <w:rPr>
          <w:rFonts w:ascii="Times New Roman" w:cs="Times New Roman" w:eastAsia="Times New Roman" w:hAnsi="Times New Roman"/>
          <w:sz w:val="14"/>
          <w:szCs w:val="14"/>
          <w:color w:val="auto"/>
        </w:rPr>
        <w:t>” means, for any period, for the Company and its Subsidiaries on a consolidated basis, the total of:</w:t>
      </w:r>
    </w:p>
    <w:p>
      <w:pPr>
        <w:spacing w:after="0" w:line="91" w:lineRule="exact"/>
        <w:rPr>
          <w:sz w:val="20"/>
          <w:szCs w:val="20"/>
          <w:color w:val="auto"/>
        </w:rPr>
      </w:pPr>
    </w:p>
    <w:p>
      <w:pPr>
        <w:ind w:left="740" w:hanging="182"/>
        <w:spacing w:after="0"/>
        <w:tabs>
          <w:tab w:leader="none" w:pos="740"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Net Income for such period; </w:t>
      </w:r>
      <w:r>
        <w:rPr>
          <w:rFonts w:ascii="Times New Roman" w:cs="Times New Roman" w:eastAsia="Times New Roman" w:hAnsi="Times New Roman"/>
          <w:sz w:val="14"/>
          <w:szCs w:val="14"/>
          <w:u w:val="single" w:color="auto"/>
          <w:color w:val="auto"/>
        </w:rPr>
        <w:t>plus</w:t>
      </w:r>
    </w:p>
    <w:p>
      <w:pPr>
        <w:spacing w:after="0" w:line="175" w:lineRule="exact"/>
        <w:rPr>
          <w:rFonts w:ascii="Times New Roman" w:cs="Times New Roman" w:eastAsia="Times New Roman" w:hAnsi="Times New Roman"/>
          <w:sz w:val="14"/>
          <w:szCs w:val="14"/>
          <w:color w:val="auto"/>
        </w:rPr>
      </w:pPr>
    </w:p>
    <w:p>
      <w:pPr>
        <w:ind w:left="220" w:right="299" w:firstLine="338"/>
        <w:spacing w:after="0" w:line="283" w:lineRule="auto"/>
        <w:tabs>
          <w:tab w:leader="none" w:pos="761" w:val="left"/>
        </w:tabs>
        <w:numPr>
          <w:ilvl w:val="0"/>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following (without duplication), to the extent deducted in calculating such Consolidated Net Income (or in the case of </w:t>
      </w:r>
      <w:r>
        <w:rPr>
          <w:rFonts w:ascii="Times New Roman" w:cs="Times New Roman" w:eastAsia="Times New Roman" w:hAnsi="Times New Roman"/>
          <w:sz w:val="14"/>
          <w:szCs w:val="14"/>
          <w:u w:val="single" w:color="auto"/>
          <w:color w:val="auto"/>
        </w:rPr>
        <w:t>clauses (b)(viii)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(b)(ix)</w:t>
      </w:r>
      <w:r>
        <w:rPr>
          <w:rFonts w:ascii="Times New Roman" w:cs="Times New Roman" w:eastAsia="Times New Roman" w:hAnsi="Times New Roman"/>
          <w:sz w:val="14"/>
          <w:szCs w:val="14"/>
          <w:color w:val="auto"/>
        </w:rPr>
        <w:t xml:space="preserve"> below, not otherwise included in such Consolidated Net Income):</w:t>
      </w:r>
    </w:p>
    <w:p>
      <w:pPr>
        <w:spacing w:after="0" w:line="40"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1"/>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Interest Charges;</w:t>
      </w:r>
    </w:p>
    <w:p>
      <w:pPr>
        <w:spacing w:after="0" w:line="91" w:lineRule="exact"/>
        <w:rPr>
          <w:rFonts w:ascii="Times New Roman" w:cs="Times New Roman" w:eastAsia="Times New Roman" w:hAnsi="Times New Roman"/>
          <w:sz w:val="14"/>
          <w:szCs w:val="14"/>
          <w:color w:val="auto"/>
        </w:rPr>
      </w:pPr>
    </w:p>
    <w:p>
      <w:pPr>
        <w:ind w:left="1100" w:hanging="213"/>
        <w:spacing w:after="0"/>
        <w:tabs>
          <w:tab w:leader="none" w:pos="1100" w:val="left"/>
        </w:tabs>
        <w:numPr>
          <w:ilvl w:val="1"/>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federal, state, provincial, territorial, local and foreign income taxes payable;</w:t>
      </w:r>
    </w:p>
    <w:p>
      <w:pPr>
        <w:spacing w:after="0" w:line="91" w:lineRule="exact"/>
        <w:rPr>
          <w:rFonts w:ascii="Times New Roman" w:cs="Times New Roman" w:eastAsia="Times New Roman" w:hAnsi="Times New Roman"/>
          <w:sz w:val="14"/>
          <w:szCs w:val="14"/>
          <w:color w:val="auto"/>
        </w:rPr>
      </w:pPr>
    </w:p>
    <w:p>
      <w:pPr>
        <w:ind w:left="1140" w:hanging="253"/>
        <w:spacing w:after="0"/>
        <w:tabs>
          <w:tab w:leader="none" w:pos="1140" w:val="left"/>
        </w:tabs>
        <w:numPr>
          <w:ilvl w:val="1"/>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expense;</w:t>
      </w:r>
    </w:p>
    <w:p>
      <w:pPr>
        <w:spacing w:after="0" w:line="91" w:lineRule="exact"/>
        <w:rPr>
          <w:rFonts w:ascii="Times New Roman" w:cs="Times New Roman" w:eastAsia="Times New Roman" w:hAnsi="Times New Roman"/>
          <w:sz w:val="14"/>
          <w:szCs w:val="14"/>
          <w:color w:val="auto"/>
        </w:rPr>
      </w:pPr>
    </w:p>
    <w:p>
      <w:pPr>
        <w:ind w:left="560" w:right="319" w:firstLine="327"/>
        <w:spacing w:after="0" w:line="261" w:lineRule="auto"/>
        <w:tabs>
          <w:tab w:leader="none" w:pos="1127" w:val="left"/>
        </w:tabs>
        <w:numPr>
          <w:ilvl w:val="1"/>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equity-based, non-cash compensation charge or expense, including any such charge or expense arising from the grants of stock appreciation or similar rights, stock options, restricted stock, profits interests or other rights or equity-based incentive programs and (B) other non-cash charges, losses and expenses, in each case of clauses (A) and (B), which do not represent (x) a cash item in such period or any future period or (y) amortization of any prepaid cash expense;</w:t>
      </w:r>
    </w:p>
    <w:p>
      <w:pPr>
        <w:spacing w:after="0" w:line="56" w:lineRule="exact"/>
        <w:rPr>
          <w:rFonts w:ascii="Times New Roman" w:cs="Times New Roman" w:eastAsia="Times New Roman" w:hAnsi="Times New Roman"/>
          <w:sz w:val="14"/>
          <w:szCs w:val="14"/>
          <w:color w:val="auto"/>
        </w:rPr>
      </w:pPr>
    </w:p>
    <w:p>
      <w:pPr>
        <w:ind w:left="560" w:right="359" w:firstLine="327"/>
        <w:spacing w:after="0" w:line="283" w:lineRule="auto"/>
        <w:tabs>
          <w:tab w:leader="none" w:pos="1088" w:val="left"/>
        </w:tabs>
        <w:numPr>
          <w:ilvl w:val="1"/>
          <w:numId w:val="6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costs and expenses incurred in such period in connection with the negotiation, execution and delivery of the Loan Documents and any amendments or modifications thereof;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1" w:right="1440" w:bottom="1440" w:gutter="0" w:footer="0" w:header="0"/>
        </w:sectPr>
      </w:pPr>
    </w:p>
    <w:bookmarkStart w:id="590" w:name="page591"/>
    <w:bookmarkEnd w:id="590"/>
    <w:p>
      <w:pPr>
        <w:ind w:left="560" w:right="239" w:firstLine="327"/>
        <w:spacing w:after="0" w:line="283" w:lineRule="auto"/>
        <w:tabs>
          <w:tab w:leader="none" w:pos="1127" w:val="left"/>
        </w:tabs>
        <w:numPr>
          <w:ilvl w:val="1"/>
          <w:numId w:val="6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fees, costs and expenses incurred in such period in connection with the incurrence (or proposed incurrence) of any Indebtedness permitted to be incurred pursuant to </w:t>
      </w:r>
      <w:r>
        <w:rPr>
          <w:rFonts w:ascii="Times New Roman" w:cs="Times New Roman" w:eastAsia="Times New Roman" w:hAnsi="Times New Roman"/>
          <w:sz w:val="13"/>
          <w:szCs w:val="13"/>
          <w:u w:val="single" w:color="auto"/>
          <w:color w:val="auto"/>
        </w:rPr>
        <w:t>Section 7.03</w:t>
      </w:r>
      <w:r>
        <w:rPr>
          <w:rFonts w:ascii="Times New Roman" w:cs="Times New Roman" w:eastAsia="Times New Roman" w:hAnsi="Times New Roman"/>
          <w:sz w:val="13"/>
          <w:szCs w:val="13"/>
          <w:color w:val="auto"/>
        </w:rPr>
        <w:t xml:space="preserve"> (and the documentation related to any such Indebtedness from time to time, including amendments, modifications, supplements, waivers and consents of or to any such documentation), the consummation (or proposed consummation) of any Investment permitted pursuant to </w:t>
      </w:r>
      <w:r>
        <w:rPr>
          <w:rFonts w:ascii="Times New Roman" w:cs="Times New Roman" w:eastAsia="Times New Roman" w:hAnsi="Times New Roman"/>
          <w:sz w:val="13"/>
          <w:szCs w:val="13"/>
          <w:u w:val="single" w:color="auto"/>
          <w:color w:val="auto"/>
        </w:rPr>
        <w:t>Section 7.02</w:t>
      </w:r>
      <w:r>
        <w:rPr>
          <w:rFonts w:ascii="Times New Roman" w:cs="Times New Roman" w:eastAsia="Times New Roman" w:hAnsi="Times New Roman"/>
          <w:sz w:val="13"/>
          <w:szCs w:val="13"/>
          <w:color w:val="auto"/>
        </w:rPr>
        <w:t xml:space="preserve"> (including, for the avoidance of doubt, the Mirror Transactions), or the consummation (or proposed consummation) of any Disposition permitted pursuant to </w:t>
      </w:r>
      <w:r>
        <w:rPr>
          <w:rFonts w:ascii="Times New Roman" w:cs="Times New Roman" w:eastAsia="Times New Roman" w:hAnsi="Times New Roman"/>
          <w:sz w:val="13"/>
          <w:szCs w:val="13"/>
          <w:u w:val="single" w:color="auto"/>
          <w:color w:val="auto"/>
        </w:rPr>
        <w:t>Section 7.05</w:t>
      </w:r>
      <w:r>
        <w:rPr>
          <w:rFonts w:ascii="Times New Roman" w:cs="Times New Roman" w:eastAsia="Times New Roman" w:hAnsi="Times New Roman"/>
          <w:sz w:val="13"/>
          <w:szCs w:val="13"/>
          <w:color w:val="auto"/>
        </w:rPr>
        <w:t>, in each case whether or not such transaction is consummated;</w:t>
      </w:r>
    </w:p>
    <w:p>
      <w:pPr>
        <w:spacing w:after="0" w:line="43" w:lineRule="exact"/>
        <w:rPr>
          <w:rFonts w:ascii="Times New Roman" w:cs="Times New Roman" w:eastAsia="Times New Roman" w:hAnsi="Times New Roman"/>
          <w:sz w:val="13"/>
          <w:szCs w:val="13"/>
          <w:color w:val="auto"/>
        </w:rPr>
      </w:pPr>
    </w:p>
    <w:p>
      <w:pPr>
        <w:ind w:left="560" w:right="239" w:firstLine="327"/>
        <w:spacing w:after="0" w:line="254" w:lineRule="auto"/>
        <w:tabs>
          <w:tab w:leader="none" w:pos="1165" w:val="left"/>
        </w:tabs>
        <w:numPr>
          <w:ilvl w:val="1"/>
          <w:numId w:val="6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any restructuring charges or reserves or other business optimization expenses or reserves (including those relating to severance and related benefits, contractual salary continuation with respect to terminated employees, retained restructuring consulting, equipment transfer (including shipping and related expense, product validation incurred to validate receiving plant capability and receiving plant physical modifications required to accept transferred product), expenses related to facility sale preparation, employee outplacement, environmental services, employee insurance and benefits continuation with respect to terminated employees, costs and expenses relating to any entry into new markets or contracts or new product developments, any software or other intellectual property development costs and expenses, any costs and expenses associated with new systems design, any cost or expense associated with improvements to IT or accounting functions, consolidation and integration charges or costs and any other charges treated as restructuring or repositioning expense under GAAP);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amount added back pursuant to this </w:t>
      </w:r>
      <w:r>
        <w:rPr>
          <w:rFonts w:ascii="Times New Roman" w:cs="Times New Roman" w:eastAsia="Times New Roman" w:hAnsi="Times New Roman"/>
          <w:sz w:val="14"/>
          <w:szCs w:val="14"/>
          <w:u w:val="single" w:color="auto"/>
          <w:color w:val="auto"/>
        </w:rPr>
        <w:t>clause (b)(vii)</w:t>
      </w:r>
      <w:r>
        <w:rPr>
          <w:rFonts w:ascii="Times New Roman" w:cs="Times New Roman" w:eastAsia="Times New Roman" w:hAnsi="Times New Roman"/>
          <w:sz w:val="14"/>
          <w:szCs w:val="14"/>
          <w:color w:val="auto"/>
        </w:rPr>
        <w:t xml:space="preserve"> for any period, when taken together with the aggregate amount added back pursuant to </w:t>
      </w:r>
      <w:r>
        <w:rPr>
          <w:rFonts w:ascii="Times New Roman" w:cs="Times New Roman" w:eastAsia="Times New Roman" w:hAnsi="Times New Roman"/>
          <w:sz w:val="14"/>
          <w:szCs w:val="14"/>
          <w:u w:val="single" w:color="auto"/>
          <w:color w:val="auto"/>
        </w:rPr>
        <w:t>clause (b)(viii)</w:t>
      </w:r>
      <w:r>
        <w:rPr>
          <w:rFonts w:ascii="Times New Roman" w:cs="Times New Roman" w:eastAsia="Times New Roman" w:hAnsi="Times New Roman"/>
          <w:sz w:val="14"/>
          <w:szCs w:val="14"/>
          <w:color w:val="auto"/>
        </w:rPr>
        <w:t xml:space="preserve"> below for such period, shall not exceed an amount equal to 20% of Consolidated EBITDA for such period (determined after giving effect to all addbacks and adjustments for such period);</w:t>
      </w:r>
    </w:p>
    <w:p>
      <w:pPr>
        <w:spacing w:after="0" w:line="60" w:lineRule="exact"/>
        <w:rPr>
          <w:rFonts w:ascii="Times New Roman" w:cs="Times New Roman" w:eastAsia="Times New Roman" w:hAnsi="Times New Roman"/>
          <w:sz w:val="14"/>
          <w:szCs w:val="14"/>
          <w:color w:val="auto"/>
        </w:rPr>
      </w:pPr>
    </w:p>
    <w:p>
      <w:pPr>
        <w:ind w:left="560" w:right="239" w:firstLine="327"/>
        <w:spacing w:after="0" w:line="272" w:lineRule="auto"/>
        <w:tabs>
          <w:tab w:leader="none" w:pos="1204" w:val="left"/>
        </w:tabs>
        <w:numPr>
          <w:ilvl w:val="1"/>
          <w:numId w:val="6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amount of “run rate” operating expense reductions, operating expense improvements, cost savings and cost synergies for such period that are related to any Investment permitted pursuant to </w:t>
      </w:r>
      <w:r>
        <w:rPr>
          <w:rFonts w:ascii="Times New Roman" w:cs="Times New Roman" w:eastAsia="Times New Roman" w:hAnsi="Times New Roman"/>
          <w:sz w:val="13"/>
          <w:szCs w:val="13"/>
          <w:u w:val="single" w:color="auto"/>
          <w:color w:val="auto"/>
        </w:rPr>
        <w:t>Section 7.02</w:t>
      </w:r>
      <w:r>
        <w:rPr>
          <w:rFonts w:ascii="Times New Roman" w:cs="Times New Roman" w:eastAsia="Times New Roman" w:hAnsi="Times New Roman"/>
          <w:sz w:val="13"/>
          <w:szCs w:val="13"/>
          <w:color w:val="auto"/>
        </w:rPr>
        <w:t xml:space="preserve">, any Disposition permitted pursuant to </w:t>
      </w:r>
      <w:r>
        <w:rPr>
          <w:rFonts w:ascii="Times New Roman" w:cs="Times New Roman" w:eastAsia="Times New Roman" w:hAnsi="Times New Roman"/>
          <w:sz w:val="13"/>
          <w:szCs w:val="13"/>
          <w:u w:val="single" w:color="auto"/>
          <w:color w:val="auto"/>
        </w:rPr>
        <w:t>Section 7.05</w:t>
      </w:r>
      <w:r>
        <w:rPr>
          <w:rFonts w:ascii="Times New Roman" w:cs="Times New Roman" w:eastAsia="Times New Roman" w:hAnsi="Times New Roman"/>
          <w:sz w:val="13"/>
          <w:szCs w:val="13"/>
          <w:color w:val="auto"/>
        </w:rPr>
        <w:t xml:space="preserve"> or any other operational initiatives permitted pursuant to this Agreement, but only to the extent that such operating expense reductions, operating expense improvements, cost savings and cost synergies are reasonably identifiable, factually supportable and projected by the Company in good faith to result from actions that have been taken or are expected to be taken within 24 months after the consummation of such Investment, Disposition or operational initiative (with the amount of any such operating expense reduction, operating expense improvement, cost saving or cost synergy to be added to Consolidated Net Income as so projected until fully realized and calculated on a Pro Forma Basis as though such projected operating expense reduction, operating expense improvement, cost saving or cost synergy had been realized on the first day of such period), </w:t>
      </w:r>
      <w:r>
        <w:rPr>
          <w:rFonts w:ascii="Times New Roman" w:cs="Times New Roman" w:eastAsia="Times New Roman" w:hAnsi="Times New Roman"/>
          <w:sz w:val="13"/>
          <w:szCs w:val="13"/>
          <w:u w:val="single" w:color="auto"/>
          <w:color w:val="auto"/>
        </w:rPr>
        <w:t>net of</w:t>
      </w:r>
      <w:r>
        <w:rPr>
          <w:rFonts w:ascii="Times New Roman" w:cs="Times New Roman" w:eastAsia="Times New Roman" w:hAnsi="Times New Roman"/>
          <w:sz w:val="13"/>
          <w:szCs w:val="13"/>
          <w:color w:val="auto"/>
        </w:rPr>
        <w:t xml:space="preserve"> the amount of actual benefits realized during such period from such actions;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aggregate amount added back pursuant to this </w:t>
      </w:r>
      <w:r>
        <w:rPr>
          <w:rFonts w:ascii="Times New Roman" w:cs="Times New Roman" w:eastAsia="Times New Roman" w:hAnsi="Times New Roman"/>
          <w:sz w:val="13"/>
          <w:szCs w:val="13"/>
          <w:u w:val="single" w:color="auto"/>
          <w:color w:val="auto"/>
        </w:rPr>
        <w:t>clause (b)</w:t>
      </w:r>
    </w:p>
    <w:p>
      <w:pPr>
        <w:spacing w:after="0" w:line="3" w:lineRule="exact"/>
        <w:rPr>
          <w:rFonts w:ascii="Times New Roman" w:cs="Times New Roman" w:eastAsia="Times New Roman" w:hAnsi="Times New Roman"/>
          <w:sz w:val="13"/>
          <w:szCs w:val="13"/>
          <w:color w:val="auto"/>
        </w:rPr>
      </w:pPr>
    </w:p>
    <w:p>
      <w:pPr>
        <w:ind w:left="560" w:right="239" w:hanging="2"/>
        <w:spacing w:after="0" w:line="256" w:lineRule="auto"/>
        <w:tabs>
          <w:tab w:leader="none" w:pos="875" w:val="left"/>
        </w:tabs>
        <w:numPr>
          <w:ilvl w:val="0"/>
          <w:numId w:val="626"/>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for any period, when taken together with the aggregate amount added back pursuant to </w:t>
      </w:r>
      <w:r>
        <w:rPr>
          <w:rFonts w:ascii="Times New Roman" w:cs="Times New Roman" w:eastAsia="Times New Roman" w:hAnsi="Times New Roman"/>
          <w:sz w:val="14"/>
          <w:szCs w:val="14"/>
          <w:u w:val="single" w:color="auto"/>
          <w:color w:val="auto"/>
        </w:rPr>
        <w:t>clause (b)(vii)</w:t>
      </w:r>
      <w:r>
        <w:rPr>
          <w:rFonts w:ascii="Times New Roman" w:cs="Times New Roman" w:eastAsia="Times New Roman" w:hAnsi="Times New Roman"/>
          <w:sz w:val="14"/>
          <w:szCs w:val="14"/>
          <w:color w:val="auto"/>
        </w:rPr>
        <w:t xml:space="preserve"> above for such period, shall not exceed an amount equal to 20% of Consolidated EBITDA for such period (determined after giving effect to all addbacks and adjustments for such period);</w:t>
      </w:r>
    </w:p>
    <w:p>
      <w:pPr>
        <w:spacing w:after="0" w:line="58" w:lineRule="exact"/>
        <w:rPr>
          <w:rFonts w:ascii="Times New Roman" w:cs="Times New Roman" w:eastAsia="Times New Roman" w:hAnsi="Times New Roman"/>
          <w:sz w:val="14"/>
          <w:szCs w:val="14"/>
          <w:u w:val="single" w:color="auto"/>
          <w:color w:val="auto"/>
        </w:rPr>
      </w:pPr>
    </w:p>
    <w:p>
      <w:pPr>
        <w:ind w:left="560" w:right="259" w:firstLine="327"/>
        <w:spacing w:after="0" w:line="261" w:lineRule="auto"/>
        <w:tabs>
          <w:tab w:leader="none" w:pos="1127" w:val="left"/>
        </w:tabs>
        <w:numPr>
          <w:ilvl w:val="1"/>
          <w:numId w:val="6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adjustments (including pro forma adjustments) reflected in (x) with respect to the Mirror Transactions, the quality of earnings report prepared by KPMG and dated January 19, 2026 and the Company’s model dated January 22, 2026 or (y) any other quality of earnings report prepared in connection with any Permitted Acquisition or other permitted Investment by a nationally recognized accounting firm or other accounting firm reasonably acceptable to the Administrative Agent and made available to the Administrative Agent;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591" w:name="page592"/>
    <w:bookmarkEnd w:id="591"/>
    <w:p>
      <w:pPr>
        <w:ind w:left="560" w:right="319" w:firstLine="327"/>
        <w:spacing w:after="0" w:line="257" w:lineRule="auto"/>
        <w:tabs>
          <w:tab w:leader="none" w:pos="1087" w:val="left"/>
        </w:tabs>
        <w:numPr>
          <w:ilvl w:val="1"/>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non-recurring fees, costs and expenses in such period, to the extent not capitalized in accordance with GAAP, in connection with designing, testing, implementing and integrating automation platforms, artificial intelligence and machine-learning solutions, digital transformation and similar operational efficiency initiatives (including related employee severance and retention, third-party implementation fees and system integration costs);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amount added back pursuant to this </w:t>
      </w:r>
      <w:r>
        <w:rPr>
          <w:rFonts w:ascii="Times New Roman" w:cs="Times New Roman" w:eastAsia="Times New Roman" w:hAnsi="Times New Roman"/>
          <w:sz w:val="14"/>
          <w:szCs w:val="14"/>
          <w:u w:val="single" w:color="auto"/>
          <w:color w:val="auto"/>
        </w:rPr>
        <w:t>clause (b)(x)</w:t>
      </w:r>
      <w:r>
        <w:rPr>
          <w:rFonts w:ascii="Times New Roman" w:cs="Times New Roman" w:eastAsia="Times New Roman" w:hAnsi="Times New Roman"/>
          <w:sz w:val="14"/>
          <w:szCs w:val="14"/>
          <w:color w:val="auto"/>
        </w:rPr>
        <w:t xml:space="preserve"> for any period shall not exceed an amount equal to 5% of Consolidated EBITDA for such period (determined after giving effect to all addbacks and adjustments for such period); and</w:t>
      </w:r>
    </w:p>
    <w:p>
      <w:pPr>
        <w:spacing w:after="0" w:line="58" w:lineRule="exact"/>
        <w:rPr>
          <w:rFonts w:ascii="Times New Roman" w:cs="Times New Roman" w:eastAsia="Times New Roman" w:hAnsi="Times New Roman"/>
          <w:sz w:val="14"/>
          <w:szCs w:val="14"/>
          <w:color w:val="auto"/>
        </w:rPr>
      </w:pPr>
    </w:p>
    <w:p>
      <w:pPr>
        <w:ind w:left="1120" w:hanging="233"/>
        <w:spacing w:after="0"/>
        <w:tabs>
          <w:tab w:leader="none" w:pos="1120" w:val="left"/>
        </w:tabs>
        <w:numPr>
          <w:ilvl w:val="1"/>
          <w:numId w:val="6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public company costs; </w:t>
      </w:r>
      <w:r>
        <w:rPr>
          <w:rFonts w:ascii="Times New Roman" w:cs="Times New Roman" w:eastAsia="Times New Roman" w:hAnsi="Times New Roman"/>
          <w:sz w:val="14"/>
          <w:szCs w:val="14"/>
          <w:u w:val="single" w:color="auto"/>
          <w:color w:val="auto"/>
        </w:rPr>
        <w:t>minus</w:t>
      </w:r>
    </w:p>
    <w:p>
      <w:pPr>
        <w:spacing w:after="0" w:line="175" w:lineRule="exact"/>
        <w:rPr>
          <w:rFonts w:ascii="Times New Roman" w:cs="Times New Roman" w:eastAsia="Times New Roman" w:hAnsi="Times New Roman"/>
          <w:sz w:val="14"/>
          <w:szCs w:val="14"/>
          <w:color w:val="auto"/>
        </w:rPr>
      </w:pPr>
    </w:p>
    <w:p>
      <w:pPr>
        <w:ind w:left="740" w:hanging="182"/>
        <w:spacing w:after="0"/>
        <w:tabs>
          <w:tab w:leader="none" w:pos="740" w:val="left"/>
        </w:tabs>
        <w:numPr>
          <w:ilvl w:val="0"/>
          <w:numId w:val="6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non-recurring, non-cash items increasing Consolidated Net Income, to the extent included in calculating such Consolidated Net Income.</w:t>
      </w:r>
    </w:p>
    <w:p>
      <w:pPr>
        <w:spacing w:after="0" w:line="175"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Funded Indebtedness</w:t>
      </w:r>
      <w:r>
        <w:rPr>
          <w:rFonts w:ascii="Times New Roman" w:cs="Times New Roman" w:eastAsia="Times New Roman" w:hAnsi="Times New Roman"/>
          <w:sz w:val="14"/>
          <w:szCs w:val="14"/>
          <w:color w:val="auto"/>
        </w:rPr>
        <w:t>” means, as of any date of determination, for the Company and its Subsidiaries on a consolidated basis, the sum of (a) the outstanding principal amount of all obligations, whether current or long-term, for borrowed money (including the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(in each case, solely to the extent drawn and unreimbursed on such date) and (d) all Attributable Indebtedness.</w:t>
      </w:r>
    </w:p>
    <w:p>
      <w:pPr>
        <w:spacing w:after="0" w:line="144" w:lineRule="exact"/>
        <w:rPr>
          <w:sz w:val="20"/>
          <w:szCs w:val="20"/>
          <w:color w:val="auto"/>
        </w:rPr>
      </w:pPr>
    </w:p>
    <w:p>
      <w:pPr>
        <w:ind w:left="220" w:right="41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Interest Charges</w:t>
      </w:r>
      <w:r>
        <w:rPr>
          <w:rFonts w:ascii="Times New Roman" w:cs="Times New Roman" w:eastAsia="Times New Roman" w:hAnsi="Times New Roman"/>
          <w:sz w:val="14"/>
          <w:szCs w:val="14"/>
          <w:color w:val="auto"/>
        </w:rPr>
        <w:t xml:space="preserve">” means, for any period, for the Company and its Subsidiaries on a consolidated basis, the sum of (a)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(b) the portion of rent expense under Capitalized Leases that is treated as interest in accordance with GAAP.</w:t>
      </w:r>
    </w:p>
    <w:p>
      <w:pPr>
        <w:spacing w:after="0" w:line="141" w:lineRule="exact"/>
        <w:rPr>
          <w:sz w:val="20"/>
          <w:szCs w:val="20"/>
          <w:color w:val="auto"/>
        </w:rPr>
      </w:pPr>
    </w:p>
    <w:p>
      <w:pPr>
        <w:ind w:left="220" w:right="7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Interest Coverage Ratio</w:t>
      </w:r>
      <w:r>
        <w:rPr>
          <w:rFonts w:ascii="Times New Roman" w:cs="Times New Roman" w:eastAsia="Times New Roman" w:hAnsi="Times New Roman"/>
          <w:sz w:val="14"/>
          <w:szCs w:val="14"/>
          <w:color w:val="auto"/>
        </w:rPr>
        <w:t xml:space="preserve">” means, at any date of determination, the ratio of (a) Consolidated EBITDA for the most recently completed Measurement Period </w:t>
      </w:r>
      <w:r>
        <w:rPr>
          <w:rFonts w:ascii="Times New Roman" w:cs="Times New Roman" w:eastAsia="Times New Roman" w:hAnsi="Times New Roman"/>
          <w:sz w:val="14"/>
          <w:szCs w:val="14"/>
          <w:u w:val="single" w:color="auto"/>
          <w:color w:val="auto"/>
        </w:rPr>
        <w:t>to</w:t>
      </w:r>
      <w:r>
        <w:rPr>
          <w:rFonts w:ascii="Times New Roman" w:cs="Times New Roman" w:eastAsia="Times New Roman" w:hAnsi="Times New Roman"/>
          <w:sz w:val="14"/>
          <w:szCs w:val="14"/>
          <w:color w:val="auto"/>
        </w:rPr>
        <w:t xml:space="preserve"> (b) Consolidated Interest Charges for the most recently completed Measurement Period.</w:t>
      </w:r>
    </w:p>
    <w:p>
      <w:pPr>
        <w:spacing w:after="0" w:line="125"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Net Income</w:t>
      </w:r>
      <w:r>
        <w:rPr>
          <w:rFonts w:ascii="Times New Roman" w:cs="Times New Roman" w:eastAsia="Times New Roman" w:hAnsi="Times New Roman"/>
          <w:sz w:val="14"/>
          <w:szCs w:val="14"/>
          <w:color w:val="auto"/>
        </w:rPr>
        <w:t xml:space="preserve">” means, for any period, the net income (or loss) of the Company and its Subsidiaries on a consolidated basis for such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Consolidated Net Income shall exclude:</w:t>
      </w:r>
    </w:p>
    <w:p>
      <w:pPr>
        <w:spacing w:after="0" w:line="41" w:lineRule="exact"/>
        <w:rPr>
          <w:sz w:val="20"/>
          <w:szCs w:val="20"/>
          <w:color w:val="auto"/>
        </w:rPr>
      </w:pPr>
    </w:p>
    <w:p>
      <w:pPr>
        <w:ind w:left="220" w:right="419" w:firstLine="338"/>
        <w:spacing w:after="0" w:line="283" w:lineRule="auto"/>
        <w:tabs>
          <w:tab w:leader="none" w:pos="753"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nonrecurring or unusual gains, losses, income, expenses, charges, costs, accruals and reserves (including any of the foregoing related to any single or one-time event);</w:t>
      </w:r>
    </w:p>
    <w:p>
      <w:pPr>
        <w:spacing w:after="0" w:line="124" w:lineRule="exact"/>
        <w:rPr>
          <w:rFonts w:ascii="Times New Roman" w:cs="Times New Roman" w:eastAsia="Times New Roman" w:hAnsi="Times New Roman"/>
          <w:sz w:val="14"/>
          <w:szCs w:val="14"/>
          <w:color w:val="auto"/>
        </w:rPr>
      </w:pPr>
    </w:p>
    <w:p>
      <w:pPr>
        <w:jc w:val="both"/>
        <w:ind w:left="220" w:right="319" w:firstLine="338"/>
        <w:spacing w:after="0" w:line="261" w:lineRule="auto"/>
        <w:tabs>
          <w:tab w:leader="none" w:pos="761"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Company’s equity in any net loss of any such Subsidiary for such period shall be included in determining Consolidated Net Income;</w:t>
      </w:r>
    </w:p>
    <w:p>
      <w:pPr>
        <w:spacing w:after="0" w:line="140" w:lineRule="exact"/>
        <w:rPr>
          <w:rFonts w:ascii="Times New Roman" w:cs="Times New Roman" w:eastAsia="Times New Roman" w:hAnsi="Times New Roman"/>
          <w:sz w:val="14"/>
          <w:szCs w:val="14"/>
          <w:color w:val="auto"/>
        </w:rPr>
      </w:pPr>
    </w:p>
    <w:p>
      <w:pPr>
        <w:jc w:val="both"/>
        <w:ind w:left="220" w:right="259" w:firstLine="338"/>
        <w:spacing w:after="0" w:line="261" w:lineRule="auto"/>
        <w:tabs>
          <w:tab w:leader="none" w:pos="753"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(and in the case of a dividend or other distribution to a Subsidiary, such Subsidiary is not precluded from further distributing such amount to the Company as described in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6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gains or losses on disposed, abandoned or discontinued operations;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592" w:name="page593"/>
    <w:bookmarkEnd w:id="592"/>
    <w:p>
      <w:pPr>
        <w:ind w:left="220" w:right="379" w:firstLine="338"/>
        <w:spacing w:after="0" w:line="283" w:lineRule="auto"/>
        <w:tabs>
          <w:tab w:leader="none" w:pos="753" w:val="left"/>
        </w:tabs>
        <w:numPr>
          <w:ilvl w:val="0"/>
          <w:numId w:val="6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any gains or losses (less all fees, expenses and charges relating thereto) attributable to asset dispositions or abandonments or the sale or other disposition of Equity Interests, in each case, other than in the ordinary course of business;</w:t>
      </w:r>
    </w:p>
    <w:p>
      <w:pPr>
        <w:spacing w:after="0" w:line="124" w:lineRule="exact"/>
        <w:rPr>
          <w:rFonts w:ascii="Times New Roman" w:cs="Times New Roman" w:eastAsia="Times New Roman" w:hAnsi="Times New Roman"/>
          <w:sz w:val="14"/>
          <w:szCs w:val="14"/>
          <w:color w:val="auto"/>
        </w:rPr>
      </w:pPr>
    </w:p>
    <w:p>
      <w:pPr>
        <w:ind w:left="220" w:right="399" w:firstLine="338"/>
        <w:spacing w:after="0" w:line="267" w:lineRule="auto"/>
        <w:tabs>
          <w:tab w:leader="none" w:pos="738" w:val="left"/>
        </w:tabs>
        <w:numPr>
          <w:ilvl w:val="0"/>
          <w:numId w:val="6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gains or losses from the early extinguishment of Indebtedness in such period (including the write-off or amortization made in such period of deferred financing costs and premiums paid or other expenses incurred directly in connection therewith), (ii) any impairment charges, write-offs or write-downs of any assets and (iii) any amortization of intangible assets;</w:t>
      </w:r>
    </w:p>
    <w:p>
      <w:pPr>
        <w:spacing w:after="0" w:line="135" w:lineRule="exact"/>
        <w:rPr>
          <w:rFonts w:ascii="Times New Roman" w:cs="Times New Roman" w:eastAsia="Times New Roman" w:hAnsi="Times New Roman"/>
          <w:sz w:val="14"/>
          <w:szCs w:val="14"/>
          <w:color w:val="auto"/>
        </w:rPr>
      </w:pPr>
    </w:p>
    <w:p>
      <w:pPr>
        <w:ind w:left="220" w:right="219" w:firstLine="338"/>
        <w:spacing w:after="0" w:line="257" w:lineRule="auto"/>
        <w:tabs>
          <w:tab w:leader="none" w:pos="761" w:val="left"/>
        </w:tabs>
        <w:numPr>
          <w:ilvl w:val="0"/>
          <w:numId w:val="6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adjustments (including the effects of such adjustments pushed down to the Company and its Subsidiaries) in the Company’s consolidated financial statements pursuant to GAAP (including in the inventory (including any impact of changes to inventory valuation policy methods, including changes in capitalization of variances), property and equipment, software, goodwill, intangible assets, in-process research and development, deferred revenue and debt line items thereof) resulting from the application of recapitalization accounting or purchase accounting, as the case may be, in relation to the Mirror Transactions, the TopCo Restructuring or any consummated acquisition or joint venture investment or the amortization or write-off or write-down of any amounts thereof;</w:t>
      </w:r>
    </w:p>
    <w:p>
      <w:pPr>
        <w:spacing w:after="0" w:line="143"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6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unrealized or realized net foreign currency translation or transaction gains or losses impacting net income (including currency</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re-measurements of any Indebtedness);</w:t>
      </w:r>
    </w:p>
    <w:p>
      <w:pPr>
        <w:spacing w:after="0" w:line="161" w:lineRule="exact"/>
        <w:rPr>
          <w:sz w:val="20"/>
          <w:szCs w:val="20"/>
          <w:color w:val="auto"/>
        </w:rPr>
      </w:pPr>
    </w:p>
    <w:p>
      <w:pPr>
        <w:ind w:left="720" w:hanging="162"/>
        <w:spacing w:after="0"/>
        <w:tabs>
          <w:tab w:leader="none" w:pos="720" w:val="left"/>
        </w:tabs>
        <w:numPr>
          <w:ilvl w:val="0"/>
          <w:numId w:val="6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or loss resulting solely from fluctuations in currency values and the related tax effects; and</w:t>
      </w:r>
    </w:p>
    <w:p>
      <w:pPr>
        <w:spacing w:after="0" w:line="175" w:lineRule="exact"/>
        <w:rPr>
          <w:rFonts w:ascii="Times New Roman" w:cs="Times New Roman" w:eastAsia="Times New Roman" w:hAnsi="Times New Roman"/>
          <w:sz w:val="14"/>
          <w:szCs w:val="14"/>
          <w:color w:val="auto"/>
        </w:rPr>
      </w:pPr>
    </w:p>
    <w:p>
      <w:pPr>
        <w:ind w:left="220" w:right="319" w:firstLine="338"/>
        <w:spacing w:after="0" w:line="283" w:lineRule="auto"/>
        <w:tabs>
          <w:tab w:leader="none" w:pos="730" w:val="left"/>
        </w:tabs>
        <w:numPr>
          <w:ilvl w:val="0"/>
          <w:numId w:val="6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effect of a change in accounting principles and changes as a result of the adoption, modification or interpretation of accounting policies during such period to the extent included in Consolidated Net Income.</w:t>
      </w:r>
    </w:p>
    <w:p>
      <w:pPr>
        <w:spacing w:after="0" w:line="125" w:lineRule="exact"/>
        <w:rPr>
          <w:sz w:val="20"/>
          <w:szCs w:val="20"/>
          <w:color w:val="auto"/>
        </w:rPr>
      </w:pPr>
    </w:p>
    <w:p>
      <w:pPr>
        <w:jc w:val="both"/>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Net Leverage Ratio</w:t>
      </w:r>
      <w:r>
        <w:rPr>
          <w:rFonts w:ascii="Times New Roman" w:cs="Times New Roman" w:eastAsia="Times New Roman" w:hAnsi="Times New Roman"/>
          <w:sz w:val="14"/>
          <w:szCs w:val="14"/>
          <w:color w:val="auto"/>
        </w:rPr>
        <w:t xml:space="preserve">” means, as of any date of determination, the ratio of (a) the total of (i) Consolidated Funded Indebtedness as of such date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(ii) the aggregate amount of unrestricted cash and Cash Equivalents of the Loan Parties as of such date </w:t>
      </w:r>
      <w:r>
        <w:rPr>
          <w:rFonts w:ascii="Times New Roman" w:cs="Times New Roman" w:eastAsia="Times New Roman" w:hAnsi="Times New Roman"/>
          <w:sz w:val="14"/>
          <w:szCs w:val="14"/>
          <w:u w:val="single" w:color="auto"/>
          <w:color w:val="auto"/>
        </w:rPr>
        <w:t>to</w:t>
      </w:r>
      <w:r>
        <w:rPr>
          <w:rFonts w:ascii="Times New Roman" w:cs="Times New Roman" w:eastAsia="Times New Roman" w:hAnsi="Times New Roman"/>
          <w:sz w:val="14"/>
          <w:szCs w:val="14"/>
          <w:color w:val="auto"/>
        </w:rPr>
        <w:t xml:space="preserve"> (b) Consolidated EBITDA for the most recently completed Measurement Period.</w:t>
      </w:r>
    </w:p>
    <w:p>
      <w:pPr>
        <w:spacing w:after="0" w:line="136"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Contractual Obligation</w:t>
      </w:r>
      <w:r>
        <w:rPr>
          <w:rFonts w:ascii="Times New Roman" w:cs="Times New Roman" w:eastAsia="Times New Roman" w:hAnsi="Times New Roman"/>
          <w:sz w:val="14"/>
          <w:szCs w:val="14"/>
          <w:color w:val="auto"/>
        </w:rPr>
        <w:t>” means, as to any Person, any provision of any security issued by such Person or of any agreement, instrument or other undertaking to which such Person is a party or by which it or any of its property is bound.</w:t>
      </w:r>
    </w:p>
    <w:p>
      <w:pPr>
        <w:spacing w:after="0" w:line="125" w:lineRule="exact"/>
        <w:rPr>
          <w:sz w:val="20"/>
          <w:szCs w:val="20"/>
          <w:color w:val="auto"/>
        </w:rPr>
      </w:pPr>
    </w:p>
    <w:p>
      <w:pPr>
        <w:ind w:left="220" w:right="519" w:firstLine="343"/>
        <w:spacing w:after="0" w:line="32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3"/>
          <w:szCs w:val="13"/>
          <w:u w:val="single" w:color="auto"/>
          <w:color w:val="auto"/>
        </w:rPr>
        <w:t>Controlling</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Controlled</w:t>
      </w:r>
      <w:r>
        <w:rPr>
          <w:rFonts w:ascii="Times New Roman" w:cs="Times New Roman" w:eastAsia="Times New Roman" w:hAnsi="Times New Roman"/>
          <w:sz w:val="13"/>
          <w:szCs w:val="13"/>
          <w:color w:val="auto"/>
        </w:rPr>
        <w:t>” have meanings correlative thereto.</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Entity</w:t>
      </w:r>
      <w:r>
        <w:rPr>
          <w:rFonts w:ascii="Times New Roman" w:cs="Times New Roman" w:eastAsia="Times New Roman" w:hAnsi="Times New Roman"/>
          <w:sz w:val="14"/>
          <w:szCs w:val="14"/>
          <w:color w:val="auto"/>
        </w:rPr>
        <w:t>” means any of the following: (a) a “covered entity” as that term is defined in, and interpreted in accordance with, 12 C.F.R.</w:t>
      </w:r>
    </w:p>
    <w:p>
      <w:pPr>
        <w:spacing w:after="0" w:line="22" w:lineRule="exact"/>
        <w:rPr>
          <w:sz w:val="20"/>
          <w:szCs w:val="20"/>
          <w:color w:val="auto"/>
        </w:rPr>
      </w:pPr>
    </w:p>
    <w:p>
      <w:pPr>
        <w:ind w:left="220" w:right="319" w:hanging="5"/>
        <w:spacing w:after="0" w:line="261" w:lineRule="auto"/>
        <w:tabs>
          <w:tab w:leader="none" w:pos="325" w:val="left"/>
        </w:tabs>
        <w:numPr>
          <w:ilvl w:val="0"/>
          <w:numId w:val="6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252.82(b); (b) a “covered bank” as that term is defined in, and interpreted in accordance with, 12 C.F.R. § 47.3(b); or (c) a “covered FSI” as that term is defined in, and interpreted in accordance with, 12 C.F.R. § 382.2(b).</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Party</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11.22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Extension</w:t>
      </w:r>
      <w:r>
        <w:rPr>
          <w:rFonts w:ascii="Times New Roman" w:cs="Times New Roman" w:eastAsia="Times New Roman" w:hAnsi="Times New Roman"/>
          <w:sz w:val="14"/>
          <w:szCs w:val="14"/>
          <w:color w:val="auto"/>
        </w:rPr>
        <w:t>” means a Borrowing.</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1" w:right="1440" w:bottom="1440" w:gutter="0" w:footer="0" w:header="0"/>
        </w:sectPr>
      </w:pPr>
    </w:p>
    <w:bookmarkStart w:id="593" w:name="page594"/>
    <w:bookmarkEnd w:id="593"/>
    <w:p>
      <w:pPr>
        <w:ind w:left="220" w:right="45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Daily Simple SOFR</w:t>
      </w:r>
      <w:r>
        <w:rPr>
          <w:rFonts w:ascii="Times New Roman" w:cs="Times New Roman" w:eastAsia="Times New Roman" w:hAnsi="Times New Roman"/>
          <w:sz w:val="14"/>
          <w:szCs w:val="14"/>
          <w:color w:val="auto"/>
        </w:rPr>
        <w:t>” means, with respect to any applicable determination date, SOFR published on such date on the Federal Reserve Bank of New York’s website (or any successor source).</w:t>
      </w:r>
    </w:p>
    <w:p>
      <w:pPr>
        <w:spacing w:after="0" w:line="125" w:lineRule="exact"/>
        <w:rPr>
          <w:sz w:val="20"/>
          <w:szCs w:val="20"/>
          <w:color w:val="auto"/>
        </w:rPr>
      </w:pPr>
    </w:p>
    <w:p>
      <w:pPr>
        <w:ind w:left="220" w:right="8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Debt Issuance</w:t>
      </w:r>
      <w:r>
        <w:rPr>
          <w:rFonts w:ascii="Times New Roman" w:cs="Times New Roman" w:eastAsia="Times New Roman" w:hAnsi="Times New Roman"/>
          <w:sz w:val="14"/>
          <w:szCs w:val="14"/>
          <w:color w:val="auto"/>
        </w:rPr>
        <w:t xml:space="preserve">” means the issuance by any Loan Party or any Subsidiary of any Indebtedness other than Indebtedness permitted under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Debtor Relief Laws</w:t>
      </w:r>
      <w:r>
        <w:rPr>
          <w:rFonts w:ascii="Times New Roman" w:cs="Times New Roman" w:eastAsia="Times New Roman" w:hAnsi="Times New Roman"/>
          <w:sz w:val="14"/>
          <w:szCs w:val="14"/>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36" w:lineRule="exact"/>
        <w:rPr>
          <w:sz w:val="20"/>
          <w:szCs w:val="20"/>
          <w:color w:val="auto"/>
        </w:rPr>
      </w:pPr>
    </w:p>
    <w:p>
      <w:pPr>
        <w:ind w:left="220" w:right="4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means any event or condition that constitutes an Event of Default or that, with the giving of any notice, the passage of time, or both, would be an Event of Default.</w:t>
      </w:r>
    </w:p>
    <w:p>
      <w:pPr>
        <w:spacing w:after="0" w:line="125"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 Rate</w:t>
      </w:r>
      <w:r>
        <w:rPr>
          <w:rFonts w:ascii="Times New Roman" w:cs="Times New Roman" w:eastAsia="Times New Roman" w:hAnsi="Times New Roman"/>
          <w:sz w:val="14"/>
          <w:szCs w:val="14"/>
          <w:color w:val="auto"/>
        </w:rPr>
        <w:t xml:space="preserve">” means an interest rate equal to (a) the Base Rate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(b) the Applicable Rate, if any, applicable to Base Rate Loans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(c) 2% per annum;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a Term SOFR Loan, the Default Rate shall be an interest rate equal to the interest rate (including any Applicable Rate) otherwise applicable to such Loan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2% per annum.</w:t>
      </w:r>
    </w:p>
    <w:p>
      <w:pPr>
        <w:spacing w:after="0" w:line="136" w:lineRule="exact"/>
        <w:rPr>
          <w:sz w:val="20"/>
          <w:szCs w:val="20"/>
          <w:color w:val="auto"/>
        </w:rPr>
      </w:pPr>
    </w:p>
    <w:p>
      <w:pPr>
        <w:ind w:left="220" w:right="5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 Right</w:t>
      </w:r>
      <w:r>
        <w:rPr>
          <w:rFonts w:ascii="Times New Roman" w:cs="Times New Roman" w:eastAsia="Times New Roman" w:hAnsi="Times New Roman"/>
          <w:sz w:val="14"/>
          <w:szCs w:val="14"/>
          <w:color w:val="auto"/>
        </w:rPr>
        <w:t>” has the meaning assigned to that term in, and shall be interpreted in accordance with, 12 C.F.R. §§ 252.81, 47.2 or 382.1, as applicable.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Defaulting Lender</w:t>
      </w:r>
      <w:r>
        <w:rPr>
          <w:rFonts w:ascii="Times New Roman" w:cs="Times New Roman" w:eastAsia="Times New Roman" w:hAnsi="Times New Roman"/>
          <w:sz w:val="14"/>
          <w:szCs w:val="14"/>
          <w:color w:val="auto"/>
        </w:rPr>
        <w:t xml:space="preserve">” means, subject to </w:t>
      </w:r>
      <w:r>
        <w:rPr>
          <w:rFonts w:ascii="Times New Roman" w:cs="Times New Roman" w:eastAsia="Times New Roman" w:hAnsi="Times New Roman"/>
          <w:sz w:val="14"/>
          <w:szCs w:val="14"/>
          <w:u w:val="single" w:color="auto"/>
          <w:color w:val="auto"/>
        </w:rPr>
        <w:t>Section 2.16(b)</w:t>
      </w:r>
      <w:r>
        <w:rPr>
          <w:rFonts w:ascii="Times New Roman" w:cs="Times New Roman" w:eastAsia="Times New Roman" w:hAnsi="Times New Roman"/>
          <w:sz w:val="14"/>
          <w:szCs w:val="14"/>
          <w:color w:val="auto"/>
        </w:rPr>
        <w:t>, any Lender that (a) has failed to (i) fund all or any portion of its Loans within three</w:t>
      </w:r>
    </w:p>
    <w:p>
      <w:pPr>
        <w:spacing w:after="0" w:line="22" w:lineRule="exact"/>
        <w:rPr>
          <w:sz w:val="20"/>
          <w:szCs w:val="20"/>
          <w:color w:val="auto"/>
        </w:rPr>
      </w:pPr>
    </w:p>
    <w:p>
      <w:pPr>
        <w:ind w:left="220" w:right="219" w:hanging="5"/>
        <w:spacing w:after="0" w:line="251" w:lineRule="auto"/>
        <w:tabs>
          <w:tab w:leader="none" w:pos="418" w:val="left"/>
        </w:tabs>
        <w:numPr>
          <w:ilvl w:val="0"/>
          <w:numId w:val="6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of the date such Loans were required to be funded hereunder unless such Lender notifies the Administrative Agent and the Parent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three (3) Business Days of the date when due, (b) has notified the Parent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Parent, to confirm in writing to the Administrative Agent and the Parent that it will comply with its prospective funding obligations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Lender shall cease to be a Defaulting Lender pursuant to this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upon receipt of such written confirmation by the Administrative Agent and the Parent),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4"/>
          <w:szCs w:val="14"/>
          <w:u w:val="single" w:color="auto"/>
          <w:color w:val="auto"/>
        </w:rPr>
        <w:t>Section 2.16(b)</w:t>
      </w:r>
      <w:r>
        <w:rPr>
          <w:rFonts w:ascii="Times New Roman" w:cs="Times New Roman" w:eastAsia="Times New Roman" w:hAnsi="Times New Roman"/>
          <w:sz w:val="14"/>
          <w:szCs w:val="14"/>
          <w:color w:val="auto"/>
        </w:rPr>
        <w:t>) as of the date established therefor by the Administrative Agent in a written notice of such determination, which shall be delivered by the Administrative Agent to the Parent and each other Lender promptly following such determination.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1" w:right="1440" w:bottom="1440" w:gutter="0" w:footer="0" w:header="0"/>
        </w:sectPr>
      </w:pPr>
    </w:p>
    <w:bookmarkStart w:id="594" w:name="page595"/>
    <w:bookmarkEnd w:id="594"/>
    <w:p>
      <w:pPr>
        <w:ind w:left="220" w:right="41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Designated Jurisdiction</w:t>
      </w:r>
      <w:r>
        <w:rPr>
          <w:rFonts w:ascii="Times New Roman" w:cs="Times New Roman" w:eastAsia="Times New Roman" w:hAnsi="Times New Roman"/>
          <w:sz w:val="14"/>
          <w:szCs w:val="14"/>
          <w:color w:val="auto"/>
        </w:rPr>
        <w:t>” means any country or territory to the extent that such country or territory is the subject of any Sanction (which, at the Closing Date, includes the Crimea, the Donetsk, Luhansk, Kherson and Zaporizhzhia regions of Ukraine, Cuba, Iran and North Korea).</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Lender</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2.18</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9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Disposition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Dispose</w:t>
      </w:r>
      <w:r>
        <w:rPr>
          <w:rFonts w:ascii="Times New Roman" w:cs="Times New Roman" w:eastAsia="Times New Roman" w:hAnsi="Times New Roman"/>
          <w:sz w:val="14"/>
          <w:szCs w:val="14"/>
          <w:color w:val="auto"/>
        </w:rPr>
        <w:t>” means the sale, transfer, license, lease or other disposition (including any Sale Leaseback) of any property by any Person, including any sale, assignment, transfer or other disposal, with or without recourse, of any notes or accounts receivable or any rights and claims associated therewith.</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Dollar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mean lawful money of the United States.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Domestic Loan Party</w:t>
      </w:r>
      <w:r>
        <w:rPr>
          <w:rFonts w:ascii="Times New Roman" w:cs="Times New Roman" w:eastAsia="Times New Roman" w:hAnsi="Times New Roman"/>
          <w:sz w:val="14"/>
          <w:szCs w:val="14"/>
          <w:color w:val="auto"/>
        </w:rPr>
        <w:t>” has the meaning specified in the Company Credit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Domestic Subsidiary</w:t>
      </w:r>
      <w:r>
        <w:rPr>
          <w:rFonts w:ascii="Times New Roman" w:cs="Times New Roman" w:eastAsia="Times New Roman" w:hAnsi="Times New Roman"/>
          <w:sz w:val="14"/>
          <w:szCs w:val="14"/>
          <w:color w:val="auto"/>
        </w:rPr>
        <w:t>” means any Subsidiary that is organized under the laws of the United States, any State thereof or the District of Columbia.</w:t>
      </w:r>
    </w:p>
    <w:p>
      <w:pPr>
        <w:spacing w:after="0" w:line="175" w:lineRule="exact"/>
        <w:rPr>
          <w:sz w:val="20"/>
          <w:szCs w:val="20"/>
          <w:color w:val="auto"/>
        </w:rPr>
      </w:pPr>
    </w:p>
    <w:p>
      <w:pPr>
        <w:ind w:left="220" w:right="39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Financial Institution</w:t>
      </w:r>
      <w:r>
        <w:rPr>
          <w:rFonts w:ascii="Times New Roman" w:cs="Times New Roman" w:eastAsia="Times New Roman" w:hAnsi="Times New Roman"/>
          <w:sz w:val="14"/>
          <w:szCs w:val="14"/>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this definition and is subject to consolidated supervision with its parent.</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Member Country</w:t>
      </w:r>
      <w:r>
        <w:rPr>
          <w:rFonts w:ascii="Times New Roman" w:cs="Times New Roman" w:eastAsia="Times New Roman" w:hAnsi="Times New Roman"/>
          <w:sz w:val="14"/>
          <w:szCs w:val="14"/>
          <w:color w:val="auto"/>
        </w:rPr>
        <w:t>” means any of the member states of the European Union, and the countries of Iceland, Liechtenstein, and Norway.</w:t>
      </w:r>
    </w:p>
    <w:p>
      <w:pPr>
        <w:spacing w:after="0" w:line="175" w:lineRule="exact"/>
        <w:rPr>
          <w:sz w:val="20"/>
          <w:szCs w:val="20"/>
          <w:color w:val="auto"/>
        </w:rPr>
      </w:pPr>
    </w:p>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EEA Resolution Authority</w:t>
      </w:r>
      <w:r>
        <w:rPr>
          <w:rFonts w:ascii="Times New Roman" w:cs="Times New Roman" w:eastAsia="Times New Roman" w:hAnsi="Times New Roman"/>
          <w:sz w:val="14"/>
          <w:szCs w:val="14"/>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Copy</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11.17</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Record</w:t>
      </w:r>
      <w:r>
        <w:rPr>
          <w:rFonts w:ascii="Times New Roman" w:cs="Times New Roman" w:eastAsia="Times New Roman" w:hAnsi="Times New Roman"/>
          <w:sz w:val="14"/>
          <w:szCs w:val="14"/>
          <w:color w:val="auto"/>
        </w:rPr>
        <w:t>” has the meaning assigned to it by 15 USC §7006.</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Signature</w:t>
      </w:r>
      <w:r>
        <w:rPr>
          <w:rFonts w:ascii="Times New Roman" w:cs="Times New Roman" w:eastAsia="Times New Roman" w:hAnsi="Times New Roman"/>
          <w:sz w:val="14"/>
          <w:szCs w:val="14"/>
          <w:color w:val="auto"/>
        </w:rPr>
        <w:t>” has the meaning assigned to it by 15 USC §7006.</w:t>
      </w:r>
    </w:p>
    <w:p>
      <w:pPr>
        <w:spacing w:after="0" w:line="175" w:lineRule="exact"/>
        <w:rPr>
          <w:sz w:val="20"/>
          <w:szCs w:val="20"/>
          <w:color w:val="auto"/>
        </w:rPr>
      </w:pPr>
    </w:p>
    <w:p>
      <w:pPr>
        <w:jc w:val="both"/>
        <w:ind w:left="220" w:right="419" w:firstLine="343"/>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Eligible Assets</w:t>
      </w:r>
      <w:r>
        <w:rPr>
          <w:rFonts w:ascii="Times New Roman" w:cs="Times New Roman" w:eastAsia="Times New Roman" w:hAnsi="Times New Roman"/>
          <w:sz w:val="13"/>
          <w:szCs w:val="13"/>
          <w:color w:val="auto"/>
        </w:rPr>
        <w:t>” means assets (other than current assets), including those acquired in Permitted Acquisitions and other permitted Investments, that are used or useful in the same or a related line of business as the Parent and its Subsidiaries were engaged in on the Mirror Transactions Funding Date, or any business substantially related, incidental, similar, complementary or ancillary thereto (or any reasonable extension or expansion thereof).</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1" w:right="1440" w:bottom="1440" w:gutter="0" w:footer="0" w:header="0"/>
        </w:sectPr>
      </w:pPr>
    </w:p>
    <w:bookmarkStart w:id="595" w:name="page596"/>
    <w:bookmarkEnd w:id="595"/>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Eligible Assignee</w:t>
      </w:r>
      <w:r>
        <w:rPr>
          <w:rFonts w:ascii="Times New Roman" w:cs="Times New Roman" w:eastAsia="Times New Roman" w:hAnsi="Times New Roman"/>
          <w:sz w:val="14"/>
          <w:szCs w:val="14"/>
          <w:color w:val="auto"/>
        </w:rPr>
        <w:t xml:space="preserve">” means any Person that meets the requirements to be an assignee under </w:t>
      </w:r>
      <w:r>
        <w:rPr>
          <w:rFonts w:ascii="Times New Roman" w:cs="Times New Roman" w:eastAsia="Times New Roman" w:hAnsi="Times New Roman"/>
          <w:sz w:val="14"/>
          <w:szCs w:val="14"/>
          <w:u w:val="single" w:color="auto"/>
          <w:color w:val="auto"/>
        </w:rPr>
        <w:t>Section 11.06(b)(iii)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(v)</w:t>
      </w:r>
      <w:r>
        <w:rPr>
          <w:rFonts w:ascii="Times New Roman" w:cs="Times New Roman" w:eastAsia="Times New Roman" w:hAnsi="Times New Roman"/>
          <w:sz w:val="14"/>
          <w:szCs w:val="14"/>
          <w:color w:val="auto"/>
        </w:rPr>
        <w:t xml:space="preserve"> (subject to such consents, if any, as may be required under </w:t>
      </w:r>
      <w:r>
        <w:rPr>
          <w:rFonts w:ascii="Times New Roman" w:cs="Times New Roman" w:eastAsia="Times New Roman" w:hAnsi="Times New Roman"/>
          <w:sz w:val="14"/>
          <w:szCs w:val="14"/>
          <w:u w:val="single" w:color="auto"/>
          <w:color w:val="auto"/>
        </w:rPr>
        <w:t>Section 11.06(b)(iii)</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20" w:right="4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means any and all federal, state, provincial, territorial,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air emissions and discharges to waste or public systems.</w:t>
      </w:r>
    </w:p>
    <w:p>
      <w:pPr>
        <w:spacing w:after="0" w:line="141" w:lineRule="exact"/>
        <w:rPr>
          <w:sz w:val="20"/>
          <w:szCs w:val="20"/>
          <w:color w:val="auto"/>
        </w:rPr>
      </w:pPr>
    </w:p>
    <w:p>
      <w:pPr>
        <w:ind w:left="220" w:right="379" w:firstLine="343"/>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Environmental Liability</w:t>
      </w:r>
      <w:r>
        <w:rPr>
          <w:rFonts w:ascii="Times New Roman" w:cs="Times New Roman" w:eastAsia="Times New Roman" w:hAnsi="Times New Roman"/>
          <w:sz w:val="13"/>
          <w:szCs w:val="13"/>
          <w:color w:val="auto"/>
        </w:rPr>
        <w:t>” means any liability, contingent or otherwise (including any liability for damages, costs of environmental remediation, fines, penalties or indemnities), of any Loan Party or any of their respective Material Subsidiaries directly or indirectly resulting from or based upon</w:t>
      </w:r>
    </w:p>
    <w:p>
      <w:pPr>
        <w:spacing w:after="0" w:line="1" w:lineRule="exact"/>
        <w:rPr>
          <w:sz w:val="20"/>
          <w:szCs w:val="20"/>
          <w:color w:val="auto"/>
        </w:rPr>
      </w:pPr>
    </w:p>
    <w:p>
      <w:pPr>
        <w:ind w:left="400" w:hanging="185"/>
        <w:spacing w:after="0"/>
        <w:tabs>
          <w:tab w:leader="none" w:pos="400" w:val="left"/>
        </w:tabs>
        <w:numPr>
          <w:ilvl w:val="0"/>
          <w:numId w:val="6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violation of any Environmental Law, (b) the generation, use, handling, transportation, storage, treatment or disposal of any Hazardous Materials,</w:t>
      </w:r>
    </w:p>
    <w:p>
      <w:pPr>
        <w:spacing w:after="0" w:line="7" w:lineRule="exact"/>
        <w:rPr>
          <w:rFonts w:ascii="Times New Roman" w:cs="Times New Roman" w:eastAsia="Times New Roman" w:hAnsi="Times New Roman"/>
          <w:sz w:val="14"/>
          <w:szCs w:val="14"/>
          <w:color w:val="auto"/>
        </w:rPr>
      </w:pPr>
    </w:p>
    <w:p>
      <w:pPr>
        <w:ind w:left="220" w:right="579" w:hanging="5"/>
        <w:spacing w:after="0" w:line="261" w:lineRule="auto"/>
        <w:tabs>
          <w:tab w:leader="none" w:pos="410" w:val="left"/>
        </w:tabs>
        <w:numPr>
          <w:ilvl w:val="0"/>
          <w:numId w:val="6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Permit</w:t>
      </w:r>
      <w:r>
        <w:rPr>
          <w:rFonts w:ascii="Times New Roman" w:cs="Times New Roman" w:eastAsia="Times New Roman" w:hAnsi="Times New Roman"/>
          <w:sz w:val="14"/>
          <w:szCs w:val="14"/>
          <w:color w:val="auto"/>
        </w:rPr>
        <w:t>” means any permit, approval, identification number, license or other authorization required under any Environmental Law.</w:t>
      </w:r>
    </w:p>
    <w:p>
      <w:pPr>
        <w:spacing w:after="0" w:line="175"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Equity Interests</w:t>
      </w:r>
      <w:r>
        <w:rPr>
          <w:rFonts w:ascii="Times New Roman" w:cs="Times New Roman" w:eastAsia="Times New Roman" w:hAnsi="Times New Roman"/>
          <w:sz w:val="14"/>
          <w:szCs w:val="14"/>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Employee Retirement Income Security Act of 1974.</w:t>
      </w:r>
    </w:p>
    <w:p>
      <w:pPr>
        <w:spacing w:after="0" w:line="175" w:lineRule="exact"/>
        <w:rPr>
          <w:sz w:val="20"/>
          <w:szCs w:val="20"/>
          <w:color w:val="auto"/>
        </w:rPr>
      </w:pPr>
    </w:p>
    <w:p>
      <w:pPr>
        <w:ind w:left="220" w:right="4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Affiliate</w:t>
      </w:r>
      <w:r>
        <w:rPr>
          <w:rFonts w:ascii="Times New Roman" w:cs="Times New Roman" w:eastAsia="Times New Roman" w:hAnsi="Times New Roman"/>
          <w:sz w:val="14"/>
          <w:szCs w:val="14"/>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5" w:lineRule="exact"/>
        <w:rPr>
          <w:sz w:val="20"/>
          <w:szCs w:val="20"/>
          <w:color w:val="auto"/>
        </w:rPr>
      </w:pPr>
    </w:p>
    <w:p>
      <w:pPr>
        <w:ind w:left="220" w:right="21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Event</w:t>
      </w:r>
      <w:r>
        <w:rPr>
          <w:rFonts w:ascii="Times New Roman" w:cs="Times New Roman" w:eastAsia="Times New Roman" w:hAnsi="Times New Roman"/>
          <w:sz w:val="14"/>
          <w:szCs w:val="14"/>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amendment as a termination under Section 4041 or 4041A of ERISA; (e) the institution by the PBGC of proceedings to terminate a Pension Plan; (f) during any time that a Pension Plan exists, any event or condition which would reasonably be expect to result in, under Section 4042 of ERISA, the termination of, or the appointment of a trustee to administer, any Pension Plan; (g) the determination that any Pension Plan is considered an at-risk plan or a plan in endangered or critical status within the meaning of Section 430 of the Code or Section 303 of ERISA; or (h) the imposition of any liability under Title IV of ERISA, other than for PBGC premiums due but not delinquent under Section 4007 of ERISA, upon the Borrower or any ERISA Affiliate.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596" w:name="page597"/>
    <w:bookmarkEnd w:id="596"/>
    <w:p>
      <w:pPr>
        <w:ind w:left="220" w:right="61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EU Bail-In Legislation Schedule</w:t>
      </w:r>
      <w:r>
        <w:rPr>
          <w:rFonts w:ascii="Times New Roman" w:cs="Times New Roman" w:eastAsia="Times New Roman" w:hAnsi="Times New Roman"/>
          <w:sz w:val="14"/>
          <w:szCs w:val="14"/>
          <w:color w:val="auto"/>
        </w:rPr>
        <w:t>” means the EU Bail-In Legislation Schedule published by the Loan Market Association (or any successor person), as in effect from time to time.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Assets</w:t>
      </w:r>
      <w:r>
        <w:rPr>
          <w:rFonts w:ascii="Times New Roman" w:cs="Times New Roman" w:eastAsia="Times New Roman" w:hAnsi="Times New Roman"/>
          <w:sz w:val="14"/>
          <w:szCs w:val="14"/>
          <w:color w:val="auto"/>
        </w:rPr>
        <w:t>” has the meaning specified in the Security Agreement.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Subsidiary</w:t>
      </w:r>
      <w:r>
        <w:rPr>
          <w:rFonts w:ascii="Times New Roman" w:cs="Times New Roman" w:eastAsia="Times New Roman" w:hAnsi="Times New Roman"/>
          <w:sz w:val="14"/>
          <w:szCs w:val="14"/>
          <w:color w:val="auto"/>
        </w:rPr>
        <w:t>” means (a) any Foreign Subsidiary, (b) any Subsidiary that is not wholly-owned by the Parent or any of its Subsidiaries,</w:t>
      </w:r>
    </w:p>
    <w:p>
      <w:pPr>
        <w:spacing w:after="0" w:line="22" w:lineRule="exact"/>
        <w:rPr>
          <w:sz w:val="20"/>
          <w:szCs w:val="20"/>
          <w:color w:val="auto"/>
        </w:rPr>
      </w:pPr>
    </w:p>
    <w:p>
      <w:pPr>
        <w:ind w:left="220" w:right="279" w:hanging="5"/>
        <w:spacing w:after="0" w:line="251" w:lineRule="auto"/>
        <w:tabs>
          <w:tab w:leader="none" w:pos="410" w:val="left"/>
        </w:tabs>
        <w:numPr>
          <w:ilvl w:val="0"/>
          <w:numId w:val="6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Subsidiary that is prohibited or restricted by applicable Law or contractual obligation from providing a Guaranty or if the provision of a Guaranty by such Subsidiary would require consent, approval, license or authorization from any Governmental Authority (but in the case of such Guaranty being prohibited or restricted due to a contractual obligation, such contractual obligation shall have been in place on the Closing Date or at the time such Person became a Subsidiary and was not created in contemplation of or in connection with such Person becoming a Subsidiary), (d) any Subsidiary that is a not-for-profit Subsidiary, a captive insurance Subsidiary, a special purpose entity or a Subsidiary used for a Securitization Transaction, (e) any Subsidiary acquired pursuant to an Acquisition financed with Indebtedness permitted to be incurred under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and each Subsidiary that is a Subsidiary thereof to the extent such Indebtedness prohibits such Subsidiary from becoming a Guarantor, and such prohibition was not created in contemplation of or in connection with such Person becoming a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each such Subsidiary shall cease to be an Excluded Subsidiary solely pursuant to this clause (e) if such Indebtedness is repaid, if such Subsidiary ceases to Guarantee such Indebtedness or such prohibition no longer exists, as applicable, (f) any Subsidiary the provision of a Guaranty by which would reasonably be expected to result in material adverse tax consequences to the Parent or any of its Subsidiaries (as determined by the Parent in good faith) (or a Subsidiary thereof), and (g) any other Subsidiary with respect to which the Parent and the Administrative Agent reasonably mutually agree that the cost or other consequences of providing a Guaranty would be excessive in view of the benefits to be obtained by the Secured Parties therefrom;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no event shall the Borrower be an Excluded Subsidiary.</w:t>
      </w:r>
    </w:p>
    <w:p>
      <w:pPr>
        <w:spacing w:after="0" w:line="151" w:lineRule="exact"/>
        <w:rPr>
          <w:sz w:val="20"/>
          <w:szCs w:val="20"/>
          <w:color w:val="auto"/>
        </w:rPr>
      </w:pPr>
    </w:p>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Swap Obligation</w:t>
      </w:r>
      <w:r>
        <w:rPr>
          <w:rFonts w:ascii="Times New Roman" w:cs="Times New Roman" w:eastAsia="Times New Roman" w:hAnsi="Times New Roman"/>
          <w:sz w:val="14"/>
          <w:szCs w:val="14"/>
          <w:color w:val="auto"/>
        </w:rPr>
        <w:t xml:space="preserve">”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any rule, regulation or order of the Commodity Futures Trading Commission (or the application or official interpretation thereof) by virtue of such Loan Party failure for any reason to constitute an “eligible contract participant” as defined in the Commodity Exchange Act (determined after giving effect to </w:t>
      </w:r>
      <w:r>
        <w:rPr>
          <w:rFonts w:ascii="Times New Roman" w:cs="Times New Roman" w:eastAsia="Times New Roman" w:hAnsi="Times New Roman"/>
          <w:sz w:val="14"/>
          <w:szCs w:val="14"/>
          <w:u w:val="single" w:color="auto"/>
          <w:color w:val="auto"/>
        </w:rPr>
        <w:t>Section 10.08</w:t>
      </w:r>
      <w:r>
        <w:rPr>
          <w:rFonts w:ascii="Times New Roman" w:cs="Times New Roman" w:eastAsia="Times New Roman" w:hAnsi="Times New Roman"/>
          <w:sz w:val="14"/>
          <w:szCs w:val="14"/>
          <w:color w:val="auto"/>
        </w:rPr>
        <w:t xml:space="preserve"> (and any comparable provision of any Guaranty)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excluded in accordance with the first sentence of this definition.</w:t>
      </w:r>
    </w:p>
    <w:p>
      <w:pPr>
        <w:spacing w:after="0" w:line="149"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Taxes</w:t>
      </w:r>
      <w:r>
        <w:rPr>
          <w:rFonts w:ascii="Times New Roman" w:cs="Times New Roman" w:eastAsia="Times New Roman" w:hAnsi="Times New Roman"/>
          <w:sz w:val="14"/>
          <w:szCs w:val="14"/>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any backup withholding Tax that is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597" w:name="page598"/>
    <w:bookmarkEnd w:id="597"/>
    <w:p>
      <w:pPr>
        <w:ind w:left="220" w:right="2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required by the Code to be withheld from amounts payable to a Lender; (c) in the case of any Lender, any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Parent under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 xml:space="preserve">) or (ii) such Lender changes its Lending Office, except in each case to the extent that,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amounts with respect to such Taxes were payable either to such Lender’s assignor immediately before such Lender became party hereto or to such Lender immediately before it changed its Lending Office; (d) Taxes attributable to such Recipient’s failure to comply with </w:t>
      </w:r>
      <w:r>
        <w:rPr>
          <w:rFonts w:ascii="Times New Roman" w:cs="Times New Roman" w:eastAsia="Times New Roman" w:hAnsi="Times New Roman"/>
          <w:sz w:val="14"/>
          <w:szCs w:val="14"/>
          <w:u w:val="single" w:color="auto"/>
          <w:color w:val="auto"/>
        </w:rPr>
        <w:t>Section 3.01(e)</w:t>
      </w:r>
      <w:r>
        <w:rPr>
          <w:rFonts w:ascii="Times New Roman" w:cs="Times New Roman" w:eastAsia="Times New Roman" w:hAnsi="Times New Roman"/>
          <w:sz w:val="14"/>
          <w:szCs w:val="14"/>
          <w:color w:val="auto"/>
        </w:rPr>
        <w:t>; and (e) any withholding Taxes imposed under FATCA.</w:t>
      </w:r>
    </w:p>
    <w:p>
      <w:pPr>
        <w:spacing w:after="0" w:line="144" w:lineRule="exact"/>
        <w:rPr>
          <w:sz w:val="20"/>
          <w:szCs w:val="20"/>
          <w:color w:val="auto"/>
        </w:rPr>
      </w:pPr>
    </w:p>
    <w:p>
      <w:pPr>
        <w:ind w:left="220" w:right="7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Facility Office</w:t>
      </w:r>
      <w:r>
        <w:rPr>
          <w:rFonts w:ascii="Times New Roman" w:cs="Times New Roman" w:eastAsia="Times New Roman" w:hAnsi="Times New Roman"/>
          <w:sz w:val="14"/>
          <w:szCs w:val="14"/>
          <w:color w:val="auto"/>
        </w:rPr>
        <w:t>” means the office designated by the applicable Lender through which such Lender will perform its obligations under this Agreement.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FASB ASC</w:t>
      </w:r>
      <w:r>
        <w:rPr>
          <w:rFonts w:ascii="Times New Roman" w:cs="Times New Roman" w:eastAsia="Times New Roman" w:hAnsi="Times New Roman"/>
          <w:sz w:val="14"/>
          <w:szCs w:val="14"/>
          <w:color w:val="auto"/>
        </w:rPr>
        <w:t>” means the Accounting Standards Codification of the Financial Accounting Standards Board.</w:t>
      </w:r>
    </w:p>
    <w:p>
      <w:pPr>
        <w:spacing w:after="0" w:line="175"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FATCA</w:t>
      </w:r>
      <w:r>
        <w:rPr>
          <w:rFonts w:ascii="Times New Roman" w:cs="Times New Roman" w:eastAsia="Times New Roman" w:hAnsi="Times New Roman"/>
          <w:sz w:val="14"/>
          <w:szCs w:val="14"/>
          <w:color w:val="auto"/>
        </w:rPr>
        <w:t>” means Sections 1471 through 1474 of the Code, as of the Closing Date (or any amended or successor version that is substantively comparable and not materially more onerous to comply with), and any current or future regulations or official interpretations thereof, and any agreements entered into pursuant to Section 1471(b)(1) of the Code and any fiscal or regulatory legislation, rules or official practices adopted pursuant to any intergovernmental agreement, treaty or convention among Governmental Authorities entered into in connection with the implementation of such sections of the Code.</w:t>
      </w:r>
    </w:p>
    <w:p>
      <w:pPr>
        <w:spacing w:after="0" w:line="144"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Federal Funds Rate</w:t>
      </w:r>
      <w:r>
        <w:rPr>
          <w:rFonts w:ascii="Times New Roman" w:cs="Times New Roman" w:eastAsia="Times New Roman" w:hAnsi="Times New Roman"/>
          <w:sz w:val="14"/>
          <w:szCs w:val="14"/>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Federal Funds Rate as so determined would be less than zero, such rate shall be deemed to be zero for purposes of this Agreement.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Fee Letter</w:t>
      </w:r>
      <w:r>
        <w:rPr>
          <w:rFonts w:ascii="Times New Roman" w:cs="Times New Roman" w:eastAsia="Times New Roman" w:hAnsi="Times New Roman"/>
          <w:sz w:val="14"/>
          <w:szCs w:val="14"/>
          <w:color w:val="auto"/>
        </w:rPr>
        <w:t>” means that certain fee letter agreement, dated as of June 5, 2026, among the Borrower, Bank of America and BofA Securities.</w:t>
      </w:r>
    </w:p>
    <w:p>
      <w:pPr>
        <w:spacing w:after="0" w:line="175" w:lineRule="exact"/>
        <w:rPr>
          <w:sz w:val="20"/>
          <w:szCs w:val="20"/>
          <w:color w:val="auto"/>
        </w:rPr>
      </w:pPr>
    </w:p>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Government Scheme or Arrangement</w:t>
      </w:r>
      <w:r>
        <w:rPr>
          <w:rFonts w:ascii="Times New Roman" w:cs="Times New Roman" w:eastAsia="Times New Roman" w:hAnsi="Times New Roman"/>
          <w:sz w:val="14"/>
          <w:szCs w:val="14"/>
          <w:color w:val="auto"/>
        </w:rPr>
        <w:t>” means each employee benefit or similar scheme or arrangement mandated by a government other than the United States and maintained by any Loan Party or any Subsidiary.</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Lender</w:t>
      </w:r>
      <w:r>
        <w:rPr>
          <w:rFonts w:ascii="Times New Roman" w:cs="Times New Roman" w:eastAsia="Times New Roman" w:hAnsi="Times New Roman"/>
          <w:sz w:val="14"/>
          <w:szCs w:val="14"/>
          <w:color w:val="auto"/>
        </w:rPr>
        <w:t>” means a Lender that is not a U.S. Person.</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Plan</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5.12(b)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343"/>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Foreign Plan Event</w:t>
      </w:r>
      <w:r>
        <w:rPr>
          <w:rFonts w:ascii="Times New Roman" w:cs="Times New Roman" w:eastAsia="Times New Roman" w:hAnsi="Times New Roman"/>
          <w:sz w:val="13"/>
          <w:szCs w:val="13"/>
          <w:color w:val="auto"/>
        </w:rPr>
        <w:t>” means (a) the termination in whole of a Foreign Plan by the Parent or any of its Subsidiaries (other than Excluded Subsidiaries); (b) the commencement of proceedings by the applicable pension regulator to terminate in whole a Foreign Plan; (c) the withdrawal by the Parent or any of its Subsidiaries from a “multi-employer pension plan,” as defined under any applicable Foreign Government Scheme or Arrangement;</w:t>
      </w:r>
    </w:p>
    <w:p>
      <w:pPr>
        <w:spacing w:after="0" w:line="2" w:lineRule="exact"/>
        <w:rPr>
          <w:sz w:val="20"/>
          <w:szCs w:val="20"/>
          <w:color w:val="auto"/>
        </w:rPr>
      </w:pPr>
    </w:p>
    <w:p>
      <w:pPr>
        <w:ind w:left="220" w:right="659" w:hanging="5"/>
        <w:spacing w:after="0" w:line="261" w:lineRule="auto"/>
        <w:tabs>
          <w:tab w:leader="none" w:pos="418" w:val="left"/>
        </w:tabs>
        <w:numPr>
          <w:ilvl w:val="0"/>
          <w:numId w:val="6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which constitutes grounds under any applicable Foreign Government Scheme or Arrangement for the applicable pension regulator to remove the administrator of a Foreign Plan; or (e) the failure to make a legally required contribution to the Foreign Plan.</w:t>
      </w:r>
    </w:p>
    <w:p>
      <w:pPr>
        <w:spacing w:after="0" w:line="140" w:lineRule="exact"/>
        <w:rPr>
          <w:sz w:val="20"/>
          <w:szCs w:val="20"/>
          <w:color w:val="auto"/>
        </w:rPr>
      </w:pPr>
    </w:p>
    <w:p>
      <w:pPr>
        <w:ind w:left="220" w:right="4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Subsidiary</w:t>
      </w:r>
      <w:r>
        <w:rPr>
          <w:rFonts w:ascii="Times New Roman" w:cs="Times New Roman" w:eastAsia="Times New Roman" w:hAnsi="Times New Roman"/>
          <w:sz w:val="14"/>
          <w:szCs w:val="14"/>
          <w:color w:val="auto"/>
        </w:rPr>
        <w:t>” means any Subsidiary that is organized under the laws of a jurisdiction other than the United States, a State thereof or the District of Columbia.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598" w:name="page599"/>
    <w:bookmarkEnd w:id="598"/>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FRB</w:t>
      </w:r>
      <w:r>
        <w:rPr>
          <w:rFonts w:ascii="Times New Roman" w:cs="Times New Roman" w:eastAsia="Times New Roman" w:hAnsi="Times New Roman"/>
          <w:sz w:val="14"/>
          <w:szCs w:val="14"/>
          <w:color w:val="auto"/>
        </w:rPr>
        <w:t>” means the Board of Governors of the Federal Reserve System of the United States.</w:t>
      </w:r>
    </w:p>
    <w:p>
      <w:pPr>
        <w:spacing w:after="0" w:line="175" w:lineRule="exact"/>
        <w:rPr>
          <w:sz w:val="20"/>
          <w:szCs w:val="20"/>
          <w:color w:val="auto"/>
        </w:rPr>
      </w:pPr>
    </w:p>
    <w:p>
      <w:pPr>
        <w:ind w:left="220" w:right="6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Fund</w:t>
      </w:r>
      <w:r>
        <w:rPr>
          <w:rFonts w:ascii="Times New Roman" w:cs="Times New Roman" w:eastAsia="Times New Roman" w:hAnsi="Times New Roman"/>
          <w:sz w:val="14"/>
          <w:szCs w:val="14"/>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25"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and subject to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means the government of the United States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41" w:lineRule="exact"/>
        <w:rPr>
          <w:sz w:val="20"/>
          <w:szCs w:val="20"/>
          <w:color w:val="auto"/>
        </w:rPr>
      </w:pPr>
    </w:p>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xml:space="preserve">” means, as to any Person, without duplication, (a) any obligation, contingent or otherwise, of such Person guaranteeing or having the economic effect of guaranteeing any Indebtedness payable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obligations in respect of or in connection with customs duties, performance guarantees, comfort letters and similar arrangements shall not constitute Guarantees.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49"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Guaranteed Obligations</w:t>
      </w:r>
      <w:r>
        <w:rPr>
          <w:rFonts w:ascii="Times New Roman" w:cs="Times New Roman" w:eastAsia="Times New Roman" w:hAnsi="Times New Roman"/>
          <w:sz w:val="14"/>
          <w:szCs w:val="14"/>
          <w:color w:val="auto"/>
        </w:rPr>
        <w:t xml:space="preserve">” means the collective reference to (a) all Obligations and (b) any Swap Obligation of a Specified Loan Party (determined before giving effect to </w:t>
      </w:r>
      <w:r>
        <w:rPr>
          <w:rFonts w:ascii="Times New Roman" w:cs="Times New Roman" w:eastAsia="Times New Roman" w:hAnsi="Times New Roman"/>
          <w:sz w:val="14"/>
          <w:szCs w:val="14"/>
          <w:u w:val="single" w:color="auto"/>
          <w:color w:val="auto"/>
        </w:rPr>
        <w:t>Sections 10.01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10.08</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means, collectively, (a) each Parent Guarantor and (b) each Subsidiary Guarantor.</w:t>
      </w:r>
    </w:p>
    <w:p>
      <w:pPr>
        <w:spacing w:after="0" w:line="175" w:lineRule="exact"/>
        <w:rPr>
          <w:sz w:val="20"/>
          <w:szCs w:val="20"/>
          <w:color w:val="auto"/>
        </w:rPr>
      </w:pPr>
    </w:p>
    <w:p>
      <w:pPr>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Guaranty</w:t>
      </w:r>
      <w:r>
        <w:rPr>
          <w:rFonts w:ascii="Times New Roman" w:cs="Times New Roman" w:eastAsia="Times New Roman" w:hAnsi="Times New Roman"/>
          <w:sz w:val="14"/>
          <w:szCs w:val="14"/>
          <w:color w:val="auto"/>
        </w:rPr>
        <w:t xml:space="preserve">” means, individually or collectively as the context may require, (a) the Mirror Transactions Funding Date Subsidiary Guaranty, (b) the guaranty made by the Parent Guarantors pursuant to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of this Agreement and (c) any other guaranty or guaranty supplement delivered by any direct or indirect Subsidiary pursuant to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599" w:name="page600"/>
    <w:bookmarkEnd w:id="599"/>
    <w:p>
      <w:pPr>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Hazardous Materials</w:t>
      </w:r>
      <w:r>
        <w:rPr>
          <w:rFonts w:ascii="Times New Roman" w:cs="Times New Roman" w:eastAsia="Times New Roman" w:hAnsi="Times New Roman"/>
          <w:sz w:val="14"/>
          <w:szCs w:val="14"/>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I/C Finco</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7.02(l)</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6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IFRS</w:t>
      </w:r>
      <w:r>
        <w:rPr>
          <w:rFonts w:ascii="Times New Roman" w:cs="Times New Roman" w:eastAsia="Times New Roman" w:hAnsi="Times New Roman"/>
          <w:sz w:val="14"/>
          <w:szCs w:val="14"/>
          <w:color w:val="auto"/>
        </w:rPr>
        <w:t>” means international accounting standards within the meaning of IAS Regulation 1606/2002 to the extent applicable to the relevant financial statements delivered under or referred to herein.</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Impacted Loans</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3.03(a)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Incremental Equivalent Debt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7.03(o)</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means, as to any Person at a particular time, without duplication, all of the following, whether or not included as indebtedness or liabilities in accordance with GAAP:</w:t>
      </w:r>
    </w:p>
    <w:p>
      <w:pPr>
        <w:spacing w:after="0" w:line="41" w:lineRule="exact"/>
        <w:rPr>
          <w:sz w:val="20"/>
          <w:szCs w:val="20"/>
          <w:color w:val="auto"/>
        </w:rPr>
      </w:pPr>
    </w:p>
    <w:p>
      <w:pPr>
        <w:ind w:left="220" w:right="319" w:firstLine="338"/>
        <w:spacing w:after="0" w:line="283" w:lineRule="auto"/>
        <w:tabs>
          <w:tab w:leader="none" w:pos="753"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such Person for borrowed money and all obligations of such Person evidenced by bonds, debentures, notes, loan agreements or other similar instruments;</w:t>
      </w:r>
    </w:p>
    <w:p>
      <w:pPr>
        <w:spacing w:after="0" w:line="124"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purchase money indebtedness of such Person;</w:t>
      </w:r>
    </w:p>
    <w:p>
      <w:pPr>
        <w:spacing w:after="0" w:line="175" w:lineRule="exact"/>
        <w:rPr>
          <w:rFonts w:ascii="Times New Roman" w:cs="Times New Roman" w:eastAsia="Times New Roman" w:hAnsi="Times New Roman"/>
          <w:sz w:val="14"/>
          <w:szCs w:val="14"/>
          <w:color w:val="auto"/>
        </w:rPr>
      </w:pPr>
    </w:p>
    <w:p>
      <w:pPr>
        <w:ind w:left="220" w:right="479" w:firstLine="338"/>
        <w:spacing w:after="0" w:line="283" w:lineRule="auto"/>
        <w:tabs>
          <w:tab w:leader="none" w:pos="753"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direct or contingent obligations of such Person arising under letters of credit (including standby and commercial), bankers’ acceptances, bank guaranties, surety bonds and similar instruments;</w:t>
      </w:r>
    </w:p>
    <w:p>
      <w:pPr>
        <w:spacing w:after="0" w:line="124"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obligations of such Person under any Swap Contract;</w:t>
      </w:r>
    </w:p>
    <w:p>
      <w:pPr>
        <w:spacing w:after="0" w:line="175" w:lineRule="exact"/>
        <w:rPr>
          <w:rFonts w:ascii="Times New Roman" w:cs="Times New Roman" w:eastAsia="Times New Roman" w:hAnsi="Times New Roman"/>
          <w:sz w:val="14"/>
          <w:szCs w:val="14"/>
          <w:color w:val="auto"/>
        </w:rPr>
      </w:pPr>
    </w:p>
    <w:p>
      <w:pPr>
        <w:ind w:left="220" w:right="719" w:firstLine="338"/>
        <w:spacing w:after="0" w:line="283" w:lineRule="auto"/>
        <w:tabs>
          <w:tab w:leader="none" w:pos="753"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such Person in respect of the deferred purchase price of property or services (other than trade accounts payable in the ordinary course of business, but including earn out obligations to the extent such earn out obligations are earned and payable);</w:t>
      </w:r>
    </w:p>
    <w:p>
      <w:pPr>
        <w:spacing w:after="0" w:line="124" w:lineRule="exact"/>
        <w:rPr>
          <w:rFonts w:ascii="Times New Roman" w:cs="Times New Roman" w:eastAsia="Times New Roman" w:hAnsi="Times New Roman"/>
          <w:sz w:val="14"/>
          <w:szCs w:val="14"/>
          <w:color w:val="auto"/>
        </w:rPr>
      </w:pPr>
    </w:p>
    <w:p>
      <w:pPr>
        <w:ind w:left="220" w:right="539" w:firstLine="338"/>
        <w:spacing w:after="0" w:line="267" w:lineRule="auto"/>
        <w:tabs>
          <w:tab w:leader="none" w:pos="738"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35"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Attributable Indebtedness of such Person;</w:t>
      </w:r>
    </w:p>
    <w:p>
      <w:pPr>
        <w:spacing w:after="0" w:line="175" w:lineRule="exact"/>
        <w:rPr>
          <w:rFonts w:ascii="Times New Roman" w:cs="Times New Roman" w:eastAsia="Times New Roman" w:hAnsi="Times New Roman"/>
          <w:sz w:val="14"/>
          <w:szCs w:val="14"/>
          <w:color w:val="auto"/>
        </w:rPr>
      </w:pPr>
    </w:p>
    <w:p>
      <w:pPr>
        <w:ind w:left="220" w:right="399" w:firstLine="338"/>
        <w:spacing w:after="0" w:line="267" w:lineRule="auto"/>
        <w:tabs>
          <w:tab w:leader="none" w:pos="761"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accrued and unpaid dividends; and</w:t>
      </w:r>
    </w:p>
    <w:p>
      <w:pPr>
        <w:spacing w:after="0" w:line="135" w:lineRule="exact"/>
        <w:rPr>
          <w:rFonts w:ascii="Times New Roman" w:cs="Times New Roman" w:eastAsia="Times New Roman" w:hAnsi="Times New Roman"/>
          <w:sz w:val="14"/>
          <w:szCs w:val="14"/>
          <w:color w:val="auto"/>
        </w:rPr>
      </w:pPr>
    </w:p>
    <w:p>
      <w:pPr>
        <w:ind w:left="720" w:hanging="162"/>
        <w:spacing w:after="0"/>
        <w:tabs>
          <w:tab w:leader="none" w:pos="720" w:val="left"/>
        </w:tabs>
        <w:numPr>
          <w:ilvl w:val="0"/>
          <w:numId w:val="6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Guarantees of such Person in respect of any of the foregoing.</w:t>
      </w:r>
    </w:p>
    <w:p>
      <w:pPr>
        <w:spacing w:after="0" w:line="175"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For all purposes hereof, the Indebtedness of any Person shall (x) include the Indebtedness of any partnership or joint venture (other than a joint venture that is itself a corporation or limited liability company) in which such Person is a general partner or a joint venturer, unless such Indebtedness is expressly made non-recourse to such Person and (y) exclude obligations in respect of or in connection with customs duties, performance guarantees, comfort letters and similar arrangements. The amount of any net obligation under any Swap Contract on any date shall be deemed to be the Swap Termination Value thereof as of such date. The amount of any obligation arising under letters of credit (including standby and commercial), bankers’ acceptances, bank guaranties, surety bonds and similar instruments shall be the maximum amount available to be drawn thereunder.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1" w:right="1440" w:bottom="1440" w:gutter="0" w:footer="0" w:header="0"/>
        </w:sectPr>
      </w:pPr>
    </w:p>
    <w:bookmarkStart w:id="600" w:name="page601"/>
    <w:bookmarkEnd w:id="600"/>
    <w:p>
      <w:pPr>
        <w:jc w:val="both"/>
        <w:ind w:left="220" w:right="619" w:firstLine="343"/>
        <w:spacing w:after="0" w:line="32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Indemnified Taxes</w:t>
      </w:r>
      <w:r>
        <w:rPr>
          <w:rFonts w:ascii="Times New Roman" w:cs="Times New Roman" w:eastAsia="Times New Roman" w:hAnsi="Times New Roman"/>
          <w:sz w:val="13"/>
          <w:szCs w:val="13"/>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of this definition, Other Taxes.</w:t>
      </w:r>
    </w:p>
    <w:p>
      <w:pPr>
        <w:spacing w:after="0" w:line="1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11.04(b)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11.07</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Intercreditor Agreement</w:t>
      </w:r>
      <w:r>
        <w:rPr>
          <w:rFonts w:ascii="Times New Roman" w:cs="Times New Roman" w:eastAsia="Times New Roman" w:hAnsi="Times New Roman"/>
          <w:sz w:val="14"/>
          <w:szCs w:val="14"/>
          <w:color w:val="auto"/>
        </w:rPr>
        <w:t>” means a Pari Passu Intercreditor Agreement and/or a Junior Lien Intercreditor Agreement.</w:t>
      </w:r>
    </w:p>
    <w:p>
      <w:pPr>
        <w:spacing w:after="0" w:line="175"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 Date</w:t>
      </w:r>
      <w:r>
        <w:rPr>
          <w:rFonts w:ascii="Times New Roman" w:cs="Times New Roman" w:eastAsia="Times New Roman" w:hAnsi="Times New Roman"/>
          <w:sz w:val="14"/>
          <w:szCs w:val="14"/>
          <w:color w:val="auto"/>
        </w:rPr>
        <w:t xml:space="preserve">” means: (a) as to any Term SOFR Loan, the last day of each Interest Period applicable to such Loan and the Maturity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any Interest Period for such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41" w:lineRule="exact"/>
        <w:rPr>
          <w:sz w:val="20"/>
          <w:szCs w:val="20"/>
          <w:color w:val="auto"/>
        </w:rPr>
      </w:pPr>
    </w:p>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Period</w:t>
      </w:r>
      <w:r>
        <w:rPr>
          <w:rFonts w:ascii="Times New Roman" w:cs="Times New Roman" w:eastAsia="Times New Roman" w:hAnsi="Times New Roman"/>
          <w:sz w:val="14"/>
          <w:szCs w:val="14"/>
          <w:color w:val="auto"/>
        </w:rPr>
        <w:t xml:space="preserve">” means, as to any Term SOFR Loan, the period commencing on the date such Loan is disbursed or converted to or continued as a Term SOFR Loan and ending on the date one, three or six months thereafter (in each case, subject to availability), as selected by the Borrower in its Committed Loan Notice;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51" w:lineRule="exact"/>
        <w:rPr>
          <w:sz w:val="20"/>
          <w:szCs w:val="20"/>
          <w:color w:val="auto"/>
        </w:rPr>
      </w:pPr>
    </w:p>
    <w:p>
      <w:pPr>
        <w:ind w:left="220" w:right="299" w:firstLine="338"/>
        <w:spacing w:after="0" w:line="283" w:lineRule="auto"/>
        <w:tabs>
          <w:tab w:leader="none" w:pos="753" w:val="left"/>
        </w:tabs>
        <w:numPr>
          <w:ilvl w:val="0"/>
          <w:numId w:val="6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24" w:lineRule="exact"/>
        <w:rPr>
          <w:rFonts w:ascii="Times New Roman" w:cs="Times New Roman" w:eastAsia="Times New Roman" w:hAnsi="Times New Roman"/>
          <w:sz w:val="14"/>
          <w:szCs w:val="14"/>
          <w:color w:val="auto"/>
        </w:rPr>
      </w:pPr>
    </w:p>
    <w:p>
      <w:pPr>
        <w:jc w:val="both"/>
        <w:ind w:left="220" w:right="299" w:firstLine="338"/>
        <w:spacing w:after="0" w:line="323" w:lineRule="auto"/>
        <w:tabs>
          <w:tab w:leader="none" w:pos="761" w:val="left"/>
        </w:tabs>
        <w:numPr>
          <w:ilvl w:val="0"/>
          <w:numId w:val="6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02" w:lineRule="exact"/>
        <w:rPr>
          <w:rFonts w:ascii="Times New Roman" w:cs="Times New Roman" w:eastAsia="Times New Roman" w:hAnsi="Times New Roman"/>
          <w:sz w:val="13"/>
          <w:szCs w:val="13"/>
          <w:color w:val="auto"/>
        </w:rPr>
      </w:pPr>
    </w:p>
    <w:p>
      <w:pPr>
        <w:ind w:left="740" w:hanging="182"/>
        <w:spacing w:after="0"/>
        <w:tabs>
          <w:tab w:leader="none" w:pos="740" w:val="left"/>
        </w:tabs>
        <w:numPr>
          <w:ilvl w:val="0"/>
          <w:numId w:val="6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Interest Period shall extend beyond the Maturity Date.</w:t>
      </w:r>
    </w:p>
    <w:p>
      <w:pPr>
        <w:spacing w:after="0" w:line="175"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Interim Financial Statements</w:t>
      </w:r>
      <w:r>
        <w:rPr>
          <w:rFonts w:ascii="Times New Roman" w:cs="Times New Roman" w:eastAsia="Times New Roman" w:hAnsi="Times New Roman"/>
          <w:sz w:val="14"/>
          <w:szCs w:val="14"/>
          <w:color w:val="auto"/>
        </w:rPr>
        <w:t>” means unaudited consolidated financial statements of the Company and its Subsidiaries for the fiscal quarter ended March 31, 2026, including balance sheets and statements of income or operations, shareholders’ equity and cash flows.</w:t>
      </w:r>
    </w:p>
    <w:p>
      <w:pPr>
        <w:spacing w:after="0" w:line="125" w:lineRule="exact"/>
        <w:rPr>
          <w:sz w:val="20"/>
          <w:szCs w:val="20"/>
          <w:color w:val="auto"/>
        </w:rPr>
      </w:pPr>
    </w:p>
    <w:p>
      <w:pPr>
        <w:ind w:left="220" w:right="29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w:t>
      </w:r>
      <w:r>
        <w:rPr>
          <w:rFonts w:ascii="Times New Roman" w:cs="Times New Roman" w:eastAsia="Times New Roman" w:hAnsi="Times New Roman"/>
          <w:sz w:val="14"/>
          <w:szCs w:val="14"/>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(and, if such Investment is made in a currency other than Dollars, shall be the equivalent amount thereof in Dollars as reasonably determined by the Parent at the time such Investment is made on the basis of the spot rate for the purchase by the Parent of such currency with Dollars at such time), without adjustment for subsequent increases or decreases in the value of such Investment (including, with respect to any Investment made in a currency other than Dollars, as a result of changes in rates of currency exchange occurring after the time such Investment is made).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1" w:right="1440" w:bottom="1440" w:gutter="0" w:footer="0" w:header="0"/>
        </w:sectPr>
      </w:pPr>
    </w:p>
    <w:bookmarkStart w:id="601" w:name="page602"/>
    <w:bookmarkEnd w:id="601"/>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Involuntary Disposition</w:t>
      </w:r>
      <w:r>
        <w:rPr>
          <w:rFonts w:ascii="Times New Roman" w:cs="Times New Roman" w:eastAsia="Times New Roman" w:hAnsi="Times New Roman"/>
          <w:sz w:val="14"/>
          <w:szCs w:val="14"/>
          <w:color w:val="auto"/>
        </w:rPr>
        <w:t>” means any loss of, damage to or destruction of, or any condemnation or other taking for public use of, any property of any Loan Party or any Subsidiary.</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IP Rights</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5.17</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means the United States Internal Revenue Service.</w:t>
      </w:r>
    </w:p>
    <w:p>
      <w:pPr>
        <w:spacing w:after="0" w:line="175"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Indebtedness</w:t>
      </w:r>
      <w:r>
        <w:rPr>
          <w:rFonts w:ascii="Times New Roman" w:cs="Times New Roman" w:eastAsia="Times New Roman" w:hAnsi="Times New Roman"/>
          <w:sz w:val="14"/>
          <w:szCs w:val="14"/>
          <w:color w:val="auto"/>
        </w:rPr>
        <w:t>” means any Indebtedness that is secured on a junior Lien basis to the Obligations or that is expressly subordinated in right of payment to the Obligations, in each case, with an outstanding aggregate principal amount in excess of the greater of (x) $20,000,000 and (y) 10% of TTM Consolidated EBITDA.</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Junior Indebtedness Prepayment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7.14</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19" w:firstLine="343"/>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Junior Lien Intercreditor Agreement</w:t>
      </w:r>
      <w:r>
        <w:rPr>
          <w:rFonts w:ascii="Times New Roman" w:cs="Times New Roman" w:eastAsia="Times New Roman" w:hAnsi="Times New Roman"/>
          <w:sz w:val="13"/>
          <w:szCs w:val="13"/>
          <w:color w:val="auto"/>
        </w:rPr>
        <w:t>” means any intercreditor agreement by and among the Administrative Agent and the holders of such Junior Indebtedness (or the trustee, agent or similar Person acting in any similar capacity) in respect of (x) any Indebtedness that is secured on a junior Lien basis to the Obligations and (y) the Obligations, which intercreditor agreement is reasonably acceptable to the Borrower and the Administrative Agent.</w:t>
      </w:r>
    </w:p>
    <w:p>
      <w:pPr>
        <w:spacing w:after="0" w:line="120" w:lineRule="exact"/>
        <w:rPr>
          <w:sz w:val="20"/>
          <w:szCs w:val="20"/>
          <w:color w:val="auto"/>
        </w:rPr>
      </w:pPr>
    </w:p>
    <w:p>
      <w:pPr>
        <w:ind w:left="220" w:right="279" w:firstLine="343"/>
        <w:spacing w:after="0" w:line="28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Laws</w:t>
      </w:r>
      <w:r>
        <w:rPr>
          <w:rFonts w:ascii="Times New Roman" w:cs="Times New Roman" w:eastAsia="Times New Roman" w:hAnsi="Times New Roman"/>
          <w:sz w:val="13"/>
          <w:szCs w:val="13"/>
          <w:color w:val="auto"/>
        </w:rPr>
        <w:t>” means, collectively, all international, foreign, federal, state, provincial, territorial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LCT Election</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LCT Test Date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7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Lender</w:t>
      </w:r>
      <w:r>
        <w:rPr>
          <w:rFonts w:ascii="Times New Roman" w:cs="Times New Roman" w:eastAsia="Times New Roman" w:hAnsi="Times New Roman"/>
          <w:sz w:val="14"/>
          <w:szCs w:val="14"/>
          <w:color w:val="auto"/>
        </w:rPr>
        <w:t>” means each of the Persons identified as a “Lender” on the signature pages hereto, each other Person that becomes a “Lender” in accordance with this Agreement, and their respective successors and assigns. The term “Lender” shall include any Designated Lender.</w:t>
      </w:r>
    </w:p>
    <w:p>
      <w:pPr>
        <w:spacing w:after="0" w:line="125" w:lineRule="exact"/>
        <w:rPr>
          <w:sz w:val="20"/>
          <w:szCs w:val="20"/>
          <w:color w:val="auto"/>
        </w:rPr>
      </w:pPr>
    </w:p>
    <w:p>
      <w:pPr>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Lending Office</w:t>
      </w:r>
      <w:r>
        <w:rPr>
          <w:rFonts w:ascii="Times New Roman" w:cs="Times New Roman" w:eastAsia="Times New Roman" w:hAnsi="Times New Roman"/>
          <w:sz w:val="14"/>
          <w:szCs w:val="14"/>
          <w:color w:val="auto"/>
        </w:rPr>
        <w:t>” means, as to the Administrative Agent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Leverage Increase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7.11(b)</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602" w:name="page603"/>
    <w:bookmarkEnd w:id="602"/>
    <w:p>
      <w:pPr>
        <w:jc w:val="both"/>
        <w:ind w:left="220" w:right="29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Limited Condition Transaction</w:t>
      </w:r>
      <w:r>
        <w:rPr>
          <w:rFonts w:ascii="Times New Roman" w:cs="Times New Roman" w:eastAsia="Times New Roman" w:hAnsi="Times New Roman"/>
          <w:sz w:val="14"/>
          <w:szCs w:val="14"/>
          <w:color w:val="auto"/>
        </w:rPr>
        <w:t>” means (a) any Permitted Acquisition or other Investment permitted hereunder, (b) any repayment, repurchase or refinancing of Indebtedness with respect to which irrevocable advance notice is required and has been delivered and (c) any Restricted Payment by the Company which has been declared by the Company.</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w:t>
      </w:r>
      <w:r>
        <w:rPr>
          <w:rFonts w:ascii="Times New Roman" w:cs="Times New Roman" w:eastAsia="Times New Roman" w:hAnsi="Times New Roman"/>
          <w:sz w:val="14"/>
          <w:szCs w:val="14"/>
          <w:color w:val="auto"/>
        </w:rPr>
        <w:t xml:space="preserve">” means an extension of credit by a Lender to the Borrower under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in the form of a Term Loan.</w:t>
      </w:r>
    </w:p>
    <w:p>
      <w:pPr>
        <w:spacing w:after="0" w:line="175" w:lineRule="exact"/>
        <w:rPr>
          <w:sz w:val="20"/>
          <w:szCs w:val="20"/>
          <w:color w:val="auto"/>
        </w:rPr>
      </w:pPr>
    </w:p>
    <w:p>
      <w:pPr>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Loan Documents</w:t>
      </w:r>
      <w:r>
        <w:rPr>
          <w:rFonts w:ascii="Times New Roman" w:cs="Times New Roman" w:eastAsia="Times New Roman" w:hAnsi="Times New Roman"/>
          <w:sz w:val="14"/>
          <w:szCs w:val="14"/>
          <w:color w:val="auto"/>
        </w:rPr>
        <w:t>” means this Agreement, each Note, each Guaranty, each Collateral Document, the Fee Letter, each Intercreditor Agreement, the Mirror Transactions Funding Date Company Joinder, the Company Debt Assumption Supplement and any other agreement, instrument or document designated by its terms as a “Loan Document”.</w:t>
      </w:r>
    </w:p>
    <w:p>
      <w:pPr>
        <w:spacing w:after="0" w:line="136" w:lineRule="exact"/>
        <w:rPr>
          <w:sz w:val="20"/>
          <w:szCs w:val="20"/>
          <w:color w:val="auto"/>
        </w:rPr>
      </w:pPr>
    </w:p>
    <w:p>
      <w:pPr>
        <w:ind w:left="220" w:right="479" w:firstLine="343"/>
        <w:spacing w:after="0" w:line="32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Loan Parties</w:t>
      </w:r>
      <w:r>
        <w:rPr>
          <w:rFonts w:ascii="Times New Roman" w:cs="Times New Roman" w:eastAsia="Times New Roman" w:hAnsi="Times New Roman"/>
          <w:sz w:val="13"/>
          <w:szCs w:val="13"/>
          <w:color w:val="auto"/>
        </w:rPr>
        <w:t xml:space="preserve">” (a) means, collectively, the Borrower and each Guarantor and (b) solely for purposes of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(and any defined term used therein) includes all Loan Parties (as defined in the Company Credit Agreement) whether or not constituting a Borrower or Guarantor hereunder.</w:t>
      </w:r>
    </w:p>
    <w:p>
      <w:pPr>
        <w:spacing w:after="0" w:line="1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Master Agreement</w:t>
      </w:r>
      <w:r>
        <w:rPr>
          <w:rFonts w:ascii="Times New Roman" w:cs="Times New Roman" w:eastAsia="Times New Roman" w:hAnsi="Times New Roman"/>
          <w:sz w:val="14"/>
          <w:szCs w:val="14"/>
          <w:color w:val="auto"/>
        </w:rPr>
        <w:t>” has the meaning specified in the definition of “Swap Contract”.</w:t>
      </w:r>
    </w:p>
    <w:p>
      <w:pPr>
        <w:spacing w:after="0" w:line="175"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Acquisition</w:t>
      </w:r>
      <w:r>
        <w:rPr>
          <w:rFonts w:ascii="Times New Roman" w:cs="Times New Roman" w:eastAsia="Times New Roman" w:hAnsi="Times New Roman"/>
          <w:sz w:val="14"/>
          <w:szCs w:val="14"/>
          <w:color w:val="auto"/>
        </w:rPr>
        <w:t xml:space="preserve">” means any Permitted Acquisition for which the aggregate consideration (including cash and non-cash consideration (including assumed Indebtedness and the good faith estimate by the Parent of the maximum amount of any deferred purchase price obligations (including any earn out obligations))) exceeds $100,000,000;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at the Parent’s election, the Company may treat the Mirror Transactions as a Material Acquisition so long as, on or prior to the date on which the Mirror Transactions are consummated, the Parent delivers written notice to the Administrative Agent designating the Mirror Transactions as a Material Acquisition.</w:t>
      </w:r>
    </w:p>
    <w:p>
      <w:pPr>
        <w:spacing w:after="0" w:line="144" w:lineRule="exact"/>
        <w:rPr>
          <w:sz w:val="20"/>
          <w:szCs w:val="20"/>
          <w:color w:val="auto"/>
        </w:rPr>
      </w:pPr>
    </w:p>
    <w:p>
      <w:pPr>
        <w:ind w:left="220" w:right="25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means: (a) a material adverse change in, or a material adverse effect upon, the operations, business, properties or financial condition of the Parent and its Material Subsidiaries, taken as a whole; (b) a material impairment on the rights and remedies of the Administrative Agent and the Lenders under the Loan Documents, taken as a whole, or the ability of the Loan Parties, taken as a whole, to perform their obligations under the Loan Documents; or (c) a material adverse effect upon the legality, validity, binding effect or enforceability against the Loan Parties of the Loan Documents.</w:t>
      </w:r>
    </w:p>
    <w:p>
      <w:pPr>
        <w:spacing w:after="0" w:line="144" w:lineRule="exact"/>
        <w:rPr>
          <w:sz w:val="20"/>
          <w:szCs w:val="20"/>
          <w:color w:val="auto"/>
        </w:rPr>
      </w:pPr>
    </w:p>
    <w:p>
      <w:pPr>
        <w:ind w:left="220" w:right="4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IP Rights</w:t>
      </w:r>
      <w:r>
        <w:rPr>
          <w:rFonts w:ascii="Times New Roman" w:cs="Times New Roman" w:eastAsia="Times New Roman" w:hAnsi="Times New Roman"/>
          <w:sz w:val="14"/>
          <w:szCs w:val="14"/>
          <w:color w:val="auto"/>
        </w:rPr>
        <w:t>” means any IP Rights owned by the Parent or any Subsidiary that are material to the operation of the business of the Parent and its Subsidiaries, taken as a whole (as determined by the Company in good faith).</w:t>
      </w:r>
    </w:p>
    <w:p>
      <w:pPr>
        <w:spacing w:after="0" w:line="125" w:lineRule="exact"/>
        <w:rPr>
          <w:sz w:val="20"/>
          <w:szCs w:val="20"/>
          <w:color w:val="auto"/>
        </w:rPr>
      </w:pPr>
    </w:p>
    <w:p>
      <w:pPr>
        <w:ind w:left="220" w:right="459" w:firstLine="343"/>
        <w:spacing w:after="0" w:line="28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Material Subsidiary</w:t>
      </w:r>
      <w:r>
        <w:rPr>
          <w:rFonts w:ascii="Times New Roman" w:cs="Times New Roman" w:eastAsia="Times New Roman" w:hAnsi="Times New Roman"/>
          <w:sz w:val="13"/>
          <w:szCs w:val="13"/>
          <w:color w:val="auto"/>
        </w:rPr>
        <w:t>” means, as of any date of determination, any Subsidiary (a) which, as of the end of the then most recently ended fiscal quarter of the Parent, for the Measurement Period then ended, contributed (adjusted to eliminate the effect of intercompany transactions) greater than</w:t>
      </w:r>
    </w:p>
    <w:p>
      <w:pPr>
        <w:spacing w:after="0" w:line="1" w:lineRule="exact"/>
        <w:rPr>
          <w:sz w:val="20"/>
          <w:szCs w:val="20"/>
          <w:color w:val="auto"/>
        </w:rPr>
      </w:pPr>
    </w:p>
    <w:p>
      <w:pPr>
        <w:ind w:left="220" w:right="239"/>
        <w:spacing w:after="0" w:line="253" w:lineRule="auto"/>
        <w:rPr>
          <w:sz w:val="20"/>
          <w:szCs w:val="20"/>
          <w:color w:val="auto"/>
        </w:rPr>
      </w:pPr>
      <w:r>
        <w:rPr>
          <w:rFonts w:ascii="Times New Roman" w:cs="Times New Roman" w:eastAsia="Times New Roman" w:hAnsi="Times New Roman"/>
          <w:sz w:val="14"/>
          <w:szCs w:val="14"/>
          <w:color w:val="auto"/>
        </w:rPr>
        <w:t xml:space="preserve">5.0% of TTM Consolidated EBITDA for such period, (b) the total assets (excluding Investments in other Subsidiaries) of which reflected on the balance sheet of such Subsidiary as of the end of the then most recently ended fiscal quarter, were greater than 5.0% of the consolidated total assets of the Parent and its Subsidiaries as of such date, (c) which, as of the end of the then most recently ended fiscal quarter of the Parent, for the Measurement Period then ended, contributed (adjusted to eliminate the effect of intercompany transactions) greater than 5.0% of the total revenue of the Parent and its Subsidiaries on a consolidated basis for such period or (d) which holds Material IP Rights;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any Subsidiary that was not previously a</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1" w:right="1440" w:bottom="1440" w:gutter="0" w:footer="0" w:header="0"/>
        </w:sectPr>
      </w:pPr>
    </w:p>
    <w:bookmarkStart w:id="603" w:name="page604"/>
    <w:bookmarkEnd w:id="603"/>
    <w:p>
      <w:pPr>
        <w:ind w:left="220" w:right="319"/>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Material Subsidiary shall not be deemed a Material Subsidiary until the date which is ninety (90) days after the date that the Loan Parties were required to deliver financial statements for the Measurement Period most recently ended prior to satisfaction of the applicable condition set forth in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(d)</w:t>
      </w:r>
      <w:r>
        <w:rPr>
          <w:rFonts w:ascii="Times New Roman" w:cs="Times New Roman" w:eastAsia="Times New Roman" w:hAnsi="Times New Roman"/>
          <w:sz w:val="13"/>
          <w:szCs w:val="13"/>
          <w:color w:val="auto"/>
        </w:rPr>
        <w:t xml:space="preserve"> above with respect to such Subsidiary (or such longer period as the Administrative Agent may agree in its sole discretion), and (ii) for</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clarity, any newly formed or acquired Material Subsidiary shall be deemed a Material Subsidiary on the date of such formation or acquisition (or as of</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such later date as the Administrative Agent may agree in its sole discretion);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at any time that any two or more Subsidiaries (other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than Material Subsidiaries) of the Parent (1) as of the end of any fiscal quarter of the Parent, for the Measurement Period then ended, contributed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(adjusted to eliminate the effect of intercompany transactions) greater than 10.0% of TTM Consolidated EBITDA for such period, (2) have total assets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(excluding Investments in other Subsidiaries) reflected on the balance sheet of such Subsidiaries as of the end of any fiscal quarter greater than 10.0% of</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consolidated total assets of the Parent and its Subsidiaries as of the end of such fiscal quarter or (3) as of the end of any fiscal quarter of the Parent,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 the Measurement Period then ended, contributed (adjusted to eliminate the effect of intercompany transactions) greater than 10.0% of the total</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revenue of the Parent and its Subsidiaries on a consolidated basis for such period, then, in each case, the Parent shall have ninety (90) days after the date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that the Loan Parties were required to deliver financial statements for the Measurement Period most recently ended prior to satisfaction of the applicable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condition set forth in </w:t>
      </w:r>
      <w:r>
        <w:rPr>
          <w:rFonts w:ascii="Times New Roman" w:cs="Times New Roman" w:eastAsia="Times New Roman" w:hAnsi="Times New Roman"/>
          <w:sz w:val="14"/>
          <w:szCs w:val="14"/>
          <w:u w:val="single" w:color="auto"/>
          <w:color w:val="auto"/>
        </w:rPr>
        <w:t>clause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(3)</w:t>
      </w:r>
      <w:r>
        <w:rPr>
          <w:rFonts w:ascii="Times New Roman" w:cs="Times New Roman" w:eastAsia="Times New Roman" w:hAnsi="Times New Roman"/>
          <w:sz w:val="14"/>
          <w:szCs w:val="14"/>
          <w:color w:val="auto"/>
        </w:rPr>
        <w:t xml:space="preserve"> of this proviso (or such longer period as the Administrative Agent may agree in its sole discretion) to</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designate in writing to the Administrative Agent one or more additional Subsidiaries as “Material Subsidiaries” so that, following such written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designation, none of the conditions set forth in </w:t>
      </w:r>
      <w:r>
        <w:rPr>
          <w:rFonts w:ascii="Times New Roman" w:cs="Times New Roman" w:eastAsia="Times New Roman" w:hAnsi="Times New Roman"/>
          <w:sz w:val="14"/>
          <w:szCs w:val="14"/>
          <w:u w:val="single" w:color="auto"/>
          <w:color w:val="auto"/>
        </w:rPr>
        <w:t>clause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(3)</w:t>
      </w:r>
      <w:r>
        <w:rPr>
          <w:rFonts w:ascii="Times New Roman" w:cs="Times New Roman" w:eastAsia="Times New Roman" w:hAnsi="Times New Roman"/>
          <w:sz w:val="14"/>
          <w:szCs w:val="14"/>
          <w:color w:val="auto"/>
        </w:rPr>
        <w:t xml:space="preserve"> above are thereafter satisfied. Within the time period and subject to the limitations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and exclusions set forth in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 the Parent shall cause new Material Subsidiaries to become “Guarantors” pursuant to, and in accordance with</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terms of, the Loan Documents. It is understood and agreed that, with respect to any Subsidiary that is not a “Material Subsidiary” as of the Mirror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Transactions Funding Date, the references to “the then most recently ended fiscal quarter of the Parent” set forth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of this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definition shall refer to the then most recently ended fiscal quarter for which the Parent was required to deliver financial statements pursuant to</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Notwithstanding the foregoing, each Loan Party (other than (x) the Parent and (y) any Person that ceases to be a Loan Party) shall</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be deemed to be a “Material Subsidiary” at all times on and after the date such Loan Party became a Loan Party under this Agreement.</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Subsidiary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Maturity Date</w:t>
      </w:r>
      <w:r>
        <w:rPr>
          <w:rFonts w:ascii="Times New Roman" w:cs="Times New Roman" w:eastAsia="Times New Roman" w:hAnsi="Times New Roman"/>
          <w:sz w:val="14"/>
          <w:szCs w:val="14"/>
          <w:color w:val="auto"/>
        </w:rPr>
        <w:t xml:space="preserve">” means June 29, 2031;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day is not a Business Day, the Maturity Date shall be the next preceding Business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Day.</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Maximum Rate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11.09</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34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Measurement Period</w:t>
      </w:r>
      <w:r>
        <w:rPr>
          <w:rFonts w:ascii="Times New Roman" w:cs="Times New Roman" w:eastAsia="Times New Roman" w:hAnsi="Times New Roman"/>
          <w:sz w:val="14"/>
          <w:szCs w:val="14"/>
          <w:color w:val="auto"/>
        </w:rPr>
        <w:t xml:space="preserve">” means, at any date of determination, the most recently completed four consecutive fiscal quarters of the Parent ended on or prior to such date (taken as one accounting period) in respect of which financial statements have been or are required to be delivered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prior to the first date that financial statements have been or are required to have been delivered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the Measurement Period in effect shall be the period of four consecutive fiscal quarters of the Parent ended March 31, 2026.</w:t>
      </w:r>
    </w:p>
    <w:p>
      <w:pPr>
        <w:spacing w:after="0" w:line="3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Mercury</w:t>
      </w:r>
      <w:r>
        <w:rPr>
          <w:rFonts w:ascii="Times New Roman" w:cs="Times New Roman" w:eastAsia="Times New Roman" w:hAnsi="Times New Roman"/>
          <w:sz w:val="14"/>
          <w:szCs w:val="14"/>
          <w:color w:val="auto"/>
        </w:rPr>
        <w:t>” means Modine Manufacturing Company, a Wisconsin corporation.</w:t>
      </w:r>
    </w:p>
    <w:p>
      <w:pPr>
        <w:spacing w:after="0" w:line="175" w:lineRule="exact"/>
        <w:rPr>
          <w:sz w:val="20"/>
          <w:szCs w:val="20"/>
          <w:color w:val="auto"/>
        </w:rPr>
      </w:pPr>
    </w:p>
    <w:p>
      <w:pPr>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Intercreditor Agreement</w:t>
      </w:r>
      <w:r>
        <w:rPr>
          <w:rFonts w:ascii="Times New Roman" w:cs="Times New Roman" w:eastAsia="Times New Roman" w:hAnsi="Times New Roman"/>
          <w:sz w:val="14"/>
          <w:szCs w:val="14"/>
          <w:color w:val="auto"/>
        </w:rPr>
        <w:t xml:space="preserve">” means that certain Intercreditor Agreement, dated as of the Mirror Transactions Funding Date, by and among the Administrative Agent and the Company Credit Agreement Agent, and acknowledged by the Loan Parties, substantially in the form of </w:t>
      </w:r>
      <w:r>
        <w:rPr>
          <w:rFonts w:ascii="Times New Roman" w:cs="Times New Roman" w:eastAsia="Times New Roman" w:hAnsi="Times New Roman"/>
          <w:sz w:val="14"/>
          <w:szCs w:val="14"/>
          <w:u w:val="single" w:color="auto"/>
          <w:color w:val="auto"/>
        </w:rPr>
        <w:t>Exhibit H</w:t>
      </w:r>
      <w:r>
        <w:rPr>
          <w:rFonts w:ascii="Times New Roman" w:cs="Times New Roman" w:eastAsia="Times New Roman" w:hAnsi="Times New Roman"/>
          <w:sz w:val="14"/>
          <w:szCs w:val="14"/>
          <w:color w:val="auto"/>
        </w:rPr>
        <w:t>, as the same may be amended, restated, amended and restated, replaced, refinanced, supplemented or otherwise modified from time to time.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1" w:right="1440" w:bottom="1440" w:gutter="0" w:footer="0" w:header="0"/>
        </w:sectPr>
      </w:pPr>
    </w:p>
    <w:bookmarkStart w:id="604" w:name="page605"/>
    <w:bookmarkEnd w:id="604"/>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Mirror Merger</w:t>
      </w:r>
      <w:r>
        <w:rPr>
          <w:rFonts w:ascii="Times New Roman" w:cs="Times New Roman" w:eastAsia="Times New Roman" w:hAnsi="Times New Roman"/>
          <w:sz w:val="14"/>
          <w:szCs w:val="14"/>
          <w:color w:val="auto"/>
        </w:rPr>
        <w:t>” has the meaning specified in the definition of “Mirror Transactions”.</w:t>
      </w:r>
    </w:p>
    <w:p>
      <w:pPr>
        <w:spacing w:after="0" w:line="175" w:lineRule="exact"/>
        <w:rPr>
          <w:sz w:val="20"/>
          <w:szCs w:val="20"/>
          <w:color w:val="auto"/>
        </w:rPr>
      </w:pPr>
    </w:p>
    <w:p>
      <w:pPr>
        <w:ind w:left="220" w:right="3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Merger Agreement</w:t>
      </w:r>
      <w:r>
        <w:rPr>
          <w:rFonts w:ascii="Times New Roman" w:cs="Times New Roman" w:eastAsia="Times New Roman" w:hAnsi="Times New Roman"/>
          <w:sz w:val="14"/>
          <w:szCs w:val="14"/>
          <w:color w:val="auto"/>
        </w:rPr>
        <w:t>” means the Agreement and Plan of Merger, dated as of January 29, 2026, by and among Mercury, the Borrower, the Company and Mirror Merger Sub, as amended, supplemented or otherwise modified from time to time.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Merger Sub</w:t>
      </w:r>
      <w:r>
        <w:rPr>
          <w:rFonts w:ascii="Times New Roman" w:cs="Times New Roman" w:eastAsia="Times New Roman" w:hAnsi="Times New Roman"/>
          <w:sz w:val="14"/>
          <w:szCs w:val="14"/>
          <w:color w:val="auto"/>
        </w:rPr>
        <w:t>” means Platinum Gold Merger Sub Inc., a Delaware corporation and a wholly-owned Subsidiary of the Company.</w:t>
      </w:r>
    </w:p>
    <w:p>
      <w:pPr>
        <w:spacing w:after="0" w:line="175" w:lineRule="exact"/>
        <w:rPr>
          <w:sz w:val="20"/>
          <w:szCs w:val="20"/>
          <w:color w:val="auto"/>
        </w:rPr>
      </w:pPr>
    </w:p>
    <w:p>
      <w:pPr>
        <w:ind w:left="220" w:right="4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Separation Agreement</w:t>
      </w:r>
      <w:r>
        <w:rPr>
          <w:rFonts w:ascii="Times New Roman" w:cs="Times New Roman" w:eastAsia="Times New Roman" w:hAnsi="Times New Roman"/>
          <w:sz w:val="14"/>
          <w:szCs w:val="14"/>
          <w:color w:val="auto"/>
        </w:rPr>
        <w:t>” means the Separation Agreement, dated as of January 29, 2026, by and among Mercury, the Company and the Borrower, as amended, supplemented or otherwise modified from time to time.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Transaction Documents</w:t>
      </w:r>
      <w:r>
        <w:rPr>
          <w:rFonts w:ascii="Times New Roman" w:cs="Times New Roman" w:eastAsia="Times New Roman" w:hAnsi="Times New Roman"/>
          <w:sz w:val="14"/>
          <w:szCs w:val="14"/>
          <w:color w:val="auto"/>
        </w:rPr>
        <w:t>” means the Mirror Merger Agreement and the Mirror Separation Agreement.</w:t>
      </w:r>
    </w:p>
    <w:p>
      <w:pPr>
        <w:spacing w:after="0" w:line="175"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Transactions</w:t>
      </w:r>
      <w:r>
        <w:rPr>
          <w:rFonts w:ascii="Times New Roman" w:cs="Times New Roman" w:eastAsia="Times New Roman" w:hAnsi="Times New Roman"/>
          <w:sz w:val="14"/>
          <w:szCs w:val="14"/>
          <w:color w:val="auto"/>
        </w:rPr>
        <w:t>” means, collectively, (a) the separation of the Borrower from Mercury (including the transfer by Mercury to the Borrower of certain assets, liabilities and operations of its performance technologies business), (b) the payment by the Borrower of the SpinCo Cash Distribution (as defined in the Mirror Separation Agreement and as may be adjusted in accordance with the Mirror Transaction Documents), (c) the Distribution (as defined in the Mirror Separation Agreement), (d) the merger of Mirror Merger Sub with and into the Borrower, with the Borrower surviving and becoming a wholly-owned subsidiary of the Company and with the shares of the Borrower being automatically converted into the right to receive a specified number of shares of the common stock of the Company (the “</w:t>
      </w:r>
      <w:r>
        <w:rPr>
          <w:rFonts w:ascii="Times New Roman" w:cs="Times New Roman" w:eastAsia="Times New Roman" w:hAnsi="Times New Roman"/>
          <w:sz w:val="14"/>
          <w:szCs w:val="14"/>
          <w:u w:val="single" w:color="auto"/>
          <w:color w:val="auto"/>
        </w:rPr>
        <w:t>Mirror Merger</w:t>
      </w:r>
      <w:r>
        <w:rPr>
          <w:rFonts w:ascii="Times New Roman" w:cs="Times New Roman" w:eastAsia="Times New Roman" w:hAnsi="Times New Roman"/>
          <w:sz w:val="14"/>
          <w:szCs w:val="14"/>
          <w:color w:val="auto"/>
        </w:rPr>
        <w:t>”), (e) the payment by the Company of the Gold Special Dividend (as defined in the Mirror Merger Agreement), if any, and (f) the payment of fees, costs and expenses in connection with the foregoing, in each case, pursuant to the Mirror Transaction Documents.</w:t>
      </w:r>
    </w:p>
    <w:p>
      <w:pPr>
        <w:spacing w:after="0" w:line="145" w:lineRule="exact"/>
        <w:rPr>
          <w:sz w:val="20"/>
          <w:szCs w:val="20"/>
          <w:color w:val="auto"/>
        </w:rPr>
      </w:pPr>
    </w:p>
    <w:p>
      <w:pPr>
        <w:ind w:left="220" w:right="39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Transactions Funding Date</w:t>
      </w:r>
      <w:r>
        <w:rPr>
          <w:rFonts w:ascii="Times New Roman" w:cs="Times New Roman" w:eastAsia="Times New Roman" w:hAnsi="Times New Roman"/>
          <w:sz w:val="14"/>
          <w:szCs w:val="14"/>
          <w:color w:val="auto"/>
        </w:rPr>
        <w:t xml:space="preserve">” means the date of the initial Credit Extensions hereunder, which shall be in connection with the consummation of the Mirror Transactions pursuant to the Mirror Transaction Documents and subject to the satisfaction or waiver of the conditions set forth in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Transactions Funding Date Gentherm Deliverables</w:t>
      </w:r>
      <w:r>
        <w:rPr>
          <w:rFonts w:ascii="Times New Roman" w:cs="Times New Roman" w:eastAsia="Times New Roman" w:hAnsi="Times New Roman"/>
          <w:sz w:val="14"/>
          <w:szCs w:val="14"/>
          <w:color w:val="auto"/>
        </w:rPr>
        <w:t>” means the following:</w:t>
      </w:r>
    </w:p>
    <w:p>
      <w:pPr>
        <w:spacing w:after="0" w:line="91" w:lineRule="exact"/>
        <w:rPr>
          <w:sz w:val="20"/>
          <w:szCs w:val="20"/>
          <w:color w:val="auto"/>
        </w:rPr>
      </w:pPr>
    </w:p>
    <w:p>
      <w:pPr>
        <w:ind w:left="220" w:right="279" w:firstLine="338"/>
        <w:spacing w:after="0" w:line="258" w:lineRule="auto"/>
        <w:tabs>
          <w:tab w:leader="none" w:pos="753" w:val="left"/>
        </w:tabs>
        <w:numPr>
          <w:ilvl w:val="0"/>
          <w:numId w:val="6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counterparts of (i) the Mirror Transactions Funding Date Company Joinder, a Security Agreement Supplement and an acknowledgment of the Mirror Intercreditor Agreement, in each case properly executed by a Responsible Officer of the Company and (ii) the Mirror Transactions Funding Date Subsidiary Guaranty, a Security Agreement Supplement and an acknowledgment of the Mirror Intercreditor Agreement, in each case properly executed by a Responsible Officer of each Person that is a Domestic Loan Party party to the Company Credit Agreement as of the Mirror Transactions Funding Date (such Persons, together with the Company, the “</w:t>
      </w:r>
      <w:r>
        <w:rPr>
          <w:rFonts w:ascii="Times New Roman" w:cs="Times New Roman" w:eastAsia="Times New Roman" w:hAnsi="Times New Roman"/>
          <w:sz w:val="14"/>
          <w:szCs w:val="14"/>
          <w:u w:val="single" w:color="auto"/>
          <w:color w:val="auto"/>
        </w:rPr>
        <w:t>Mirror Transactions Funding Date Gentherm Loan Parties</w:t>
      </w:r>
      <w:r>
        <w:rPr>
          <w:rFonts w:ascii="Times New Roman" w:cs="Times New Roman" w:eastAsia="Times New Roman" w:hAnsi="Times New Roman"/>
          <w:sz w:val="14"/>
          <w:szCs w:val="14"/>
          <w:color w:val="auto"/>
        </w:rPr>
        <w:t>”);</w:t>
      </w:r>
    </w:p>
    <w:p>
      <w:pPr>
        <w:spacing w:after="0" w:line="143" w:lineRule="exact"/>
        <w:rPr>
          <w:rFonts w:ascii="Times New Roman" w:cs="Times New Roman" w:eastAsia="Times New Roman" w:hAnsi="Times New Roman"/>
          <w:sz w:val="14"/>
          <w:szCs w:val="14"/>
          <w:color w:val="auto"/>
        </w:rPr>
      </w:pPr>
    </w:p>
    <w:p>
      <w:pPr>
        <w:ind w:left="220" w:right="299" w:firstLine="338"/>
        <w:spacing w:after="0" w:line="258" w:lineRule="auto"/>
        <w:tabs>
          <w:tab w:leader="none" w:pos="761" w:val="left"/>
        </w:tabs>
        <w:numPr>
          <w:ilvl w:val="0"/>
          <w:numId w:val="6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proper financing statements in form appropriate for filing under the UCC of all jurisdictions that the Administrative Agent may deem necessary or desirable in order to perfect the Liens created pursuant to clause (a) above; (ii) certificates representing any Equity Interests pledged under the Security Agreement, accompanied by undated stock powers (or other transfers, stock transfer forms or the equivalent thereof) executed in blank and instruments evidencing any Indebtedness pledged under the Security Agreement indorsed in blank; and (iii) duly executed notices of grant of security interest in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605" w:name="page606"/>
    <w:bookmarkEnd w:id="605"/>
    <w:p>
      <w:pPr>
        <w:ind w:left="220" w:right="259"/>
        <w:spacing w:after="0" w:line="28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intellectual property in the form required by the Security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to the extent any Collateral of the Mirror Transactions Funding Date Gentherm Loan Parties cannot be provided on the Mirror Transactions Funding Date (other than the pledge and perfection of the security interests in the Equity Interests of the Company’s Domestic Subsidiaries and assets with respect to which a Lien may be perfected by the filing of a UCC financing statement) after the Mirror Transactions Funding Date Gentherm Loan Parties’ use of commercially reasonable efforts to do so, then the Mirror Transactions Funding Date Gentherm Loan Parties shall have ninety (90) days after the Mirror Transactions Funding Date (or such longer period as the Administrative Agent may agree in its sole discretion) to deliver such Collateral and/or cause the perfection of a security interest in such Collateral;</w:t>
      </w:r>
    </w:p>
    <w:p>
      <w:pPr>
        <w:spacing w:after="0" w:line="131" w:lineRule="exact"/>
        <w:rPr>
          <w:sz w:val="20"/>
          <w:szCs w:val="20"/>
          <w:color w:val="auto"/>
        </w:rPr>
      </w:pPr>
    </w:p>
    <w:p>
      <w:pPr>
        <w:ind w:left="220" w:right="239" w:firstLine="338"/>
        <w:spacing w:after="0" w:line="254" w:lineRule="auto"/>
        <w:tabs>
          <w:tab w:leader="none" w:pos="753" w:val="left"/>
        </w:tabs>
        <w:numPr>
          <w:ilvl w:val="0"/>
          <w:numId w:val="6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copies of the Organization Documents of each Mirror Transactions Funding Date Gentherm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Mirror Transactions Funding Date; (ii) such certificates of resolutions or other action, incumbency certificates and/or other certificates of Responsible Officers of each Mirror Transactions Funding Date Gentherm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and (iii) such documents and certifications as the Administrative Agent may reasonably require to evidence that each Mirror Transactions Funding Date Gentherm Loan Party is duly organized or formed, and that each such Loan Party is validly existing, in good standing and qualified to engage in business in its jurisdiction or organization or formation;</w:t>
      </w:r>
    </w:p>
    <w:p>
      <w:pPr>
        <w:spacing w:after="0" w:line="148" w:lineRule="exact"/>
        <w:rPr>
          <w:rFonts w:ascii="Times New Roman" w:cs="Times New Roman" w:eastAsia="Times New Roman" w:hAnsi="Times New Roman"/>
          <w:sz w:val="14"/>
          <w:szCs w:val="14"/>
          <w:color w:val="auto"/>
        </w:rPr>
      </w:pPr>
    </w:p>
    <w:p>
      <w:pPr>
        <w:ind w:left="220" w:right="419" w:firstLine="338"/>
        <w:spacing w:after="0" w:line="283" w:lineRule="auto"/>
        <w:tabs>
          <w:tab w:leader="none" w:pos="761" w:val="left"/>
        </w:tabs>
        <w:numPr>
          <w:ilvl w:val="0"/>
          <w:numId w:val="6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favorable opinions of legal counsel to the Mirror Transactions Funding Date Gentherm Loan Parties, addressed to the Administrative Agent and each Lender, dated as of the Mirror Transactions Funding Date; and</w:t>
      </w:r>
    </w:p>
    <w:p>
      <w:pPr>
        <w:spacing w:after="0" w:line="124" w:lineRule="exact"/>
        <w:rPr>
          <w:rFonts w:ascii="Times New Roman" w:cs="Times New Roman" w:eastAsia="Times New Roman" w:hAnsi="Times New Roman"/>
          <w:sz w:val="14"/>
          <w:szCs w:val="14"/>
          <w:color w:val="auto"/>
        </w:rPr>
      </w:pPr>
    </w:p>
    <w:p>
      <w:pPr>
        <w:ind w:left="220" w:right="239" w:firstLine="338"/>
        <w:spacing w:after="0" w:line="255" w:lineRule="auto"/>
        <w:tabs>
          <w:tab w:leader="none" w:pos="753" w:val="left"/>
        </w:tabs>
        <w:numPr>
          <w:ilvl w:val="0"/>
          <w:numId w:val="6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certificate signed by the chief financial officer of the Company certifying that, after giving effect to the Mirror Transactions on the Mirror Transactions Funding Date, the incurrence of the Indebtedness hereunder, all other transactions to occur on the Mirror Transactions Funding Date, and the joinder of the Company to this Agreement pursuant to the Mirror Transactions Funding Date Company Joinder, (i) (A) the representations and warranties (1) contained in Article V and (2) contained in each other Loan Document or in any document furnished at any time under or in connection herewith or therewith are true and correct in all material respects (and in all respects if any such representation or warranty is already qualified by materiality) on and as of the Mirror Transactions Funding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(B) no Default exists and (ii) the Company and its Subsidiaries, on a consolidated basis, are Solvent.</w:t>
      </w:r>
    </w:p>
    <w:p>
      <w:pPr>
        <w:spacing w:after="0" w:line="145" w:lineRule="exact"/>
        <w:rPr>
          <w:sz w:val="20"/>
          <w:szCs w:val="20"/>
          <w:color w:val="auto"/>
        </w:rPr>
      </w:pPr>
    </w:p>
    <w:p>
      <w:pPr>
        <w:jc w:val="both"/>
        <w:ind w:left="220" w:right="35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Transactions Funding Date Company Joinder</w:t>
      </w:r>
      <w:r>
        <w:rPr>
          <w:rFonts w:ascii="Times New Roman" w:cs="Times New Roman" w:eastAsia="Times New Roman" w:hAnsi="Times New Roman"/>
          <w:sz w:val="14"/>
          <w:szCs w:val="14"/>
          <w:color w:val="auto"/>
        </w:rPr>
        <w:t xml:space="preserve">” means that certain Company Joinder by and among the Company and the Administrative Agent, on behalf of the Secured Parties, and dated as of the Mirror Transactions Funding Date, substantially in the form of </w:t>
      </w:r>
      <w:r>
        <w:rPr>
          <w:rFonts w:ascii="Times New Roman" w:cs="Times New Roman" w:eastAsia="Times New Roman" w:hAnsi="Times New Roman"/>
          <w:sz w:val="14"/>
          <w:szCs w:val="14"/>
          <w:u w:val="single" w:color="auto"/>
          <w:color w:val="auto"/>
        </w:rPr>
        <w:t>Exhibit F-2</w:t>
      </w:r>
      <w:r>
        <w:rPr>
          <w:rFonts w:ascii="Times New Roman" w:cs="Times New Roman" w:eastAsia="Times New Roman" w:hAnsi="Times New Roman"/>
          <w:sz w:val="14"/>
          <w:szCs w:val="14"/>
          <w:color w:val="auto"/>
        </w:rPr>
        <w:t xml:space="preserve"> and pursuant to which the Company shall (x) guarantee all of the Obligations pursuant to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by joining as a “Guarantor” under and (y) agree to comply with</w:t>
      </w:r>
    </w:p>
    <w:p>
      <w:pPr>
        <w:ind w:left="220" w:right="339" w:hanging="5"/>
        <w:spacing w:after="0" w:line="261" w:lineRule="auto"/>
        <w:tabs>
          <w:tab w:leader="none" w:pos="387" w:val="left"/>
        </w:tabs>
        <w:numPr>
          <w:ilvl w:val="0"/>
          <w:numId w:val="6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covenants and agreements hereunder applicable to the Parent and (ii) for the avoidance of doubt, the covenants and agreements applicable to the Company.</w:t>
      </w:r>
    </w:p>
    <w:p>
      <w:pPr>
        <w:spacing w:after="0" w:line="140" w:lineRule="exact"/>
        <w:rPr>
          <w:sz w:val="20"/>
          <w:szCs w:val="20"/>
          <w:color w:val="auto"/>
        </w:rPr>
      </w:pPr>
    </w:p>
    <w:p>
      <w:pPr>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Mirror Transactions Funding Date Subsidiary Guaranty</w:t>
      </w:r>
      <w:r>
        <w:rPr>
          <w:rFonts w:ascii="Times New Roman" w:cs="Times New Roman" w:eastAsia="Times New Roman" w:hAnsi="Times New Roman"/>
          <w:sz w:val="14"/>
          <w:szCs w:val="14"/>
          <w:color w:val="auto"/>
        </w:rPr>
        <w:t xml:space="preserve">” means that certain Subsidiary Guaranty made by the Subsidiary Guarantors in favor of the Administrative Agent, on behalf of the Secured Parties, and dated as of the Mirror Transactions Funding Date, substantially in the form of </w:t>
      </w:r>
      <w:r>
        <w:rPr>
          <w:rFonts w:ascii="Times New Roman" w:cs="Times New Roman" w:eastAsia="Times New Roman" w:hAnsi="Times New Roman"/>
          <w:sz w:val="14"/>
          <w:szCs w:val="14"/>
          <w:u w:val="single" w:color="auto"/>
          <w:color w:val="auto"/>
        </w:rPr>
        <w:t>Exhibit F-1</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1" w:right="1440" w:bottom="1440" w:gutter="0" w:footer="0" w:header="0"/>
        </w:sectPr>
      </w:pPr>
    </w:p>
    <w:bookmarkStart w:id="606" w:name="page607"/>
    <w:bookmarkEnd w:id="606"/>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Moody’s</w:t>
      </w:r>
      <w:r>
        <w:rPr>
          <w:rFonts w:ascii="Times New Roman" w:cs="Times New Roman" w:eastAsia="Times New Roman" w:hAnsi="Times New Roman"/>
          <w:sz w:val="14"/>
          <w:szCs w:val="14"/>
          <w:color w:val="auto"/>
        </w:rPr>
        <w:t>” means Moody’s Investors Service, Inc. and any successor thereto.</w:t>
      </w:r>
    </w:p>
    <w:p>
      <w:pPr>
        <w:spacing w:after="0" w:line="175" w:lineRule="exact"/>
        <w:rPr>
          <w:sz w:val="20"/>
          <w:szCs w:val="20"/>
          <w:color w:val="auto"/>
        </w:rPr>
      </w:pPr>
    </w:p>
    <w:p>
      <w:pPr>
        <w:ind w:left="220" w:right="279" w:firstLine="343"/>
        <w:spacing w:after="0" w:line="32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Multiemployer Plan</w:t>
      </w:r>
      <w:r>
        <w:rPr>
          <w:rFonts w:ascii="Times New Roman" w:cs="Times New Roman" w:eastAsia="Times New Roman" w:hAnsi="Times New Roman"/>
          <w:sz w:val="13"/>
          <w:szCs w:val="13"/>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02" w:lineRule="exact"/>
        <w:rPr>
          <w:sz w:val="20"/>
          <w:szCs w:val="20"/>
          <w:color w:val="auto"/>
        </w:rPr>
      </w:pPr>
    </w:p>
    <w:p>
      <w:pPr>
        <w:ind w:left="220" w:right="4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Multiple Employer Plan</w:t>
      </w:r>
      <w:r>
        <w:rPr>
          <w:rFonts w:ascii="Times New Roman" w:cs="Times New Roman" w:eastAsia="Times New Roman" w:hAnsi="Times New Roman"/>
          <w:sz w:val="14"/>
          <w:szCs w:val="14"/>
          <w:color w:val="auto"/>
        </w:rPr>
        <w:t>” means a Plan which has two or more contributing sponsors (including the Borrower or any ERISA Affiliate) at least two of whom are not under common control, as such a plan is described in Section 4064 of ERISA.</w:t>
      </w:r>
    </w:p>
    <w:p>
      <w:pPr>
        <w:spacing w:after="0" w:line="125" w:lineRule="exact"/>
        <w:rPr>
          <w:sz w:val="20"/>
          <w:szCs w:val="20"/>
          <w:color w:val="auto"/>
        </w:rPr>
      </w:pPr>
    </w:p>
    <w:p>
      <w:pPr>
        <w:ind w:left="220" w:right="299" w:firstLine="343"/>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Net Cash Proceeds</w:t>
      </w:r>
      <w:r>
        <w:rPr>
          <w:rFonts w:ascii="Times New Roman" w:cs="Times New Roman" w:eastAsia="Times New Roman" w:hAnsi="Times New Roman"/>
          <w:sz w:val="13"/>
          <w:szCs w:val="13"/>
          <w:color w:val="auto"/>
        </w:rPr>
        <w:t>” means the aggregate cash or Cash Equivalents proceeds received by the Parent or any Subsidiary in respect of (a) any Disposition, net of (i) selling expenses (including, without limitation, brokers’ fees or commissions, legal, accounting and other professional and transactional fees, transfer and similar taxes and the Parent’s good faith estimate of income taxes actually paid or payable in connection with such sale),</w:t>
      </w:r>
    </w:p>
    <w:p>
      <w:pPr>
        <w:spacing w:after="0" w:line="2" w:lineRule="exact"/>
        <w:rPr>
          <w:sz w:val="20"/>
          <w:szCs w:val="20"/>
          <w:color w:val="auto"/>
        </w:rPr>
      </w:pPr>
    </w:p>
    <w:p>
      <w:pPr>
        <w:ind w:left="220" w:right="239" w:hanging="5"/>
        <w:spacing w:after="0" w:line="251" w:lineRule="auto"/>
        <w:tabs>
          <w:tab w:leader="none" w:pos="426" w:val="left"/>
        </w:tabs>
        <w:numPr>
          <w:ilvl w:val="0"/>
          <w:numId w:val="6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provided as a reserve, in accordance with GAAP, against (A) any liabilities under any indemnification obligations associated with such Disposition or (B) any other liabilities retained by the Parent or any of its Subsidiaries associated with the properties sold in such Disposition, (iii) the Parent’s good faith estimate of payments required to be made with respect to unassumed liabilities relating to the properties sold, (iv) the principal amount, premium or penalty, if any, interest and other amounts on any Indebtedness for borrowed money which is secured by a Lien on the properties sold in such Disposition (so long as such Lien was permitted to encumber such properties under the Loan Documents at the time of such sale) and which is repaid with such proceeds (other than any such Indebtedness assumed by the purchaser of such properties), and (v) in the case of any such cash proceeds received (or subsequently received) by any Subsidiary that is not a wholly-owned Subsidiary, the portion of such proceeds allocable to the holders (other than the Parent and its Subsidiaries) of Equity Interests in such Subsidiary, (b) any Debt Issuance, net of (i) customary fees, commissions, costs and other expenses incurred in connection therewith and (ii) any taxes paid or payable in connection therewith, and (c) any Involuntary Disposition, net of (i) all costs and expenses incurred in connection with the collection of such proceeds, awards or other compensation in respect of such Involuntary Disposition, including, without limitation, legal, accounting and other professional fees and expenses, (ii) the principal amount, premium or penalty, if any, interest and other amounts on any Indebtedness and which is secured by a Lien on the property subject to such Involuntary Disposition (so long as such Lien was permitted to encumber such property under the Loan Documents at the time of such Involuntary Disposition) and which is repaid with such cash proceeds, awards or other compensation, and (iii) in the case of any such cash proceeds, awards or other compensation received by any Subsidiary that is not a wholly-owned Subsidiary, the portion of such proceeds allocable to the holders (other than the Parent and its Subsidiaries) of Equity Interests in such Subsidiary.</w:t>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Guarantor</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6.13(a)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6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Non-Consenting Lender</w:t>
      </w:r>
      <w:r>
        <w:rPr>
          <w:rFonts w:ascii="Times New Roman" w:cs="Times New Roman" w:eastAsia="Times New Roman" w:hAnsi="Times New Roman"/>
          <w:sz w:val="14"/>
          <w:szCs w:val="14"/>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4"/>
          <w:szCs w:val="14"/>
          <w:u w:val="single" w:color="auto"/>
          <w:color w:val="auto"/>
        </w:rPr>
        <w:t>Section 11.01</w:t>
      </w:r>
      <w:r>
        <w:rPr>
          <w:rFonts w:ascii="Times New Roman" w:cs="Times New Roman" w:eastAsia="Times New Roman" w:hAnsi="Times New Roman"/>
          <w:sz w:val="14"/>
          <w:szCs w:val="14"/>
          <w:color w:val="auto"/>
        </w:rPr>
        <w:t xml:space="preserve"> and (b) has been approved by the Required Lenders.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Non-Defaulting Lender</w:t>
      </w:r>
      <w:r>
        <w:rPr>
          <w:rFonts w:ascii="Times New Roman" w:cs="Times New Roman" w:eastAsia="Times New Roman" w:hAnsi="Times New Roman"/>
          <w:sz w:val="14"/>
          <w:szCs w:val="14"/>
          <w:color w:val="auto"/>
        </w:rPr>
        <w:t>” means, at any time, each Lender that is not a Defaulting Lender at such time.</w:t>
      </w:r>
    </w:p>
    <w:p>
      <w:pPr>
        <w:spacing w:after="0" w:line="175"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 Otherwise Applied</w:t>
      </w:r>
      <w:r>
        <w:rPr>
          <w:rFonts w:ascii="Times New Roman" w:cs="Times New Roman" w:eastAsia="Times New Roman" w:hAnsi="Times New Roman"/>
          <w:sz w:val="14"/>
          <w:szCs w:val="14"/>
          <w:color w:val="auto"/>
        </w:rPr>
        <w:t>” means, with reference to any proceeds of any transaction or event that is proposed to be applied to a particular use or transaction, that such amount has not previously been (and is not simultaneously being) applied to anything other than such particular use or transaction.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1" w:right="1440" w:bottom="1440" w:gutter="0" w:footer="0" w:header="0"/>
        </w:sectPr>
      </w:pPr>
    </w:p>
    <w:bookmarkStart w:id="607" w:name="page608"/>
    <w:bookmarkEnd w:id="607"/>
    <w:p>
      <w:pPr>
        <w:ind w:left="220" w:right="47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Note</w:t>
      </w:r>
      <w:r>
        <w:rPr>
          <w:rFonts w:ascii="Times New Roman" w:cs="Times New Roman" w:eastAsia="Times New Roman" w:hAnsi="Times New Roman"/>
          <w:sz w:val="14"/>
          <w:szCs w:val="14"/>
          <w:color w:val="auto"/>
        </w:rPr>
        <w:t xml:space="preserve">” means a promissory note made by the Borrower in favor of a Lender evidencing Term Loans made by such Lender, substantially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20" w:right="29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Notice of Loan Prepayment</w:t>
      </w:r>
      <w:r>
        <w:rPr>
          <w:rFonts w:ascii="Times New Roman" w:cs="Times New Roman" w:eastAsia="Times New Roman" w:hAnsi="Times New Roman"/>
          <w:sz w:val="14"/>
          <w:szCs w:val="14"/>
          <w:color w:val="auto"/>
        </w:rPr>
        <w:t xml:space="preserve">” means a notice of prepayment with respect to a Loan, which shall be substantially in the form of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36"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Obligations</w:t>
      </w:r>
      <w:r>
        <w:rPr>
          <w:rFonts w:ascii="Times New Roman" w:cs="Times New Roman" w:eastAsia="Times New Roman" w:hAnsi="Times New Roman"/>
          <w:sz w:val="14"/>
          <w:szCs w:val="14"/>
          <w:color w:val="auto"/>
        </w:rPr>
        <w:t xml:space="preserve">” means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“Obligations” of a Loan Party shall exclude any Excluded Swap Obligations with respect to such Loan Party.</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OFAC</w:t>
      </w:r>
      <w:r>
        <w:rPr>
          <w:rFonts w:ascii="Times New Roman" w:cs="Times New Roman" w:eastAsia="Times New Roman" w:hAnsi="Times New Roman"/>
          <w:sz w:val="14"/>
          <w:szCs w:val="14"/>
          <w:color w:val="auto"/>
        </w:rPr>
        <w:t>” means the Office of Foreign Assets Control of the United States Department of the Treasury.</w:t>
      </w:r>
    </w:p>
    <w:p>
      <w:pPr>
        <w:spacing w:after="0" w:line="175"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Organization Documents</w:t>
      </w:r>
      <w:r>
        <w:rPr>
          <w:rFonts w:ascii="Times New Roman" w:cs="Times New Roman" w:eastAsia="Times New Roman" w:hAnsi="Times New Roman"/>
          <w:sz w:val="14"/>
          <w:szCs w:val="14"/>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Original Indebtedness</w:t>
      </w:r>
      <w:r>
        <w:rPr>
          <w:rFonts w:ascii="Times New Roman" w:cs="Times New Roman" w:eastAsia="Times New Roman" w:hAnsi="Times New Roman"/>
          <w:sz w:val="14"/>
          <w:szCs w:val="14"/>
          <w:color w:val="auto"/>
        </w:rPr>
        <w:t>” has the meaning specified in the definition of “Permitted Refinancing”.</w:t>
      </w:r>
    </w:p>
    <w:p>
      <w:pPr>
        <w:spacing w:after="0" w:line="175" w:lineRule="exact"/>
        <w:rPr>
          <w:sz w:val="20"/>
          <w:szCs w:val="20"/>
          <w:color w:val="auto"/>
        </w:rPr>
      </w:pPr>
    </w:p>
    <w:p>
      <w:pPr>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Connection Taxes</w:t>
      </w:r>
      <w:r>
        <w:rPr>
          <w:rFonts w:ascii="Times New Roman" w:cs="Times New Roman" w:eastAsia="Times New Roman" w:hAnsi="Times New Roman"/>
          <w:sz w:val="14"/>
          <w:szCs w:val="14"/>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1" w:lineRule="exact"/>
        <w:rPr>
          <w:sz w:val="20"/>
          <w:szCs w:val="20"/>
          <w:color w:val="auto"/>
        </w:rPr>
      </w:pPr>
    </w:p>
    <w:p>
      <w:pPr>
        <w:ind w:left="220" w:right="4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Taxes</w:t>
      </w:r>
      <w:r>
        <w:rPr>
          <w:rFonts w:ascii="Times New Roman" w:cs="Times New Roman" w:eastAsia="Times New Roman" w:hAnsi="Times New Roman"/>
          <w:sz w:val="14"/>
          <w:szCs w:val="14"/>
          <w:color w:val="auto"/>
        </w:rPr>
        <w:t xml:space="preserve">” means all present or future stamp, court or documentary, recording, filing or similar Taxes that arise from any payment made hereunder or under any other Loan Document or from the execution, delivery or enforcement of, or otherwise with respect to, this Agreement or any other Loan Document, except any such Taxes that are Other Connection Taxes imposed with respect to an assignment or participation (other than an assignment made pursuant to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Outstanding Amount</w:t>
      </w:r>
      <w:r>
        <w:rPr>
          <w:rFonts w:ascii="Times New Roman" w:cs="Times New Roman" w:eastAsia="Times New Roman" w:hAnsi="Times New Roman"/>
          <w:sz w:val="14"/>
          <w:szCs w:val="14"/>
          <w:color w:val="auto"/>
        </w:rPr>
        <w:t>” means, with respect to any Term Loans on any date, the aggregate outstanding principal amount thereof after giving effect to any borrowings and prepayments or repayments of such Term Loans occurring on such date.</w:t>
      </w:r>
    </w:p>
    <w:p>
      <w:pPr>
        <w:spacing w:after="0" w:line="125"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Overnight Rate</w:t>
      </w:r>
      <w:r>
        <w:rPr>
          <w:rFonts w:ascii="Times New Roman" w:cs="Times New Roman" w:eastAsia="Times New Roman" w:hAnsi="Times New Roman"/>
          <w:sz w:val="14"/>
          <w:szCs w:val="14"/>
          <w:color w:val="auto"/>
        </w:rPr>
        <w:t>” means, for any day, the greater of (a) the Federal Funds Rate and (b) an overnight rate determined by the Administrative Agent in accordance with banking industry rules on interbank compensation.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608" w:name="page609"/>
    <w:bookmarkEnd w:id="608"/>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Parent</w:t>
      </w:r>
      <w:r>
        <w:rPr>
          <w:rFonts w:ascii="Times New Roman" w:cs="Times New Roman" w:eastAsia="Times New Roman" w:hAnsi="Times New Roman"/>
          <w:sz w:val="14"/>
          <w:szCs w:val="14"/>
          <w:color w:val="auto"/>
        </w:rPr>
        <w:t>” means (a) prior to the joinder of the Company to this Agreement pursuant to the Mirror Transactions Funding Date Company Joinder, the Borrower and (b) on and after the joinder of the Company to this Agreement pursuant to the Mirror Transactions Funding Date Company Joinder, the Company.</w:t>
      </w:r>
    </w:p>
    <w:p>
      <w:pPr>
        <w:spacing w:after="0" w:line="136" w:lineRule="exact"/>
        <w:rPr>
          <w:sz w:val="20"/>
          <w:szCs w:val="20"/>
          <w:color w:val="auto"/>
        </w:rPr>
      </w:pPr>
    </w:p>
    <w:p>
      <w:pPr>
        <w:ind w:left="220" w:right="7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Change Time</w:t>
      </w:r>
      <w:r>
        <w:rPr>
          <w:rFonts w:ascii="Times New Roman" w:cs="Times New Roman" w:eastAsia="Times New Roman" w:hAnsi="Times New Roman"/>
          <w:sz w:val="14"/>
          <w:szCs w:val="14"/>
          <w:color w:val="auto"/>
        </w:rPr>
        <w:t>” means the time on the Mirror Transactions Funding Date at which the Administrative Agent shall have received a counterpart of the Mirror Transactions Funding Date Company Joinder, properly executed by a Responsible Officer of the Company.</w:t>
      </w:r>
    </w:p>
    <w:p>
      <w:pPr>
        <w:spacing w:after="0" w:line="125" w:lineRule="exact"/>
        <w:rPr>
          <w:sz w:val="20"/>
          <w:szCs w:val="20"/>
          <w:color w:val="auto"/>
        </w:rPr>
      </w:pPr>
    </w:p>
    <w:p>
      <w:pPr>
        <w:ind w:left="220" w:right="9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Guarantors</w:t>
      </w:r>
      <w:r>
        <w:rPr>
          <w:rFonts w:ascii="Times New Roman" w:cs="Times New Roman" w:eastAsia="Times New Roman" w:hAnsi="Times New Roman"/>
          <w:sz w:val="14"/>
          <w:szCs w:val="14"/>
          <w:color w:val="auto"/>
        </w:rPr>
        <w:t>” means (a) the Borrower and (b) on and after the joinder of the Company to this Agreement pursuant to the Mirror Transactions Funding Date Company Joinder, the Company.</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Parent Group</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5.24</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99" w:firstLine="343"/>
        <w:spacing w:after="0" w:line="27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Pari Passu Intercreditor Agreement</w:t>
      </w:r>
      <w:r>
        <w:rPr>
          <w:rFonts w:ascii="Times New Roman" w:cs="Times New Roman" w:eastAsia="Times New Roman" w:hAnsi="Times New Roman"/>
          <w:sz w:val="13"/>
          <w:szCs w:val="13"/>
          <w:color w:val="auto"/>
        </w:rPr>
        <w:t xml:space="preserve">” means (a) the Mirror Intercreditor Agreement and (b) any other intercreditor agreement by and among the Administrative Agent and the holders of the applicable Indebtedness (or the trustee, agent or similar Person acting in any similar capacity under the definitive documentation governing such Indebtedness) in respect of (x) any Indebtedness that is secured on a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basis with the Obligations and</w:t>
      </w:r>
    </w:p>
    <w:p>
      <w:pPr>
        <w:spacing w:after="0" w:line="2" w:lineRule="exact"/>
        <w:rPr>
          <w:sz w:val="20"/>
          <w:szCs w:val="20"/>
          <w:color w:val="auto"/>
        </w:rPr>
      </w:pPr>
    </w:p>
    <w:p>
      <w:pPr>
        <w:ind w:left="220" w:right="459" w:hanging="5"/>
        <w:spacing w:after="0" w:line="261" w:lineRule="auto"/>
        <w:tabs>
          <w:tab w:leader="none" w:pos="418" w:val="left"/>
        </w:tabs>
        <w:numPr>
          <w:ilvl w:val="0"/>
          <w:numId w:val="6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Obligations, in substantially the form attached hereto as </w:t>
      </w:r>
      <w:r>
        <w:rPr>
          <w:rFonts w:ascii="Times New Roman" w:cs="Times New Roman" w:eastAsia="Times New Roman" w:hAnsi="Times New Roman"/>
          <w:sz w:val="14"/>
          <w:szCs w:val="14"/>
          <w:u w:val="single" w:color="auto"/>
          <w:color w:val="auto"/>
        </w:rPr>
        <w:t>Exhibit L</w:t>
      </w:r>
      <w:r>
        <w:rPr>
          <w:rFonts w:ascii="Times New Roman" w:cs="Times New Roman" w:eastAsia="Times New Roman" w:hAnsi="Times New Roman"/>
          <w:sz w:val="14"/>
          <w:szCs w:val="14"/>
          <w:color w:val="auto"/>
        </w:rPr>
        <w:t xml:space="preserve"> (and with such changes as the Borrower and the Administrative Agent may agree in their reasonable discretion).</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11.06(d)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 Register</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11.06(d)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PBGC</w:t>
      </w:r>
      <w:r>
        <w:rPr>
          <w:rFonts w:ascii="Times New Roman" w:cs="Times New Roman" w:eastAsia="Times New Roman" w:hAnsi="Times New Roman"/>
          <w:sz w:val="14"/>
          <w:szCs w:val="14"/>
          <w:color w:val="auto"/>
        </w:rPr>
        <w:t>” means the Pension Benefit Guaranty Corporation.</w:t>
      </w:r>
    </w:p>
    <w:p>
      <w:pPr>
        <w:spacing w:after="0" w:line="175"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Pension Funding Rules</w:t>
      </w:r>
      <w:r>
        <w:rPr>
          <w:rFonts w:ascii="Times New Roman" w:cs="Times New Roman" w:eastAsia="Times New Roman" w:hAnsi="Times New Roman"/>
          <w:sz w:val="14"/>
          <w:szCs w:val="14"/>
          <w:color w:val="auto"/>
        </w:rPr>
        <w:t>” means the rules of the Code and ERISA regarding minimum required contributions (including any installment payment thereof) to Pension Plans and set forth in Section 412, 430, 431, 432 and 436 of the Code and Sections 302, 303, 304 and 305 of ERISA.</w:t>
      </w:r>
    </w:p>
    <w:p>
      <w:pPr>
        <w:spacing w:after="0" w:line="125" w:lineRule="exact"/>
        <w:rPr>
          <w:sz w:val="20"/>
          <w:szCs w:val="20"/>
          <w:color w:val="auto"/>
        </w:rPr>
      </w:pPr>
    </w:p>
    <w:p>
      <w:pPr>
        <w:jc w:val="both"/>
        <w:ind w:left="220" w:right="6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Pension Plan</w:t>
      </w:r>
      <w:r>
        <w:rPr>
          <w:rFonts w:ascii="Times New Roman" w:cs="Times New Roman" w:eastAsia="Times New Roman" w:hAnsi="Times New Roman"/>
          <w:sz w:val="14"/>
          <w:szCs w:val="14"/>
          <w:color w:val="auto"/>
        </w:rPr>
        <w:t>” means any employee pension benefit plan (including a Multiple Employer Plan, but excluding a Multiemployer Plan) that is maintained or is contributed to by the Borrower and any ERISA Affiliate and is either covered by Title IV of ERISA or is subject to the minimum funding standards under Section 412 of the Code.</w:t>
      </w:r>
    </w:p>
    <w:p>
      <w:pPr>
        <w:spacing w:after="0" w:line="136"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Acquisition</w:t>
      </w:r>
      <w:r>
        <w:rPr>
          <w:rFonts w:ascii="Times New Roman" w:cs="Times New Roman" w:eastAsia="Times New Roman" w:hAnsi="Times New Roman"/>
          <w:sz w:val="14"/>
          <w:szCs w:val="14"/>
          <w:color w:val="auto"/>
        </w:rPr>
        <w:t xml:space="preserve">” means any Investment consisting of an Acquisition by any Loan Party or any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no Event of Default shall have occurred and be continuing or would result from such Acquisition; (b) the property acquired (or the property of the Person acquired) in such Acquisition shall comply with </w:t>
      </w:r>
      <w:r>
        <w:rPr>
          <w:rFonts w:ascii="Times New Roman" w:cs="Times New Roman" w:eastAsia="Times New Roman" w:hAnsi="Times New Roman"/>
          <w:sz w:val="14"/>
          <w:szCs w:val="14"/>
          <w:u w:val="single" w:color="auto"/>
          <w:color w:val="auto"/>
        </w:rPr>
        <w:t>Section 7.07</w:t>
      </w:r>
      <w:r>
        <w:rPr>
          <w:rFonts w:ascii="Times New Roman" w:cs="Times New Roman" w:eastAsia="Times New Roman" w:hAnsi="Times New Roman"/>
          <w:sz w:val="14"/>
          <w:szCs w:val="14"/>
          <w:color w:val="auto"/>
        </w:rPr>
        <w:t xml:space="preserve">; (c) the Administrative Agent shall receive (within the time period specified therefor in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 xml:space="preserve">) all items in respect of the Equity Interests or property acquired in such Acquisition required to be delivered by the terms of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 (d) in the case of an Acquisition of the Equity Interests of another Person, the board of directors (or other comparable governing body) of such other Person shall have duly approved such Acquisition; (e) the Parent shall have delivered to the Administrative Agent a Pro Forma Compliance Certificate demonstrating that, upon giving effect to such Acquisition on a Pro Forma Basis, the Loan Parties shall be in compliance with the financial covenants set forth in</w:t>
      </w:r>
    </w:p>
    <w:p>
      <w:pPr>
        <w:spacing w:after="0" w:line="4" w:lineRule="exact"/>
        <w:rPr>
          <w:sz w:val="20"/>
          <w:szCs w:val="20"/>
          <w:color w:val="auto"/>
        </w:rPr>
      </w:pPr>
    </w:p>
    <w:p>
      <w:pPr>
        <w:ind w:left="220" w:right="319"/>
        <w:spacing w:after="0" w:line="261" w:lineRule="auto"/>
        <w:rPr>
          <w:sz w:val="20"/>
          <w:szCs w:val="20"/>
          <w:color w:val="auto"/>
        </w:rPr>
      </w:pP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 xml:space="preserve"> as of the most recent fiscal quarter end for which the Parent was required to deliver financial statements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and (f) immediately after giving effect to such Acquisition, there shall be at least $10,000,000 of availability under the Revolving Credit Facility.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609" w:name="page610"/>
    <w:bookmarkEnd w:id="609"/>
    <w:p>
      <w:pPr>
        <w:ind w:left="220" w:right="239" w:firstLine="343"/>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Permitted Refinancing</w:t>
      </w:r>
      <w:r>
        <w:rPr>
          <w:rFonts w:ascii="Times New Roman" w:cs="Times New Roman" w:eastAsia="Times New Roman" w:hAnsi="Times New Roman"/>
          <w:sz w:val="14"/>
          <w:szCs w:val="14"/>
          <w:color w:val="auto"/>
        </w:rPr>
        <w:t>” means, with respect to any Indebtedness of any Loan Party or any Subsidiary (the “</w:t>
      </w:r>
      <w:r>
        <w:rPr>
          <w:rFonts w:ascii="Times New Roman" w:cs="Times New Roman" w:eastAsia="Times New Roman" w:hAnsi="Times New Roman"/>
          <w:sz w:val="14"/>
          <w:szCs w:val="14"/>
          <w:u w:val="single" w:color="auto"/>
          <w:color w:val="auto"/>
        </w:rPr>
        <w:t>Original Indebtedness</w:t>
      </w:r>
      <w:r>
        <w:rPr>
          <w:rFonts w:ascii="Times New Roman" w:cs="Times New Roman" w:eastAsia="Times New Roman" w:hAnsi="Times New Roman"/>
          <w:sz w:val="14"/>
          <w:szCs w:val="14"/>
          <w:color w:val="auto"/>
        </w:rPr>
        <w:t>”), any modification, refinancing, refunding, renewal or extension (a “</w:t>
      </w:r>
      <w:r>
        <w:rPr>
          <w:rFonts w:ascii="Times New Roman" w:cs="Times New Roman" w:eastAsia="Times New Roman" w:hAnsi="Times New Roman"/>
          <w:sz w:val="14"/>
          <w:szCs w:val="14"/>
          <w:u w:val="single" w:color="auto"/>
          <w:color w:val="auto"/>
        </w:rPr>
        <w:t>Refinancing</w:t>
      </w:r>
      <w:r>
        <w:rPr>
          <w:rFonts w:ascii="Times New Roman" w:cs="Times New Roman" w:eastAsia="Times New Roman" w:hAnsi="Times New Roman"/>
          <w:sz w:val="14"/>
          <w:szCs w:val="14"/>
          <w:color w:val="auto"/>
        </w:rPr>
        <w:t>”) of all or any portion of such Indebtedness (the “</w:t>
      </w:r>
      <w:r>
        <w:rPr>
          <w:rFonts w:ascii="Times New Roman" w:cs="Times New Roman" w:eastAsia="Times New Roman" w:hAnsi="Times New Roman"/>
          <w:sz w:val="14"/>
          <w:szCs w:val="14"/>
          <w:u w:val="single" w:color="auto"/>
          <w:color w:val="auto"/>
        </w:rPr>
        <w:t>Refinancing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principal amount of such Refinancing Indebtedness shall not exceed the sum of (i) the outstanding principal amount of such Original Indebtedness on the date of such Refinancing, except by an amount equal to unpaid accrued interest and premiums thereon,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reasonable fees and expenses (including upfront fees and original issue discount) incurred in connection with such Refinancing and (ii) additional amounts that would be permitted to be incurred pursuant to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at the time of such Refinancing (it being understood that any such additional amounts shall constitute usage of the applicable baskets set forth in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(b) such Refinancing Indebtedness shall have (i) a final maturity date equal to or later than the final maturity date of such Original Indebtedness and (ii) a Weighted Average Life to Maturity equal to or longer than the then-remaining Weighted Average Life to Maturity of such Original Indebtedness,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shall not apply to bridge Indebtedness so long as: (I)(x) at the initial maturity of such bridge Indebtedness, such bridge Indebtedness shall automatically convert to (or would be required to be exchanged for) Indebtedness that complies with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or (y) such bridge Indebtedness is incurred with the intent to convert such bridge Indebtedness to permanent financing that complies with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and (II) the only prepayments required to be made on such bridge Indebtedness shall be such prepayments as are customary for similar bridge financings in light of then-prevailing market conditions (as determined by the Parent in consultation with the Administrative Agent), (c) the direct and contingent obligors of such Original Indebtedness shall not be expanded, as a result of or in connection with such Refinancing, (d) if such Original Indebtedness is unsecured, then such Refinancing Indebtedness shall be unsecured, (e) if such Original Indebtedness is secured on a junior Lien basis to the Obligations, such Refinancing Indebtedness shall be unsecured or secured by a junior Lien basis to the Obligations (and, if secured on a junior Lien basis to the Obligations, shall be subject to a Junior Lien Intercreditor Agreement), (f) if such Original Indebtedness is secured on a pari passu Lien basis with the Obligations, then such Refinancing Indebtedness shall be unsecured, secured by a junior Lien basis to the Obligations or secured on a pari passu Lien basis with the Obligations (and, if secured, shall be subject to a Pari Passu Intercreditor Agreement or a Junior Lien Intercreditor Agreement, as applicable), (g) if such Refinancing Indebtedness is secured, such Refinancing Indebtedness shall not be secured by any property other than (x) property that secured such Original Indebtedness and (y) additional property that is Collateral (or is added as Collateral substantially concurrently with such Permitted Refinancing) and (h) the terms and conditions applicable to such Refinancing Indebtedness, when taken as a whole (other than interest rates, fees, discounts, premiums and optional prepayment or redemption terms), shall be (i) substantially identical to, or not materially more restrictive to the Parent and its Subsidiaries than (in each case, as determined by the Parent in good faith), those applicable to such Original Indebtedness (other than covenants or other provisions that are added to the Loan Documents for the benefit of the Administrative Agent and the Lenders) or (ii) otherwise reasonably acceptable to the Administrative Agent.</w:t>
      </w:r>
    </w:p>
    <w:p>
      <w:pPr>
        <w:spacing w:after="0" w:line="146"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Sale Leaseback</w:t>
      </w:r>
      <w:r>
        <w:rPr>
          <w:rFonts w:ascii="Times New Roman" w:cs="Times New Roman" w:eastAsia="Times New Roman" w:hAnsi="Times New Roman"/>
          <w:sz w:val="14"/>
          <w:szCs w:val="14"/>
          <w:color w:val="auto"/>
        </w:rPr>
        <w:t xml:space="preserve">” means any Sale Leaseback with respect to the sale, transfer or Disposition of real property or other property consummated by any Loan Party or any of their respective Subsidiaries after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Sale Leaseback that is not between (a) a Loan Party and another Loan Party or (b) a Subsidiary that is not a Loan Party and another Subsidiary that is not a Loan Party shall be consummated for fair value as determined at the time of consummation in good faith by such Loan Party or such Subsidiary (which such determination may take into account any retained interest or other Investment of such Loan Party or such Subsidiary in connection with, and any other material economic terms of, such Sale Leaseback).</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2" w:right="1440" w:bottom="1440" w:gutter="0" w:footer="0" w:header="0"/>
        </w:sectPr>
      </w:pPr>
    </w:p>
    <w:bookmarkStart w:id="610" w:name="page611"/>
    <w:bookmarkEnd w:id="610"/>
    <w:p>
      <w:pPr>
        <w:ind w:left="220" w:right="219" w:firstLine="343"/>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Permitted Tax Distributions</w:t>
      </w:r>
      <w:r>
        <w:rPr>
          <w:rFonts w:ascii="Times New Roman" w:cs="Times New Roman" w:eastAsia="Times New Roman" w:hAnsi="Times New Roman"/>
          <w:sz w:val="14"/>
          <w:szCs w:val="14"/>
          <w:color w:val="auto"/>
        </w:rPr>
        <w:t>” means for any taxable period (or portion thereof) following the TopCo Restructuring during which the Parent is a member (or disregarded as separate from a member) of a consolidated, combined, unitary or similar income tax group for U.S. federal, state or local income tax purposes of which its direct parent entity (which it may be disregarded as separate from) is the common parent (a “</w:t>
      </w:r>
      <w:r>
        <w:rPr>
          <w:rFonts w:ascii="Times New Roman" w:cs="Times New Roman" w:eastAsia="Times New Roman" w:hAnsi="Times New Roman"/>
          <w:sz w:val="14"/>
          <w:szCs w:val="14"/>
          <w:u w:val="single" w:color="auto"/>
          <w:color w:val="auto"/>
        </w:rPr>
        <w:t>Tax Group</w:t>
      </w:r>
      <w:r>
        <w:rPr>
          <w:rFonts w:ascii="Times New Roman" w:cs="Times New Roman" w:eastAsia="Times New Roman" w:hAnsi="Times New Roman"/>
          <w:sz w:val="14"/>
          <w:szCs w:val="14"/>
          <w:color w:val="auto"/>
        </w:rPr>
        <w:t xml:space="preserve">”), distributions by the Parent to such direct parent entity in an aggregate amount necessary to permit such direct parent entity to pay the portion of any U.S. federal, state and/or local income taxes (as applicable) of such Tax Group for such taxable period that is attributable to the net taxable income of the Parent and its applicable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each taxable period, the amount of such distributions made in respect of such taxable period in the aggregate will not exceed the amount the Parent and its appliable Subsidiaries would have been required to pay in respect of such net taxable income as a stand-alone Tax Group, reduced by any portion of such income Taxes directly paid by the Parent or any of its applicable Subsidiaries;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any such distributions attributable to a Subsidiary that is not a Loan Party shall be limited to the amount of cash paid by such Subsidiary to such Loan Party for such purpose and which is concurrently used, on a dollar-for-dollar basis, to fund such Permitted Tax Distributions;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for the avoidance of doubt, taxable income for any period shall include any increases thereto as a result of any tax examination, audit, or adjustment, whether for taxable periods ending prior to or after the date of this Agreement.</w:t>
      </w:r>
    </w:p>
    <w:p>
      <w:pPr>
        <w:spacing w:after="0" w:line="150" w:lineRule="exact"/>
        <w:rPr>
          <w:sz w:val="20"/>
          <w:szCs w:val="20"/>
          <w:color w:val="auto"/>
        </w:rPr>
      </w:pPr>
    </w:p>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natural person, corporation, limited liability company, trust, joint venture, association, company, partnership, Governmental Authority or other entity.</w:t>
      </w:r>
    </w:p>
    <w:p>
      <w:pPr>
        <w:spacing w:after="0" w:line="125" w:lineRule="exact"/>
        <w:rPr>
          <w:sz w:val="20"/>
          <w:szCs w:val="20"/>
          <w:color w:val="auto"/>
        </w:rPr>
      </w:pPr>
    </w:p>
    <w:p>
      <w:pPr>
        <w:ind w:left="220" w:right="3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means any Pension Plan and any employee benefit plan (other than a Multiemployer Plan) within the meaning of Section 3(3) of ERISA, maintained for employees of the Parent or any such plan to which the Parent is required to contribute on behalf of any of its employees.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Platform</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6.02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343"/>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Forma Basis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Pro Forma Compliance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Pro Forma Effect</w:t>
      </w:r>
      <w:r>
        <w:rPr>
          <w:rFonts w:ascii="Times New Roman" w:cs="Times New Roman" w:eastAsia="Times New Roman" w:hAnsi="Times New Roman"/>
          <w:sz w:val="14"/>
          <w:szCs w:val="14"/>
          <w:color w:val="auto"/>
        </w:rPr>
        <w:t xml:space="preserve">” each means, in respect of a Specified Transaction, that such Specified Transaction and the following transactions in connection therewith (to the extent applicable) shall be deemed to have occurred as of the first day of the applicable period of measurement for the applicable covenant or requirement: (a)(i) with respect to any Disposition, sale or other transfer, income statement and cash flow statement items (whether positive or negative) attributable to the Person or property disposed of shall be excluded and (ii) with respect to any Acquisition or Investment, income statement and cash flow statement items (whether positive or negative) attributable to the Person or property acquired shall be included to the extent relating to any period applicable in such calculations to the extent such items are not otherwise included in such income statement items for the Company and its Subsidiaries in accordance with GAAP or in accordance with any defined terms set forth in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(b) any incurrence or repayment of Indebtedness and (c) any other Specified Transaction. For purposes of this definition, (i) if any Indebtedness so incurred bears interest at a floating rate and is being given pro forma effect, the interest on such Indebtedness shall be calculated as if the rate in effect on the last day of the applicable period had been the applicable period for the entire period (taking into effect any applicable interest rate hedges), (ii) if such Indebtedness bears, at the option of the Company, a fixed or floating rate of interest, interest thereon shall be computed by applying, at the option of the Company, either the fixed or floating rate (determined in accordance with clause (i)) and (iii) interest on any Indebtedness under a revolving credit facility will be computed based on the average daily balance of such Indebtedness during such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Pro Forma Basis, Pro Forma Compliance and Pro Forma Effect in respect of any Specified Transaction shall be calculated in a reasonable, quantifiable and factually supportable manner. Except to the extent this Agreement requires a calculation to be made on a Pro Forma Basis (or subject to Pro Forma Compliance or after giving Pro Forma Effect thereto) to determine the permissibility of consummating the applicable Specified Transaction, at the Company’s election, any Specified Transaction having an aggregate value of less than $5,000,000 shall not be calculated on a Pro Forma Basis.</w:t>
      </w:r>
    </w:p>
    <w:p>
      <w:pPr>
        <w:spacing w:after="0" w:line="154" w:lineRule="exact"/>
        <w:rPr>
          <w:sz w:val="20"/>
          <w:szCs w:val="20"/>
          <w:color w:val="auto"/>
        </w:rPr>
      </w:pPr>
    </w:p>
    <w:p>
      <w:pPr>
        <w:jc w:val="both"/>
        <w:ind w:left="220" w:right="31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Forma Compliance Certificate</w:t>
      </w:r>
      <w:r>
        <w:rPr>
          <w:rFonts w:ascii="Times New Roman" w:cs="Times New Roman" w:eastAsia="Times New Roman" w:hAnsi="Times New Roman"/>
          <w:sz w:val="14"/>
          <w:szCs w:val="14"/>
          <w:color w:val="auto"/>
        </w:rPr>
        <w:t xml:space="preserve">” means a certificate of a Responsible Officer of the Company containing reasonably detailed calculations of the Consolidated Net Leverage Ratio and the Consolidated Interest Coverage Ratio as of the most recent fiscal quarter end for which the Company was required to deliver financial statements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after giving Pro Forma Effect to the applicable Specified Transaction.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1" w:right="1440" w:bottom="1440" w:gutter="0" w:footer="0" w:header="0"/>
        </w:sectPr>
      </w:pPr>
    </w:p>
    <w:bookmarkStart w:id="611" w:name="page612"/>
    <w:bookmarkEnd w:id="611"/>
    <w:p>
      <w:pPr>
        <w:ind w:left="220" w:right="49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PTE</w:t>
      </w:r>
      <w:r>
        <w:rPr>
          <w:rFonts w:ascii="Times New Roman" w:cs="Times New Roman" w:eastAsia="Times New Roman" w:hAnsi="Times New Roman"/>
          <w:sz w:val="14"/>
          <w:szCs w:val="14"/>
          <w:color w:val="auto"/>
        </w:rPr>
        <w:t>” means a prohibited transaction class exemption issued by the U.S. Department of Labor, as any such exemption may be amended from time to time.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Public Lender</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6.02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w:t>
      </w:r>
      <w:r>
        <w:rPr>
          <w:rFonts w:ascii="Times New Roman" w:cs="Times New Roman" w:eastAsia="Times New Roman" w:hAnsi="Times New Roman"/>
          <w:sz w:val="14"/>
          <w:szCs w:val="14"/>
          <w:color w:val="auto"/>
        </w:rPr>
        <w:t>” has the meaning assigned to the term “qualified financial contract” in, and shall be interpreted in accordance with, 12 U.S.C. 5390(c)(8)</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QFC Credit Support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11.22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ECP Guarantor</w:t>
      </w:r>
      <w:r>
        <w:rPr>
          <w:rFonts w:ascii="Times New Roman" w:cs="Times New Roman" w:eastAsia="Times New Roman" w:hAnsi="Times New Roman"/>
          <w:sz w:val="14"/>
          <w:szCs w:val="14"/>
          <w:color w:val="auto"/>
        </w:rPr>
        <w:t>” means, at any time, each Loan Party with total assets exceeding $10,000,000 or that qualified at such time as an “eligible contract participant” under the Commodity Exchange Act and can cause another Person to qualify as an “eligible contract participant” at such time under Section 1a(18)(A)(v)(II) of the Commodity Exchange Act.</w:t>
      </w:r>
    </w:p>
    <w:p>
      <w:pPr>
        <w:spacing w:after="0" w:line="136" w:lineRule="exact"/>
        <w:rPr>
          <w:sz w:val="20"/>
          <w:szCs w:val="20"/>
          <w:color w:val="auto"/>
        </w:rPr>
      </w:pPr>
    </w:p>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Recipient</w:t>
      </w:r>
      <w:r>
        <w:rPr>
          <w:rFonts w:ascii="Times New Roman" w:cs="Times New Roman" w:eastAsia="Times New Roman" w:hAnsi="Times New Roman"/>
          <w:sz w:val="14"/>
          <w:szCs w:val="14"/>
          <w:color w:val="auto"/>
        </w:rPr>
        <w:t>” means the Administrative Agent, any Lender or any other recipient of any payment to be made by or on account of any obligation of any Loan Party hereunder.</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Reclassification Item</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1.10</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Reference Date</w:t>
      </w:r>
      <w:r>
        <w:rPr>
          <w:rFonts w:ascii="Times New Roman" w:cs="Times New Roman" w:eastAsia="Times New Roman" w:hAnsi="Times New Roman"/>
          <w:sz w:val="14"/>
          <w:szCs w:val="14"/>
          <w:color w:val="auto"/>
        </w:rPr>
        <w:t>” has the meaning specified in the definition of “Available Amount”.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11.06(c)</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Parties</w:t>
      </w:r>
      <w:r>
        <w:rPr>
          <w:rFonts w:ascii="Times New Roman" w:cs="Times New Roman" w:eastAsia="Times New Roman" w:hAnsi="Times New Roman"/>
          <w:sz w:val="14"/>
          <w:szCs w:val="14"/>
          <w:color w:val="auto"/>
        </w:rPr>
        <w:t>” means, with respect to any Person, such Person’s Affiliates and the partners, directors, officers, employees, agents, trustees and advisors of such Person and of such Person’s Affiliates.</w:t>
      </w:r>
    </w:p>
    <w:p>
      <w:pPr>
        <w:spacing w:after="0" w:line="125" w:lineRule="exact"/>
        <w:rPr>
          <w:sz w:val="20"/>
          <w:szCs w:val="20"/>
          <w:color w:val="auto"/>
        </w:rPr>
      </w:pPr>
    </w:p>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Reportable Event</w:t>
      </w:r>
      <w:r>
        <w:rPr>
          <w:rFonts w:ascii="Times New Roman" w:cs="Times New Roman" w:eastAsia="Times New Roman" w:hAnsi="Times New Roman"/>
          <w:sz w:val="14"/>
          <w:szCs w:val="14"/>
          <w:color w:val="auto"/>
        </w:rPr>
        <w:t>” means any of the events set forth in Section 4043(c) of ERISA, other than events for which the 30 day notice period has been waived.</w:t>
      </w:r>
    </w:p>
    <w:p>
      <w:pPr>
        <w:spacing w:after="0" w:line="125" w:lineRule="exact"/>
        <w:rPr>
          <w:sz w:val="20"/>
          <w:szCs w:val="20"/>
          <w:color w:val="auto"/>
        </w:rPr>
      </w:pPr>
    </w:p>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Lenders</w:t>
      </w:r>
      <w:r>
        <w:rPr>
          <w:rFonts w:ascii="Times New Roman" w:cs="Times New Roman" w:eastAsia="Times New Roman" w:hAnsi="Times New Roman"/>
          <w:sz w:val="14"/>
          <w:szCs w:val="14"/>
          <w:color w:val="auto"/>
        </w:rPr>
        <w:t>” means, at any time, Lenders having Total Credit Exposures representing more than 50% of the Total Credit Exposures of all Lenders. The Total Credit Exposure of any Defaulting Lender shall be disregarded in determining Required Lenders at any time.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Rescindable Amount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2.12(b)(ii)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Resolution Authority</w:t>
      </w:r>
      <w:r>
        <w:rPr>
          <w:rFonts w:ascii="Times New Roman" w:cs="Times New Roman" w:eastAsia="Times New Roman" w:hAnsi="Times New Roman"/>
          <w:sz w:val="14"/>
          <w:szCs w:val="14"/>
          <w:color w:val="auto"/>
        </w:rPr>
        <w:t>” means an EEA Resolution Authority or, with respect to any UK Financial Institution, a UK Resolution Authority.</w:t>
      </w:r>
    </w:p>
    <w:p>
      <w:pPr>
        <w:spacing w:after="0" w:line="175"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xml:space="preserve">” means the chief executive officer, president, chief financial officer, treasurer, general counsel, managing director, assistant treasurer, senior referent treasurer or controller of a Loan Party and, solely for purposes of notices given pursuant to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612" w:name="page613"/>
    <w:bookmarkEnd w:id="612"/>
    <w:p>
      <w:pPr>
        <w:ind w:left="220" w:right="31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and such Responsible Officer shall be conclusively presumed to have acted on behalf of such Loan Party. To the extent requested by the Administrative Agent, each Responsible Officer will provide an incumbency certificate and appropriate authorization documentation, in each case, in form and substance satisfactory to the Administrative Agent.</w:t>
      </w:r>
    </w:p>
    <w:p>
      <w:pPr>
        <w:spacing w:after="0" w:line="136"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Payment</w:t>
      </w:r>
      <w:r>
        <w:rPr>
          <w:rFonts w:ascii="Times New Roman" w:cs="Times New Roman" w:eastAsia="Times New Roman" w:hAnsi="Times New Roman"/>
          <w:sz w:val="14"/>
          <w:szCs w:val="14"/>
          <w:color w:val="auto"/>
        </w:rPr>
        <w:t>” means any dividend or other distribution (whether in cash, securities or other property) with respect to any capital stock or other Equity Interest of the Company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thereof) or any option, warrant or other right to acquire any such dividend or other distribution or payment.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S&amp;P</w:t>
      </w:r>
      <w:r>
        <w:rPr>
          <w:rFonts w:ascii="Times New Roman" w:cs="Times New Roman" w:eastAsia="Times New Roman" w:hAnsi="Times New Roman"/>
          <w:sz w:val="14"/>
          <w:szCs w:val="14"/>
          <w:color w:val="auto"/>
        </w:rPr>
        <w:t>” means Standard &amp; Poor’s Financial Services LLC, a subsidiary of S&amp;P Global Inc., and any successor thereto.</w:t>
      </w:r>
    </w:p>
    <w:p>
      <w:pPr>
        <w:spacing w:after="0" w:line="175" w:lineRule="exact"/>
        <w:rPr>
          <w:sz w:val="20"/>
          <w:szCs w:val="20"/>
          <w:color w:val="auto"/>
        </w:rPr>
      </w:pPr>
    </w:p>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Sale Leaseback</w:t>
      </w:r>
      <w:r>
        <w:rPr>
          <w:rFonts w:ascii="Times New Roman" w:cs="Times New Roman" w:eastAsia="Times New Roman" w:hAnsi="Times New Roman"/>
          <w:sz w:val="14"/>
          <w:szCs w:val="14"/>
          <w:color w:val="auto"/>
        </w:rPr>
        <w:t>” means any transaction or series of related transactions pursuant to which any Loan Party or any Subsidiary (a) sells, transfers or otherwise disposes of any property, real or personal, whether now owned or hereafter acquired, and (b) as part of such transaction, thereafter rents or leases such property with the intent to use it for substantially the same purpose or purposes as the property being sold, transferred or disposed.</w:t>
      </w:r>
    </w:p>
    <w:p>
      <w:pPr>
        <w:spacing w:after="0" w:line="136" w:lineRule="exact"/>
        <w:rPr>
          <w:sz w:val="20"/>
          <w:szCs w:val="20"/>
          <w:color w:val="auto"/>
        </w:rPr>
      </w:pPr>
    </w:p>
    <w:p>
      <w:pPr>
        <w:ind w:left="220" w:right="6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means any sanction administered or enforced by the United States Government (including OFAC), the United Nations Security Council, the European Union, His Majesty’s Treasury (“</w:t>
      </w:r>
      <w:r>
        <w:rPr>
          <w:rFonts w:ascii="Times New Roman" w:cs="Times New Roman" w:eastAsia="Times New Roman" w:hAnsi="Times New Roman"/>
          <w:sz w:val="14"/>
          <w:szCs w:val="14"/>
          <w:u w:val="single" w:color="auto"/>
          <w:color w:val="auto"/>
        </w:rPr>
        <w:t>HMT</w:t>
      </w:r>
      <w:r>
        <w:rPr>
          <w:rFonts w:ascii="Times New Roman" w:cs="Times New Roman" w:eastAsia="Times New Roman" w:hAnsi="Times New Roman"/>
          <w:sz w:val="14"/>
          <w:szCs w:val="14"/>
          <w:color w:val="auto"/>
        </w:rPr>
        <w:t>”) or other relevant sanctions authority.</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Securities and Exchange Commission, or any Governmental Authority succeeding to any of its principal functions.</w:t>
      </w:r>
    </w:p>
    <w:p>
      <w:pPr>
        <w:spacing w:after="0" w:line="175" w:lineRule="exact"/>
        <w:rPr>
          <w:sz w:val="20"/>
          <w:szCs w:val="20"/>
          <w:color w:val="auto"/>
        </w:rPr>
      </w:pPr>
    </w:p>
    <w:p>
      <w:pPr>
        <w:ind w:left="220" w:right="43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Parties</w:t>
      </w:r>
      <w:r>
        <w:rPr>
          <w:rFonts w:ascii="Times New Roman" w:cs="Times New Roman" w:eastAsia="Times New Roman" w:hAnsi="Times New Roman"/>
          <w:sz w:val="14"/>
          <w:szCs w:val="14"/>
          <w:color w:val="auto"/>
        </w:rPr>
        <w:t xml:space="preserve">” means, collectively, the Administrative Agent, the Lenders, the Indemnitees and each co-agent or sub-agent appointed by the Administrative Agent from time to time pursuant to </w:t>
      </w:r>
      <w:r>
        <w:rPr>
          <w:rFonts w:ascii="Times New Roman" w:cs="Times New Roman" w:eastAsia="Times New Roman" w:hAnsi="Times New Roman"/>
          <w:sz w:val="14"/>
          <w:szCs w:val="14"/>
          <w:u w:val="single" w:color="auto"/>
          <w:color w:val="auto"/>
        </w:rPr>
        <w:t>Section 9.05</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20" w:right="35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Securitization Transaction</w:t>
      </w:r>
      <w:r>
        <w:rPr>
          <w:rFonts w:ascii="Times New Roman" w:cs="Times New Roman" w:eastAsia="Times New Roman" w:hAnsi="Times New Roman"/>
          <w:sz w:val="14"/>
          <w:szCs w:val="14"/>
          <w:color w:val="auto"/>
        </w:rPr>
        <w:t>” means, with respect to any Person, any financing transaction or series of financing transactions (including factoring arrangements, but for the avoidance of doubt excluding non-recourse supply chain financing and similar arrangements offered by customers of the Parent and its Subsidiaries and the discounting of bills of exchange)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 (or, with respect to factoring arrangements, an unaffiliated third party of such Person).</w:t>
      </w:r>
    </w:p>
    <w:p>
      <w:pPr>
        <w:spacing w:after="0" w:line="143" w:lineRule="exact"/>
        <w:rPr>
          <w:sz w:val="20"/>
          <w:szCs w:val="20"/>
          <w:color w:val="auto"/>
        </w:rPr>
      </w:pPr>
    </w:p>
    <w:p>
      <w:pPr>
        <w:ind w:left="220" w:right="3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Agreement</w:t>
      </w:r>
      <w:r>
        <w:rPr>
          <w:rFonts w:ascii="Times New Roman" w:cs="Times New Roman" w:eastAsia="Times New Roman" w:hAnsi="Times New Roman"/>
          <w:sz w:val="14"/>
          <w:szCs w:val="14"/>
          <w:color w:val="auto"/>
        </w:rPr>
        <w:t xml:space="preserve">” means that certain Pledge and Security Agreement, dated as of the Mirror Transactions Funding Date, executed in favor of the Administrative Agent, for the benefit of the Secured Parties, by each Loan Party, substantially in the form of </w:t>
      </w:r>
      <w:r>
        <w:rPr>
          <w:rFonts w:ascii="Times New Roman" w:cs="Times New Roman" w:eastAsia="Times New Roman" w:hAnsi="Times New Roman"/>
          <w:sz w:val="14"/>
          <w:szCs w:val="14"/>
          <w:u w:val="single" w:color="auto"/>
          <w:color w:val="auto"/>
        </w:rPr>
        <w:t>Exhibit G</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Agreement Supplement</w:t>
      </w:r>
      <w:r>
        <w:rPr>
          <w:rFonts w:ascii="Times New Roman" w:cs="Times New Roman" w:eastAsia="Times New Roman" w:hAnsi="Times New Roman"/>
          <w:sz w:val="14"/>
          <w:szCs w:val="14"/>
          <w:color w:val="auto"/>
        </w:rPr>
        <w:t>” has the meaning specified in Section 1.1 of the Security Agreement.</w:t>
      </w:r>
    </w:p>
    <w:p>
      <w:pPr>
        <w:spacing w:after="0" w:line="175" w:lineRule="exact"/>
        <w:rPr>
          <w:sz w:val="20"/>
          <w:szCs w:val="20"/>
          <w:color w:val="auto"/>
        </w:rPr>
      </w:pPr>
    </w:p>
    <w:p>
      <w:pPr>
        <w:jc w:val="center"/>
        <w:ind w:left="1880" w:right="120"/>
        <w:spacing w:after="0" w:line="4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SOFR</w:t>
      </w:r>
      <w:r>
        <w:rPr>
          <w:rFonts w:ascii="Times New Roman" w:cs="Times New Roman" w:eastAsia="Times New Roman" w:hAnsi="Times New Roman"/>
          <w:sz w:val="14"/>
          <w:szCs w:val="14"/>
          <w:color w:val="auto"/>
        </w:rPr>
        <w:t>” means the Secured Overnight Financing Rate as administered by the Federal Reserve Bank of New York (or a successor administrator). 32</w:t>
      </w:r>
    </w:p>
    <w:p>
      <w:pPr>
        <w:sectPr>
          <w:pgSz w:w="11900" w:h="16838" w:orient="portrait"/>
          <w:cols w:equalWidth="0" w:num="1">
            <w:col w:w="9019"/>
          </w:cols>
          <w:pgMar w:left="1440" w:top="242" w:right="1440" w:bottom="1440" w:gutter="0" w:footer="0" w:header="0"/>
        </w:sectPr>
      </w:pPr>
    </w:p>
    <w:bookmarkStart w:id="613" w:name="page614"/>
    <w:bookmarkEnd w:id="613"/>
    <w:p>
      <w:pPr>
        <w:ind w:left="220" w:right="219" w:firstLine="343"/>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Solvent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Solvency</w:t>
      </w:r>
      <w:r>
        <w:rPr>
          <w:rFonts w:ascii="Times New Roman" w:cs="Times New Roman" w:eastAsia="Times New Roman" w:hAnsi="Times New Roman"/>
          <w:sz w:val="14"/>
          <w:szCs w:val="14"/>
          <w:color w:val="auto"/>
        </w:rPr>
        <w:t>” mean, with respect to any Person on any date of determination, that on such date (a) the fair value of the property and assets of such Person is greater than the total amount of liabilities, including contingent liabilities, of such Person, (b) the present fair salable value of the property and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and assets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Loan Party</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10.08</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9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Representations</w:t>
      </w:r>
      <w:r>
        <w:rPr>
          <w:rFonts w:ascii="Times New Roman" w:cs="Times New Roman" w:eastAsia="Times New Roman" w:hAnsi="Times New Roman"/>
          <w:sz w:val="14"/>
          <w:szCs w:val="14"/>
          <w:color w:val="auto"/>
        </w:rPr>
        <w:t xml:space="preserve">” means the representations and warranties, in each case solely with respect to the Term Loans and the Mirror Transactions Funding Date, in </w:t>
      </w:r>
      <w:r>
        <w:rPr>
          <w:rFonts w:ascii="Times New Roman" w:cs="Times New Roman" w:eastAsia="Times New Roman" w:hAnsi="Times New Roman"/>
          <w:sz w:val="14"/>
          <w:szCs w:val="14"/>
          <w:u w:val="single" w:color="auto"/>
          <w:color w:val="auto"/>
        </w:rPr>
        <w:t>Sections 5.01(a)</w:t>
      </w:r>
      <w:r>
        <w:rPr>
          <w:rFonts w:ascii="Times New Roman" w:cs="Times New Roman" w:eastAsia="Times New Roman" w:hAnsi="Times New Roman"/>
          <w:sz w:val="14"/>
          <w:szCs w:val="14"/>
          <w:color w:val="auto"/>
        </w:rPr>
        <w:t xml:space="preserve"> (solely with respect to the Loan Parties), </w:t>
      </w:r>
      <w:r>
        <w:rPr>
          <w:rFonts w:ascii="Times New Roman" w:cs="Times New Roman" w:eastAsia="Times New Roman" w:hAnsi="Times New Roman"/>
          <w:sz w:val="14"/>
          <w:szCs w:val="14"/>
          <w:u w:val="single" w:color="auto"/>
          <w:color w:val="auto"/>
        </w:rPr>
        <w:t>5.01(b)(ii)</w:t>
      </w:r>
      <w:r>
        <w:rPr>
          <w:rFonts w:ascii="Times New Roman" w:cs="Times New Roman" w:eastAsia="Times New Roman" w:hAnsi="Times New Roman"/>
          <w:sz w:val="14"/>
          <w:szCs w:val="14"/>
          <w:color w:val="auto"/>
        </w:rPr>
        <w:t xml:space="preserve"> (solely with respect to the Loan Parties and power and authority), </w:t>
      </w:r>
      <w:r>
        <w:rPr>
          <w:rFonts w:ascii="Times New Roman" w:cs="Times New Roman" w:eastAsia="Times New Roman" w:hAnsi="Times New Roman"/>
          <w:sz w:val="14"/>
          <w:szCs w:val="14"/>
          <w:u w:val="single" w:color="auto"/>
          <w:color w:val="auto"/>
        </w:rPr>
        <w:t>5.02(a)</w:t>
      </w:r>
      <w:r>
        <w:rPr>
          <w:rFonts w:ascii="Times New Roman" w:cs="Times New Roman" w:eastAsia="Times New Roman" w:hAnsi="Times New Roman"/>
          <w:sz w:val="14"/>
          <w:szCs w:val="14"/>
          <w:color w:val="auto"/>
        </w:rPr>
        <w:t xml:space="preserve"> (solely with respect to the Loan Parties), </w:t>
      </w:r>
      <w:r>
        <w:rPr>
          <w:rFonts w:ascii="Times New Roman" w:cs="Times New Roman" w:eastAsia="Times New Roman" w:hAnsi="Times New Roman"/>
          <w:sz w:val="14"/>
          <w:szCs w:val="14"/>
          <w:u w:val="single" w:color="auto"/>
          <w:color w:val="auto"/>
        </w:rPr>
        <w:t>5.02(b)(i)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5.04</w:t>
      </w:r>
      <w:r>
        <w:rPr>
          <w:rFonts w:ascii="Times New Roman" w:cs="Times New Roman" w:eastAsia="Times New Roman" w:hAnsi="Times New Roman"/>
          <w:sz w:val="14"/>
          <w:szCs w:val="14"/>
          <w:color w:val="auto"/>
        </w:rPr>
        <w:t xml:space="preserve"> (solely with respect to the Loan Parties), </w:t>
      </w:r>
      <w:r>
        <w:rPr>
          <w:rFonts w:ascii="Times New Roman" w:cs="Times New Roman" w:eastAsia="Times New Roman" w:hAnsi="Times New Roman"/>
          <w:sz w:val="14"/>
          <w:szCs w:val="14"/>
          <w:u w:val="single" w:color="auto"/>
          <w:color w:val="auto"/>
        </w:rPr>
        <w:t>5.14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5.24</w:t>
      </w:r>
      <w:r>
        <w:rPr>
          <w:rFonts w:ascii="Times New Roman" w:cs="Times New Roman" w:eastAsia="Times New Roman" w:hAnsi="Times New Roman"/>
          <w:sz w:val="14"/>
          <w:szCs w:val="14"/>
          <w:color w:val="auto"/>
        </w:rPr>
        <w:t xml:space="preserve"> (solely with respect to use of proceeds of the Term Loans), </w:t>
      </w:r>
      <w:r>
        <w:rPr>
          <w:rFonts w:ascii="Times New Roman" w:cs="Times New Roman" w:eastAsia="Times New Roman" w:hAnsi="Times New Roman"/>
          <w:sz w:val="14"/>
          <w:szCs w:val="14"/>
          <w:u w:val="single" w:color="auto"/>
          <w:color w:val="auto"/>
        </w:rPr>
        <w:t>5.25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5.26</w:t>
      </w:r>
      <w:r>
        <w:rPr>
          <w:rFonts w:ascii="Times New Roman" w:cs="Times New Roman" w:eastAsia="Times New Roman" w:hAnsi="Times New Roman"/>
          <w:sz w:val="14"/>
          <w:szCs w:val="14"/>
          <w:color w:val="auto"/>
        </w:rPr>
        <w:t xml:space="preserve"> (solely with respect to use of proceeds of the Term Loans).</w:t>
      </w:r>
    </w:p>
    <w:p>
      <w:pPr>
        <w:spacing w:after="0" w:line="141" w:lineRule="exact"/>
        <w:rPr>
          <w:sz w:val="20"/>
          <w:szCs w:val="20"/>
          <w:color w:val="auto"/>
        </w:rPr>
      </w:pPr>
    </w:p>
    <w:p>
      <w:pPr>
        <w:ind w:left="220" w:right="4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Specified Transaction</w:t>
      </w:r>
      <w:r>
        <w:rPr>
          <w:rFonts w:ascii="Times New Roman" w:cs="Times New Roman" w:eastAsia="Times New Roman" w:hAnsi="Times New Roman"/>
          <w:sz w:val="14"/>
          <w:szCs w:val="14"/>
          <w:color w:val="auto"/>
        </w:rPr>
        <w:t>” means (a) any Investment, Acquisition, Disposition, sale or other transfer, in each case, whether by merger, amalgamation, consolidation or otherwise, (b) any incurrence or repayment of Indebtedness, (c) any Restricted Payment or prepayment, redemption, purchase, defeasance or other satisfaction prior to maturity of any Indebtedness and (d) any other event that by the terms of the Loan Documents requires Pro Forma Compliance with a test or covenant or requires such test or covenant to be calculated on a Pro Forma Basis.</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Subordinated Provisions</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8.01(m)</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Parent.</w:t>
      </w:r>
    </w:p>
    <w:p>
      <w:pPr>
        <w:spacing w:after="0" w:line="144" w:lineRule="exact"/>
        <w:rPr>
          <w:sz w:val="20"/>
          <w:szCs w:val="20"/>
          <w:color w:val="auto"/>
        </w:rPr>
      </w:pPr>
    </w:p>
    <w:p>
      <w:pPr>
        <w:ind w:left="220" w:right="21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 Guarantor</w:t>
      </w:r>
      <w:r>
        <w:rPr>
          <w:rFonts w:ascii="Times New Roman" w:cs="Times New Roman" w:eastAsia="Times New Roman" w:hAnsi="Times New Roman"/>
          <w:sz w:val="14"/>
          <w:szCs w:val="14"/>
          <w:color w:val="auto"/>
        </w:rPr>
        <w:t xml:space="preserve">” means each Subsidiary that is either (a) party to the Mirror Transactions Funding Date Subsidiary Guaranty or (b) who has executed and delivered a guaranty or guaranty supplement pursuant to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Supported QFC</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11.22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34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Contract</w:t>
      </w:r>
      <w:r>
        <w:rPr>
          <w:rFonts w:ascii="Times New Roman" w:cs="Times New Roman" w:eastAsia="Times New Roman" w:hAnsi="Times New Roman"/>
          <w:sz w:val="14"/>
          <w:szCs w:val="14"/>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1" w:right="1440" w:bottom="1440" w:gutter="0" w:footer="0" w:header="0"/>
        </w:sectPr>
      </w:pPr>
    </w:p>
    <w:bookmarkStart w:id="614" w:name="page615"/>
    <w:bookmarkEnd w:id="614"/>
    <w:p>
      <w:pPr>
        <w:ind w:left="220" w:right="2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4"/>
          <w:szCs w:val="14"/>
          <w:u w:val="single" w:color="auto"/>
          <w:color w:val="auto"/>
        </w:rPr>
        <w:t>Master Agreement</w:t>
      </w:r>
      <w:r>
        <w:rPr>
          <w:rFonts w:ascii="Times New Roman" w:cs="Times New Roman" w:eastAsia="Times New Roman" w:hAnsi="Times New Roman"/>
          <w:sz w:val="14"/>
          <w:szCs w:val="14"/>
          <w:color w:val="auto"/>
        </w:rPr>
        <w:t>”), including any such obligations or liabilities under any Master Agreement.</w:t>
      </w:r>
    </w:p>
    <w:p>
      <w:pPr>
        <w:spacing w:after="0" w:line="144" w:lineRule="exact"/>
        <w:rPr>
          <w:sz w:val="20"/>
          <w:szCs w:val="20"/>
          <w:color w:val="auto"/>
        </w:rPr>
      </w:pPr>
    </w:p>
    <w:p>
      <w:pPr>
        <w:ind w:left="220" w:right="57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Obligation</w:t>
      </w:r>
      <w:r>
        <w:rPr>
          <w:rFonts w:ascii="Times New Roman" w:cs="Times New Roman" w:eastAsia="Times New Roman" w:hAnsi="Times New Roman"/>
          <w:sz w:val="14"/>
          <w:szCs w:val="14"/>
          <w:color w:val="auto"/>
        </w:rPr>
        <w:t>” means, with respect to any Loan Party any obligation to pay or perform under any agreement, contract or transaction that constitutes a “swap” within the meaning of Section 1a(47) of the Commodity Exchange Act.</w:t>
      </w:r>
    </w:p>
    <w:p>
      <w:pPr>
        <w:spacing w:after="0" w:line="125" w:lineRule="exact"/>
        <w:rPr>
          <w:sz w:val="20"/>
          <w:szCs w:val="20"/>
          <w:color w:val="auto"/>
        </w:rPr>
      </w:pPr>
    </w:p>
    <w:p>
      <w:pPr>
        <w:ind w:left="220" w:right="439" w:firstLine="343"/>
        <w:spacing w:after="0" w:line="28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Swap Termination Value</w:t>
      </w:r>
      <w:r>
        <w:rPr>
          <w:rFonts w:ascii="Times New Roman" w:cs="Times New Roman" w:eastAsia="Times New Roman" w:hAnsi="Times New Roman"/>
          <w:sz w:val="13"/>
          <w:szCs w:val="13"/>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above,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28" w:lineRule="exact"/>
        <w:rPr>
          <w:sz w:val="20"/>
          <w:szCs w:val="20"/>
          <w:color w:val="auto"/>
        </w:rPr>
      </w:pPr>
    </w:p>
    <w:p>
      <w:pPr>
        <w:ind w:left="220" w:right="21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Synthetic Debt</w:t>
      </w:r>
      <w:r>
        <w:rPr>
          <w:rFonts w:ascii="Times New Roman" w:cs="Times New Roman" w:eastAsia="Times New Roman" w:hAnsi="Times New Roman"/>
          <w:sz w:val="14"/>
          <w:szCs w:val="14"/>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Synthetic Lease Obligation</w:t>
      </w:r>
      <w:r>
        <w:rPr>
          <w:rFonts w:ascii="Times New Roman" w:cs="Times New Roman" w:eastAsia="Times New Roman" w:hAnsi="Times New Roman"/>
          <w:sz w:val="14"/>
          <w:szCs w:val="14"/>
          <w:color w:val="auto"/>
        </w:rPr>
        <w:t>” means the monetary obligation of a Person under (a) a so-called synthetic, off-balance sheet or tax retention lease, or</w:t>
      </w:r>
    </w:p>
    <w:p>
      <w:pPr>
        <w:spacing w:after="0" w:line="22" w:lineRule="exact"/>
        <w:rPr>
          <w:sz w:val="20"/>
          <w:szCs w:val="20"/>
          <w:color w:val="auto"/>
        </w:rPr>
      </w:pPr>
    </w:p>
    <w:p>
      <w:pPr>
        <w:ind w:left="220" w:right="359" w:hanging="5"/>
        <w:spacing w:after="0" w:line="256" w:lineRule="auto"/>
        <w:tabs>
          <w:tab w:leader="none" w:pos="418" w:val="left"/>
        </w:tabs>
        <w:numPr>
          <w:ilvl w:val="0"/>
          <w:numId w:val="6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agreement for the use or possession of property (including Sale Leasebacks),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Group</w:t>
      </w:r>
      <w:r>
        <w:rPr>
          <w:rFonts w:ascii="Times New Roman" w:cs="Times New Roman" w:eastAsia="Times New Roman" w:hAnsi="Times New Roman"/>
          <w:sz w:val="14"/>
          <w:szCs w:val="14"/>
          <w:color w:val="auto"/>
        </w:rPr>
        <w:t>” has the meaning specified in the definition of “Permitted Tax Distributions”.</w:t>
      </w:r>
    </w:p>
    <w:p>
      <w:pPr>
        <w:spacing w:after="0" w:line="175"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all present or future taxes, levies, imposts, duties, deductions, withholdings (including backup withholding), assessments, fees, value added taxes and any other tax of a similar nature or other charges imposed by any Governmental Authority, including any interest, additions to tax or penalties applicable thereto.</w:t>
      </w:r>
    </w:p>
    <w:p>
      <w:pPr>
        <w:spacing w:after="0" w:line="136"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Facility</w:t>
      </w:r>
      <w:r>
        <w:rPr>
          <w:rFonts w:ascii="Times New Roman" w:cs="Times New Roman" w:eastAsia="Times New Roman" w:hAnsi="Times New Roman"/>
          <w:sz w:val="14"/>
          <w:szCs w:val="14"/>
          <w:color w:val="auto"/>
        </w:rPr>
        <w:t xml:space="preserve">” means (a) at any time during the Availability Period in respect of the Term Facility, the sum of (i) the aggregate amount of the Commitments at such time,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(ii) the aggregate principal amount of the Term Loans advanced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of all Lenders outstanding at such time, and (b) at any time thereafter, the aggregate principal amount of the Term Loans advanced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of all Lenders outstanding at such time. The aggregate principal amount of the Term Facility in effect on the Closing Date is $250,000,000.</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Loan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1" w:right="1440" w:bottom="1440" w:gutter="0" w:footer="0" w:header="0"/>
        </w:sectPr>
      </w:pPr>
    </w:p>
    <w:bookmarkStart w:id="615" w:name="page616"/>
    <w:bookmarkEnd w:id="615"/>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Term SOFR</w:t>
      </w:r>
      <w:r>
        <w:rPr>
          <w:rFonts w:ascii="Times New Roman" w:cs="Times New Roman" w:eastAsia="Times New Roman" w:hAnsi="Times New Roman"/>
          <w:sz w:val="14"/>
          <w:szCs w:val="14"/>
          <w:color w:val="auto"/>
        </w:rPr>
        <w:t>” means: (a) for any Interest Period with respect to a Term SOFR Loan, the rate per annum equal to the Term SOFR Screen Rate two</w:t>
      </w:r>
    </w:p>
    <w:p>
      <w:pPr>
        <w:spacing w:after="0" w:line="22" w:lineRule="exact"/>
        <w:rPr>
          <w:sz w:val="20"/>
          <w:szCs w:val="20"/>
          <w:color w:val="auto"/>
        </w:rPr>
      </w:pPr>
    </w:p>
    <w:p>
      <w:pPr>
        <w:ind w:left="420" w:hanging="205"/>
        <w:spacing w:after="0"/>
        <w:tabs>
          <w:tab w:leader="none" w:pos="420" w:val="left"/>
        </w:tabs>
        <w:numPr>
          <w:ilvl w:val="0"/>
          <w:numId w:val="6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Securities Business Days prior to the commencement of such Interest Period with a term equivalent to such Interest Period;</w:t>
      </w:r>
    </w:p>
    <w:p>
      <w:pPr>
        <w:spacing w:after="0" w:line="7" w:lineRule="exact"/>
        <w:rPr>
          <w:rFonts w:ascii="Times New Roman" w:cs="Times New Roman" w:eastAsia="Times New Roman" w:hAnsi="Times New Roman"/>
          <w:sz w:val="14"/>
          <w:szCs w:val="14"/>
          <w:color w:val="auto"/>
        </w:rPr>
      </w:pPr>
    </w:p>
    <w:p>
      <w:pPr>
        <w:ind w:left="220" w:right="379"/>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rate is not published prior to 11:00 a.m. on such determination date, then Term SOFR means the Term SOFR Screen Rate on the first U.S. Government Securities Business Day immediately prior thereto; and (b) for any interest calculation with respect to a Base Rate Loan on any date, the rate per annum equal to the Term SOFR Screen Rate with a term of one (1) month commencing that day;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rate is not published prior to 11:00 a.m. on such determination date then Term SOFR means the Term SOFR Screen Rate on the first U.S. Government Securities Business Day immediately prior thereto;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Term SOFR determined in accordance with either of the foregoing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clause</w:t>
      </w:r>
    </w:p>
    <w:p>
      <w:pPr>
        <w:ind w:left="2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would otherwise be less than zero, Term SOFR shall be deemed zero for purposes of this Agreement.</w:t>
      </w:r>
    </w:p>
    <w:p>
      <w:pPr>
        <w:spacing w:after="0" w:line="161"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Conforming Changes</w:t>
      </w:r>
      <w:r>
        <w:rPr>
          <w:rFonts w:ascii="Times New Roman" w:cs="Times New Roman" w:eastAsia="Times New Roman" w:hAnsi="Times New Roman"/>
          <w:sz w:val="14"/>
          <w:szCs w:val="14"/>
          <w:color w:val="auto"/>
        </w:rPr>
        <w:t>” means, with respect to the use, administration of or any conventions associated with SOFR, Term SOFR or any proposed Term SOFR Successor Rate, as applicable, any conforming changes to the definition of “Base Rate”, the definition of “Interest Period”, the definition of “SOFR”, the definition of “Term SOFR”, the timing and frequency of determining rates and making payments of interest, and other technical, administrative or operational matters (including, for the avoidance of doubt, the definition of “Business Day”, the definition of “U.S. Government Securities Business Day”, the timing of borrowing requests or prepayment, conversion or continuation notices, and the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Parent is reasonably necessary in connection with the administration of this Agreement and any other Loan Document).</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Loan</w:t>
      </w:r>
      <w:r>
        <w:rPr>
          <w:rFonts w:ascii="Times New Roman" w:cs="Times New Roman" w:eastAsia="Times New Roman" w:hAnsi="Times New Roman"/>
          <w:sz w:val="14"/>
          <w:szCs w:val="14"/>
          <w:color w:val="auto"/>
        </w:rPr>
        <w:t xml:space="preserve">” means a Term Loan that bears interest at a rate based on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of the definition of “Term SOFR.”</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Replacement Date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Scheduled Unavailability Date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both"/>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Screen Rate</w:t>
      </w:r>
      <w:r>
        <w:rPr>
          <w:rFonts w:ascii="Times New Roman" w:cs="Times New Roman" w:eastAsia="Times New Roman" w:hAnsi="Times New Roman"/>
          <w:sz w:val="14"/>
          <w:szCs w:val="14"/>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 SOFR Successor Rate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Threshold Amount</w:t>
      </w:r>
      <w:r>
        <w:rPr>
          <w:rFonts w:ascii="Times New Roman" w:cs="Times New Roman" w:eastAsia="Times New Roman" w:hAnsi="Times New Roman"/>
          <w:sz w:val="14"/>
          <w:szCs w:val="14"/>
          <w:color w:val="auto"/>
        </w:rPr>
        <w:t>” means the greater of (a) $37,000,000 and (b) 20% of TTM Consolidated EBITDA.</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Ticking Fee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2.09(a)</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TopCo</w:t>
      </w:r>
      <w:r>
        <w:rPr>
          <w:rFonts w:ascii="Times New Roman" w:cs="Times New Roman" w:eastAsia="Times New Roman" w:hAnsi="Times New Roman"/>
          <w:sz w:val="14"/>
          <w:szCs w:val="14"/>
          <w:color w:val="auto"/>
        </w:rPr>
        <w:t>” has the meaning specified in the definition of “TopCo Restructuring”.</w:t>
      </w:r>
    </w:p>
    <w:p>
      <w:pPr>
        <w:spacing w:after="0" w:line="175"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TopCo Restructuring</w:t>
      </w:r>
      <w:r>
        <w:rPr>
          <w:rFonts w:ascii="Times New Roman" w:cs="Times New Roman" w:eastAsia="Times New Roman" w:hAnsi="Times New Roman"/>
          <w:sz w:val="14"/>
          <w:szCs w:val="14"/>
          <w:color w:val="auto"/>
        </w:rPr>
        <w:t>” means a restructuring in which each of the Company and the Borrower (or a Subsidiary of the Company that the Borrower merges into or consolidates with) becomes a wholly-owned Subsidiary of a newly formed U.S. public company (including any transactions or other actions prior thereto required to effect such restructuring) (such company, “</w:t>
      </w:r>
      <w:r>
        <w:rPr>
          <w:rFonts w:ascii="Times New Roman" w:cs="Times New Roman" w:eastAsia="Times New Roman" w:hAnsi="Times New Roman"/>
          <w:sz w:val="14"/>
          <w:szCs w:val="14"/>
          <w:u w:val="single" w:color="auto"/>
          <w:color w:val="auto"/>
        </w:rPr>
        <w:t>TopCo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the Guarantees and the security interests of the Secured Parties in the Collateral are not materially impaired (including by a material portion of the assets that constitute Collateral immediately prior to such TopCo Restructuring no longer constituting Collateral as a result of such TopCo Restructuring) and (y) the Company may convert into a U.S. limited liability company in connection with such TopCo Restructuring.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1" w:right="1440" w:bottom="1440" w:gutter="0" w:footer="0" w:header="0"/>
        </w:sectPr>
      </w:pPr>
    </w:p>
    <w:bookmarkStart w:id="616" w:name="page617"/>
    <w:bookmarkEnd w:id="616"/>
    <w:p>
      <w:pPr>
        <w:ind w:left="220" w:right="35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Total Credit Exposure</w:t>
      </w:r>
      <w:r>
        <w:rPr>
          <w:rFonts w:ascii="Times New Roman" w:cs="Times New Roman" w:eastAsia="Times New Roman" w:hAnsi="Times New Roman"/>
          <w:sz w:val="14"/>
          <w:szCs w:val="14"/>
          <w:color w:val="auto"/>
        </w:rPr>
        <w:t>” means, as to any Lender at any time, the unused Commitments and the Outstanding Amount of the Term Loans, in each case, of such Lender at such time.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 Date</w:t>
      </w:r>
      <w:r>
        <w:rPr>
          <w:rFonts w:ascii="Times New Roman" w:cs="Times New Roman" w:eastAsia="Times New Roman" w:hAnsi="Times New Roman"/>
          <w:sz w:val="14"/>
          <w:szCs w:val="14"/>
          <w:color w:val="auto"/>
        </w:rPr>
        <w:t>” has the meaning specified in an Assignment and Assumption.</w:t>
      </w:r>
    </w:p>
    <w:p>
      <w:pPr>
        <w:spacing w:after="0" w:line="175" w:lineRule="exact"/>
        <w:rPr>
          <w:sz w:val="20"/>
          <w:szCs w:val="20"/>
          <w:color w:val="auto"/>
        </w:rPr>
      </w:pPr>
    </w:p>
    <w:p>
      <w:pPr>
        <w:ind w:left="220" w:right="43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Management Agreement</w:t>
      </w:r>
      <w:r>
        <w:rPr>
          <w:rFonts w:ascii="Times New Roman" w:cs="Times New Roman" w:eastAsia="Times New Roman" w:hAnsi="Times New Roman"/>
          <w:sz w:val="14"/>
          <w:szCs w:val="14"/>
          <w:color w:val="auto"/>
        </w:rPr>
        <w:t>” means any agreement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and other cash management services.</w:t>
      </w:r>
    </w:p>
    <w:p>
      <w:pPr>
        <w:spacing w:after="0" w:line="136" w:lineRule="exact"/>
        <w:rPr>
          <w:sz w:val="20"/>
          <w:szCs w:val="20"/>
          <w:color w:val="auto"/>
        </w:rPr>
      </w:pPr>
    </w:p>
    <w:p>
      <w:pPr>
        <w:jc w:val="both"/>
        <w:ind w:left="220" w:right="35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TTM Consolidated EBITDA</w:t>
      </w:r>
      <w:r>
        <w:rPr>
          <w:rFonts w:ascii="Times New Roman" w:cs="Times New Roman" w:eastAsia="Times New Roman" w:hAnsi="Times New Roman"/>
          <w:sz w:val="14"/>
          <w:szCs w:val="14"/>
          <w:color w:val="auto"/>
        </w:rPr>
        <w:t xml:space="preserve">” means, as of any date of determination, Consolidated EBITDA for the Measurement Period most recently ended on or prior to such date for which the Company has (or was required) to deliver financial statements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6.01(b)</w:t>
      </w:r>
      <w:r>
        <w:rPr>
          <w:rFonts w:ascii="Times New Roman" w:cs="Times New Roman" w:eastAsia="Times New Roman" w:hAnsi="Times New Roman"/>
          <w:sz w:val="14"/>
          <w:szCs w:val="14"/>
          <w:color w:val="auto"/>
        </w:rPr>
        <w:t xml:space="preserve"> (or, prior to the first delivery of financial statements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6.01(b)</w:t>
      </w:r>
      <w:r>
        <w:rPr>
          <w:rFonts w:ascii="Times New Roman" w:cs="Times New Roman" w:eastAsia="Times New Roman" w:hAnsi="Times New Roman"/>
          <w:sz w:val="14"/>
          <w:szCs w:val="14"/>
          <w:color w:val="auto"/>
        </w:rPr>
        <w:t>, by reference to the Interim Financial Statements).</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Type</w:t>
      </w:r>
      <w:r>
        <w:rPr>
          <w:rFonts w:ascii="Times New Roman" w:cs="Times New Roman" w:eastAsia="Times New Roman" w:hAnsi="Times New Roman"/>
          <w:sz w:val="14"/>
          <w:szCs w:val="14"/>
          <w:color w:val="auto"/>
        </w:rPr>
        <w:t>” means, with respect to a Term Loan, its character as a Base Rate Loan or a Term SOFR Loan.</w:t>
      </w:r>
    </w:p>
    <w:p>
      <w:pPr>
        <w:spacing w:after="0" w:line="175"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UCC</w:t>
      </w:r>
      <w:r>
        <w:rPr>
          <w:rFonts w:ascii="Times New Roman" w:cs="Times New Roman" w:eastAsia="Times New Roman" w:hAnsi="Times New Roman"/>
          <w:sz w:val="14"/>
          <w:szCs w:val="14"/>
          <w:color w:val="auto"/>
        </w:rPr>
        <w:t xml:space="preserve">” means the Uniform Commercial Code as in effect in the State of New York;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41" w:lineRule="exact"/>
        <w:rPr>
          <w:sz w:val="20"/>
          <w:szCs w:val="20"/>
          <w:color w:val="auto"/>
        </w:rPr>
      </w:pPr>
    </w:p>
    <w:p>
      <w:pPr>
        <w:ind w:left="220" w:right="43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Financial Institution</w:t>
      </w:r>
      <w:r>
        <w:rPr>
          <w:rFonts w:ascii="Times New Roman" w:cs="Times New Roman" w:eastAsia="Times New Roman" w:hAnsi="Times New Roman"/>
          <w:sz w:val="14"/>
          <w:szCs w:val="14"/>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1"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Resolution Authority</w:t>
      </w:r>
      <w:r>
        <w:rPr>
          <w:rFonts w:ascii="Times New Roman" w:cs="Times New Roman" w:eastAsia="Times New Roman" w:hAnsi="Times New Roman"/>
          <w:sz w:val="14"/>
          <w:szCs w:val="14"/>
          <w:color w:val="auto"/>
        </w:rPr>
        <w:t>” means the Bank of England or any other public administrative authority having responsibility for the resolution of any UK Financial Institution.</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United States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mean the United States of America.</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Unreimbursed Amount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2.03(c)(i)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Government Securities Business Day</w:t>
      </w:r>
      <w:r>
        <w:rPr>
          <w:rFonts w:ascii="Times New Roman" w:cs="Times New Roman" w:eastAsia="Times New Roman" w:hAnsi="Times New Roman"/>
          <w:sz w:val="14"/>
          <w:szCs w:val="14"/>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Person</w:t>
      </w:r>
      <w:r>
        <w:rPr>
          <w:rFonts w:ascii="Times New Roman" w:cs="Times New Roman" w:eastAsia="Times New Roman" w:hAnsi="Times New Roman"/>
          <w:sz w:val="14"/>
          <w:szCs w:val="14"/>
          <w:color w:val="auto"/>
        </w:rPr>
        <w:t>” means any Person that is a “United States person” as defined in Section 7701(a)(30) of the Code.</w:t>
      </w:r>
    </w:p>
    <w:p>
      <w:pPr>
        <w:spacing w:after="0" w:line="1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1" w:right="1440" w:bottom="1440" w:gutter="0" w:footer="0" w:header="0"/>
        </w:sectPr>
      </w:pPr>
    </w:p>
    <w:bookmarkStart w:id="617" w:name="page618"/>
    <w:bookmarkEnd w:id="617"/>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U.S. Special Resolution Regimes</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11.22</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Tax Compliance Certificate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3.01(e)(ii)(III)</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79" w:firstLine="34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Stock</w:t>
      </w:r>
      <w:r>
        <w:rPr>
          <w:rFonts w:ascii="Times New Roman" w:cs="Times New Roman" w:eastAsia="Times New Roman" w:hAnsi="Times New Roman"/>
          <w:sz w:val="14"/>
          <w:szCs w:val="14"/>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36"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Weighted Average Life to Maturity</w:t>
      </w:r>
      <w:r>
        <w:rPr>
          <w:rFonts w:ascii="Times New Roman" w:cs="Times New Roman" w:eastAsia="Times New Roman" w:hAnsi="Times New Roman"/>
          <w:sz w:val="14"/>
          <w:szCs w:val="14"/>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41" w:lineRule="exact"/>
        <w:rPr>
          <w:sz w:val="20"/>
          <w:szCs w:val="20"/>
          <w:color w:val="auto"/>
        </w:rPr>
      </w:pPr>
    </w:p>
    <w:p>
      <w:pPr>
        <w:ind w:left="220" w:right="319" w:firstLine="343"/>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Write-Down and Conversion Powers</w:t>
      </w:r>
      <w:r>
        <w:rPr>
          <w:rFonts w:ascii="Times New Roman" w:cs="Times New Roman" w:eastAsia="Times New Roman" w:hAnsi="Times New Roman"/>
          <w:sz w:val="14"/>
          <w:szCs w:val="14"/>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2" w:lineRule="exact"/>
        <w:rPr>
          <w:sz w:val="20"/>
          <w:szCs w:val="20"/>
          <w:color w:val="auto"/>
        </w:rPr>
      </w:pPr>
    </w:p>
    <w:p>
      <w:pPr>
        <w:ind w:left="220" w:right="4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1.02 Other Interpretive Provisions</w:t>
      </w:r>
      <w:r>
        <w:rPr>
          <w:rFonts w:ascii="Times New Roman" w:cs="Times New Roman" w:eastAsia="Times New Roman" w:hAnsi="Times New Roman"/>
          <w:sz w:val="14"/>
          <w:szCs w:val="14"/>
          <w:color w:val="auto"/>
        </w:rPr>
        <w:t>. With reference to this Agreement and each other Loan Document, unless otherwise specified herein or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other Loan Document:</w:t>
      </w:r>
    </w:p>
    <w:p>
      <w:pPr>
        <w:spacing w:after="0" w:line="39" w:lineRule="exact"/>
        <w:rPr>
          <w:sz w:val="20"/>
          <w:szCs w:val="20"/>
          <w:color w:val="auto"/>
        </w:rPr>
      </w:pPr>
    </w:p>
    <w:p>
      <w:pPr>
        <w:ind w:left="560" w:right="259" w:firstLine="327"/>
        <w:spacing w:after="0" w:line="252" w:lineRule="auto"/>
        <w:tabs>
          <w:tab w:leader="none" w:pos="1080" w:val="left"/>
        </w:tabs>
        <w:numPr>
          <w:ilvl w:val="0"/>
          <w:numId w:val="6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real and personal property and tangible and intangible assets and properties, including cash, securities, accounts and contract rights.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1" w:right="1440" w:bottom="1440" w:gutter="0" w:footer="0" w:header="0"/>
        </w:sectPr>
      </w:pPr>
    </w:p>
    <w:bookmarkStart w:id="618" w:name="page619"/>
    <w:bookmarkEnd w:id="618"/>
    <w:p>
      <w:pPr>
        <w:ind w:left="560" w:right="419" w:firstLine="327"/>
        <w:spacing w:after="0" w:line="283" w:lineRule="auto"/>
        <w:tabs>
          <w:tab w:leader="none" w:pos="1088" w:val="left"/>
        </w:tabs>
        <w:numPr>
          <w:ilvl w:val="0"/>
          <w:numId w:val="6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the computation of periods of time from a specified date to a later specified date, the word “from” means “from and including;” the words “to” and “until” each mean “to but excluding;” and the word “through” means “to and including.”</w:t>
      </w:r>
    </w:p>
    <w:p>
      <w:pPr>
        <w:spacing w:after="0" w:line="40" w:lineRule="exact"/>
        <w:rPr>
          <w:rFonts w:ascii="Times New Roman" w:cs="Times New Roman" w:eastAsia="Times New Roman" w:hAnsi="Times New Roman"/>
          <w:sz w:val="14"/>
          <w:szCs w:val="14"/>
          <w:color w:val="auto"/>
        </w:rPr>
      </w:pPr>
    </w:p>
    <w:p>
      <w:pPr>
        <w:ind w:left="560" w:right="739" w:firstLine="327"/>
        <w:spacing w:after="0" w:line="283" w:lineRule="auto"/>
        <w:tabs>
          <w:tab w:leader="none" w:pos="1080" w:val="left"/>
        </w:tabs>
        <w:numPr>
          <w:ilvl w:val="0"/>
          <w:numId w:val="6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headings herein and in the other Loan Documents are included for convenience of reference only and shall not affect the interpretation of this Agreement or any other Loan Document.</w:t>
      </w:r>
    </w:p>
    <w:p>
      <w:pPr>
        <w:spacing w:after="0" w:line="40" w:lineRule="exact"/>
        <w:rPr>
          <w:rFonts w:ascii="Times New Roman" w:cs="Times New Roman" w:eastAsia="Times New Roman" w:hAnsi="Times New Roman"/>
          <w:sz w:val="14"/>
          <w:szCs w:val="14"/>
          <w:color w:val="auto"/>
        </w:rPr>
      </w:pPr>
    </w:p>
    <w:p>
      <w:pPr>
        <w:ind w:left="560" w:right="319" w:firstLine="327"/>
        <w:spacing w:after="0" w:line="258" w:lineRule="auto"/>
        <w:tabs>
          <w:tab w:leader="none" w:pos="1088" w:val="left"/>
        </w:tabs>
        <w:numPr>
          <w:ilvl w:val="0"/>
          <w:numId w:val="6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reference herein to a merger, transfer, consolidation, amalgamation, assignment, sale, disposition,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1.03 Accounting Terms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19" w:firstLine="327"/>
        <w:spacing w:after="0" w:line="253" w:lineRule="auto"/>
        <w:tabs>
          <w:tab w:leader="none" w:pos="1080" w:val="left"/>
        </w:tabs>
        <w:numPr>
          <w:ilvl w:val="0"/>
          <w:numId w:val="6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Generally</w:t>
      </w:r>
      <w:r>
        <w:rPr>
          <w:rFonts w:ascii="Times New Roman" w:cs="Times New Roman" w:eastAsia="Times New Roman" w:hAnsi="Times New Roman"/>
          <w:sz w:val="14"/>
          <w:szCs w:val="14"/>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and FASB ASC 470-20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spacing w:after="0" w:line="66" w:lineRule="exact"/>
        <w:rPr>
          <w:rFonts w:ascii="Times New Roman" w:cs="Times New Roman" w:eastAsia="Times New Roman" w:hAnsi="Times New Roman"/>
          <w:sz w:val="14"/>
          <w:szCs w:val="14"/>
          <w:color w:val="auto"/>
        </w:rPr>
      </w:pPr>
    </w:p>
    <w:p>
      <w:pPr>
        <w:ind w:left="560" w:right="279" w:firstLine="327"/>
        <w:spacing w:after="0" w:line="256" w:lineRule="auto"/>
        <w:tabs>
          <w:tab w:leader="none" w:pos="1087" w:val="left"/>
        </w:tabs>
        <w:numPr>
          <w:ilvl w:val="0"/>
          <w:numId w:val="6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Changes in GAAP</w:t>
      </w:r>
      <w:r>
        <w:rPr>
          <w:rFonts w:ascii="Times New Roman" w:cs="Times New Roman" w:eastAsia="Times New Roman" w:hAnsi="Times New Roman"/>
          <w:sz w:val="14"/>
          <w:szCs w:val="14"/>
          <w:color w:val="auto"/>
        </w:rPr>
        <w:t xml:space="preserve">. If at any time any change in GAAP (including the adoption of IFRS)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619" w:name="page620"/>
    <w:bookmarkEnd w:id="619"/>
    <w:p>
      <w:pPr>
        <w:ind w:left="560" w:right="419" w:firstLine="327"/>
        <w:spacing w:after="0" w:line="255" w:lineRule="auto"/>
        <w:tabs>
          <w:tab w:leader="none" w:pos="1080" w:val="left"/>
        </w:tabs>
        <w:numPr>
          <w:ilvl w:val="1"/>
          <w:numId w:val="6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 Forma Calculations</w:t>
      </w:r>
      <w:r>
        <w:rPr>
          <w:rFonts w:ascii="Times New Roman" w:cs="Times New Roman" w:eastAsia="Times New Roman" w:hAnsi="Times New Roman"/>
          <w:sz w:val="14"/>
          <w:szCs w:val="14"/>
          <w:color w:val="auto"/>
        </w:rPr>
        <w:t xml:space="preserve">. Notwithstanding anything to the contrary contained herein, all calculations of the Consolidated Net Leverage Ratio (including for purposes of determining the Applicable Rate) and the Consolidated Interest Coverage Ratio shall be made on a Pro Forma Basis with respect to all Specified Transactions occurring during the applicable four quarter period to which such calculation relates, and/or subsequent to the end of such four quarter period but not later than the date of such calculation;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when calculating the Consolidated Net Leverage Ratio and/or the Consolidated Interest Coverage Ratio for purposes of determining</w:t>
      </w:r>
    </w:p>
    <w:p>
      <w:pPr>
        <w:ind w:left="560" w:right="299" w:hanging="2"/>
        <w:spacing w:after="0" w:line="251" w:lineRule="auto"/>
        <w:tabs>
          <w:tab w:leader="none" w:pos="727" w:val="left"/>
        </w:tabs>
        <w:numPr>
          <w:ilvl w:val="0"/>
          <w:numId w:val="6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compliance with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 xml:space="preserve"> and/or (ii) the Applicable Rate, any Specified Transaction and any related adjustment contemplated in the definition of “Pro Forma Basis” that occurred subsequent to the end of the applicable four quarter period shall not be given Pro Forma Effect. For purposes of determining compliance with any provision of this Agreement which requires Pro Forma Compliance with any financial covenant set forth in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 xml:space="preserve">, (A) in the case of any such compliance required after delivery of financial statements for the fiscal quarter ending June 30, 2026, such Pro Forma Compliance shall be determined by reference to the maximum Consolidated Net Leverage Ratio and/or minimum Consolidated Interest Coverage Ratio, as applicable, permitted for the fiscal quarter most recently then ended for which financial statements have been delivered (or were required to have been delivered) in accordance with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(B) in the case of any such compliance required prior to the delivery referred to in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above, such Pro Forma Compliance shall be determined by reference to the Interim Financial Statements and the maximum Consolidated Net Leverage Ratio and/or minimum Consolidated Interest Coverage Ratio, as applicable, permitted for the fiscal quarter ending June 30, 2026.</w:t>
      </w:r>
    </w:p>
    <w:p>
      <w:pPr>
        <w:spacing w:after="0" w:line="67" w:lineRule="exact"/>
        <w:rPr>
          <w:rFonts w:ascii="Times New Roman" w:cs="Times New Roman" w:eastAsia="Times New Roman" w:hAnsi="Times New Roman"/>
          <w:sz w:val="14"/>
          <w:szCs w:val="14"/>
          <w:color w:val="auto"/>
        </w:rPr>
      </w:pPr>
    </w:p>
    <w:p>
      <w:pPr>
        <w:ind w:left="560" w:right="239" w:firstLine="327"/>
        <w:spacing w:after="0" w:line="254" w:lineRule="auto"/>
        <w:tabs>
          <w:tab w:leader="none" w:pos="1087" w:val="left"/>
        </w:tabs>
        <w:numPr>
          <w:ilvl w:val="1"/>
          <w:numId w:val="6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Netting; Certain Calculations</w:t>
      </w:r>
      <w:r>
        <w:rPr>
          <w:rFonts w:ascii="Times New Roman" w:cs="Times New Roman" w:eastAsia="Times New Roman" w:hAnsi="Times New Roman"/>
          <w:sz w:val="14"/>
          <w:szCs w:val="14"/>
          <w:color w:val="auto"/>
        </w:rPr>
        <w:t xml:space="preserve">. Notwithstanding anything contained herein to the contrary, with respect to determining the permissibility of the incurrence of any Indebtedness, the proceeds thereof shall not be counted as “unrestricted cash and Cash Equivalents of the Loan Parties” for the purposes of </w:t>
      </w:r>
      <w:r>
        <w:rPr>
          <w:rFonts w:ascii="Times New Roman" w:cs="Times New Roman" w:eastAsia="Times New Roman" w:hAnsi="Times New Roman"/>
          <w:sz w:val="14"/>
          <w:szCs w:val="14"/>
          <w:u w:val="single" w:color="auto"/>
          <w:color w:val="auto"/>
        </w:rPr>
        <w:t>clause (a)(ii)</w:t>
      </w:r>
      <w:r>
        <w:rPr>
          <w:rFonts w:ascii="Times New Roman" w:cs="Times New Roman" w:eastAsia="Times New Roman" w:hAnsi="Times New Roman"/>
          <w:sz w:val="14"/>
          <w:szCs w:val="14"/>
          <w:color w:val="auto"/>
        </w:rPr>
        <w:t xml:space="preserve"> of the definition of “Consolidated Net Leverage Ratio”. Prior to the delivery of financial statements pursuant to </w:t>
      </w:r>
      <w:r>
        <w:rPr>
          <w:rFonts w:ascii="Times New Roman" w:cs="Times New Roman" w:eastAsia="Times New Roman" w:hAnsi="Times New Roman"/>
          <w:sz w:val="14"/>
          <w:szCs w:val="14"/>
          <w:u w:val="single" w:color="auto"/>
          <w:color w:val="auto"/>
        </w:rPr>
        <w:t>Section 6.01(b)</w:t>
      </w:r>
      <w:r>
        <w:rPr>
          <w:rFonts w:ascii="Times New Roman" w:cs="Times New Roman" w:eastAsia="Times New Roman" w:hAnsi="Times New Roman"/>
          <w:sz w:val="14"/>
          <w:szCs w:val="14"/>
          <w:color w:val="auto"/>
        </w:rPr>
        <w:t xml:space="preserve"> for the fiscal quarter ending June 30, 2026, any calculation or other determination to be made pursuant to this Agreement by reference to the most recent financial statements of the Company shall be calculated or determined, as applicable, by reference to Interim Financial Statements. Each Leverage Increase shall only apply (i) with respect to the calculation of the Consolidated Net Leverage Ratio for purposes of determining compliance with </w:t>
      </w:r>
      <w:r>
        <w:rPr>
          <w:rFonts w:ascii="Times New Roman" w:cs="Times New Roman" w:eastAsia="Times New Roman" w:hAnsi="Times New Roman"/>
          <w:sz w:val="14"/>
          <w:szCs w:val="14"/>
          <w:u w:val="single" w:color="auto"/>
          <w:color w:val="auto"/>
        </w:rPr>
        <w:t>Section 7.11(b)</w:t>
      </w:r>
      <w:r>
        <w:rPr>
          <w:rFonts w:ascii="Times New Roman" w:cs="Times New Roman" w:eastAsia="Times New Roman" w:hAnsi="Times New Roman"/>
          <w:sz w:val="14"/>
          <w:szCs w:val="14"/>
          <w:color w:val="auto"/>
        </w:rPr>
        <w:t xml:space="preserve"> as of the end of each fiscal quarter of the Company, and (ii) for purposes of determining compliance with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of the proviso to the definition of “Permitted Acquisition” in connection with the consummation of any Material Acquisition.</w:t>
      </w:r>
    </w:p>
    <w:p>
      <w:pPr>
        <w:spacing w:after="0" w:line="147" w:lineRule="exact"/>
        <w:rPr>
          <w:sz w:val="20"/>
          <w:szCs w:val="20"/>
          <w:color w:val="auto"/>
        </w:rPr>
      </w:pPr>
    </w:p>
    <w:p>
      <w:pPr>
        <w:ind w:left="220" w:right="2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1.04 Rounding</w:t>
      </w:r>
      <w:r>
        <w:rPr>
          <w:rFonts w:ascii="Times New Roman" w:cs="Times New Roman" w:eastAsia="Times New Roman" w:hAnsi="Times New Roman"/>
          <w:sz w:val="14"/>
          <w:szCs w:val="14"/>
          <w:color w:val="auto"/>
        </w:rPr>
        <w:t>. Any financial ratios required to be maintained by the Borrowers pursuant to this Agreement shall be calculated by dividing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33" w:lineRule="exact"/>
        <w:rPr>
          <w:sz w:val="20"/>
          <w:szCs w:val="20"/>
          <w:color w:val="auto"/>
        </w:rPr>
      </w:pPr>
    </w:p>
    <w:p>
      <w:pPr>
        <w:ind w:left="220" w:right="31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1.05 Conforming Changes</w:t>
      </w:r>
      <w:r>
        <w:rPr>
          <w:rFonts w:ascii="Times New Roman" w:cs="Times New Roman" w:eastAsia="Times New Roman" w:hAnsi="Times New Roman"/>
          <w:sz w:val="14"/>
          <w:szCs w:val="14"/>
          <w:color w:val="auto"/>
        </w:rPr>
        <w:t>. The Administrative Agent does not warrant, nor accept responsibility, nor shall the Administrative Agent have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any Term SOFR Successor Rate) (or any component of any of the foregoing) or the effect of any of the foregoing, or of any Term SOFR Conforming Changes. The Administrative Agent and its affiliates or other related entities may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2" w:right="1440" w:bottom="1440" w:gutter="0" w:footer="0" w:header="0"/>
        </w:sectPr>
      </w:pPr>
    </w:p>
    <w:bookmarkStart w:id="620" w:name="page621"/>
    <w:bookmarkEnd w:id="620"/>
    <w:p>
      <w:pPr>
        <w:ind w:left="220" w:right="2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engage in transactions or other activities that affect any reference rate referred to herein, or any alternative, successor or replacement rate (including any Term SOFR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any Term SOFR Successor Rate) (or any component of any of the foregoing),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1.06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9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1.07 Times of Day</w:t>
      </w:r>
      <w:r>
        <w:rPr>
          <w:rFonts w:ascii="Times New Roman" w:cs="Times New Roman" w:eastAsia="Times New Roman" w:hAnsi="Times New Roman"/>
          <w:sz w:val="14"/>
          <w:szCs w:val="14"/>
          <w:color w:val="auto"/>
        </w:rPr>
        <w:t>. Unless otherwise specified, all references herein to times of day shall be references to Eastern time (daylight or standard,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1.08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1.09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1.10 Certain Calculations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39" w:firstLine="327"/>
        <w:spacing w:after="0" w:line="256" w:lineRule="auto"/>
        <w:tabs>
          <w:tab w:leader="none" w:pos="1080" w:val="left"/>
        </w:tabs>
        <w:numPr>
          <w:ilvl w:val="1"/>
          <w:numId w:val="6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purposes of (i) determining compliance at any time with any provision of a </w:t>
      </w:r>
      <w:r>
        <w:rPr>
          <w:rFonts w:ascii="Times New Roman" w:cs="Times New Roman" w:eastAsia="Times New Roman" w:hAnsi="Times New Roman"/>
          <w:sz w:val="14"/>
          <w:szCs w:val="14"/>
          <w:u w:val="single" w:color="auto"/>
          <w:color w:val="auto"/>
        </w:rPr>
        <w:t>Sections 7.01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7.14</w:t>
      </w:r>
      <w:r>
        <w:rPr>
          <w:rFonts w:ascii="Times New Roman" w:cs="Times New Roman" w:eastAsia="Times New Roman" w:hAnsi="Times New Roman"/>
          <w:sz w:val="14"/>
          <w:szCs w:val="14"/>
          <w:color w:val="auto"/>
        </w:rPr>
        <w:t>, in the event that any Lien, Investment, Indebtedness, Disposition, Restricted Payment or prepayment, redemption, purchase, defeasance or other satisfaction of any Junior Indebtedness (or any portion of any of the foregoing), as the case may be (each, a “</w:t>
      </w:r>
      <w:r>
        <w:rPr>
          <w:rFonts w:ascii="Times New Roman" w:cs="Times New Roman" w:eastAsia="Times New Roman" w:hAnsi="Times New Roman"/>
          <w:sz w:val="14"/>
          <w:szCs w:val="14"/>
          <w:u w:val="single" w:color="auto"/>
          <w:color w:val="auto"/>
        </w:rPr>
        <w:t>Reclassification Item</w:t>
      </w:r>
      <w:r>
        <w:rPr>
          <w:rFonts w:ascii="Times New Roman" w:cs="Times New Roman" w:eastAsia="Times New Roman" w:hAnsi="Times New Roman"/>
          <w:sz w:val="14"/>
          <w:szCs w:val="14"/>
          <w:color w:val="auto"/>
        </w:rPr>
        <w:t>”) meets the criteria of more than one of the categories of transactions or actions within such Section or items permitted pursuant to any clause within such Section (other than</w:t>
      </w:r>
    </w:p>
    <w:p>
      <w:pPr>
        <w:ind w:left="560" w:right="239" w:hanging="2"/>
        <w:spacing w:after="0" w:line="251" w:lineRule="auto"/>
        <w:tabs>
          <w:tab w:leader="none" w:pos="758" w:val="left"/>
        </w:tabs>
        <w:numPr>
          <w:ilvl w:val="0"/>
          <w:numId w:val="6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7.03(a)</w:t>
      </w:r>
      <w:r>
        <w:rPr>
          <w:rFonts w:ascii="Times New Roman" w:cs="Times New Roman" w:eastAsia="Times New Roman" w:hAnsi="Times New Roman"/>
          <w:sz w:val="14"/>
          <w:szCs w:val="14"/>
          <w:color w:val="auto"/>
        </w:rPr>
        <w:t xml:space="preserve"> (in the case of Indebtedness incurred as of the Closing Date) and (y) </w:t>
      </w:r>
      <w:r>
        <w:rPr>
          <w:rFonts w:ascii="Times New Roman" w:cs="Times New Roman" w:eastAsia="Times New Roman" w:hAnsi="Times New Roman"/>
          <w:sz w:val="14"/>
          <w:szCs w:val="14"/>
          <w:u w:val="single" w:color="auto"/>
          <w:color w:val="auto"/>
        </w:rPr>
        <w:t>Section 7.01(a)</w:t>
      </w:r>
      <w:r>
        <w:rPr>
          <w:rFonts w:ascii="Times New Roman" w:cs="Times New Roman" w:eastAsia="Times New Roman" w:hAnsi="Times New Roman"/>
          <w:sz w:val="14"/>
          <w:szCs w:val="14"/>
          <w:color w:val="auto"/>
        </w:rPr>
        <w:t>), the Company may, in its sole discretion, from time to time, classify or reclassify such Reclassification Item (or portion thereof) under one or more clauses of the applicable Section and will only be required to include the amount and type of such transaction, action or item (or portion thereof) in any one category and (ii) calculating any baskets, exceptions and thresholds in a given covenant that require compliance with a financial ratio or test (including any Consolidated Interest Coverage Ratio or Consolidated Net Leverage Ratio) (any such amounts, “</w:t>
      </w:r>
      <w:r>
        <w:rPr>
          <w:rFonts w:ascii="Times New Roman" w:cs="Times New Roman" w:eastAsia="Times New Roman" w:hAnsi="Times New Roman"/>
          <w:sz w:val="14"/>
          <w:szCs w:val="14"/>
          <w:u w:val="single" w:color="auto"/>
          <w:color w:val="auto"/>
        </w:rPr>
        <w:t>Incurrence-Based Amounts</w:t>
      </w:r>
      <w:r>
        <w:rPr>
          <w:rFonts w:ascii="Times New Roman" w:cs="Times New Roman" w:eastAsia="Times New Roman" w:hAnsi="Times New Roman"/>
          <w:sz w:val="14"/>
          <w:szCs w:val="14"/>
          <w:color w:val="auto"/>
        </w:rPr>
        <w:t>”), any amounts incurred, or transactions entered into or consummated, in reliance on a basket, exception or threshold (including any related grower component) in such covenant that does not require compliance with a financial ratio or test in a concurrent transaction with the amount incurred, or transaction entered into or consummated, under the applicable Incurrence-Based Amount shall not be given effect in calculating the applicable Incurrence-Based Amount (but shall be calculated giving pro forma effect to all other applicable and related transactions (including the use of proceeds of all Indebtedness to be incurred and any repayments, repurchases and redemptions of Indebtedness)).</w:t>
      </w:r>
    </w:p>
    <w:p>
      <w:pPr>
        <w:spacing w:after="0" w:line="67" w:lineRule="exact"/>
        <w:rPr>
          <w:rFonts w:ascii="Times New Roman" w:cs="Times New Roman" w:eastAsia="Times New Roman" w:hAnsi="Times New Roman"/>
          <w:sz w:val="14"/>
          <w:szCs w:val="14"/>
          <w:color w:val="auto"/>
        </w:rPr>
      </w:pPr>
    </w:p>
    <w:p>
      <w:pPr>
        <w:ind w:left="560" w:right="299" w:firstLine="327"/>
        <w:spacing w:after="0" w:line="257" w:lineRule="auto"/>
        <w:tabs>
          <w:tab w:leader="none" w:pos="1088" w:val="left"/>
        </w:tabs>
        <w:numPr>
          <w:ilvl w:val="1"/>
          <w:numId w:val="6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transaction, action, judgment or amount is incurred, issued, taken or consummated in reliance on a basket measured by reference to a percentage of TTM Consolidated EBITDA, and such transaction, action, judgment or amount (including, in the case of Indebtedness, in connection with any refinancing thereof) subsequently exceeds the applicable percentage of TTM Consolidated EBITDA set forth in such basket if calculated based on the TTM Consolidated EBITDA on a later date (including the date of any such refinancing), such transaction, action, judgment or amount may remain outstanding pursuant to such basket despite the decline in TTM Consolidated EBITDA that caused such amount to be exceeded and the amount thereof outstanding shall be taken into account in determining future utilization of such basket.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41" w:right="1440" w:bottom="1440" w:gutter="0" w:footer="0" w:header="0"/>
        </w:sectPr>
      </w:pPr>
    </w:p>
    <w:bookmarkStart w:id="621" w:name="page622"/>
    <w:bookmarkEnd w:id="621"/>
    <w:p>
      <w:pPr>
        <w:ind w:left="220" w:right="219" w:firstLine="343"/>
        <w:spacing w:after="0" w:line="25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1.11 Limited Condition Transactions</w:t>
      </w:r>
      <w:r>
        <w:rPr>
          <w:rFonts w:ascii="Times New Roman" w:cs="Times New Roman" w:eastAsia="Times New Roman" w:hAnsi="Times New Roman"/>
          <w:sz w:val="14"/>
          <w:szCs w:val="14"/>
          <w:color w:val="auto"/>
        </w:rPr>
        <w:t>. Notwithstanding anything to the contrary in this Agreement, solely for the purposes of (a) measuring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relevant financial ratios and basket availability with respect to the incurrence of any Indebtedness or Liens, any transaction with an Affiliate or the making of any Investment, Restricted Payment, prepayment of Indebtedness or Disposition or (b) determining compliance with representations and warranties or the occurrence of any Default or Event of Default, in each case, in connection with a Limited Condition Transaction, if the Company has made an election to treat a transaction as a Limited Condition Transaction pursuant to this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(each, an “</w:t>
      </w:r>
      <w:r>
        <w:rPr>
          <w:rFonts w:ascii="Times New Roman" w:cs="Times New Roman" w:eastAsia="Times New Roman" w:hAnsi="Times New Roman"/>
          <w:sz w:val="14"/>
          <w:szCs w:val="14"/>
          <w:u w:val="single" w:color="auto"/>
          <w:color w:val="auto"/>
        </w:rPr>
        <w:t>LCT Election</w:t>
      </w:r>
      <w:r>
        <w:rPr>
          <w:rFonts w:ascii="Times New Roman" w:cs="Times New Roman" w:eastAsia="Times New Roman" w:hAnsi="Times New Roman"/>
          <w:sz w:val="14"/>
          <w:szCs w:val="14"/>
          <w:color w:val="auto"/>
        </w:rPr>
        <w:t>”), the date of determination of whether any such action is permitted hereunder shall be deemed to be, at the election of the Company, (x) the date on which the definitive agreement for such Limited Condition Transaction is entered into (or, (A) in the case of a Restricted Payment, the date that such Restricted Payment is declared (so long as such Restricted Payment is actually made within sixty days of such declaration) or (B) in the case of any repayment, repurchase or refinancing of Indebtedness, the date of delivery of irrevocable notice with respect thereto) or (y) the date on which such Limited Condition Transaction is consummated (such elected date, the “</w:t>
      </w:r>
      <w:r>
        <w:rPr>
          <w:rFonts w:ascii="Times New Roman" w:cs="Times New Roman" w:eastAsia="Times New Roman" w:hAnsi="Times New Roman"/>
          <w:sz w:val="14"/>
          <w:szCs w:val="14"/>
          <w:u w:val="single" w:color="auto"/>
          <w:color w:val="auto"/>
        </w:rPr>
        <w:t>LCT Test Date</w:t>
      </w:r>
      <w:r>
        <w:rPr>
          <w:rFonts w:ascii="Times New Roman" w:cs="Times New Roman" w:eastAsia="Times New Roman" w:hAnsi="Times New Roman"/>
          <w:sz w:val="14"/>
          <w:szCs w:val="14"/>
          <w:color w:val="auto"/>
        </w:rPr>
        <w:t>”), and if, after giving pro forma effect to the Limited Condition Transaction and the other transactions to be entered into in connection therewith as if they had occurred at the beginning of the most recent four fiscal quarter period ending prior to the LCT Test Date, the Company could have taken such action on the relevant LCT Test Date in compliance with such financial ratio, basket, representation, warranty or requirement as to no Default or Event of Default, such financial ratio, basket, representation, warranty or requirement as to no Default or Event of Default shall be deemed to have been complied with. If the Company has made an LCT Election for any Limited Condition Transaction, then in connection with any subsequent calculation of any financial ratio or basket availability on or following the relevant LCT Test Date and prior to the earlier of (x) the date on which such Limited Condition Transaction is consummated or (y) the date that the definitive agreement for such Limited Condition Transaction is terminated or expires without consummation of such Limited Condition Transaction, any such financial ratio or basket availability shall be calculated (and tested)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(and, if such subsequent calculation of any financial ratio or basket availability is in connection with the making of a Restricted Payment or Junior Indebtedness Prepayment, assuming such Limited Condition Transaction and other transactions in connection therewith (including any incurrence of Indebtedness and the use of proceeds thereof) have not been consummated until such time as the applicable Limited Condition Transaction has actually closed or the definitive agreement with respect thereto has been terminated).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COMMITMENTS AND CREDIT EXTENSIONS</w:t>
      </w:r>
    </w:p>
    <w:p>
      <w:pPr>
        <w:spacing w:after="0" w:line="159" w:lineRule="exact"/>
        <w:rPr>
          <w:sz w:val="20"/>
          <w:szCs w:val="20"/>
          <w:color w:val="auto"/>
        </w:rPr>
      </w:pPr>
    </w:p>
    <w:p>
      <w:pPr>
        <w:ind w:left="220" w:right="23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2.01 Loans</w:t>
      </w:r>
      <w:r>
        <w:rPr>
          <w:rFonts w:ascii="Times New Roman" w:cs="Times New Roman" w:eastAsia="Times New Roman" w:hAnsi="Times New Roman"/>
          <w:sz w:val="14"/>
          <w:szCs w:val="14"/>
          <w:color w:val="auto"/>
        </w:rPr>
        <w:t>. Subject to the terms and conditions set forth herein, each Lender severally agrees to make a term loan (each such loan pursuant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Term Loan</w:t>
      </w:r>
      <w:r>
        <w:rPr>
          <w:rFonts w:ascii="Times New Roman" w:cs="Times New Roman" w:eastAsia="Times New Roman" w:hAnsi="Times New Roman"/>
          <w:sz w:val="14"/>
          <w:szCs w:val="14"/>
          <w:color w:val="auto"/>
        </w:rPr>
        <w:t xml:space="preserve">”) to the Borrower in Dollars on any Business Day during the Availability Period for the Term Facility, in an amount equal to such Lender’s Commitment (subject to satisfaction of the conditions set forth in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Such Borrowing shall consist of Term Loans made simultaneously by the Lenders in accordance with their respective Commitments. Borrowings repaid or prepaid may not be reborrowed. Term Loans may be Base Rate Loans or Term SOFR Loans, as further provided herein.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9" w:right="1440" w:bottom="1440" w:gutter="0" w:footer="0" w:header="0"/>
        </w:sectPr>
      </w:pPr>
    </w:p>
    <w:bookmarkStart w:id="622" w:name="page623"/>
    <w:bookmarkEnd w:id="622"/>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2.02 Borrowings; Conversions and Continuations of Term Loans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39" w:firstLine="327"/>
        <w:spacing w:after="0" w:line="252" w:lineRule="auto"/>
        <w:tabs>
          <w:tab w:leader="none" w:pos="1080"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Borrowing, each conversion of Base Rate Loans to Term SOFR Loans, each conversion of Term SOFR Loans to Base Rate Loans, each continuation of Term SOFR Loans at the end of any Interest Period therefor, shall be made upon the Borrower’s irrevocable notice to the Administrative Agent, which may be given by telephone or a Committed Loan Notice;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telephonic notice must be confirmed immediately by delivery to the Administrative Agent of a Committed Loan Notice. Each Committed Loan Notice must be received by the Administrative Agent not later than 11:00 a.m. (i) two (2)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$1,000,000 or a whole multiple of $25,000 in excess thereof. Each Borrowing of or conversion to Base Rate Loans shall be in a principal amount of $100,000 or a whole multiple of $25,000 in excess thereof. Each Committed Loan Notice shall specify (A) whether the Borrower is requesting a Borrowing, a conversion of Base Rate Loans to Term SOFR Loans, a conversion of Term SOFR Loans to Base Rate Loans, or a continuation of Term SOFR Loans at the end of any Interest Period therefor, (B) the requested date of the Borrowing, conversion or continuation, as the case may be (which shall be a Business Day), (C) the principal amount of Loans to be borrowed, converted or continued, (D) the Type of Loans to be borrowed or to which existing Loans are to be converted, and (E) if applicable, the duration of the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automatic conversion to Base Rate Loans shall be effective as of the last day of the Interest Period then in effect with respect to the applicable Term SOFR Loans. If the Borrower requests a Borrowing of, conversion to, or continuation of Term SOFR Loans in any such Committed Loan Notice, but fails to specify an Interest Period, it will be deemed to have specified an Interest Period of one month.</w:t>
      </w:r>
    </w:p>
    <w:p>
      <w:pPr>
        <w:spacing w:after="0" w:line="69" w:lineRule="exact"/>
        <w:rPr>
          <w:rFonts w:ascii="Times New Roman" w:cs="Times New Roman" w:eastAsia="Times New Roman" w:hAnsi="Times New Roman"/>
          <w:sz w:val="14"/>
          <w:szCs w:val="14"/>
          <w:color w:val="auto"/>
        </w:rPr>
      </w:pPr>
    </w:p>
    <w:p>
      <w:pPr>
        <w:ind w:left="560" w:right="279" w:firstLine="327"/>
        <w:spacing w:after="0" w:line="254" w:lineRule="auto"/>
        <w:tabs>
          <w:tab w:leader="none" w:pos="1088"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Following receipt of a Committed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as described in </w:t>
      </w:r>
      <w:r>
        <w:rPr>
          <w:rFonts w:ascii="Times New Roman" w:cs="Times New Roman" w:eastAsia="Times New Roman" w:hAnsi="Times New Roman"/>
          <w:sz w:val="14"/>
          <w:szCs w:val="14"/>
          <w:u w:val="single" w:color="auto"/>
          <w:color w:val="auto"/>
        </w:rPr>
        <w:t>Section 2.02(a)</w:t>
      </w:r>
      <w:r>
        <w:rPr>
          <w:rFonts w:ascii="Times New Roman" w:cs="Times New Roman" w:eastAsia="Times New Roman" w:hAnsi="Times New Roman"/>
          <w:sz w:val="14"/>
          <w:szCs w:val="14"/>
          <w:color w:val="auto"/>
        </w:rPr>
        <w:t xml:space="preserve">. In the case of a Borrowing, each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Times New Roman" w:cs="Times New Roman" w:eastAsia="Times New Roman" w:hAnsi="Times New Roman"/>
          <w:sz w:val="14"/>
          <w:szCs w:val="14"/>
          <w:u w:val="single" w:color="auto"/>
          <w:color w:val="auto"/>
        </w:rPr>
        <w:t>Sections 4.01</w:t>
      </w:r>
      <w:r>
        <w:rPr>
          <w:rFonts w:ascii="Times New Roman" w:cs="Times New Roman" w:eastAsia="Times New Roman" w:hAnsi="Times New Roman"/>
          <w:sz w:val="14"/>
          <w:szCs w:val="14"/>
          <w:color w:val="auto"/>
        </w:rPr>
        <w:t xml:space="preserve"> and 4.02,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64" w:lineRule="exact"/>
        <w:rPr>
          <w:rFonts w:ascii="Times New Roman" w:cs="Times New Roman" w:eastAsia="Times New Roman" w:hAnsi="Times New Roman"/>
          <w:sz w:val="14"/>
          <w:szCs w:val="14"/>
          <w:color w:val="auto"/>
        </w:rPr>
      </w:pPr>
    </w:p>
    <w:p>
      <w:pPr>
        <w:ind w:left="560" w:right="459" w:firstLine="327"/>
        <w:spacing w:after="0" w:line="261" w:lineRule="auto"/>
        <w:tabs>
          <w:tab w:leader="none" w:pos="1080"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herein, a Term SOFR Loan may be continued or converted only on the last day of an Interest Period for such Loan. During the continuance of a Default, no Loans may be requested as, converted to or continued as Term SOFR Loans without the consent of the Required Lenders and the Required Lenders may demand that any or all of the outstanding Term SOFR Loans be converted immediately to Base Rate Loans.</w:t>
      </w:r>
    </w:p>
    <w:p>
      <w:pPr>
        <w:spacing w:after="0" w:line="56" w:lineRule="exact"/>
        <w:rPr>
          <w:rFonts w:ascii="Times New Roman" w:cs="Times New Roman" w:eastAsia="Times New Roman" w:hAnsi="Times New Roman"/>
          <w:sz w:val="14"/>
          <w:szCs w:val="14"/>
          <w:color w:val="auto"/>
        </w:rPr>
      </w:pPr>
    </w:p>
    <w:p>
      <w:pPr>
        <w:ind w:left="560" w:right="339" w:firstLine="327"/>
        <w:spacing w:after="0" w:line="267" w:lineRule="auto"/>
        <w:tabs>
          <w:tab w:leader="none" w:pos="1088" w:val="left"/>
        </w:tabs>
        <w:numPr>
          <w:ilvl w:val="0"/>
          <w:numId w:val="6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any Lender may exchange, continue or rollover all or any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2827655</wp:posOffset>
            </wp:positionH>
            <wp:positionV relativeFrom="paragraph">
              <wp:posOffset>-1205865</wp:posOffset>
            </wp:positionV>
            <wp:extent cx="17780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3">
                      <a:extLst>
                        <a:ext uri="{28A0092B-C50C-407E-A947-70E740481C1C}"/>
                      </a:extLst>
                    </a:blip>
                    <a:srcRect/>
                    <a:stretch>
                      <a:fillRect/>
                    </a:stretch>
                  </pic:blipFill>
                  <pic:spPr bwMode="auto">
                    <a:xfrm>
                      <a:off x="0" y="0"/>
                      <a:ext cx="177800" cy="6985"/>
                    </a:xfrm>
                    <a:prstGeom prst="rect">
                      <a:avLst/>
                    </a:prstGeom>
                    <a:noFill/>
                  </pic:spPr>
                </pic:pic>
              </a:graphicData>
            </a:graphic>
          </wp:anchor>
        </w:drawing>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9" w:right="1440" w:bottom="1440" w:gutter="0" w:footer="0" w:header="0"/>
        </w:sectPr>
      </w:pPr>
    </w:p>
    <w:bookmarkStart w:id="623" w:name="page624"/>
    <w:bookmarkEnd w:id="623"/>
    <w:p>
      <w:pPr>
        <w:ind w:left="560" w:right="359" w:firstLine="327"/>
        <w:spacing w:after="0" w:line="267" w:lineRule="auto"/>
        <w:tabs>
          <w:tab w:leader="none" w:pos="1080" w:val="left"/>
        </w:tabs>
        <w:numPr>
          <w:ilvl w:val="0"/>
          <w:numId w:val="6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After giving effect to all Borrowings, all conversions of Term SOFR Loans to Base Rate Loans, all conversions of Base Rate Loans to Term SOFR Loans, and all continuations of Term SOFR Loans, there shall not be more than twelve (12) Interest Periods in effect with respect to the Loans.</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2.03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2.04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2.05 Prepayments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59" w:firstLine="327"/>
        <w:spacing w:after="0" w:line="253" w:lineRule="auto"/>
        <w:tabs>
          <w:tab w:leader="none" w:pos="1080" w:val="left"/>
        </w:tabs>
        <w:numPr>
          <w:ilvl w:val="0"/>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Optional</w:t>
      </w:r>
      <w:r>
        <w:rPr>
          <w:rFonts w:ascii="Times New Roman" w:cs="Times New Roman" w:eastAsia="Times New Roman" w:hAnsi="Times New Roman"/>
          <w:sz w:val="14"/>
          <w:szCs w:val="14"/>
          <w:color w:val="auto"/>
        </w:rPr>
        <w:t xml:space="preserve">. The Borrower may, upon notice from the Borrower to the Administrative Agent pursuant to delivery to the Administrative Agent of a Notice of Loan Prepayment, at any time or from time to time voluntarily prepay Loans in whole or in part without premium or penalty;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such notice must be received by the Administrative Agent not later than 11:00 a.m. (1) two Business Days prior to any date of prepayment of Term SOFR Loans, and (2) on the date of prepayment of Base Rate Loans, (B) any prepayment of Term SOFR Loans shall be in a minimum principal amount of $2,000,000 or a whole multiple of $500,000 in excess thereof, and (C) any prepayment of Base Rate Loans shall be in a principal amount of $100,000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it is understood and agreed that any such notice of prepayment may be contingent on the consummation of a refinancing of part or all of the Obligations. Any prepayment shall be accompanied by all accrued interest on the amount prepaid, together with, in the case of any prepayment of Term SOFR Loans, any additional amounts required pursuant to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Each such prepayment shall be applied to the Loans of the Lenders in accordance with their respective Applicable Percentages.</w:t>
      </w:r>
    </w:p>
    <w:p>
      <w:pPr>
        <w:spacing w:after="0" w:line="62"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w:t>
      </w:r>
      <w:r>
        <w:rPr>
          <w:rFonts w:ascii="Times New Roman" w:cs="Times New Roman" w:eastAsia="Times New Roman" w:hAnsi="Times New Roman"/>
          <w:sz w:val="14"/>
          <w:szCs w:val="14"/>
          <w:color w:val="auto"/>
        </w:rPr>
        <w:t>. After the Mirror Transactions Funding Date:</w:t>
      </w:r>
    </w:p>
    <w:p>
      <w:pPr>
        <w:spacing w:after="0" w:line="91" w:lineRule="exact"/>
        <w:rPr>
          <w:rFonts w:ascii="Times New Roman" w:cs="Times New Roman" w:eastAsia="Times New Roman" w:hAnsi="Times New Roman"/>
          <w:sz w:val="14"/>
          <w:szCs w:val="14"/>
          <w:color w:val="auto"/>
        </w:rPr>
      </w:pPr>
    </w:p>
    <w:p>
      <w:pPr>
        <w:ind w:left="1460" w:hanging="161"/>
        <w:spacing w:after="0"/>
        <w:tabs>
          <w:tab w:leader="none" w:pos="1460" w:val="left"/>
        </w:tabs>
        <w:numPr>
          <w:ilvl w:val="1"/>
          <w:numId w:val="6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Dispositions and Involuntary Dispositions</w:t>
      </w:r>
      <w:r>
        <w:rPr>
          <w:rFonts w:ascii="Times New Roman" w:cs="Times New Roman" w:eastAsia="Times New Roman" w:hAnsi="Times New Roman"/>
          <w:sz w:val="14"/>
          <w:szCs w:val="14"/>
          <w:color w:val="auto"/>
        </w:rPr>
        <w:t>. The Borrower shall prepay (within thirty (30) days of receipt of such Net Cash</w:t>
      </w:r>
    </w:p>
    <w:p>
      <w:pPr>
        <w:spacing w:after="0" w:line="21" w:lineRule="exact"/>
        <w:rPr>
          <w:rFonts w:ascii="Times New Roman" w:cs="Times New Roman" w:eastAsia="Times New Roman" w:hAnsi="Times New Roman"/>
          <w:sz w:val="14"/>
          <w:szCs w:val="14"/>
          <w:color w:val="auto"/>
        </w:rPr>
      </w:pPr>
    </w:p>
    <w:p>
      <w:pPr>
        <w:ind w:left="980" w:right="25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Proceeds) the Loans in an aggregate amount equal to one hundred percent (100%) of the Net Cash Proceeds received by any Loan Party or any Subsidiary from Dispositions pursuant to </w:t>
      </w:r>
      <w:r>
        <w:rPr>
          <w:rFonts w:ascii="Times New Roman" w:cs="Times New Roman" w:eastAsia="Times New Roman" w:hAnsi="Times New Roman"/>
          <w:sz w:val="14"/>
          <w:szCs w:val="14"/>
          <w:u w:val="single" w:color="auto"/>
          <w:color w:val="auto"/>
        </w:rPr>
        <w:t>Sections 7.05(g)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(k)</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(l)</w:t>
      </w:r>
      <w:r>
        <w:rPr>
          <w:rFonts w:ascii="Times New Roman" w:cs="Times New Roman" w:eastAsia="Times New Roman" w:hAnsi="Times New Roman"/>
          <w:sz w:val="14"/>
          <w:szCs w:val="14"/>
          <w:color w:val="auto"/>
        </w:rPr>
        <w:t xml:space="preserve"> and Involuntary Dispositions;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Net Cash Proceeds shall not be required to be so applied (A) until the aggregate amount of Net Cash Proceeds derived from all such Dispositions or Involuntary Dispositions in any fiscal year is equal to or greater than $10,000,000 (and only amounts in excess of such amount in any fiscal year shall be required to prepay the Loans pursuant to this </w:t>
      </w:r>
      <w:r>
        <w:rPr>
          <w:rFonts w:ascii="Times New Roman" w:cs="Times New Roman" w:eastAsia="Times New Roman" w:hAnsi="Times New Roman"/>
          <w:sz w:val="14"/>
          <w:szCs w:val="14"/>
          <w:u w:val="single" w:color="auto"/>
          <w:color w:val="auto"/>
        </w:rPr>
        <w:t>Section 2.05(b)(i)</w:t>
      </w:r>
      <w:r>
        <w:rPr>
          <w:rFonts w:ascii="Times New Roman" w:cs="Times New Roman" w:eastAsia="Times New Roman" w:hAnsi="Times New Roman"/>
          <w:sz w:val="14"/>
          <w:szCs w:val="14"/>
          <w:color w:val="auto"/>
        </w:rPr>
        <w:t>) and (B) if, at the election of the Borrower (as notified by the Borrower to the Administrative Agent on or prior to the date of such Disposition or Involuntary Disposition), the Loan Parties and their Subsidiaries reinvest all or any portion of such Net Cash Proceeds in Eligible Assets within three hundred sixty five (365) days of the date of such Disposition or Involuntary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1" w:right="1440" w:bottom="1440" w:gutter="0" w:footer="0" w:header="0"/>
        </w:sectPr>
      </w:pPr>
    </w:p>
    <w:bookmarkStart w:id="624" w:name="page625"/>
    <w:bookmarkEnd w:id="624"/>
    <w:p>
      <w:pPr>
        <w:ind w:left="980" w:right="5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Disposition (or to the extent it commits within such three hundred sixty five (365) day period to make such reinvestment, within one hundred eighty (180) days after such three hundred sixty five (365) day period);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for purposes of the foregoing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if such Net Cash Proceeds shall have not been so reinvested by the end of such period(s), such Net Cash Proceeds shall be immediately applied to prepay the Loans. Any prepayment pursuant to this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shall be applied as set forth in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below.</w:t>
      </w:r>
    </w:p>
    <w:p>
      <w:pPr>
        <w:spacing w:after="0" w:line="57" w:lineRule="exact"/>
        <w:rPr>
          <w:sz w:val="20"/>
          <w:szCs w:val="20"/>
          <w:color w:val="auto"/>
        </w:rPr>
      </w:pPr>
    </w:p>
    <w:p>
      <w:pPr>
        <w:ind w:left="980" w:right="259" w:firstLine="319"/>
        <w:spacing w:after="0" w:line="267" w:lineRule="auto"/>
        <w:tabs>
          <w:tab w:leader="none" w:pos="1498" w:val="left"/>
        </w:tabs>
        <w:numPr>
          <w:ilvl w:val="0"/>
          <w:numId w:val="6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Debt Issuance</w:t>
      </w:r>
      <w:r>
        <w:rPr>
          <w:rFonts w:ascii="Times New Roman" w:cs="Times New Roman" w:eastAsia="Times New Roman" w:hAnsi="Times New Roman"/>
          <w:sz w:val="14"/>
          <w:szCs w:val="14"/>
          <w:color w:val="auto"/>
        </w:rPr>
        <w:t xml:space="preserve">. The Borrower shall prepay (within five Business Days of receipt of such Net Cash Proceeds) the Loans as hereinafter provided in an aggregate amount equal to one hundred percent (100%) of the Net Cash Proceeds of any Debt Issuance received by any Loan Party or any Subsidiary. Any prepayment pursuant to this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shall be applied as set forth in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below.</w:t>
      </w:r>
    </w:p>
    <w:p>
      <w:pPr>
        <w:spacing w:after="0" w:line="51" w:lineRule="exact"/>
        <w:rPr>
          <w:rFonts w:ascii="Times New Roman" w:cs="Times New Roman" w:eastAsia="Times New Roman" w:hAnsi="Times New Roman"/>
          <w:sz w:val="14"/>
          <w:szCs w:val="14"/>
          <w:color w:val="auto"/>
        </w:rPr>
      </w:pPr>
    </w:p>
    <w:p>
      <w:pPr>
        <w:ind w:left="980" w:right="259" w:firstLine="319"/>
        <w:spacing w:after="0" w:line="254" w:lineRule="auto"/>
        <w:tabs>
          <w:tab w:leader="none" w:pos="1537" w:val="left"/>
        </w:tabs>
        <w:numPr>
          <w:ilvl w:val="0"/>
          <w:numId w:val="6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Repatriation</w:t>
      </w:r>
      <w:r>
        <w:rPr>
          <w:rFonts w:ascii="Times New Roman" w:cs="Times New Roman" w:eastAsia="Times New Roman" w:hAnsi="Times New Roman"/>
          <w:sz w:val="14"/>
          <w:szCs w:val="14"/>
          <w:color w:val="auto"/>
        </w:rPr>
        <w:t xml:space="preserve">. Notwithstanding anything in this </w:t>
      </w:r>
      <w:r>
        <w:rPr>
          <w:rFonts w:ascii="Times New Roman" w:cs="Times New Roman" w:eastAsia="Times New Roman" w:hAnsi="Times New Roman"/>
          <w:sz w:val="14"/>
          <w:szCs w:val="14"/>
          <w:u w:val="single" w:color="auto"/>
          <w:color w:val="auto"/>
        </w:rPr>
        <w:t>Section 2.05(b)</w:t>
      </w:r>
      <w:r>
        <w:rPr>
          <w:rFonts w:ascii="Times New Roman" w:cs="Times New Roman" w:eastAsia="Times New Roman" w:hAnsi="Times New Roman"/>
          <w:sz w:val="14"/>
          <w:szCs w:val="14"/>
          <w:color w:val="auto"/>
        </w:rPr>
        <w:t xml:space="preserve"> to the contrary, (A) the Borrower shall not be required to prepay any amount that would otherwise be required to be paid pursuant to </w:t>
      </w:r>
      <w:r>
        <w:rPr>
          <w:rFonts w:ascii="Times New Roman" w:cs="Times New Roman" w:eastAsia="Times New Roman" w:hAnsi="Times New Roman"/>
          <w:sz w:val="14"/>
          <w:szCs w:val="14"/>
          <w:u w:val="single" w:color="auto"/>
          <w:color w:val="auto"/>
        </w:rPr>
        <w:t>Section 2.05(b)(i)</w:t>
      </w:r>
      <w:r>
        <w:rPr>
          <w:rFonts w:ascii="Times New Roman" w:cs="Times New Roman" w:eastAsia="Times New Roman" w:hAnsi="Times New Roman"/>
          <w:sz w:val="14"/>
          <w:szCs w:val="14"/>
          <w:color w:val="auto"/>
        </w:rPr>
        <w:t xml:space="preserve"> above to the extent that the relevant Net Cash Proceeds are received by any Foreign Subsidiary and repatriation to the Borrower of any such amount would be prohibited under any requirement of Law, conflict with the fiduciary duties of such Foreign Subsidiary’s directors or result in, or could reasonably be expected to result in, a material risk of personal or criminal liability for any officer, director, employee, manager, member of management or consultant of such Foreign Subsidiary (it being agreed that neither the Borrower nor any Subsidiary shall be required to take any action to permit such repatriation); and (B) if the Borrower determines in good faith that the repatriation (or other intercompany distribution) to the Borrower of any amounts required to mandatorily prepay the Loans pursuant to </w:t>
      </w:r>
      <w:r>
        <w:rPr>
          <w:rFonts w:ascii="Times New Roman" w:cs="Times New Roman" w:eastAsia="Times New Roman" w:hAnsi="Times New Roman"/>
          <w:sz w:val="14"/>
          <w:szCs w:val="14"/>
          <w:u w:val="single" w:color="auto"/>
          <w:color w:val="auto"/>
        </w:rPr>
        <w:t>Section 2.05(b)(i)</w:t>
      </w:r>
      <w:r>
        <w:rPr>
          <w:rFonts w:ascii="Times New Roman" w:cs="Times New Roman" w:eastAsia="Times New Roman" w:hAnsi="Times New Roman"/>
          <w:sz w:val="14"/>
          <w:szCs w:val="14"/>
          <w:color w:val="auto"/>
        </w:rPr>
        <w:t xml:space="preserve"> would result in the Borrower or any Subsidiary incurring material Tax liabilities (including any material withholding Tax) or material adverse Tax consequences, as reasonably determined by the Borrower, the amount the Borrower shall be required to mandatorily prepay pursuant to </w:t>
      </w:r>
      <w:r>
        <w:rPr>
          <w:rFonts w:ascii="Times New Roman" w:cs="Times New Roman" w:eastAsia="Times New Roman" w:hAnsi="Times New Roman"/>
          <w:sz w:val="14"/>
          <w:szCs w:val="14"/>
          <w:u w:val="single" w:color="auto"/>
          <w:color w:val="auto"/>
        </w:rPr>
        <w:t>Section 2.05(b)(i)</w:t>
      </w:r>
      <w:r>
        <w:rPr>
          <w:rFonts w:ascii="Times New Roman" w:cs="Times New Roman" w:eastAsia="Times New Roman" w:hAnsi="Times New Roman"/>
          <w:sz w:val="14"/>
          <w:szCs w:val="14"/>
          <w:color w:val="auto"/>
        </w:rPr>
        <w:t xml:space="preserve"> shall be reduced by such amount.</w:t>
      </w:r>
    </w:p>
    <w:p>
      <w:pPr>
        <w:spacing w:after="0" w:line="60" w:lineRule="exact"/>
        <w:rPr>
          <w:rFonts w:ascii="Times New Roman" w:cs="Times New Roman" w:eastAsia="Times New Roman" w:hAnsi="Times New Roman"/>
          <w:sz w:val="14"/>
          <w:szCs w:val="14"/>
          <w:color w:val="auto"/>
        </w:rPr>
      </w:pPr>
    </w:p>
    <w:p>
      <w:pPr>
        <w:ind w:left="980" w:right="299" w:firstLine="319"/>
        <w:spacing w:after="0" w:line="261" w:lineRule="auto"/>
        <w:tabs>
          <w:tab w:leader="none" w:pos="1529" w:val="left"/>
        </w:tabs>
        <w:numPr>
          <w:ilvl w:val="0"/>
          <w:numId w:val="6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Application of Payments</w:t>
      </w:r>
      <w:r>
        <w:rPr>
          <w:rFonts w:ascii="Times New Roman" w:cs="Times New Roman" w:eastAsia="Times New Roman" w:hAnsi="Times New Roman"/>
          <w:sz w:val="14"/>
          <w:szCs w:val="14"/>
          <w:color w:val="auto"/>
        </w:rPr>
        <w:t xml:space="preserve">. Each prepayment of Loans pursuant to the foregoing provisions of </w:t>
      </w:r>
      <w:r>
        <w:rPr>
          <w:rFonts w:ascii="Times New Roman" w:cs="Times New Roman" w:eastAsia="Times New Roman" w:hAnsi="Times New Roman"/>
          <w:sz w:val="14"/>
          <w:szCs w:val="14"/>
          <w:u w:val="single" w:color="auto"/>
          <w:color w:val="auto"/>
        </w:rPr>
        <w:t>Sections 2.05(b)(i)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shall be applied to the principal repayment installments of the Term Facility as directed by the Borrower (or, in the absence of such direction, in direct order of maturity). Each such prepayment shall be applied to the Loans of the Lenders in accordance with their respective Applicable Percentages.</w:t>
      </w:r>
    </w:p>
    <w:p>
      <w:pPr>
        <w:spacing w:after="0" w:line="57" w:lineRule="exact"/>
        <w:rPr>
          <w:sz w:val="20"/>
          <w:szCs w:val="20"/>
          <w:color w:val="auto"/>
        </w:rPr>
      </w:pPr>
    </w:p>
    <w:p>
      <w:pPr>
        <w:ind w:left="980" w:right="359"/>
        <w:spacing w:after="0" w:line="261" w:lineRule="auto"/>
        <w:rPr>
          <w:sz w:val="20"/>
          <w:szCs w:val="20"/>
          <w:color w:val="auto"/>
        </w:rPr>
      </w:pPr>
      <w:r>
        <w:rPr>
          <w:rFonts w:ascii="Times New Roman" w:cs="Times New Roman" w:eastAsia="Times New Roman" w:hAnsi="Times New Roman"/>
          <w:sz w:val="14"/>
          <w:szCs w:val="14"/>
          <w:color w:val="auto"/>
        </w:rPr>
        <w:t xml:space="preserve">Within the parameters of the applications set forth above, prepayments pursuant to this </w:t>
      </w:r>
      <w:r>
        <w:rPr>
          <w:rFonts w:ascii="Times New Roman" w:cs="Times New Roman" w:eastAsia="Times New Roman" w:hAnsi="Times New Roman"/>
          <w:sz w:val="14"/>
          <w:szCs w:val="14"/>
          <w:u w:val="single" w:color="auto"/>
          <w:color w:val="auto"/>
        </w:rPr>
        <w:t>Section 2.05(b)</w:t>
      </w:r>
      <w:r>
        <w:rPr>
          <w:rFonts w:ascii="Times New Roman" w:cs="Times New Roman" w:eastAsia="Times New Roman" w:hAnsi="Times New Roman"/>
          <w:sz w:val="14"/>
          <w:szCs w:val="14"/>
          <w:color w:val="auto"/>
        </w:rPr>
        <w:t xml:space="preserve"> shall be applied first to Base Rate Loans and then to Term SOFR Loans in direct order of Interest Period maturities. All prepayments under this </w:t>
      </w:r>
      <w:r>
        <w:rPr>
          <w:rFonts w:ascii="Times New Roman" w:cs="Times New Roman" w:eastAsia="Times New Roman" w:hAnsi="Times New Roman"/>
          <w:sz w:val="14"/>
          <w:szCs w:val="14"/>
          <w:u w:val="single" w:color="auto"/>
          <w:color w:val="auto"/>
        </w:rPr>
        <w:t>Section 2.05(b)</w:t>
      </w:r>
      <w:r>
        <w:rPr>
          <w:rFonts w:ascii="Times New Roman" w:cs="Times New Roman" w:eastAsia="Times New Roman" w:hAnsi="Times New Roman"/>
          <w:sz w:val="14"/>
          <w:szCs w:val="14"/>
          <w:color w:val="auto"/>
        </w:rPr>
        <w:t xml:space="preserve"> shall be subject to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but otherwise without premium or penalty, and shall be accompanied by interest on the principal amount prepaid through the date of prepayment.</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2.06 Termination or Reduction of Commitments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39" w:firstLine="327"/>
        <w:spacing w:after="0" w:line="256" w:lineRule="auto"/>
        <w:tabs>
          <w:tab w:leader="none" w:pos="1080" w:val="left"/>
        </w:tabs>
        <w:numPr>
          <w:ilvl w:val="0"/>
          <w:numId w:val="6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Optional</w:t>
      </w:r>
      <w:r>
        <w:rPr>
          <w:rFonts w:ascii="Times New Roman" w:cs="Times New Roman" w:eastAsia="Times New Roman" w:hAnsi="Times New Roman"/>
          <w:sz w:val="14"/>
          <w:szCs w:val="14"/>
          <w:color w:val="auto"/>
        </w:rPr>
        <w:t xml:space="preserve">. During the Availability Period, the Borrower may, upon notice to the Administrative Agent, from time to time terminate (in whole or in part) the unused portion of the aggregate Commitments;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any such notice shall be received by the Administrative Agent not later than 11:00 a.m. five (5) Business Days prior to the date of termination or reduction, (ii) any such partial reduction shall be in an aggregate amount of $5,000,000 or any whole multiple of $1,000,000 in excess thereof. Any such notice of termination or reduction pursuant to this </w:t>
      </w:r>
      <w:r>
        <w:rPr>
          <w:rFonts w:ascii="Times New Roman" w:cs="Times New Roman" w:eastAsia="Times New Roman" w:hAnsi="Times New Roman"/>
          <w:sz w:val="14"/>
          <w:szCs w:val="14"/>
          <w:u w:val="single" w:color="auto"/>
          <w:color w:val="auto"/>
        </w:rPr>
        <w:t>Section 2.06(a)</w:t>
      </w:r>
      <w:r>
        <w:rPr>
          <w:rFonts w:ascii="Times New Roman" w:cs="Times New Roman" w:eastAsia="Times New Roman" w:hAnsi="Times New Roman"/>
          <w:sz w:val="14"/>
          <w:szCs w:val="14"/>
          <w:color w:val="auto"/>
        </w:rPr>
        <w:t xml:space="preserve"> may state that it is contingent on the consummation of a refinancing of part or all of the Obligations, in which case such notice may be revoked by the Borrower (by written notice to the Administrative Agent on or prior to the specified effective date) if such condition is not satisfied.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1" w:right="1440" w:bottom="1440" w:gutter="0" w:footer="0" w:header="0"/>
        </w:sectPr>
      </w:pPr>
    </w:p>
    <w:bookmarkStart w:id="625" w:name="page626"/>
    <w:bookmarkEnd w:id="625"/>
    <w:p>
      <w:pPr>
        <w:ind w:left="560" w:right="299" w:firstLine="327"/>
        <w:spacing w:after="0" w:line="283" w:lineRule="auto"/>
        <w:tabs>
          <w:tab w:leader="none" w:pos="1087" w:val="left"/>
        </w:tabs>
        <w:numPr>
          <w:ilvl w:val="0"/>
          <w:numId w:val="6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Mandatory</w:t>
      </w:r>
      <w:r>
        <w:rPr>
          <w:rFonts w:ascii="Times New Roman" w:cs="Times New Roman" w:eastAsia="Times New Roman" w:hAnsi="Times New Roman"/>
          <w:sz w:val="14"/>
          <w:szCs w:val="14"/>
          <w:color w:val="auto"/>
        </w:rPr>
        <w:t xml:space="preserve">. The aggregate Commitments shall be automatically and permanently reduced (i) to zero upon the Borrowing of Term Loans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and (ii) to zero on the last day of the Availability Period.</w:t>
      </w:r>
    </w:p>
    <w:p>
      <w:pPr>
        <w:spacing w:after="0" w:line="40"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6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Application of Commitment Reductions; Payment of Fees</w:t>
      </w:r>
      <w:r>
        <w:rPr>
          <w:rFonts w:ascii="Times New Roman" w:cs="Times New Roman" w:eastAsia="Times New Roman" w:hAnsi="Times New Roman"/>
          <w:sz w:val="14"/>
          <w:szCs w:val="14"/>
          <w:color w:val="auto"/>
        </w:rPr>
        <w:t>. The Administrative Agent will promptly notify the Lenders of any</w:t>
      </w:r>
    </w:p>
    <w:p>
      <w:pPr>
        <w:spacing w:after="0" w:line="21" w:lineRule="exact"/>
        <w:rPr>
          <w:rFonts w:ascii="Times New Roman" w:cs="Times New Roman" w:eastAsia="Times New Roman" w:hAnsi="Times New Roman"/>
          <w:sz w:val="14"/>
          <w:szCs w:val="14"/>
          <w:color w:val="auto"/>
        </w:rPr>
      </w:pPr>
    </w:p>
    <w:p>
      <w:pPr>
        <w:ind w:left="560" w:right="31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termination or reduction of the unused portion of the aggregate Commitments under this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 Upon any reduction of the unused portion of the aggregate Commitments, the Commitment of each Lender shall be reduced by such Lender’s ratable portion of such reduction amount. All fees in respect of the Term Facility accrued until the effective date of any termination of the Term Facility shall be paid on the effective date of such termination.</w:t>
      </w:r>
    </w:p>
    <w:p>
      <w:pPr>
        <w:spacing w:after="0" w:line="143" w:lineRule="exact"/>
        <w:rPr>
          <w:sz w:val="20"/>
          <w:szCs w:val="20"/>
          <w:color w:val="auto"/>
        </w:rPr>
      </w:pPr>
    </w:p>
    <w:p>
      <w:pPr>
        <w:ind w:left="220" w:right="2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2.07 Repayment of Loans</w:t>
      </w:r>
      <w:r>
        <w:rPr>
          <w:rFonts w:ascii="Times New Roman" w:cs="Times New Roman" w:eastAsia="Times New Roman" w:hAnsi="Times New Roman"/>
          <w:sz w:val="14"/>
          <w:szCs w:val="14"/>
          <w:color w:val="auto"/>
        </w:rPr>
        <w:t>(a) . The Borrower shall repay the outstanding principal amount of the Term Loans in installments on the last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Day of each March, June, September and December and on the Maturity Date, in each case, in the respective amounts set forth in the table below (which amounts shall be reduced as a result of the application of prepayments in accordance with the order of priority set forth in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unless accelerated sooner pursuant to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w:t>
      </w:r>
    </w:p>
    <w:p>
      <w:pPr>
        <w:spacing w:after="0" w:line="148"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6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99"/>
              </w:rPr>
              <w:t>Payment Dates</w:t>
            </w:r>
          </w:p>
        </w:tc>
        <w:tc>
          <w:tcPr>
            <w:tcW w:w="3340" w:type="dxa"/>
            <w:vAlign w:val="bottom"/>
            <w:vMerge w:val="restart"/>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Principal Amortization Payment</w:t>
            </w:r>
          </w:p>
        </w:tc>
        <w:tc>
          <w:tcPr>
            <w:tcW w:w="0" w:type="dxa"/>
            <w:vAlign w:val="bottom"/>
          </w:tcPr>
          <w:p>
            <w:pPr>
              <w:spacing w:after="0"/>
              <w:rPr>
                <w:sz w:val="1"/>
                <w:szCs w:val="1"/>
                <w:color w:val="auto"/>
              </w:rPr>
            </w:pPr>
          </w:p>
        </w:tc>
      </w:tr>
      <w:tr>
        <w:trPr>
          <w:trHeight w:val="142"/>
        </w:trPr>
        <w:tc>
          <w:tcPr>
            <w:tcW w:w="680" w:type="dxa"/>
            <w:vAlign w:val="bottom"/>
            <w:tcBorders>
              <w:bottom w:val="single" w:sz="8" w:color="auto"/>
            </w:tcBorders>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180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color w:val="auto"/>
              </w:rPr>
              <w:t>(% of Term Facility Advanced)</w:t>
            </w:r>
          </w:p>
        </w:tc>
        <w:tc>
          <w:tcPr>
            <w:tcW w:w="0" w:type="dxa"/>
            <w:vAlign w:val="bottom"/>
          </w:tcPr>
          <w:p>
            <w:pPr>
              <w:spacing w:after="0"/>
              <w:rPr>
                <w:sz w:val="1"/>
                <w:szCs w:val="1"/>
                <w:color w:val="auto"/>
              </w:rPr>
            </w:pPr>
          </w:p>
        </w:tc>
      </w:tr>
      <w:tr>
        <w:trPr>
          <w:trHeight w:val="124"/>
        </w:trPr>
        <w:tc>
          <w:tcPr>
            <w:tcW w:w="4020" w:type="dxa"/>
            <w:vAlign w:val="bottom"/>
            <w:tcBorders>
              <w:top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First full Fiscal Quarter ending after Mirror Transactions Funding</w:t>
            </w:r>
          </w:p>
        </w:tc>
        <w:tc>
          <w:tcPr>
            <w:tcW w:w="1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0.625%</w:t>
            </w:r>
          </w:p>
        </w:tc>
        <w:tc>
          <w:tcPr>
            <w:tcW w:w="0" w:type="dxa"/>
            <w:vAlign w:val="bottom"/>
          </w:tcPr>
          <w:p>
            <w:pPr>
              <w:spacing w:after="0"/>
              <w:rPr>
                <w:sz w:val="1"/>
                <w:szCs w:val="1"/>
                <w:color w:val="auto"/>
              </w:rPr>
            </w:pPr>
          </w:p>
        </w:tc>
      </w:tr>
      <w:tr>
        <w:trPr>
          <w:trHeight w:val="153"/>
        </w:trPr>
        <w:tc>
          <w:tcPr>
            <w:tcW w:w="40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Second full Fiscal Quarter ending after Mirror Transactions</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Funding Date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0.625%</w:t>
            </w:r>
          </w:p>
        </w:tc>
        <w:tc>
          <w:tcPr>
            <w:tcW w:w="0" w:type="dxa"/>
            <w:vAlign w:val="bottom"/>
          </w:tcPr>
          <w:p>
            <w:pPr>
              <w:spacing w:after="0"/>
              <w:rPr>
                <w:sz w:val="1"/>
                <w:szCs w:val="1"/>
                <w:color w:val="auto"/>
              </w:rPr>
            </w:pPr>
          </w:p>
        </w:tc>
      </w:tr>
      <w:tr>
        <w:trPr>
          <w:trHeight w:val="154"/>
        </w:trPr>
        <w:tc>
          <w:tcPr>
            <w:tcW w:w="40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Third full Fiscal Quarter ending after Mirror Transactions Funding</w:t>
            </w: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0.625%</w:t>
            </w:r>
          </w:p>
        </w:tc>
        <w:tc>
          <w:tcPr>
            <w:tcW w:w="0" w:type="dxa"/>
            <w:vAlign w:val="bottom"/>
          </w:tcPr>
          <w:p>
            <w:pPr>
              <w:spacing w:after="0"/>
              <w:rPr>
                <w:sz w:val="1"/>
                <w:szCs w:val="1"/>
                <w:color w:val="auto"/>
              </w:rPr>
            </w:pPr>
          </w:p>
        </w:tc>
      </w:tr>
      <w:tr>
        <w:trPr>
          <w:trHeight w:val="153"/>
        </w:trPr>
        <w:tc>
          <w:tcPr>
            <w:tcW w:w="40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Fourth full Fiscal Quarter ending after Mirror Transactions</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Funding Date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0.625%</w:t>
            </w:r>
          </w:p>
        </w:tc>
        <w:tc>
          <w:tcPr>
            <w:tcW w:w="0" w:type="dxa"/>
            <w:vAlign w:val="bottom"/>
          </w:tcPr>
          <w:p>
            <w:pPr>
              <w:spacing w:after="0"/>
              <w:rPr>
                <w:sz w:val="1"/>
                <w:szCs w:val="1"/>
                <w:color w:val="auto"/>
              </w:rPr>
            </w:pPr>
          </w:p>
        </w:tc>
      </w:tr>
      <w:tr>
        <w:trPr>
          <w:trHeight w:val="154"/>
        </w:trPr>
        <w:tc>
          <w:tcPr>
            <w:tcW w:w="40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Fifth full Fiscal Quarter ending after Mirror Transactions Funding</w:t>
            </w: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0.625%</w:t>
            </w:r>
          </w:p>
        </w:tc>
        <w:tc>
          <w:tcPr>
            <w:tcW w:w="0" w:type="dxa"/>
            <w:vAlign w:val="bottom"/>
          </w:tcPr>
          <w:p>
            <w:pPr>
              <w:spacing w:after="0"/>
              <w:rPr>
                <w:sz w:val="1"/>
                <w:szCs w:val="1"/>
                <w:color w:val="auto"/>
              </w:rPr>
            </w:pPr>
          </w:p>
        </w:tc>
      </w:tr>
      <w:tr>
        <w:trPr>
          <w:trHeight w:val="153"/>
        </w:trPr>
        <w:tc>
          <w:tcPr>
            <w:tcW w:w="40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Sixth full Fiscal Quarter ending after Mirror Transactions Funding</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0.625%</w:t>
            </w:r>
          </w:p>
        </w:tc>
        <w:tc>
          <w:tcPr>
            <w:tcW w:w="0" w:type="dxa"/>
            <w:vAlign w:val="bottom"/>
          </w:tcPr>
          <w:p>
            <w:pPr>
              <w:spacing w:after="0"/>
              <w:rPr>
                <w:sz w:val="1"/>
                <w:szCs w:val="1"/>
                <w:color w:val="auto"/>
              </w:rPr>
            </w:pPr>
          </w:p>
        </w:tc>
      </w:tr>
      <w:tr>
        <w:trPr>
          <w:trHeight w:val="154"/>
        </w:trPr>
        <w:tc>
          <w:tcPr>
            <w:tcW w:w="40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Seventh full Fiscal Quarter ending after Mirror Transactions</w:t>
            </w: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Funding Date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0.625%</w:t>
            </w:r>
          </w:p>
        </w:tc>
        <w:tc>
          <w:tcPr>
            <w:tcW w:w="0" w:type="dxa"/>
            <w:vAlign w:val="bottom"/>
          </w:tcPr>
          <w:p>
            <w:pPr>
              <w:spacing w:after="0"/>
              <w:rPr>
                <w:sz w:val="1"/>
                <w:szCs w:val="1"/>
                <w:color w:val="auto"/>
              </w:rPr>
            </w:pPr>
          </w:p>
        </w:tc>
      </w:tr>
      <w:tr>
        <w:trPr>
          <w:trHeight w:val="153"/>
        </w:trPr>
        <w:tc>
          <w:tcPr>
            <w:tcW w:w="40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Eighth full Fiscal Quarter ending after Mirror Transactions</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Funding Date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0.625%</w:t>
            </w:r>
          </w:p>
        </w:tc>
        <w:tc>
          <w:tcPr>
            <w:tcW w:w="0" w:type="dxa"/>
            <w:vAlign w:val="bottom"/>
          </w:tcPr>
          <w:p>
            <w:pPr>
              <w:spacing w:after="0"/>
              <w:rPr>
                <w:sz w:val="1"/>
                <w:szCs w:val="1"/>
                <w:color w:val="auto"/>
              </w:rPr>
            </w:pPr>
          </w:p>
        </w:tc>
      </w:tr>
      <w:tr>
        <w:trPr>
          <w:trHeight w:val="154"/>
        </w:trPr>
        <w:tc>
          <w:tcPr>
            <w:tcW w:w="402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Ninth full Fiscal Quarter ending after Mirror Transactions Funding</w:t>
            </w: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Date and each Fiscal Quarter ending thereafter and prior to the</w:t>
            </w: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Maturity Date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1.250%</w:t>
            </w:r>
          </w:p>
        </w:tc>
        <w:tc>
          <w:tcPr>
            <w:tcW w:w="0" w:type="dxa"/>
            <w:vAlign w:val="bottom"/>
          </w:tcPr>
          <w:p>
            <w:pPr>
              <w:spacing w:after="0"/>
              <w:rPr>
                <w:sz w:val="1"/>
                <w:szCs w:val="1"/>
                <w:color w:val="auto"/>
              </w:rPr>
            </w:pPr>
          </w:p>
        </w:tc>
      </w:tr>
      <w:tr>
        <w:trPr>
          <w:trHeight w:val="153"/>
        </w:trPr>
        <w:tc>
          <w:tcPr>
            <w:tcW w:w="40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Maturity Date</w:t>
            </w:r>
          </w:p>
        </w:tc>
        <w:tc>
          <w:tcPr>
            <w:tcW w:w="18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Outstanding Principal Balance</w:t>
            </w: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of Term Loans</w:t>
            </w:r>
          </w:p>
        </w:tc>
        <w:tc>
          <w:tcPr>
            <w:tcW w:w="0" w:type="dxa"/>
            <w:vAlign w:val="bottom"/>
          </w:tcPr>
          <w:p>
            <w:pPr>
              <w:spacing w:after="0"/>
              <w:rPr>
                <w:sz w:val="1"/>
                <w:szCs w:val="1"/>
                <w:color w:val="auto"/>
              </w:rPr>
            </w:pPr>
          </w:p>
        </w:tc>
      </w:tr>
      <w:tr>
        <w:trPr>
          <w:trHeight w:val="294"/>
        </w:trPr>
        <w:tc>
          <w:tcPr>
            <w:tcW w:w="4020" w:type="dxa"/>
            <w:vAlign w:val="bottom"/>
            <w:gridSpan w:val="2"/>
          </w:tcPr>
          <w:p>
            <w:pPr>
              <w:ind w:left="2840"/>
              <w:spacing w:after="0"/>
              <w:rPr>
                <w:sz w:val="20"/>
                <w:szCs w:val="20"/>
                <w:color w:val="auto"/>
              </w:rPr>
            </w:pPr>
            <w:r>
              <w:rPr>
                <w:rFonts w:ascii="Times New Roman" w:cs="Times New Roman" w:eastAsia="Times New Roman" w:hAnsi="Times New Roman"/>
                <w:sz w:val="14"/>
                <w:szCs w:val="14"/>
                <w:color w:val="auto"/>
              </w:rPr>
              <w:t>45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1" w:right="1440" w:bottom="1440" w:gutter="0" w:footer="0" w:header="0"/>
        </w:sectPr>
      </w:pPr>
    </w:p>
    <w:bookmarkStart w:id="626" w:name="page627"/>
    <w:bookmarkEnd w:id="626"/>
    <w:p>
      <w:pPr>
        <w:ind w:left="560" w:right="219" w:firstLine="329"/>
        <w:spacing w:after="0" w:line="261" w:lineRule="auto"/>
        <w:rPr>
          <w:sz w:val="20"/>
          <w:szCs w:val="20"/>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that</w:t>
      </w:r>
      <w:r>
        <w:rPr>
          <w:rFonts w:ascii="Times New Roman" w:cs="Times New Roman" w:eastAsia="Times New Roman" w:hAnsi="Times New Roman"/>
          <w:sz w:val="14"/>
          <w:szCs w:val="14"/>
          <w:color w:val="auto"/>
        </w:rPr>
        <w:t>, (x) the final principal repayment installment of the Term Loans shall be repaid on the Maturity Date and in any event shall be in an amount equal to the aggregate principal amount of all Term Loans outstanding on such date and (y) for the avoidance of doubt, if the Maturity Date occurs prior to the occurrence of one or more of the other repayment installments listed above, the aggregate principal amount of all Term Loans outstanding on the Maturity Date nonetheless shall be due and payable in full on the Maturity Date.</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2.08 Interest</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399" w:firstLine="327"/>
        <w:spacing w:after="0" w:line="281" w:lineRule="auto"/>
        <w:tabs>
          <w:tab w:leader="none" w:pos="1080" w:val="left"/>
        </w:tabs>
        <w:numPr>
          <w:ilvl w:val="1"/>
          <w:numId w:val="6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the provisions of </w:t>
      </w:r>
      <w:r>
        <w:rPr>
          <w:rFonts w:ascii="Times New Roman" w:cs="Times New Roman" w:eastAsia="Times New Roman" w:hAnsi="Times New Roman"/>
          <w:sz w:val="13"/>
          <w:szCs w:val="13"/>
          <w:u w:val="single" w:color="auto"/>
          <w:color w:val="auto"/>
        </w:rPr>
        <w:t>clause (b)</w:t>
      </w:r>
      <w:r>
        <w:rPr>
          <w:rFonts w:ascii="Times New Roman" w:cs="Times New Roman" w:eastAsia="Times New Roman" w:hAnsi="Times New Roman"/>
          <w:sz w:val="13"/>
          <w:szCs w:val="13"/>
          <w:color w:val="auto"/>
        </w:rPr>
        <w:t xml:space="preserve"> below,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the Applicable Rate for Term SOFR Loans, and</w:t>
      </w:r>
    </w:p>
    <w:p>
      <w:pPr>
        <w:spacing w:after="0" w:line="1" w:lineRule="exact"/>
        <w:rPr>
          <w:rFonts w:ascii="Times New Roman" w:cs="Times New Roman" w:eastAsia="Times New Roman" w:hAnsi="Times New Roman"/>
          <w:sz w:val="13"/>
          <w:szCs w:val="13"/>
          <w:color w:val="auto"/>
        </w:rPr>
      </w:pPr>
    </w:p>
    <w:p>
      <w:pPr>
        <w:ind w:left="560" w:right="439" w:hanging="2"/>
        <w:spacing w:after="0" w:line="261" w:lineRule="auto"/>
        <w:tabs>
          <w:tab w:leader="none" w:pos="766" w:val="left"/>
        </w:tabs>
        <w:numPr>
          <w:ilvl w:val="0"/>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the Applicable Rate for Base Rate Loans.</w:t>
      </w:r>
    </w:p>
    <w:p>
      <w:pPr>
        <w:spacing w:after="0" w:line="55" w:lineRule="exact"/>
        <w:rPr>
          <w:rFonts w:ascii="Times New Roman" w:cs="Times New Roman" w:eastAsia="Times New Roman" w:hAnsi="Times New Roman"/>
          <w:sz w:val="14"/>
          <w:szCs w:val="14"/>
          <w:color w:val="auto"/>
        </w:rPr>
      </w:pPr>
    </w:p>
    <w:p>
      <w:pPr>
        <w:ind w:left="980" w:right="239" w:firstLine="319"/>
        <w:spacing w:after="0" w:line="267" w:lineRule="auto"/>
        <w:tabs>
          <w:tab w:leader="none" w:pos="1490" w:val="left"/>
        </w:tabs>
        <w:numPr>
          <w:ilvl w:val="2"/>
          <w:numId w:val="6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51" w:lineRule="exact"/>
        <w:rPr>
          <w:sz w:val="20"/>
          <w:szCs w:val="20"/>
          <w:color w:val="auto"/>
        </w:rPr>
      </w:pPr>
    </w:p>
    <w:p>
      <w:pPr>
        <w:ind w:left="980" w:right="219" w:firstLine="319"/>
        <w:spacing w:after="0" w:line="261" w:lineRule="auto"/>
        <w:tabs>
          <w:tab w:leader="none" w:pos="1498" w:val="left"/>
        </w:tabs>
        <w:numPr>
          <w:ilvl w:val="1"/>
          <w:numId w:val="6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56" w:lineRule="exact"/>
        <w:rPr>
          <w:rFonts w:ascii="Times New Roman" w:cs="Times New Roman" w:eastAsia="Times New Roman" w:hAnsi="Times New Roman"/>
          <w:sz w:val="14"/>
          <w:szCs w:val="14"/>
          <w:color w:val="auto"/>
        </w:rPr>
      </w:pPr>
    </w:p>
    <w:p>
      <w:pPr>
        <w:ind w:left="980" w:right="299" w:firstLine="319"/>
        <w:spacing w:after="0" w:line="267" w:lineRule="auto"/>
        <w:tabs>
          <w:tab w:leader="none" w:pos="1537" w:val="left"/>
        </w:tabs>
        <w:numPr>
          <w:ilvl w:val="1"/>
          <w:numId w:val="6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51" w:lineRule="exact"/>
        <w:rPr>
          <w:rFonts w:ascii="Times New Roman" w:cs="Times New Roman" w:eastAsia="Times New Roman" w:hAnsi="Times New Roman"/>
          <w:sz w:val="14"/>
          <w:szCs w:val="14"/>
          <w:color w:val="auto"/>
        </w:rPr>
      </w:pPr>
    </w:p>
    <w:p>
      <w:pPr>
        <w:ind w:left="1540" w:hanging="241"/>
        <w:spacing w:after="0"/>
        <w:tabs>
          <w:tab w:leader="none" w:pos="1540" w:val="left"/>
        </w:tabs>
        <w:numPr>
          <w:ilvl w:val="1"/>
          <w:numId w:val="6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and unpaid interest on past due amounts (including interest on past due interest) shall be due and payable upon demand.</w:t>
      </w:r>
    </w:p>
    <w:p>
      <w:pPr>
        <w:spacing w:after="0" w:line="91" w:lineRule="exact"/>
        <w:rPr>
          <w:rFonts w:ascii="Times New Roman" w:cs="Times New Roman" w:eastAsia="Times New Roman" w:hAnsi="Times New Roman"/>
          <w:sz w:val="14"/>
          <w:szCs w:val="14"/>
          <w:color w:val="auto"/>
        </w:rPr>
      </w:pPr>
    </w:p>
    <w:p>
      <w:pPr>
        <w:ind w:left="560" w:right="439" w:firstLine="327"/>
        <w:spacing w:after="0" w:line="267" w:lineRule="auto"/>
        <w:tabs>
          <w:tab w:leader="none" w:pos="1080" w:val="left"/>
        </w:tabs>
        <w:numPr>
          <w:ilvl w:val="0"/>
          <w:numId w:val="6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2" w:right="1440" w:bottom="1440" w:gutter="0" w:footer="0" w:header="0"/>
        </w:sectPr>
      </w:pPr>
    </w:p>
    <w:bookmarkStart w:id="627" w:name="page628"/>
    <w:bookmarkEnd w:id="627"/>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2.09 Fees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59" w:firstLine="327"/>
        <w:spacing w:after="0" w:line="239" w:lineRule="auto"/>
        <w:tabs>
          <w:tab w:leader="none" w:pos="1080" w:val="left"/>
        </w:tabs>
        <w:numPr>
          <w:ilvl w:val="0"/>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Ticking Fee</w:t>
      </w:r>
      <w:r>
        <w:rPr>
          <w:rFonts w:ascii="Times New Roman" w:cs="Times New Roman" w:eastAsia="Times New Roman" w:hAnsi="Times New Roman"/>
          <w:sz w:val="14"/>
          <w:szCs w:val="14"/>
          <w:color w:val="auto"/>
        </w:rPr>
        <w:t xml:space="preserve">. The Borrower shall pay to the Administrative Agent for the account of each Lender in accordance with its Applicable Percentage, a ticking fee (the </w:t>
      </w:r>
      <w:r>
        <w:rPr>
          <w:rFonts w:ascii="Times New Roman" w:cs="Times New Roman" w:eastAsia="Times New Roman" w:hAnsi="Times New Roman"/>
          <w:sz w:val="14"/>
          <w:szCs w:val="14"/>
          <w:u w:val="single" w:color="auto"/>
          <w:color w:val="auto"/>
        </w:rPr>
        <w:t>Ticking Fee</w:t>
      </w:r>
      <w:r>
        <w:rPr>
          <w:rFonts w:ascii="Times New Roman" w:cs="Times New Roman" w:eastAsia="Times New Roman" w:hAnsi="Times New Roman"/>
          <w:sz w:val="14"/>
          <w:szCs w:val="14"/>
          <w:color w:val="auto"/>
        </w:rPr>
        <w:t xml:space="preserve">”) in Dollars equal to 0.175% </w:t>
      </w:r>
      <w:r>
        <w:rPr>
          <w:rFonts w:ascii="Times New Roman" w:cs="Times New Roman" w:eastAsia="Times New Roman" w:hAnsi="Times New Roman"/>
          <w:sz w:val="14"/>
          <w:szCs w:val="14"/>
          <w:u w:val="single" w:color="auto"/>
          <w:color w:val="auto"/>
        </w:rPr>
        <w:t>times</w:t>
      </w:r>
      <w:r>
        <w:rPr>
          <w:rFonts w:ascii="Times New Roman" w:cs="Times New Roman" w:eastAsia="Times New Roman" w:hAnsi="Times New Roman"/>
          <w:sz w:val="14"/>
          <w:szCs w:val="14"/>
          <w:color w:val="auto"/>
        </w:rPr>
        <w:t xml:space="preserve"> the actual daily amount by which the Commitments exceed the Outstanding Amount of Term Loans. The Ticking Fee shall accrue commencing on the thirtieth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day following the Closing Date and at all times thereafter during the Availability Period, including at any time during which one or more of the conditions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is not met, until the Mirror Transactions Funding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(1) no Ticking Fee shall accrue on the Commitment of a Defaulting Lender so long as such Lender shall be a Defaulting Lender and (2) any Ticking Fee accrued with respect to the Commitment of a Defaulting Lender during the period prior to the time such Lender became a Defaulting Lender and unpaid at such time shall not be payable by the Borrower so long as such Lender shall be a Defaulting Lender. The Ticking Fee shall be due and payable in arrears on the earlier of (x) the last day of the Availability Period for the Term Facility and (y) the Mirror Transactions Funding Date. The Ticking Fee shall be calculated in arrears.</w:t>
      </w:r>
    </w:p>
    <w:p>
      <w:pPr>
        <w:spacing w:after="0" w:line="74" w:lineRule="exact"/>
        <w:rPr>
          <w:rFonts w:ascii="Times New Roman" w:cs="Times New Roman" w:eastAsia="Times New Roman" w:hAnsi="Times New Roman"/>
          <w:sz w:val="14"/>
          <w:szCs w:val="14"/>
          <w:color w:val="auto"/>
        </w:rPr>
      </w:pPr>
    </w:p>
    <w:p>
      <w:pPr>
        <w:ind w:left="560" w:right="299" w:firstLine="327"/>
        <w:spacing w:after="0" w:line="267" w:lineRule="auto"/>
        <w:tabs>
          <w:tab w:leader="none" w:pos="1087" w:val="left"/>
        </w:tabs>
        <w:numPr>
          <w:ilvl w:val="0"/>
          <w:numId w:val="6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Fees</w:t>
      </w:r>
      <w:r>
        <w:rPr>
          <w:rFonts w:ascii="Times New Roman" w:cs="Times New Roman" w:eastAsia="Times New Roman" w:hAnsi="Times New Roman"/>
          <w:sz w:val="14"/>
          <w:szCs w:val="14"/>
          <w:color w:val="auto"/>
        </w:rPr>
        <w:t>. The Borrower shall pay to BofA Securities and the Administrative Agent, for their own respective accounts, in Dollars, fees in the amounts and at the times specified in the Fee Letter. Such fees shall be fully earned when paid and shall not be refundable for any reason whatsoever.</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2.10 Computation of Interest and Fees; Retroactive Adjustments of Applicable Rate</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319" w:firstLine="327"/>
        <w:spacing w:after="0" w:line="256" w:lineRule="auto"/>
        <w:tabs>
          <w:tab w:leader="none" w:pos="1080" w:val="left"/>
        </w:tabs>
        <w:numPr>
          <w:ilvl w:val="1"/>
          <w:numId w:val="6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Loan that is repaid on the same day on which it is made shall, subject to </w:t>
      </w:r>
      <w:r>
        <w:rPr>
          <w:rFonts w:ascii="Times New Roman" w:cs="Times New Roman" w:eastAsia="Times New Roman" w:hAnsi="Times New Roman"/>
          <w:sz w:val="14"/>
          <w:szCs w:val="14"/>
          <w:u w:val="single" w:color="auto"/>
          <w:color w:val="auto"/>
        </w:rPr>
        <w:t>Section 2.12(a)</w:t>
      </w:r>
      <w:r>
        <w:rPr>
          <w:rFonts w:ascii="Times New Roman" w:cs="Times New Roman" w:eastAsia="Times New Roman" w:hAnsi="Times New Roman"/>
          <w:sz w:val="14"/>
          <w:szCs w:val="14"/>
          <w:color w:val="auto"/>
        </w:rPr>
        <w:t>, bear interest for one day. Each determination by the Administrative Agent of an interest rate or fee hereunder shall be conclusive and binding for all purposes, absent manifest error.</w:t>
      </w:r>
    </w:p>
    <w:p>
      <w:pPr>
        <w:spacing w:after="0" w:line="59" w:lineRule="exact"/>
        <w:rPr>
          <w:rFonts w:ascii="Times New Roman" w:cs="Times New Roman" w:eastAsia="Times New Roman" w:hAnsi="Times New Roman"/>
          <w:sz w:val="14"/>
          <w:szCs w:val="14"/>
          <w:color w:val="auto"/>
        </w:rPr>
      </w:pPr>
    </w:p>
    <w:p>
      <w:pPr>
        <w:jc w:val="both"/>
        <w:ind w:left="560" w:right="299" w:firstLine="327"/>
        <w:spacing w:after="0" w:line="281" w:lineRule="auto"/>
        <w:tabs>
          <w:tab w:leader="none" w:pos="1088" w:val="left"/>
        </w:tabs>
        <w:numPr>
          <w:ilvl w:val="1"/>
          <w:numId w:val="6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as a result of any restatement of or other adjustment to the financial statements of the Company or for any other reason, the Company or the Lenders determine that (i) the Consolidated Net Leverage Ratio as calculated by the Company as of any applicable date was inaccurate and</w:t>
      </w:r>
    </w:p>
    <w:p>
      <w:pPr>
        <w:spacing w:after="0" w:line="1" w:lineRule="exact"/>
        <w:rPr>
          <w:rFonts w:ascii="Times New Roman" w:cs="Times New Roman" w:eastAsia="Times New Roman" w:hAnsi="Times New Roman"/>
          <w:sz w:val="13"/>
          <w:szCs w:val="13"/>
          <w:color w:val="auto"/>
        </w:rPr>
      </w:pPr>
    </w:p>
    <w:p>
      <w:pPr>
        <w:ind w:left="560" w:right="239" w:hanging="2"/>
        <w:spacing w:after="0" w:line="252" w:lineRule="auto"/>
        <w:tabs>
          <w:tab w:leader="none" w:pos="766" w:val="left"/>
        </w:tabs>
        <w:numPr>
          <w:ilvl w:val="0"/>
          <w:numId w:val="6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proper calculation of the Consolidated Net Leverage Ratio would have resulted in higher interest or fees for such period, the Borrower shall immediately and retroactively be obligated to pay to the Administrative Agent, for the account of the Lenders, promptly on demand by the Administrative Agent (or, after the occurrence of an actual or deemed entry of an order for relief with respect to the Borrower under the applicable Debtor Relief Law, automatically and without further action by the Administrative Agent or any Lender), an amount equal to the excess of the amount of interest and fees that should have been paid for such period over the amount of interest and fees actually paid for such period. This paragraph shall not limit the rights of the Administrative Agent or any Lender under </w:t>
      </w:r>
      <w:r>
        <w:rPr>
          <w:rFonts w:ascii="Times New Roman" w:cs="Times New Roman" w:eastAsia="Times New Roman" w:hAnsi="Times New Roman"/>
          <w:sz w:val="14"/>
          <w:szCs w:val="14"/>
          <w:u w:val="single" w:color="auto"/>
          <w:color w:val="auto"/>
        </w:rPr>
        <w:t>Section 2.08(b)</w:t>
      </w:r>
      <w:r>
        <w:rPr>
          <w:rFonts w:ascii="Times New Roman" w:cs="Times New Roman" w:eastAsia="Times New Roman" w:hAnsi="Times New Roman"/>
          <w:sz w:val="14"/>
          <w:szCs w:val="14"/>
          <w:color w:val="auto"/>
        </w:rPr>
        <w:t xml:space="preserve"> or under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The Borrower’s obligations under this paragraph shall survive the termination of the Term Facility and the repayment of all Obligations under the Loan Documents.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9" w:right="1440" w:bottom="1440" w:gutter="0" w:footer="0" w:header="0"/>
        </w:sectPr>
      </w:pPr>
    </w:p>
    <w:bookmarkStart w:id="628" w:name="page629"/>
    <w:bookmarkEnd w:id="628"/>
    <w:p>
      <w:pPr>
        <w:ind w:left="220" w:right="29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2.11 Evidence of Debt</w:t>
      </w:r>
      <w:r>
        <w:rPr>
          <w:rFonts w:ascii="Times New Roman" w:cs="Times New Roman" w:eastAsia="Times New Roman" w:hAnsi="Times New Roman"/>
          <w:sz w:val="14"/>
          <w:szCs w:val="14"/>
          <w:color w:val="auto"/>
        </w:rPr>
        <w:t>. The Credit Extensions made by each Lender shall be evidenced by one or more accounts or records maintained by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Lender in the ordinary course of business. The Administrative Agent shall maintain the Register in accordance with </w:t>
      </w:r>
      <w:r>
        <w:rPr>
          <w:rFonts w:ascii="Times New Roman" w:cs="Times New Roman" w:eastAsia="Times New Roman" w:hAnsi="Times New Roman"/>
          <w:sz w:val="14"/>
          <w:szCs w:val="14"/>
          <w:u w:val="single" w:color="auto"/>
          <w:color w:val="auto"/>
        </w:rPr>
        <w:t>Section 11.06(c)</w:t>
      </w:r>
      <w:r>
        <w:rPr>
          <w:rFonts w:ascii="Times New Roman" w:cs="Times New Roman" w:eastAsia="Times New Roman" w:hAnsi="Times New Roman"/>
          <w:sz w:val="14"/>
          <w:szCs w:val="14"/>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written request of any Lender made through the Administrative Agent, the Borrower shall execute and deliver to such Lender (through the Administrative Agent) a Note or Notes, which shall evidence such Lender’s Loans in addition to such accounts or records. Each Lender may attach schedules to its Note(s) and endorse thereon the date, Type (if applicable), amount, currency and maturity of its Loans and payments with respect thereto.</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2.12 Payments Generally; Administrative Agent’s Clawback</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59" w:firstLine="327"/>
        <w:spacing w:after="0" w:line="254" w:lineRule="auto"/>
        <w:tabs>
          <w:tab w:leader="none" w:pos="1080" w:val="left"/>
        </w:tabs>
        <w:numPr>
          <w:ilvl w:val="0"/>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All payments to be made by the Borrower shall be made free and clear of and without condition or deduction for any counterclaim, defense, recoupment or setoff.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in each case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64" w:lineRule="exact"/>
        <w:rPr>
          <w:rFonts w:ascii="Times New Roman" w:cs="Times New Roman" w:eastAsia="Times New Roman" w:hAnsi="Times New Roman"/>
          <w:sz w:val="14"/>
          <w:szCs w:val="14"/>
          <w:color w:val="auto"/>
        </w:rPr>
      </w:pPr>
    </w:p>
    <w:p>
      <w:pPr>
        <w:ind w:left="980" w:right="259" w:firstLine="319"/>
        <w:spacing w:after="0" w:line="253" w:lineRule="auto"/>
        <w:tabs>
          <w:tab w:leader="none" w:pos="1490" w:val="left"/>
        </w:tabs>
        <w:numPr>
          <w:ilvl w:val="1"/>
          <w:numId w:val="6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w:t>
      </w:r>
      <w:r>
        <w:rPr>
          <w:rFonts w:ascii="Times New Roman" w:cs="Times New Roman" w:eastAsia="Times New Roman" w:hAnsi="Times New Roman"/>
          <w:sz w:val="14"/>
          <w:szCs w:val="14"/>
          <w:u w:val="single" w:color="auto"/>
          <w:color w:val="auto"/>
        </w:rPr>
        <w:t>Funding by Lenders; Presumption by Administrative Agent</w:t>
      </w:r>
      <w:r>
        <w:rPr>
          <w:rFonts w:ascii="Times New Roman" w:cs="Times New Roman" w:eastAsia="Times New Roman" w:hAnsi="Times New Roman"/>
          <w:sz w:val="14"/>
          <w:szCs w:val="14"/>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Overnight Rate,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9" w:right="1440" w:bottom="1440" w:gutter="0" w:footer="0" w:header="0"/>
        </w:sectPr>
      </w:pPr>
    </w:p>
    <w:bookmarkStart w:id="629" w:name="page630"/>
    <w:bookmarkEnd w:id="629"/>
    <w:p>
      <w:pPr>
        <w:ind w:left="980" w:right="39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paid by the Borrower for such period. If such Lender pays its share of the applicable Borrowing to the Administrative Agent, then the amount so paid shall constitute such Lender’s Loan included in such Borrowing and, for purposes of clarification, the Borrower shall be relieved of its obligation under this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to pay an equivalent amount to the Administrative Agent. Any payment by the Borrower shall be without prejudice to any claim the Borrower may have against a Lender that shall have failed to make such payment to the Administrative Agent.</w:t>
      </w:r>
    </w:p>
    <w:p>
      <w:pPr>
        <w:spacing w:after="0" w:line="60" w:lineRule="exact"/>
        <w:rPr>
          <w:sz w:val="20"/>
          <w:szCs w:val="20"/>
          <w:color w:val="auto"/>
        </w:rPr>
      </w:pPr>
    </w:p>
    <w:p>
      <w:pPr>
        <w:ind w:left="980" w:right="279" w:firstLine="319"/>
        <w:spacing w:after="0" w:line="254" w:lineRule="auto"/>
        <w:tabs>
          <w:tab w:leader="none" w:pos="1498" w:val="left"/>
        </w:tabs>
        <w:numPr>
          <w:ilvl w:val="0"/>
          <w:numId w:val="6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by the Borrower; Presumptions by Administrative Agent</w:t>
      </w:r>
      <w:r>
        <w:rPr>
          <w:rFonts w:ascii="Times New Roman" w:cs="Times New Roman" w:eastAsia="Times New Roman" w:hAnsi="Times New Roman"/>
          <w:sz w:val="14"/>
          <w:szCs w:val="14"/>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have made such payment on such date in accordance herewith and may, in reliance upon such assumption, distribute to the Lenders the amount due. With respect to any payment that the Administrative Agent makes for the account of the Lenders hereunder as to which the Administrative Agent determines (which determination shall be conclusive absent manifest error) that any of the following applies (such payment referred to as a “</w:t>
      </w:r>
      <w:r>
        <w:rPr>
          <w:rFonts w:ascii="Times New Roman" w:cs="Times New Roman" w:eastAsia="Times New Roman" w:hAnsi="Times New Roman"/>
          <w:sz w:val="14"/>
          <w:szCs w:val="14"/>
          <w:u w:val="single" w:color="auto"/>
          <w:color w:val="auto"/>
        </w:rPr>
        <w:t>Rescindable Amount</w:t>
      </w:r>
      <w:r>
        <w:rPr>
          <w:rFonts w:ascii="Times New Roman" w:cs="Times New Roman" w:eastAsia="Times New Roman" w:hAnsi="Times New Roman"/>
          <w:sz w:val="14"/>
          <w:szCs w:val="14"/>
          <w:color w:val="auto"/>
        </w:rPr>
        <w:t>”): (A) the Borrower has not in fact made such payment; (B) the Administrative Agent has made a payment in excess of the amount so paid by the Borrower (whether or not then owed); or (C)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Overnight Rate.</w:t>
      </w:r>
    </w:p>
    <w:p>
      <w:pPr>
        <w:spacing w:after="0" w:line="60" w:lineRule="exact"/>
        <w:rPr>
          <w:sz w:val="20"/>
          <w:szCs w:val="20"/>
          <w:color w:val="auto"/>
        </w:rPr>
      </w:pPr>
    </w:p>
    <w:p>
      <w:pPr>
        <w:ind w:left="560" w:right="719" w:firstLine="329"/>
        <w:spacing w:after="0" w:line="283" w:lineRule="auto"/>
        <w:rPr>
          <w:sz w:val="20"/>
          <w:szCs w:val="20"/>
          <w:color w:val="auto"/>
        </w:rPr>
      </w:pPr>
      <w:r>
        <w:rPr>
          <w:rFonts w:ascii="Times New Roman" w:cs="Times New Roman" w:eastAsia="Times New Roman" w:hAnsi="Times New Roman"/>
          <w:sz w:val="14"/>
          <w:szCs w:val="14"/>
          <w:color w:val="auto"/>
        </w:rPr>
        <w:t xml:space="preserve">A notice of the Administrative Agent to any Lender or the Borrower with respect to any amount owing under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shall be conclusive, absent manifest error.</w:t>
      </w:r>
    </w:p>
    <w:p>
      <w:pPr>
        <w:spacing w:after="0" w:line="41" w:lineRule="exact"/>
        <w:rPr>
          <w:sz w:val="20"/>
          <w:szCs w:val="20"/>
          <w:color w:val="auto"/>
        </w:rPr>
      </w:pPr>
    </w:p>
    <w:p>
      <w:pPr>
        <w:ind w:left="560" w:right="299" w:firstLine="327"/>
        <w:spacing w:after="0" w:line="258" w:lineRule="auto"/>
        <w:tabs>
          <w:tab w:leader="none" w:pos="1080" w:val="left"/>
        </w:tabs>
        <w:numPr>
          <w:ilvl w:val="0"/>
          <w:numId w:val="6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Failure to Satisfy Conditions Precedent</w:t>
      </w:r>
      <w:r>
        <w:rPr>
          <w:rFonts w:ascii="Times New Roman" w:cs="Times New Roman" w:eastAsia="Times New Roman" w:hAnsi="Times New Roman"/>
          <w:sz w:val="14"/>
          <w:szCs w:val="14"/>
          <w:color w:val="auto"/>
        </w:rPr>
        <w:t xml:space="preserve">. If any Lender makes available to the Administrative Agent funds for any Loan to be made by such Lender to the Borrower as provided in the foregoing provisions of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are not satisfied or waived in accordance with the terms hereof, the Administrative Agent shall promptly return such funds (in like funds as received from such Lender) to such Lender, without interest.</w:t>
      </w:r>
    </w:p>
    <w:p>
      <w:pPr>
        <w:spacing w:after="0" w:line="59"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6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Obligations of Lenders Several</w:t>
      </w:r>
      <w:r>
        <w:rPr>
          <w:rFonts w:ascii="Times New Roman" w:cs="Times New Roman" w:eastAsia="Times New Roman" w:hAnsi="Times New Roman"/>
          <w:sz w:val="14"/>
          <w:szCs w:val="14"/>
          <w:color w:val="auto"/>
        </w:rPr>
        <w:t>. The obligations of the Lenders hereunder to make Loans and to make payments pursuant to</w:t>
      </w:r>
    </w:p>
    <w:p>
      <w:pPr>
        <w:spacing w:after="0" w:line="22" w:lineRule="exact"/>
        <w:rPr>
          <w:sz w:val="20"/>
          <w:szCs w:val="20"/>
          <w:color w:val="auto"/>
        </w:rPr>
      </w:pPr>
    </w:p>
    <w:p>
      <w:pPr>
        <w:jc w:val="both"/>
        <w:ind w:left="560" w:right="219"/>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11.04(c)</w:t>
      </w:r>
      <w:r>
        <w:rPr>
          <w:rFonts w:ascii="Times New Roman" w:cs="Times New Roman" w:eastAsia="Times New Roman" w:hAnsi="Times New Roman"/>
          <w:sz w:val="14"/>
          <w:szCs w:val="14"/>
          <w:color w:val="auto"/>
        </w:rPr>
        <w:t xml:space="preserve"> are several and not joint. The failure of any Lender to make any Loan or to make any payment under </w:t>
      </w:r>
      <w:r>
        <w:rPr>
          <w:rFonts w:ascii="Times New Roman" w:cs="Times New Roman" w:eastAsia="Times New Roman" w:hAnsi="Times New Roman"/>
          <w:sz w:val="14"/>
          <w:szCs w:val="14"/>
          <w:u w:val="single" w:color="auto"/>
          <w:color w:val="auto"/>
        </w:rPr>
        <w:t>Section 11.04(c)</w:t>
      </w:r>
      <w:r>
        <w:rPr>
          <w:rFonts w:ascii="Times New Roman" w:cs="Times New Roman" w:eastAsia="Times New Roman" w:hAnsi="Times New Roman"/>
          <w:sz w:val="14"/>
          <w:szCs w:val="14"/>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cs="Times New Roman" w:eastAsia="Times New Roman" w:hAnsi="Times New Roman"/>
          <w:sz w:val="14"/>
          <w:szCs w:val="14"/>
          <w:u w:val="single" w:color="auto"/>
          <w:color w:val="auto"/>
        </w:rPr>
        <w:t>Section 11.04(c)</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ind w:left="560" w:right="279" w:firstLine="327"/>
        <w:spacing w:after="0" w:line="323" w:lineRule="auto"/>
        <w:tabs>
          <w:tab w:leader="none" w:pos="1080" w:val="left"/>
        </w:tabs>
        <w:numPr>
          <w:ilvl w:val="0"/>
          <w:numId w:val="6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Funding Source</w:t>
      </w:r>
      <w:r>
        <w:rPr>
          <w:rFonts w:ascii="Times New Roman" w:cs="Times New Roman" w:eastAsia="Times New Roman" w:hAnsi="Times New Roman"/>
          <w:sz w:val="13"/>
          <w:szCs w:val="13"/>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41" w:right="1440" w:bottom="1440" w:gutter="0" w:footer="0" w:header="0"/>
        </w:sectPr>
      </w:pPr>
    </w:p>
    <w:bookmarkStart w:id="630" w:name="page631"/>
    <w:bookmarkEnd w:id="630"/>
    <w:p>
      <w:pPr>
        <w:ind w:left="560" w:right="219" w:firstLine="327"/>
        <w:spacing w:after="0" w:line="261" w:lineRule="auto"/>
        <w:tabs>
          <w:tab w:leader="none" w:pos="1064" w:val="left"/>
        </w:tabs>
        <w:numPr>
          <w:ilvl w:val="0"/>
          <w:numId w:val="6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Insufficient Funds</w:t>
      </w:r>
      <w:r>
        <w:rPr>
          <w:rFonts w:ascii="Times New Roman" w:cs="Times New Roman" w:eastAsia="Times New Roman" w:hAnsi="Times New Roman"/>
          <w:sz w:val="14"/>
          <w:szCs w:val="14"/>
          <w:color w:val="auto"/>
        </w:rPr>
        <w:t xml:space="preserve">. 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14"/>
          <w:szCs w:val="14"/>
          <w:u w:val="single" w:color="auto"/>
          <w:color w:val="auto"/>
        </w:rPr>
        <w:t>first</w:t>
      </w:r>
      <w:r>
        <w:rPr>
          <w:rFonts w:ascii="Times New Roman" w:cs="Times New Roman" w:eastAsia="Times New Roman" w:hAnsi="Times New Roman"/>
          <w:sz w:val="14"/>
          <w:szCs w:val="14"/>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toward payment of principal then due hereunder, ratably among the parties entitled thereto in accordance with the amounts of principal then due to such parties.</w:t>
      </w:r>
    </w:p>
    <w:p>
      <w:pPr>
        <w:spacing w:after="0" w:line="139" w:lineRule="exact"/>
        <w:rPr>
          <w:sz w:val="20"/>
          <w:szCs w:val="20"/>
          <w:color w:val="auto"/>
        </w:rPr>
      </w:pPr>
    </w:p>
    <w:p>
      <w:pPr>
        <w:ind w:left="220" w:right="219" w:firstLine="343"/>
        <w:spacing w:after="0" w:line="252" w:lineRule="auto"/>
        <w:rPr>
          <w:sz w:val="20"/>
          <w:szCs w:val="20"/>
          <w:color w:val="auto"/>
        </w:rPr>
      </w:pPr>
      <w:r>
        <w:rPr>
          <w:rFonts w:ascii="Times New Roman" w:cs="Times New Roman" w:eastAsia="Times New Roman" w:hAnsi="Times New Roman"/>
          <w:sz w:val="14"/>
          <w:szCs w:val="14"/>
          <w:b w:val="1"/>
          <w:bCs w:val="1"/>
          <w:color w:val="auto"/>
        </w:rPr>
        <w:t>2.13 Sharing of Payments by Lenders</w:t>
      </w:r>
      <w:r>
        <w:rPr>
          <w:rFonts w:ascii="Times New Roman" w:cs="Times New Roman" w:eastAsia="Times New Roman" w:hAnsi="Times New Roman"/>
          <w:sz w:val="14"/>
          <w:szCs w:val="14"/>
          <w:color w:val="auto"/>
        </w:rPr>
        <w:t>. If any Lender shall, by exercising any right of setoff or counterclaim or otherwise, obtain payment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respect of (a) Obligations due and payable to such Lender hereunder and under the other Loan Documents at such time in excess of its ratable share (according to the proportion of (i) the amount of such Obligations due and payable to such Lender at such time </w:t>
      </w:r>
      <w:r>
        <w:rPr>
          <w:rFonts w:ascii="Times New Roman" w:cs="Times New Roman" w:eastAsia="Times New Roman" w:hAnsi="Times New Roman"/>
          <w:sz w:val="14"/>
          <w:szCs w:val="14"/>
          <w:u w:val="single" w:color="auto"/>
          <w:color w:val="auto"/>
        </w:rPr>
        <w:t>to</w:t>
      </w:r>
      <w:r>
        <w:rPr>
          <w:rFonts w:ascii="Times New Roman" w:cs="Times New Roman" w:eastAsia="Times New Roman" w:hAnsi="Times New Roman"/>
          <w:sz w:val="14"/>
          <w:szCs w:val="14"/>
          <w:color w:val="auto"/>
        </w:rPr>
        <w:t xml:space="preserve">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w:t>
      </w:r>
      <w:r>
        <w:rPr>
          <w:rFonts w:ascii="Times New Roman" w:cs="Times New Roman" w:eastAsia="Times New Roman" w:hAnsi="Times New Roman"/>
          <w:sz w:val="14"/>
          <w:szCs w:val="14"/>
          <w:u w:val="single" w:color="auto"/>
          <w:color w:val="auto"/>
        </w:rPr>
        <w:t>to</w:t>
      </w:r>
      <w:r>
        <w:rPr>
          <w:rFonts w:ascii="Times New Roman" w:cs="Times New Roman" w:eastAsia="Times New Roman" w:hAnsi="Times New Roman"/>
          <w:sz w:val="14"/>
          <w:szCs w:val="14"/>
          <w:color w:val="auto"/>
        </w:rPr>
        <w:t xml:space="preserve">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(1) if any such participations or subparticipations are purchased and all or any portion of the payment giving rise thereto is recovered, such participations or subparticipations shall be rescinded and the purchase price restored to the extent of such recovery, without interest; and (2) the provisions of this Section shall not be construed to apply to (x) any payment made by the Borrower pursuant to and in accordance with the express terms of this Agreement (including the application of funds arising from the existence of a Defaulting Lender), or</w:t>
      </w:r>
    </w:p>
    <w:p>
      <w:pPr>
        <w:spacing w:after="0" w:line="3" w:lineRule="exact"/>
        <w:rPr>
          <w:sz w:val="20"/>
          <w:szCs w:val="20"/>
          <w:color w:val="auto"/>
        </w:rPr>
      </w:pPr>
    </w:p>
    <w:p>
      <w:pPr>
        <w:ind w:left="220" w:right="259" w:hanging="5"/>
        <w:spacing w:after="0" w:line="253" w:lineRule="auto"/>
        <w:tabs>
          <w:tab w:leader="none" w:pos="418" w:val="left"/>
        </w:tabs>
        <w:numPr>
          <w:ilvl w:val="0"/>
          <w:numId w:val="6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obtained by a Lender as consideration for the assignment of or sale of a participation in any of its Loans to any assignee or participant, other than to the Parent or any Affiliate thereof (as to which the provisions of this Section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2.14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2.15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2.16 Defaulting Lenders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379" w:firstLine="327"/>
        <w:spacing w:after="0" w:line="283" w:lineRule="auto"/>
        <w:tabs>
          <w:tab w:leader="none" w:pos="1080" w:val="left"/>
        </w:tabs>
        <w:numPr>
          <w:ilvl w:val="0"/>
          <w:numId w:val="6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40" w:lineRule="exact"/>
        <w:rPr>
          <w:rFonts w:ascii="Times New Roman" w:cs="Times New Roman" w:eastAsia="Times New Roman" w:hAnsi="Times New Roman"/>
          <w:sz w:val="14"/>
          <w:szCs w:val="14"/>
          <w:color w:val="auto"/>
        </w:rPr>
      </w:pPr>
    </w:p>
    <w:p>
      <w:pPr>
        <w:ind w:left="980" w:right="559" w:firstLine="319"/>
        <w:spacing w:after="0" w:line="283" w:lineRule="auto"/>
        <w:tabs>
          <w:tab w:leader="none" w:pos="1459" w:val="left"/>
        </w:tabs>
        <w:numPr>
          <w:ilvl w:val="1"/>
          <w:numId w:val="6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Waivers and Amendments</w:t>
      </w:r>
      <w:r>
        <w:rPr>
          <w:rFonts w:ascii="Times New Roman" w:cs="Times New Roman" w:eastAsia="Times New Roman" w:hAnsi="Times New Roman"/>
          <w:sz w:val="14"/>
          <w:szCs w:val="14"/>
          <w:color w:val="auto"/>
        </w:rPr>
        <w:t xml:space="preserve">. Such Defaulting Lender’s right to approve or disapprove any amendment, waiver or consent with respect to this Agreement shall be restricted as set forth in the definitions of “Required Lenders” and </w:t>
      </w:r>
      <w:r>
        <w:rPr>
          <w:rFonts w:ascii="Times New Roman" w:cs="Times New Roman" w:eastAsia="Times New Roman" w:hAnsi="Times New Roman"/>
          <w:sz w:val="14"/>
          <w:szCs w:val="14"/>
          <w:u w:val="single" w:color="auto"/>
          <w:color w:val="auto"/>
        </w:rPr>
        <w:t>Section 11.01</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41" w:right="1440" w:bottom="1440" w:gutter="0" w:footer="0" w:header="0"/>
        </w:sectPr>
      </w:pPr>
    </w:p>
    <w:bookmarkStart w:id="631" w:name="page632"/>
    <w:bookmarkEnd w:id="631"/>
    <w:p>
      <w:pPr>
        <w:ind w:left="980" w:right="259" w:firstLine="319"/>
        <w:spacing w:after="0" w:line="252" w:lineRule="auto"/>
        <w:tabs>
          <w:tab w:leader="none" w:pos="1498" w:val="left"/>
        </w:tabs>
        <w:numPr>
          <w:ilvl w:val="2"/>
          <w:numId w:val="6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Defaulting Lender Waterfall</w:t>
      </w:r>
      <w:r>
        <w:rPr>
          <w:rFonts w:ascii="Times New Roman" w:cs="Times New Roman" w:eastAsia="Times New Roman" w:hAnsi="Times New Roman"/>
          <w:sz w:val="14"/>
          <w:szCs w:val="14"/>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or otherwise) or received by the Administrative Agent from a Defaulting Lender pursuant to </w:t>
      </w:r>
      <w:r>
        <w:rPr>
          <w:rFonts w:ascii="Times New Roman" w:cs="Times New Roman" w:eastAsia="Times New Roman" w:hAnsi="Times New Roman"/>
          <w:sz w:val="14"/>
          <w:szCs w:val="14"/>
          <w:u w:val="single" w:color="auto"/>
          <w:color w:val="auto"/>
        </w:rPr>
        <w:t>Section 11.08</w:t>
      </w:r>
      <w:r>
        <w:rPr>
          <w:rFonts w:ascii="Times New Roman" w:cs="Times New Roman" w:eastAsia="Times New Roman" w:hAnsi="Times New Roman"/>
          <w:sz w:val="14"/>
          <w:szCs w:val="14"/>
          <w:color w:val="auto"/>
        </w:rPr>
        <w:t xml:space="preserve"> shall be applied at such time or times as may be determined by the Administrative Agent as follows: </w:t>
      </w:r>
      <w:r>
        <w:rPr>
          <w:rFonts w:ascii="Times New Roman" w:cs="Times New Roman" w:eastAsia="Times New Roman" w:hAnsi="Times New Roman"/>
          <w:sz w:val="14"/>
          <w:szCs w:val="14"/>
          <w:u w:val="single" w:color="auto"/>
          <w:color w:val="auto"/>
        </w:rPr>
        <w:t>first</w:t>
      </w:r>
      <w:r>
        <w:rPr>
          <w:rFonts w:ascii="Times New Roman" w:cs="Times New Roman" w:eastAsia="Times New Roman" w:hAnsi="Times New Roman"/>
          <w:sz w:val="14"/>
          <w:szCs w:val="14"/>
          <w:color w:val="auto"/>
        </w:rPr>
        <w:t xml:space="preserve">, to the payment of any amounts owing by such Defaulting Lender to the Administrative Agent hereunder; </w:t>
      </w: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4"/>
          <w:szCs w:val="14"/>
          <w:u w:val="single" w:color="auto"/>
          <w:color w:val="auto"/>
        </w:rPr>
        <w:t>third</w:t>
      </w:r>
      <w:r>
        <w:rPr>
          <w:rFonts w:ascii="Times New Roman" w:cs="Times New Roman" w:eastAsia="Times New Roman" w:hAnsi="Times New Roman"/>
          <w:sz w:val="14"/>
          <w:szCs w:val="14"/>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4"/>
          <w:szCs w:val="14"/>
          <w:u w:val="single" w:color="auto"/>
          <w:color w:val="auto"/>
        </w:rPr>
        <w:t>fourth</w:t>
      </w:r>
      <w:r>
        <w:rPr>
          <w:rFonts w:ascii="Times New Roman" w:cs="Times New Roman" w:eastAsia="Times New Roman" w:hAnsi="Times New Roman"/>
          <w:sz w:val="14"/>
          <w:szCs w:val="14"/>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4"/>
          <w:szCs w:val="14"/>
          <w:u w:val="single" w:color="auto"/>
          <w:color w:val="auto"/>
        </w:rPr>
        <w:t>fifth</w:t>
      </w:r>
      <w:r>
        <w:rPr>
          <w:rFonts w:ascii="Times New Roman" w:cs="Times New Roman" w:eastAsia="Times New Roman" w:hAnsi="Times New Roman"/>
          <w:sz w:val="14"/>
          <w:szCs w:val="14"/>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4"/>
          <w:szCs w:val="14"/>
          <w:u w:val="single" w:color="auto"/>
          <w:color w:val="auto"/>
        </w:rPr>
        <w:t>sixth</w:t>
      </w:r>
      <w:r>
        <w:rPr>
          <w:rFonts w:ascii="Times New Roman" w:cs="Times New Roman" w:eastAsia="Times New Roman" w:hAnsi="Times New Roman"/>
          <w:sz w:val="14"/>
          <w:szCs w:val="14"/>
          <w:color w:val="auto"/>
        </w:rPr>
        <w:t xml:space="preserve">, to such Defaulting Lender or as otherwise as may be required under the Loan Documents in connection with any Lien conferred thereunder or directed by a court of competent jurisdiction;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(1) such payment is a payment of the principal amount of any Loans in respect of which such Defaulting Lender has not fully funded its appropriate share, and</w:t>
      </w:r>
    </w:p>
    <w:p>
      <w:pPr>
        <w:spacing w:after="0" w:line="2" w:lineRule="exact"/>
        <w:rPr>
          <w:rFonts w:ascii="Times New Roman" w:cs="Times New Roman" w:eastAsia="Times New Roman" w:hAnsi="Times New Roman"/>
          <w:sz w:val="14"/>
          <w:szCs w:val="14"/>
          <w:color w:val="auto"/>
        </w:rPr>
      </w:pPr>
    </w:p>
    <w:p>
      <w:pPr>
        <w:ind w:left="980" w:right="339" w:firstLine="7"/>
        <w:spacing w:after="0" w:line="253" w:lineRule="auto"/>
        <w:tabs>
          <w:tab w:leader="none" w:pos="1178" w:val="left"/>
        </w:tabs>
        <w:numPr>
          <w:ilvl w:val="1"/>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Loans were made at a time when the conditions set forth in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61" w:lineRule="exact"/>
        <w:rPr>
          <w:rFonts w:ascii="Times New Roman" w:cs="Times New Roman" w:eastAsia="Times New Roman" w:hAnsi="Times New Roman"/>
          <w:sz w:val="14"/>
          <w:szCs w:val="14"/>
          <w:color w:val="auto"/>
        </w:rPr>
      </w:pPr>
    </w:p>
    <w:p>
      <w:pPr>
        <w:ind w:left="980" w:right="219" w:firstLine="319"/>
        <w:spacing w:after="0" w:line="267" w:lineRule="auto"/>
        <w:tabs>
          <w:tab w:leader="none" w:pos="1537" w:val="left"/>
        </w:tabs>
        <w:numPr>
          <w:ilvl w:val="2"/>
          <w:numId w:val="6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 xml:space="preserve">. No Defaulting Lender shall be entitled to receive any fee payable under </w:t>
      </w:r>
      <w:r>
        <w:rPr>
          <w:rFonts w:ascii="Times New Roman" w:cs="Times New Roman" w:eastAsia="Times New Roman" w:hAnsi="Times New Roman"/>
          <w:sz w:val="14"/>
          <w:szCs w:val="14"/>
          <w:u w:val="single" w:color="auto"/>
          <w:color w:val="auto"/>
        </w:rPr>
        <w:t>Section 2.09(a)</w:t>
      </w:r>
      <w:r>
        <w:rPr>
          <w:rFonts w:ascii="Times New Roman" w:cs="Times New Roman" w:eastAsia="Times New Roman" w:hAnsi="Times New Roman"/>
          <w:sz w:val="14"/>
          <w:szCs w:val="14"/>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51" w:lineRule="exact"/>
        <w:rPr>
          <w:rFonts w:ascii="Times New Roman" w:cs="Times New Roman" w:eastAsia="Times New Roman" w:hAnsi="Times New Roman"/>
          <w:sz w:val="14"/>
          <w:szCs w:val="14"/>
          <w:color w:val="auto"/>
        </w:rPr>
      </w:pPr>
    </w:p>
    <w:p>
      <w:pPr>
        <w:ind w:left="560" w:right="299" w:firstLine="327"/>
        <w:spacing w:after="0" w:line="254" w:lineRule="auto"/>
        <w:tabs>
          <w:tab w:leader="none" w:pos="1087" w:val="left"/>
        </w:tabs>
        <w:numPr>
          <w:ilvl w:val="0"/>
          <w:numId w:val="6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Defaulting Lender Cure</w:t>
      </w:r>
      <w:r>
        <w:rPr>
          <w:rFonts w:ascii="Times New Roman" w:cs="Times New Roman" w:eastAsia="Times New Roman" w:hAnsi="Times New Roman"/>
          <w:sz w:val="14"/>
          <w:szCs w:val="14"/>
          <w:color w:val="auto"/>
        </w:rPr>
        <w:t xml:space="preserve">. If the Borrower and the Administrative Agent agree in writing that a Lender is no longer a Defaulting Lender, the Administrative Agent will promptly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on a pro rata basis by the Lenders in accordance with their Applicable Percentages, whereupon such Lender will cease to be a Defaulting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2.17 [Reserved]</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41" w:right="1440" w:bottom="1440" w:gutter="0" w:footer="0" w:header="0"/>
        </w:sectPr>
      </w:pPr>
    </w:p>
    <w:bookmarkStart w:id="632" w:name="page633"/>
    <w:bookmarkEnd w:id="632"/>
    <w:p>
      <w:pPr>
        <w:ind w:left="220" w:right="3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2.18 Designated Lenders</w:t>
      </w:r>
      <w:r>
        <w:rPr>
          <w:rFonts w:ascii="Times New Roman" w:cs="Times New Roman" w:eastAsia="Times New Roman" w:hAnsi="Times New Roman"/>
          <w:sz w:val="14"/>
          <w:szCs w:val="14"/>
          <w:color w:val="auto"/>
        </w:rPr>
        <w:t>. Each Lender at its option may make any Credit Extension to the Borrower by causing any domestic or foreign branch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Affiliate of such Lender (a “</w:t>
      </w:r>
      <w:r>
        <w:rPr>
          <w:rFonts w:ascii="Times New Roman" w:cs="Times New Roman" w:eastAsia="Times New Roman" w:hAnsi="Times New Roman"/>
          <w:sz w:val="14"/>
          <w:szCs w:val="14"/>
          <w:u w:val="single" w:color="auto"/>
          <w:color w:val="auto"/>
        </w:rPr>
        <w:t>Designated Lender</w:t>
      </w:r>
      <w:r>
        <w:rPr>
          <w:rFonts w:ascii="Times New Roman" w:cs="Times New Roman" w:eastAsia="Times New Roman" w:hAnsi="Times New Roman"/>
          <w:sz w:val="14"/>
          <w:szCs w:val="14"/>
          <w:color w:val="auto"/>
        </w:rPr>
        <w:t xml:space="preserve">”) to make such Credit Extension (and in the case of an Affiliate, the provisions of </w:t>
      </w:r>
      <w:r>
        <w:rPr>
          <w:rFonts w:ascii="Times New Roman" w:cs="Times New Roman" w:eastAsia="Times New Roman" w:hAnsi="Times New Roman"/>
          <w:sz w:val="14"/>
          <w:szCs w:val="14"/>
          <w:u w:val="single" w:color="auto"/>
          <w:color w:val="auto"/>
        </w:rPr>
        <w:t>Sections 3.01</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3.05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11.04</w:t>
      </w:r>
      <w:r>
        <w:rPr>
          <w:rFonts w:ascii="Times New Roman" w:cs="Times New Roman" w:eastAsia="Times New Roman" w:hAnsi="Times New Roman"/>
          <w:sz w:val="14"/>
          <w:szCs w:val="14"/>
          <w:color w:val="auto"/>
        </w:rPr>
        <w:t xml:space="preserve"> shall apply to such Affiliate to the same extent as to such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exercise of such option shall not affect the obligation of the Borrower to repay such Credit Extension in accordance with the terms of this Agreement.</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2.19 [Reserved]</w:t>
      </w:r>
      <w:r>
        <w:rPr>
          <w:rFonts w:ascii="Times New Roman" w:cs="Times New Roman" w:eastAsia="Times New Roman" w:hAnsi="Times New Roman"/>
          <w:sz w:val="14"/>
          <w:szCs w:val="14"/>
          <w:color w:val="auto"/>
        </w:rPr>
        <w: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TAXES, YIELD PROTECTION AND ILLEGALITY</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3.01 Taxes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1080" w:hanging="193"/>
        <w:spacing w:after="0"/>
        <w:tabs>
          <w:tab w:leader="none" w:pos="1080" w:val="left"/>
        </w:tabs>
        <w:numPr>
          <w:ilvl w:val="0"/>
          <w:numId w:val="6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Free of Taxes; Obligation to Withhold; Payments on Account of Taxes</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980" w:right="319" w:firstLine="319"/>
        <w:spacing w:after="0" w:line="258" w:lineRule="auto"/>
        <w:tabs>
          <w:tab w:leader="none" w:pos="1459" w:val="left"/>
        </w:tabs>
        <w:numPr>
          <w:ilvl w:val="1"/>
          <w:numId w:val="6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and all payments by or on account of any obligation of the Borrower hereunder or under any other Loan Document shall to the extent permitted by applicable Laws be made free and clear of and without reduction or withholding for any Taxes. If, however, applicable Laws require the Borrower or the Administrative Agent to withhold or deduct any Tax, such Tax shall be withheld or deducted in accordance with such Laws as determined by the Borrower or the Administrative Agent, as the case may be, upon the basis of the information and documentation to be delivered pursuant to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below.</w:t>
      </w:r>
    </w:p>
    <w:p>
      <w:pPr>
        <w:spacing w:after="0" w:line="59" w:lineRule="exact"/>
        <w:rPr>
          <w:rFonts w:ascii="Times New Roman" w:cs="Times New Roman" w:eastAsia="Times New Roman" w:hAnsi="Times New Roman"/>
          <w:sz w:val="14"/>
          <w:szCs w:val="14"/>
          <w:color w:val="auto"/>
        </w:rPr>
      </w:pPr>
    </w:p>
    <w:p>
      <w:pPr>
        <w:ind w:left="980" w:right="279" w:firstLine="319"/>
        <w:spacing w:after="0" w:line="255" w:lineRule="auto"/>
        <w:tabs>
          <w:tab w:leader="none" w:pos="1498" w:val="left"/>
        </w:tabs>
        <w:numPr>
          <w:ilvl w:val="1"/>
          <w:numId w:val="6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61" w:lineRule="exact"/>
        <w:rPr>
          <w:rFonts w:ascii="Times New Roman" w:cs="Times New Roman" w:eastAsia="Times New Roman" w:hAnsi="Times New Roman"/>
          <w:sz w:val="14"/>
          <w:szCs w:val="14"/>
          <w:color w:val="auto"/>
        </w:rPr>
      </w:pPr>
    </w:p>
    <w:p>
      <w:pPr>
        <w:ind w:left="980" w:right="279" w:firstLine="319"/>
        <w:spacing w:after="0" w:line="254" w:lineRule="auto"/>
        <w:tabs>
          <w:tab w:leader="none" w:pos="1537" w:val="left"/>
        </w:tabs>
        <w:numPr>
          <w:ilvl w:val="1"/>
          <w:numId w:val="6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below, (B) the Borrower or the Administrative Agent, to the extent required by such Laws, shall timely pay the full amount so withheld or deducted by it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39" w:right="1440" w:bottom="1440" w:gutter="0" w:footer="0" w:header="0"/>
        </w:sectPr>
      </w:pPr>
    </w:p>
    <w:bookmarkStart w:id="633" w:name="page634"/>
    <w:bookmarkEnd w:id="633"/>
    <w:p>
      <w:pPr>
        <w:ind w:left="560" w:right="359" w:firstLine="327"/>
        <w:spacing w:after="0" w:line="283" w:lineRule="auto"/>
        <w:tabs>
          <w:tab w:leader="none" w:pos="1087"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Payment of Other Taxes by the Borrower</w:t>
      </w:r>
      <w:r>
        <w:rPr>
          <w:rFonts w:ascii="Times New Roman" w:cs="Times New Roman" w:eastAsia="Times New Roman" w:hAnsi="Times New Roman"/>
          <w:sz w:val="14"/>
          <w:szCs w:val="14"/>
          <w:color w:val="auto"/>
        </w:rPr>
        <w:t xml:space="preserve">. Without limiting the provisions of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 the Borrower shall timely pay any Other Taxes to the relevant Governmental Authority in accordance with applicable Laws.</w:t>
      </w:r>
    </w:p>
    <w:p>
      <w:pPr>
        <w:spacing w:after="0" w:line="40"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Indemnifications</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980" w:right="239" w:firstLine="319"/>
        <w:spacing w:after="0" w:line="254" w:lineRule="auto"/>
        <w:tabs>
          <w:tab w:leader="none" w:pos="1459" w:val="left"/>
        </w:tabs>
        <w:numPr>
          <w:ilvl w:val="1"/>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provisions of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above, the Borrower shall, and does hereby, indemnify the Administrative Agent and each Lender, and shall make payment in respect thereof within 10 days after written demand therefor, for the full amount of any Indemnified Taxes (including Indemnified Taxes imposed or asserted on or attributable to amounts payable under this Section) withheld or deducted by the Borrower or the Administrative Agent or paid by the Administrative Agent or such Lender, as the case may be, and any reasonable expenses arising therefrom or with respect thereto, whether or not such Indemnified Taxes were correctly or legally imposed or asserted by the relevant Governmental Authority. The Borrower shall also, and does hereby, indemnify the Administrative Agent, and shall make payment in respect thereof within 10 days after demand therefor, for any amount which a Lender for any reason fails to pay indefeasibly to the Administrative Agent as required by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A certificate as to the amount of any such payment or liability delivered to the Borrower by a Lender (with a copy to the Administrative Agent), or by the Administrative Agent on its own behalf or on behalf of a Lender, shall be conclusive absent manifest error.</w:t>
      </w:r>
    </w:p>
    <w:p>
      <w:pPr>
        <w:spacing w:after="0" w:line="62" w:lineRule="exact"/>
        <w:rPr>
          <w:rFonts w:ascii="Times New Roman" w:cs="Times New Roman" w:eastAsia="Times New Roman" w:hAnsi="Times New Roman"/>
          <w:sz w:val="14"/>
          <w:szCs w:val="14"/>
          <w:color w:val="auto"/>
        </w:rPr>
      </w:pPr>
    </w:p>
    <w:p>
      <w:pPr>
        <w:ind w:left="980" w:right="239" w:firstLine="319"/>
        <w:spacing w:after="0" w:line="253" w:lineRule="auto"/>
        <w:tabs>
          <w:tab w:leader="none" w:pos="1498" w:val="left"/>
        </w:tabs>
        <w:numPr>
          <w:ilvl w:val="1"/>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provisions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above, each Lender shall, and does hereby, indemnify and shall make payment in respect thereof within 10 days after demand therefor, (x) the Administrative Agent against any Indemnified Taxes attributable to such Lender (but only to the extent that the Borrower has not already indemnified the Administrative Agent for such Indemnified Taxes and without limiting the obligation of the Borrower to do so) and (y) the Administrative Agent and the Borrower, as applicable, against any Taxes attributable to such Lender’s failure to comply with the provisions of </w:t>
      </w:r>
      <w:r>
        <w:rPr>
          <w:rFonts w:ascii="Times New Roman" w:cs="Times New Roman" w:eastAsia="Times New Roman" w:hAnsi="Times New Roman"/>
          <w:sz w:val="14"/>
          <w:szCs w:val="14"/>
          <w:u w:val="single" w:color="auto"/>
          <w:color w:val="auto"/>
        </w:rPr>
        <w:t>Section 11.06(d)</w:t>
      </w:r>
      <w:r>
        <w:rPr>
          <w:rFonts w:ascii="Times New Roman" w:cs="Times New Roman" w:eastAsia="Times New Roman" w:hAnsi="Times New Roman"/>
          <w:sz w:val="14"/>
          <w:szCs w:val="14"/>
          <w:color w:val="auto"/>
        </w:rPr>
        <w:t xml:space="preserve"> relating to the maintenance of a Participant Register, and (z) the Administrative Agent and the Borrower, as applicable, against any Excluded Taxes attributable to such Lender,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The agreements in this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shall survive the resignation and/or replacement of the Administrative Agent, any assignment of rights by, or the replacement of, a Lender, the termination of the Term Facility and the repayment, satisfaction or discharge of all Obligations under the Loan Documents.</w:t>
      </w:r>
    </w:p>
    <w:p>
      <w:pPr>
        <w:spacing w:after="0" w:line="62" w:lineRule="exact"/>
        <w:rPr>
          <w:rFonts w:ascii="Times New Roman" w:cs="Times New Roman" w:eastAsia="Times New Roman" w:hAnsi="Times New Roman"/>
          <w:sz w:val="14"/>
          <w:szCs w:val="14"/>
          <w:color w:val="auto"/>
        </w:rPr>
      </w:pPr>
    </w:p>
    <w:p>
      <w:pPr>
        <w:ind w:left="560" w:right="299" w:firstLine="327"/>
        <w:spacing w:after="0" w:line="261" w:lineRule="auto"/>
        <w:tabs>
          <w:tab w:leader="none" w:pos="1087" w:val="left"/>
        </w:tabs>
        <w:numPr>
          <w:ilvl w:val="0"/>
          <w:numId w:val="6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Evidence of Payments</w:t>
      </w:r>
      <w:r>
        <w:rPr>
          <w:rFonts w:ascii="Times New Roman" w:cs="Times New Roman" w:eastAsia="Times New Roman" w:hAnsi="Times New Roman"/>
          <w:sz w:val="14"/>
          <w:szCs w:val="14"/>
          <w:color w:val="auto"/>
        </w:rPr>
        <w:t xml:space="preserve">. As soon as practicable after any payment of Taxes by the Borrower to a Governmental Authority as provided in this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42" w:right="1440" w:bottom="1440" w:gutter="0" w:footer="0" w:header="0"/>
        </w:sectPr>
      </w:pPr>
    </w:p>
    <w:bookmarkStart w:id="634" w:name="page635"/>
    <w:bookmarkEnd w:id="634"/>
    <w:p>
      <w:pPr>
        <w:ind w:left="1080" w:hanging="193"/>
        <w:spacing w:after="0"/>
        <w:tabs>
          <w:tab w:leader="none" w:pos="1080" w:val="left"/>
        </w:tabs>
        <w:numPr>
          <w:ilvl w:val="0"/>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Status of Lenders; Tax Documentation</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980" w:right="299" w:firstLine="319"/>
        <w:spacing w:after="0" w:line="254" w:lineRule="auto"/>
        <w:tabs>
          <w:tab w:leader="none" w:pos="1459" w:val="left"/>
        </w:tabs>
        <w:numPr>
          <w:ilvl w:val="1"/>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4"/>
          <w:szCs w:val="14"/>
          <w:u w:val="single" w:color="auto"/>
          <w:color w:val="auto"/>
        </w:rPr>
        <w:t>Section 3.01(e)(ii)(A)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(ii)(D)</w:t>
      </w:r>
      <w:r>
        <w:rPr>
          <w:rFonts w:ascii="Times New Roman" w:cs="Times New Roman" w:eastAsia="Times New Roman" w:hAnsi="Times New Roman"/>
          <w:sz w:val="14"/>
          <w:szCs w:val="14"/>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0" w:lineRule="exact"/>
        <w:rPr>
          <w:rFonts w:ascii="Times New Roman" w:cs="Times New Roman" w:eastAsia="Times New Roman" w:hAnsi="Times New Roman"/>
          <w:sz w:val="14"/>
          <w:szCs w:val="14"/>
          <w:color w:val="auto"/>
        </w:rPr>
      </w:pPr>
    </w:p>
    <w:p>
      <w:pPr>
        <w:ind w:left="1500" w:hanging="201"/>
        <w:spacing w:after="0"/>
        <w:tabs>
          <w:tab w:leader="none" w:pos="1500" w:val="left"/>
        </w:tabs>
        <w:numPr>
          <w:ilvl w:val="1"/>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w:t>
      </w:r>
    </w:p>
    <w:p>
      <w:pPr>
        <w:spacing w:after="0" w:line="91" w:lineRule="exact"/>
        <w:rPr>
          <w:rFonts w:ascii="Times New Roman" w:cs="Times New Roman" w:eastAsia="Times New Roman" w:hAnsi="Times New Roman"/>
          <w:sz w:val="14"/>
          <w:szCs w:val="14"/>
          <w:color w:val="auto"/>
        </w:rPr>
      </w:pPr>
    </w:p>
    <w:p>
      <w:pPr>
        <w:jc w:val="both"/>
        <w:ind w:left="1340" w:right="299" w:firstLine="289"/>
        <w:spacing w:after="0" w:line="261" w:lineRule="auto"/>
        <w:tabs>
          <w:tab w:leader="none" w:pos="1868" w:val="left"/>
        </w:tabs>
        <w:numPr>
          <w:ilvl w:val="2"/>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56" w:lineRule="exact"/>
        <w:rPr>
          <w:rFonts w:ascii="Times New Roman" w:cs="Times New Roman" w:eastAsia="Times New Roman" w:hAnsi="Times New Roman"/>
          <w:sz w:val="14"/>
          <w:szCs w:val="14"/>
          <w:color w:val="auto"/>
        </w:rPr>
      </w:pPr>
    </w:p>
    <w:p>
      <w:pPr>
        <w:ind w:left="1340" w:right="339" w:firstLine="289"/>
        <w:spacing w:after="0" w:line="261" w:lineRule="auto"/>
        <w:tabs>
          <w:tab w:leader="none" w:pos="1860" w:val="left"/>
        </w:tabs>
        <w:numPr>
          <w:ilvl w:val="2"/>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56" w:lineRule="exact"/>
        <w:rPr>
          <w:rFonts w:ascii="Times New Roman" w:cs="Times New Roman" w:eastAsia="Times New Roman" w:hAnsi="Times New Roman"/>
          <w:sz w:val="14"/>
          <w:szCs w:val="14"/>
          <w:color w:val="auto"/>
        </w:rPr>
      </w:pPr>
    </w:p>
    <w:p>
      <w:pPr>
        <w:ind w:left="2220" w:hanging="180"/>
        <w:spacing w:after="0"/>
        <w:tabs>
          <w:tab w:leader="none" w:pos="2220" w:val="left"/>
        </w:tabs>
        <w:numPr>
          <w:ilvl w:val="4"/>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Foreign Lender claiming the benefits of an income tax treaty to which the United States is a party</w:t>
      </w:r>
    </w:p>
    <w:p>
      <w:pPr>
        <w:spacing w:after="0" w:line="21" w:lineRule="exact"/>
        <w:rPr>
          <w:rFonts w:ascii="Times New Roman" w:cs="Times New Roman" w:eastAsia="Times New Roman" w:hAnsi="Times New Roman"/>
          <w:sz w:val="14"/>
          <w:szCs w:val="14"/>
          <w:color w:val="auto"/>
        </w:rPr>
      </w:pPr>
    </w:p>
    <w:p>
      <w:pPr>
        <w:ind w:left="1760" w:right="379" w:hanging="1"/>
        <w:spacing w:after="0" w:line="253" w:lineRule="auto"/>
        <w:tabs>
          <w:tab w:leader="none" w:pos="1958" w:val="left"/>
        </w:tabs>
        <w:numPr>
          <w:ilvl w:val="3"/>
          <w:numId w:val="6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61" w:lineRule="exact"/>
        <w:rPr>
          <w:rFonts w:ascii="Times New Roman" w:cs="Times New Roman" w:eastAsia="Times New Roman" w:hAnsi="Times New Roman"/>
          <w:sz w:val="14"/>
          <w:szCs w:val="14"/>
          <w:color w:val="auto"/>
        </w:rPr>
      </w:pPr>
    </w:p>
    <w:p>
      <w:pPr>
        <w:ind w:left="2260" w:hanging="220"/>
        <w:spacing w:after="0"/>
        <w:tabs>
          <w:tab w:leader="none" w:pos="2260" w:val="left"/>
        </w:tabs>
        <w:numPr>
          <w:ilvl w:val="4"/>
          <w:numId w:val="6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executed copies of IRS Form W-8ECI;</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41" w:right="1440" w:bottom="1440" w:gutter="0" w:footer="0" w:header="0"/>
        </w:sectPr>
      </w:pPr>
    </w:p>
    <w:bookmarkStart w:id="635" w:name="page636"/>
    <w:bookmarkEnd w:id="635"/>
    <w:p>
      <w:pPr>
        <w:ind w:left="1760" w:right="239" w:firstLine="280"/>
        <w:spacing w:after="0" w:line="256" w:lineRule="auto"/>
        <w:tabs>
          <w:tab w:leader="none" w:pos="2309" w:val="left"/>
        </w:tabs>
        <w:numPr>
          <w:ilvl w:val="0"/>
          <w:numId w:val="6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4"/>
          <w:szCs w:val="14"/>
          <w:u w:val="single" w:color="auto"/>
          <w:color w:val="auto"/>
        </w:rPr>
        <w:t>Exhibit N-1</w:t>
      </w:r>
      <w:r>
        <w:rPr>
          <w:rFonts w:ascii="Times New Roman" w:cs="Times New Roman" w:eastAsia="Times New Roman" w:hAnsi="Times New Roman"/>
          <w:sz w:val="14"/>
          <w:szCs w:val="14"/>
          <w:color w:val="auto"/>
        </w:rPr>
        <w:t xml:space="preserve"> to the effect that such Foreign Lender is not a “bank” within the meaning of Section 881(c)(3)(A) of the Code, a “10 percent shareholder” of the Borrower within the meaning of Section 871(h)(3)(B) of the Code or a “controlled foreign corporation” related to the Borrower described in Section 881(c)</w:t>
      </w:r>
    </w:p>
    <w:p>
      <w:pPr>
        <w:ind w:left="1760" w:right="63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(3)(C) of the Code (a “</w:t>
      </w:r>
      <w:r>
        <w:rPr>
          <w:rFonts w:ascii="Times New Roman" w:cs="Times New Roman" w:eastAsia="Times New Roman" w:hAnsi="Times New Roman"/>
          <w:sz w:val="14"/>
          <w:szCs w:val="14"/>
          <w:u w:val="single" w:color="auto"/>
          <w:color w:val="auto"/>
        </w:rPr>
        <w:t>U.S. Tax Compliance Certificate</w:t>
      </w:r>
      <w:r>
        <w:rPr>
          <w:rFonts w:ascii="Times New Roman" w:cs="Times New Roman" w:eastAsia="Times New Roman" w:hAnsi="Times New Roman"/>
          <w:sz w:val="14"/>
          <w:szCs w:val="14"/>
          <w:color w:val="auto"/>
        </w:rPr>
        <w:t>”) and (y) executed copies of IRS Form W-8BEN or IRS Form W-8BEN-E; or</w:t>
      </w:r>
    </w:p>
    <w:p>
      <w:pPr>
        <w:spacing w:after="0" w:line="56" w:lineRule="exact"/>
        <w:rPr>
          <w:sz w:val="20"/>
          <w:szCs w:val="20"/>
          <w:color w:val="auto"/>
        </w:rPr>
      </w:pPr>
    </w:p>
    <w:p>
      <w:pPr>
        <w:ind w:left="1760" w:right="279" w:firstLine="281"/>
        <w:spacing w:after="0" w:line="257" w:lineRule="auto"/>
        <w:rPr>
          <w:sz w:val="20"/>
          <w:szCs w:val="20"/>
          <w:color w:val="auto"/>
        </w:rPr>
      </w:pPr>
      <w:r>
        <w:rPr>
          <w:rFonts w:ascii="Times New Roman" w:cs="Times New Roman" w:eastAsia="Times New Roman" w:hAnsi="Times New Roman"/>
          <w:sz w:val="14"/>
          <w:szCs w:val="14"/>
          <w:color w:val="auto"/>
        </w:rPr>
        <w:t xml:space="preserve">(IV) to the extent a Foreign Lender is not the beneficial owner, executed copies of IRS Form W-8IMY, accompanied by IRS Form W-8ECI, IRS Form W-8BEN, IRS Form W-8BEN-E, a U.S. Tax Compliance Certificate substantially in the form of </w:t>
      </w:r>
      <w:r>
        <w:rPr>
          <w:rFonts w:ascii="Times New Roman" w:cs="Times New Roman" w:eastAsia="Times New Roman" w:hAnsi="Times New Roman"/>
          <w:sz w:val="14"/>
          <w:szCs w:val="14"/>
          <w:u w:val="single" w:color="auto"/>
          <w:color w:val="auto"/>
        </w:rPr>
        <w:t>Exhibit N-2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Exhibit N-3</w:t>
      </w:r>
      <w:r>
        <w:rPr>
          <w:rFonts w:ascii="Times New Roman" w:cs="Times New Roman" w:eastAsia="Times New Roman" w:hAnsi="Times New Roman"/>
          <w:sz w:val="14"/>
          <w:szCs w:val="14"/>
          <w:color w:val="auto"/>
        </w:rPr>
        <w:t xml:space="preserve">, IRS Form W-9 and/or other certification documents from each beneficial owner,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4"/>
          <w:szCs w:val="14"/>
          <w:u w:val="single" w:color="auto"/>
          <w:color w:val="auto"/>
        </w:rPr>
        <w:t>Exhibit N-4</w:t>
      </w:r>
      <w:r>
        <w:rPr>
          <w:rFonts w:ascii="Times New Roman" w:cs="Times New Roman" w:eastAsia="Times New Roman" w:hAnsi="Times New Roman"/>
          <w:sz w:val="14"/>
          <w:szCs w:val="14"/>
          <w:color w:val="auto"/>
        </w:rPr>
        <w:t xml:space="preserve"> on behalf of each such direct and indirect partner;</w:t>
      </w:r>
    </w:p>
    <w:p>
      <w:pPr>
        <w:spacing w:after="0" w:line="59" w:lineRule="exact"/>
        <w:rPr>
          <w:sz w:val="20"/>
          <w:szCs w:val="20"/>
          <w:color w:val="auto"/>
        </w:rPr>
      </w:pPr>
    </w:p>
    <w:p>
      <w:pPr>
        <w:ind w:left="1340" w:right="299" w:firstLine="289"/>
        <w:spacing w:after="0" w:line="280" w:lineRule="auto"/>
        <w:tabs>
          <w:tab w:leader="none" w:pos="1860" w:val="left"/>
        </w:tabs>
        <w:numPr>
          <w:ilvl w:val="0"/>
          <w:numId w:val="6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spacing w:after="0" w:line="46" w:lineRule="exact"/>
        <w:rPr>
          <w:rFonts w:ascii="Times New Roman" w:cs="Times New Roman" w:eastAsia="Times New Roman" w:hAnsi="Times New Roman"/>
          <w:sz w:val="13"/>
          <w:szCs w:val="13"/>
          <w:color w:val="auto"/>
        </w:rPr>
      </w:pPr>
    </w:p>
    <w:p>
      <w:pPr>
        <w:ind w:left="1340" w:right="339" w:firstLine="289"/>
        <w:spacing w:after="0" w:line="276" w:lineRule="auto"/>
        <w:tabs>
          <w:tab w:leader="none" w:pos="1868" w:val="left"/>
        </w:tabs>
        <w:numPr>
          <w:ilvl w:val="0"/>
          <w:numId w:val="6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Laws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3"/>
          <w:szCs w:val="13"/>
          <w:u w:val="single" w:color="auto"/>
          <w:color w:val="auto"/>
        </w:rPr>
        <w:t>clause (D)</w:t>
      </w:r>
      <w:r>
        <w:rPr>
          <w:rFonts w:ascii="Times New Roman" w:cs="Times New Roman" w:eastAsia="Times New Roman" w:hAnsi="Times New Roman"/>
          <w:sz w:val="13"/>
          <w:szCs w:val="13"/>
          <w:color w:val="auto"/>
        </w:rPr>
        <w:t>, “FATCA” shall include any amendments made to FATCA after the date of this Agreement.</w:t>
      </w:r>
    </w:p>
    <w:p>
      <w:pPr>
        <w:spacing w:after="0" w:line="51" w:lineRule="exact"/>
        <w:rPr>
          <w:sz w:val="20"/>
          <w:szCs w:val="20"/>
          <w:color w:val="auto"/>
        </w:rPr>
      </w:pPr>
    </w:p>
    <w:p>
      <w:pPr>
        <w:ind w:left="560" w:right="319" w:firstLine="329"/>
        <w:spacing w:after="0" w:line="283" w:lineRule="auto"/>
        <w:rPr>
          <w:sz w:val="20"/>
          <w:szCs w:val="20"/>
          <w:color w:val="auto"/>
        </w:rPr>
      </w:pPr>
      <w:r>
        <w:rPr>
          <w:rFonts w:ascii="Times New Roman" w:cs="Times New Roman" w:eastAsia="Times New Roman" w:hAnsi="Times New Roman"/>
          <w:sz w:val="14"/>
          <w:szCs w:val="14"/>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41" w:right="1440" w:bottom="1440" w:gutter="0" w:footer="0" w:header="0"/>
        </w:sectPr>
      </w:pPr>
    </w:p>
    <w:bookmarkStart w:id="636" w:name="page637"/>
    <w:bookmarkEnd w:id="636"/>
    <w:p>
      <w:pPr>
        <w:ind w:left="560" w:right="239" w:firstLine="327"/>
        <w:spacing w:after="0" w:line="252" w:lineRule="auto"/>
        <w:tabs>
          <w:tab w:leader="none" w:pos="1064" w:val="left"/>
        </w:tabs>
        <w:numPr>
          <w:ilvl w:val="0"/>
          <w:numId w:val="6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Treatment of Certain Refunds</w:t>
      </w:r>
      <w:r>
        <w:rPr>
          <w:rFonts w:ascii="Times New Roman" w:cs="Times New Roman" w:eastAsia="Times New Roman" w:hAnsi="Times New Roman"/>
          <w:sz w:val="14"/>
          <w:szCs w:val="14"/>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the Administrative Agent or any Lender determines, in its sole discretion exercised in good faith, that it has received a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out-of-pocket expenses incurred by the Administrative Agent or such Lender, as the case may be, and without interest (other than any interest paid by the relevant Governmental Authority with respect to such refund);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clause shall not be construed to require the Administrative Agent or any Lender to make available its tax returns (or any other information relating to its taxes that it deems confidential) to the Borrower or any other Person.</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3.02 Illegality</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79" w:firstLine="327"/>
        <w:spacing w:after="0" w:line="252" w:lineRule="auto"/>
        <w:tabs>
          <w:tab w:leader="none" w:pos="1080" w:val="left"/>
        </w:tabs>
        <w:numPr>
          <w:ilvl w:val="0"/>
          <w:numId w:val="6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Lender determines that any Law has made it unlawful, or that any Governmental Authority has asserted that it is unlawful, for any Lender or its applicable Lending Office to make, maintain or fund any Credit Extension whose interest is determined by reference to SOFR or Term SOFR, or to determine or charge interest rates based upon SOFR or Term SOFR, then, on notice thereof by such Lender to the Borrower through the Administrative Agent, (i) any obligation of such Lender to make or continue Term SOFR Loans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(A) the Borrower shall, upon demand from such Lender (with a copy to the Administrative Agent), prepay in full such Term SOFR Loans then outstanding (which prepayment shall be made with respect to Term SOFR Loans, on the last day of the relevant Interest Periods of such Loans, if such Lender may lawfully continue to maintain such Loans to such day, or immediately, if such Lender may not lawfully continue to maintain such Loans to such day) or, if applicable and such Loans are Term SOFR Loans, convert such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(B) if such notice asserts the illegality of such Lender determining or charging interest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41" w:right="1440" w:bottom="1440" w:gutter="0" w:footer="0" w:header="0"/>
        </w:sectPr>
      </w:pPr>
    </w:p>
    <w:bookmarkStart w:id="637" w:name="page638"/>
    <w:bookmarkEnd w:id="637"/>
    <w:p>
      <w:pPr>
        <w:ind w:left="560" w:right="39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w:t>
      </w:r>
    </w:p>
    <w:p>
      <w:pPr>
        <w:spacing w:after="0" w:line="60" w:lineRule="exact"/>
        <w:rPr>
          <w:sz w:val="20"/>
          <w:szCs w:val="20"/>
          <w:color w:val="auto"/>
        </w:rPr>
      </w:pPr>
    </w:p>
    <w:p>
      <w:pPr>
        <w:ind w:left="560" w:right="419" w:firstLine="327"/>
        <w:spacing w:after="0" w:line="261" w:lineRule="auto"/>
        <w:tabs>
          <w:tab w:leader="none" w:pos="1088" w:val="left"/>
        </w:tabs>
        <w:numPr>
          <w:ilvl w:val="1"/>
          <w:numId w:val="6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in any applicable jurisdiction, the Administrative Agent or any Lender (including any Designated Lender) determines that any Law has made it unlawful, or that any Governmental Authority has asserted that it is unlawful, for the Administrative Agent or such Lender to</w:t>
      </w:r>
    </w:p>
    <w:p>
      <w:pPr>
        <w:ind w:left="560" w:right="299" w:hanging="2"/>
        <w:spacing w:after="0" w:line="252" w:lineRule="auto"/>
        <w:tabs>
          <w:tab w:leader="none" w:pos="727" w:val="left"/>
        </w:tabs>
        <w:numPr>
          <w:ilvl w:val="0"/>
          <w:numId w:val="6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 any of its obligations hereunder or under any other Loan Document or (ii) fund or maintain its participation in any Loan, such Person shall promptly notify the Administrative Agent, and, upon the Administrative Agent notifying the Borrower, and until such notice by such Person is revoked, any obligation of such Person to issue, make, maintain, fund or charge interest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Borrower or, if earlier, the date specified by such Person in the notice delivered to the Administrative Agent (being no earlier than the last day of any applicable grace period permitted by applicable Law) and (B) take all other reasonable actions requested by such Person to mitigate or avoid such illegality.</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3.03 Inability to Determine Rates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79" w:firstLine="327"/>
        <w:spacing w:after="0" w:line="252" w:lineRule="auto"/>
        <w:tabs>
          <w:tab w:leader="none" w:pos="1080" w:val="left"/>
        </w:tabs>
        <w:numPr>
          <w:ilvl w:val="0"/>
          <w:numId w:val="6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in connection with any request for a Term SOFR Loan, or a request for a conversion of Base Rate Loans to Term SOFR Loans, or a request for a continuation of Term SOFR Loans, as applicable, (i) the Administrative Agent determines (which determination shall be conclusive absent manifest error) that (A) no Term SOFR Successor Rate has been determined in accordance with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and the circumstances under </w:t>
      </w:r>
      <w:r>
        <w:rPr>
          <w:rFonts w:ascii="Times New Roman" w:cs="Times New Roman" w:eastAsia="Times New Roman" w:hAnsi="Times New Roman"/>
          <w:sz w:val="14"/>
          <w:szCs w:val="14"/>
          <w:u w:val="single" w:color="auto"/>
          <w:color w:val="auto"/>
        </w:rPr>
        <w:t>Section 3.07(a)</w:t>
      </w:r>
      <w:r>
        <w:rPr>
          <w:rFonts w:ascii="Times New Roman" w:cs="Times New Roman" w:eastAsia="Times New Roman" w:hAnsi="Times New Roman"/>
          <w:sz w:val="14"/>
          <w:szCs w:val="14"/>
          <w:color w:val="auto"/>
        </w:rPr>
        <w:t xml:space="preserve"> or the Term SOFR Scheduled Unavailability Date has occurred, or (B) adequate and reasonable means do not otherwise exist for determining Term SOFR for any determination date(s) or requested Interest Periods, as applicable, with respect to a proposed Term SOFR Loan, or in connection with an existing or proposed Base Rate Loan (in each case with respect to this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Impacted Loans</w:t>
      </w:r>
      <w:r>
        <w:rPr>
          <w:rFonts w:ascii="Times New Roman" w:cs="Times New Roman" w:eastAsia="Times New Roman" w:hAnsi="Times New Roman"/>
          <w:sz w:val="14"/>
          <w:szCs w:val="14"/>
          <w:color w:val="auto"/>
        </w:rPr>
        <w:t xml:space="preserve">”), or (ii) the Administrative Agent or the Required Lenders determine that for any reason Term SOFR for any determination date(s) or requested Interest Period, as applicable, does not adequately and fairly reflect the cost to such Lenders of funding such Loan, the Administrative Agent will promptly so notify the Borrower and each Lender. Thereafter, (x) the obligation of the Lenders to make or maintain Term SOFR Loans shall be suspended (to the extent of the affected Term SOFR Loans,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14"/>
          <w:szCs w:val="14"/>
          <w:u w:val="single" w:color="auto"/>
          <w:color w:val="auto"/>
        </w:rPr>
        <w:t>clause (a)(ii)</w:t>
      </w:r>
      <w:r>
        <w:rPr>
          <w:rFonts w:ascii="Times New Roman" w:cs="Times New Roman" w:eastAsia="Times New Roman" w:hAnsi="Times New Roman"/>
          <w:sz w:val="14"/>
          <w:szCs w:val="14"/>
          <w:color w:val="auto"/>
        </w:rPr>
        <w:t xml:space="preserve"> above, until the Administrative Agent upon instruction of the Required Lenders) revokes such notice. Upon receipt of such notice, (1) the Borrower may revoke any pending request for a Borrowing of, conversion to or continuation of the applicable Loans (to the extent of the affected Term SOFR Loans, Interest Periods or determination date(s), as applicable) or, failing that, with respect to any request for a Borrowing of, conversion to, or continuation of Term SOFR Loans, will be deemed to have converted such request into a request for a Borrowing of Base Rate Loans and (2) any outstanding affected Term SOFR Loans shall be converted to Base Rate Loans at the end of their respective applicable Interest Periods.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241" w:right="1440" w:bottom="1440" w:gutter="0" w:footer="0" w:header="0"/>
        </w:sectPr>
      </w:pPr>
    </w:p>
    <w:bookmarkStart w:id="638" w:name="page639"/>
    <w:bookmarkEnd w:id="638"/>
    <w:p>
      <w:pPr>
        <w:ind w:left="560" w:right="239" w:firstLine="327"/>
        <w:spacing w:after="0" w:line="254" w:lineRule="auto"/>
        <w:tabs>
          <w:tab w:leader="none" w:pos="1088" w:val="left"/>
        </w:tabs>
        <w:numPr>
          <w:ilvl w:val="0"/>
          <w:numId w:val="6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Notwithstanding the foregoing, if the Administrative Agent has made the determination described in </w:t>
      </w:r>
      <w:r>
        <w:rPr>
          <w:rFonts w:ascii="Times New Roman" w:cs="Times New Roman" w:eastAsia="Times New Roman" w:hAnsi="Times New Roman"/>
          <w:sz w:val="14"/>
          <w:szCs w:val="14"/>
          <w:u w:val="single" w:color="auto"/>
          <w:color w:val="auto"/>
        </w:rPr>
        <w:t>clause (a)(i)</w:t>
      </w:r>
      <w:r>
        <w:rPr>
          <w:rFonts w:ascii="Times New Roman" w:cs="Times New Roman" w:eastAsia="Times New Roman" w:hAnsi="Times New Roman"/>
          <w:sz w:val="14"/>
          <w:szCs w:val="14"/>
          <w:color w:val="auto"/>
        </w:rPr>
        <w:t xml:space="preserve"> of this Section, the Administrative Agent, in consultation with the Borrower and the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Times New Roman" w:cs="Times New Roman" w:eastAsia="Times New Roman" w:hAnsi="Times New Roman"/>
          <w:sz w:val="14"/>
          <w:szCs w:val="14"/>
          <w:u w:val="single" w:color="auto"/>
          <w:color w:val="auto"/>
        </w:rPr>
        <w:t>clause (a)(i)</w:t>
      </w:r>
      <w:r>
        <w:rPr>
          <w:rFonts w:ascii="Times New Roman" w:cs="Times New Roman" w:eastAsia="Times New Roman" w:hAnsi="Times New Roman"/>
          <w:sz w:val="14"/>
          <w:szCs w:val="14"/>
          <w:color w:val="auto"/>
        </w:rPr>
        <w:t xml:space="preserve"> of this Section, (ii) the Administrative Agent or the Required Lenders notify the Administrative Agent and the Borrower that such alternative interest rate does not adequately and fairly reflect the cost to the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3.04 Increased Costs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1080" w:hanging="193"/>
        <w:spacing w:after="0"/>
        <w:tabs>
          <w:tab w:leader="none" w:pos="1080" w:val="left"/>
        </w:tabs>
        <w:numPr>
          <w:ilvl w:val="0"/>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Increased Costs Generally</w:t>
      </w:r>
      <w:r>
        <w:rPr>
          <w:rFonts w:ascii="Times New Roman" w:cs="Times New Roman" w:eastAsia="Times New Roman" w:hAnsi="Times New Roman"/>
          <w:sz w:val="14"/>
          <w:szCs w:val="14"/>
          <w:color w:val="auto"/>
        </w:rPr>
        <w:t>. If any Change in Law shall:</w:t>
      </w:r>
    </w:p>
    <w:p>
      <w:pPr>
        <w:spacing w:after="0" w:line="91" w:lineRule="exact"/>
        <w:rPr>
          <w:rFonts w:ascii="Times New Roman" w:cs="Times New Roman" w:eastAsia="Times New Roman" w:hAnsi="Times New Roman"/>
          <w:sz w:val="14"/>
          <w:szCs w:val="14"/>
          <w:color w:val="auto"/>
        </w:rPr>
      </w:pPr>
    </w:p>
    <w:p>
      <w:pPr>
        <w:ind w:left="980" w:right="259" w:firstLine="319"/>
        <w:spacing w:after="0" w:line="283" w:lineRule="auto"/>
        <w:tabs>
          <w:tab w:leader="none" w:pos="1459" w:val="left"/>
        </w:tabs>
        <w:numPr>
          <w:ilvl w:val="1"/>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modify or deem applicable any reserve, special deposit, compulsory loan, insurance charge or similar requirement against assets of, deposits with or for the account of, or credit extended or participated in by, any Lender; or</w:t>
      </w:r>
    </w:p>
    <w:p>
      <w:pPr>
        <w:spacing w:after="0" w:line="40" w:lineRule="exact"/>
        <w:rPr>
          <w:rFonts w:ascii="Times New Roman" w:cs="Times New Roman" w:eastAsia="Times New Roman" w:hAnsi="Times New Roman"/>
          <w:sz w:val="14"/>
          <w:szCs w:val="14"/>
          <w:color w:val="auto"/>
        </w:rPr>
      </w:pPr>
    </w:p>
    <w:p>
      <w:pPr>
        <w:ind w:left="980" w:right="499" w:firstLine="319"/>
        <w:spacing w:after="0" w:line="267" w:lineRule="auto"/>
        <w:tabs>
          <w:tab w:leader="none" w:pos="1498" w:val="left"/>
        </w:tabs>
        <w:numPr>
          <w:ilvl w:val="1"/>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any Recipient to any Taxes (other than (A) Indemnified Taxes, (B) Taxes described in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51" w:lineRule="exact"/>
        <w:rPr>
          <w:rFonts w:ascii="Times New Roman" w:cs="Times New Roman" w:eastAsia="Times New Roman" w:hAnsi="Times New Roman"/>
          <w:sz w:val="14"/>
          <w:szCs w:val="14"/>
          <w:color w:val="auto"/>
        </w:rPr>
      </w:pPr>
    </w:p>
    <w:p>
      <w:pPr>
        <w:ind w:left="980" w:right="399" w:firstLine="319"/>
        <w:spacing w:after="0" w:line="283" w:lineRule="auto"/>
        <w:tabs>
          <w:tab w:leader="none" w:pos="1537" w:val="left"/>
        </w:tabs>
        <w:numPr>
          <w:ilvl w:val="1"/>
          <w:numId w:val="6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on any Lender or the applicable interbank market any other condition, cost or expense (other than Taxes) affecting this Agreement or Term SOFR Loans made by such Lender;</w:t>
      </w:r>
    </w:p>
    <w:p>
      <w:pPr>
        <w:spacing w:after="0" w:line="41" w:lineRule="exact"/>
        <w:rPr>
          <w:sz w:val="20"/>
          <w:szCs w:val="20"/>
          <w:color w:val="auto"/>
        </w:rPr>
      </w:pPr>
    </w:p>
    <w:p>
      <w:pPr>
        <w:ind w:left="560" w:right="219"/>
        <w:spacing w:after="0" w:line="261" w:lineRule="auto"/>
        <w:rPr>
          <w:sz w:val="20"/>
          <w:szCs w:val="20"/>
          <w:color w:val="auto"/>
        </w:rPr>
      </w:pPr>
      <w:r>
        <w:rPr>
          <w:rFonts w:ascii="Times New Roman" w:cs="Times New Roman" w:eastAsia="Times New Roman" w:hAnsi="Times New Roman"/>
          <w:sz w:val="14"/>
          <w:szCs w:val="14"/>
          <w:color w:val="auto"/>
        </w:rPr>
        <w:t>and the result of any of the foregoing shall be to increase the cost to such Lender of making, converting, continuing or maintaining any Loan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as will compensate such Lender or the for such additional costs incurred or reduction suffered.</w:t>
      </w:r>
    </w:p>
    <w:p>
      <w:pPr>
        <w:spacing w:after="0" w:line="57" w:lineRule="exact"/>
        <w:rPr>
          <w:sz w:val="20"/>
          <w:szCs w:val="20"/>
          <w:color w:val="auto"/>
        </w:rPr>
      </w:pPr>
    </w:p>
    <w:p>
      <w:pPr>
        <w:ind w:left="560" w:right="299" w:firstLine="327"/>
        <w:spacing w:after="0" w:line="256" w:lineRule="auto"/>
        <w:tabs>
          <w:tab w:leader="none" w:pos="1087" w:val="left"/>
        </w:tabs>
        <w:numPr>
          <w:ilvl w:val="0"/>
          <w:numId w:val="6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Capital Requirements</w:t>
      </w:r>
      <w:r>
        <w:rPr>
          <w:rFonts w:ascii="Times New Roman" w:cs="Times New Roman" w:eastAsia="Times New Roman" w:hAnsi="Times New Roman"/>
          <w:sz w:val="14"/>
          <w:szCs w:val="14"/>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and/or liquidity), then from time to time the Borrower will pay to such Lender such additional amount or amounts as will compensate such Lender or such Lender’s holding company for any such reduction suffered.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41" w:right="1440" w:bottom="1440" w:gutter="0" w:footer="0" w:header="0"/>
        </w:sectPr>
      </w:pPr>
    </w:p>
    <w:bookmarkStart w:id="639" w:name="page640"/>
    <w:bookmarkEnd w:id="639"/>
    <w:p>
      <w:pPr>
        <w:ind w:left="1080" w:hanging="193"/>
        <w:spacing w:after="0"/>
        <w:tabs>
          <w:tab w:leader="none" w:pos="1080" w:val="left"/>
        </w:tabs>
        <w:numPr>
          <w:ilvl w:val="0"/>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[Reserved].</w:t>
      </w:r>
    </w:p>
    <w:p>
      <w:pPr>
        <w:spacing w:after="0" w:line="91" w:lineRule="exact"/>
        <w:rPr>
          <w:rFonts w:ascii="Times New Roman" w:cs="Times New Roman" w:eastAsia="Times New Roman" w:hAnsi="Times New Roman"/>
          <w:sz w:val="14"/>
          <w:szCs w:val="14"/>
          <w:color w:val="auto"/>
        </w:rPr>
      </w:pPr>
    </w:p>
    <w:p>
      <w:pPr>
        <w:ind w:left="560" w:right="399" w:firstLine="327"/>
        <w:spacing w:after="0" w:line="261" w:lineRule="auto"/>
        <w:tabs>
          <w:tab w:leader="none" w:pos="1087" w:val="left"/>
        </w:tabs>
        <w:numPr>
          <w:ilvl w:val="0"/>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Certificates for Reimbursement</w:t>
      </w:r>
      <w:r>
        <w:rPr>
          <w:rFonts w:ascii="Times New Roman" w:cs="Times New Roman" w:eastAsia="Times New Roman" w:hAnsi="Times New Roman"/>
          <w:sz w:val="14"/>
          <w:szCs w:val="14"/>
          <w:color w:val="auto"/>
        </w:rPr>
        <w:t xml:space="preserve">. A certificate of a Lender prepared in good faith setting forth in reasonable detail the calculation of the amount or amounts necessary to compensate such Lender or its holding company, as the case may be, as specified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and delivered to the Borrower shall be conclusive absent manifest error. The Borrower shall pay such Lender the amount shown as due on any such certificate within 10 days after receipt thereof.</w:t>
      </w:r>
    </w:p>
    <w:p>
      <w:pPr>
        <w:spacing w:after="0" w:line="56" w:lineRule="exact"/>
        <w:rPr>
          <w:rFonts w:ascii="Times New Roman" w:cs="Times New Roman" w:eastAsia="Times New Roman" w:hAnsi="Times New Roman"/>
          <w:sz w:val="14"/>
          <w:szCs w:val="14"/>
          <w:color w:val="auto"/>
        </w:rPr>
      </w:pPr>
    </w:p>
    <w:p>
      <w:pPr>
        <w:ind w:left="560" w:right="279" w:firstLine="327"/>
        <w:spacing w:after="0" w:line="257" w:lineRule="auto"/>
        <w:tabs>
          <w:tab w:leader="none" w:pos="1080" w:val="left"/>
        </w:tabs>
        <w:numPr>
          <w:ilvl w:val="0"/>
          <w:numId w:val="6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Delay in Requests</w:t>
      </w:r>
      <w:r>
        <w:rPr>
          <w:rFonts w:ascii="Times New Roman" w:cs="Times New Roman" w:eastAsia="Times New Roman" w:hAnsi="Times New Roman"/>
          <w:sz w:val="14"/>
          <w:szCs w:val="14"/>
          <w:color w:val="auto"/>
        </w:rPr>
        <w:t xml:space="preserve">. Failure or delay on the part of any Lender to demand compensation pursuant to the foregoing provisions of this Section shall not constitute a waiver of such Lender’s right to demand such compensation;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shall not be required to compensate a Lender pursuant to the foregoing provisions of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41" w:lineRule="exact"/>
        <w:rPr>
          <w:sz w:val="20"/>
          <w:szCs w:val="20"/>
          <w:color w:val="auto"/>
        </w:rPr>
      </w:pPr>
    </w:p>
    <w:p>
      <w:pPr>
        <w:ind w:left="220" w:right="4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3.05 Compensation for Losses</w:t>
      </w:r>
      <w:r>
        <w:rPr>
          <w:rFonts w:ascii="Times New Roman" w:cs="Times New Roman" w:eastAsia="Times New Roman" w:hAnsi="Times New Roman"/>
          <w:sz w:val="14"/>
          <w:szCs w:val="14"/>
          <w:color w:val="auto"/>
        </w:rPr>
        <w:t>. Upon demand of any Lender (with a copy to the Administrative Agent) from time to time, the Borrower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promptly compensate such Lender for and hold such Lender harmless from any loss, cost or expense incurred by it as a result of:</w:t>
      </w:r>
    </w:p>
    <w:p>
      <w:pPr>
        <w:spacing w:after="0" w:line="39" w:lineRule="exact"/>
        <w:rPr>
          <w:sz w:val="20"/>
          <w:szCs w:val="20"/>
          <w:color w:val="auto"/>
        </w:rPr>
      </w:pPr>
    </w:p>
    <w:p>
      <w:pPr>
        <w:ind w:left="560" w:right="439" w:firstLine="327"/>
        <w:spacing w:after="0" w:line="283" w:lineRule="auto"/>
        <w:tabs>
          <w:tab w:leader="none" w:pos="1080" w:val="left"/>
        </w:tabs>
        <w:numPr>
          <w:ilvl w:val="0"/>
          <w:numId w:val="6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40" w:lineRule="exact"/>
        <w:rPr>
          <w:rFonts w:ascii="Times New Roman" w:cs="Times New Roman" w:eastAsia="Times New Roman" w:hAnsi="Times New Roman"/>
          <w:sz w:val="14"/>
          <w:szCs w:val="14"/>
          <w:color w:val="auto"/>
        </w:rPr>
      </w:pPr>
    </w:p>
    <w:p>
      <w:pPr>
        <w:ind w:left="560" w:right="419" w:firstLine="327"/>
        <w:spacing w:after="0" w:line="283" w:lineRule="auto"/>
        <w:tabs>
          <w:tab w:leader="none" w:pos="1088" w:val="left"/>
        </w:tabs>
        <w:numPr>
          <w:ilvl w:val="0"/>
          <w:numId w:val="6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40" w:lineRule="exact"/>
        <w:rPr>
          <w:rFonts w:ascii="Times New Roman" w:cs="Times New Roman" w:eastAsia="Times New Roman" w:hAnsi="Times New Roman"/>
          <w:sz w:val="14"/>
          <w:szCs w:val="14"/>
          <w:color w:val="auto"/>
        </w:rPr>
      </w:pPr>
    </w:p>
    <w:p>
      <w:pPr>
        <w:ind w:left="560" w:right="639" w:firstLine="327"/>
        <w:spacing w:after="0" w:line="283" w:lineRule="auto"/>
        <w:tabs>
          <w:tab w:leader="none" w:pos="1080" w:val="left"/>
        </w:tabs>
        <w:numPr>
          <w:ilvl w:val="0"/>
          <w:numId w:val="6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assignment of a Term SOFR Loan on a day other than the last day of the Interest Period therefor as a result of a request by the Borrower pursuant to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20" w:right="319"/>
        <w:spacing w:after="0" w:line="267" w:lineRule="auto"/>
        <w:rPr>
          <w:sz w:val="20"/>
          <w:szCs w:val="20"/>
          <w:color w:val="auto"/>
        </w:rPr>
      </w:pPr>
      <w:r>
        <w:rPr>
          <w:rFonts w:ascii="Times New Roman" w:cs="Times New Roman" w:eastAsia="Times New Roman" w:hAnsi="Times New Roman"/>
          <w:sz w:val="14"/>
          <w:szCs w:val="14"/>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Borrower shall also pay any customary administrative fees charged by such Lender in connection with the foregoing.</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3.06 Mitigation Obligations; Replacement of Lenders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59" w:firstLine="327"/>
        <w:spacing w:after="0" w:line="254" w:lineRule="auto"/>
        <w:tabs>
          <w:tab w:leader="none" w:pos="1080" w:val="left"/>
        </w:tabs>
        <w:numPr>
          <w:ilvl w:val="1"/>
          <w:numId w:val="6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Designation of a Different Lending Office</w:t>
      </w:r>
      <w:r>
        <w:rPr>
          <w:rFonts w:ascii="Times New Roman" w:cs="Times New Roman" w:eastAsia="Times New Roman" w:hAnsi="Times New Roman"/>
          <w:sz w:val="14"/>
          <w:szCs w:val="14"/>
          <w:color w:val="auto"/>
        </w:rPr>
        <w:t xml:space="preserve">. If any Lender requests compensation under </w:t>
      </w:r>
      <w:r>
        <w:rPr>
          <w:rFonts w:ascii="Times New Roman" w:cs="Times New Roman" w:eastAsia="Times New Roman" w:hAnsi="Times New Roman"/>
          <w:sz w:val="14"/>
          <w:szCs w:val="14"/>
          <w:u w:val="single" w:color="auto"/>
          <w:color w:val="auto"/>
        </w:rPr>
        <w:t>Section 3.04</w:t>
      </w:r>
      <w:r>
        <w:rPr>
          <w:rFonts w:ascii="Times New Roman" w:cs="Times New Roman" w:eastAsia="Times New Roman" w:hAnsi="Times New Roman"/>
          <w:sz w:val="14"/>
          <w:szCs w:val="14"/>
          <w:color w:val="auto"/>
        </w:rPr>
        <w:t xml:space="preserve">, or requires the Borrower to pay any Indemnified Taxes or additional amounts to any Lender or any Governmental Authority for the account of any Lender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or if any Lender gives a notice pursuant to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then at the request of the Borrower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3.04</w:t>
      </w:r>
      <w:r>
        <w:rPr>
          <w:rFonts w:ascii="Times New Roman" w:cs="Times New Roman" w:eastAsia="Times New Roman" w:hAnsi="Times New Roman"/>
          <w:sz w:val="14"/>
          <w:szCs w:val="14"/>
          <w:color w:val="auto"/>
        </w:rPr>
        <w:t xml:space="preserve">, as the case may be, in the future, or eliminate the need for the notice pursuant to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as applicable, and</w:t>
      </w:r>
    </w:p>
    <w:p>
      <w:pPr>
        <w:spacing w:after="0" w:line="1" w:lineRule="exact"/>
        <w:rPr>
          <w:rFonts w:ascii="Times New Roman" w:cs="Times New Roman" w:eastAsia="Times New Roman" w:hAnsi="Times New Roman"/>
          <w:sz w:val="14"/>
          <w:szCs w:val="14"/>
          <w:color w:val="auto"/>
        </w:rPr>
      </w:pPr>
    </w:p>
    <w:p>
      <w:pPr>
        <w:ind w:left="560" w:right="259" w:hanging="2"/>
        <w:spacing w:after="0" w:line="256" w:lineRule="auto"/>
        <w:tabs>
          <w:tab w:leader="none" w:pos="766" w:val="left"/>
        </w:tabs>
        <w:numPr>
          <w:ilvl w:val="0"/>
          <w:numId w:val="6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41" w:right="1440" w:bottom="1440" w:gutter="0" w:footer="0" w:header="0"/>
        </w:sectPr>
      </w:pPr>
    </w:p>
    <w:bookmarkStart w:id="640" w:name="page641"/>
    <w:bookmarkEnd w:id="640"/>
    <w:p>
      <w:pPr>
        <w:ind w:left="560" w:right="279" w:firstLine="327"/>
        <w:spacing w:after="0" w:line="261" w:lineRule="auto"/>
        <w:tabs>
          <w:tab w:leader="none" w:pos="1087" w:val="left"/>
        </w:tabs>
        <w:numPr>
          <w:ilvl w:val="0"/>
          <w:numId w:val="6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Replacement of Lenders</w:t>
      </w:r>
      <w:r>
        <w:rPr>
          <w:rFonts w:ascii="Times New Roman" w:cs="Times New Roman" w:eastAsia="Times New Roman" w:hAnsi="Times New Roman"/>
          <w:sz w:val="14"/>
          <w:szCs w:val="14"/>
          <w:color w:val="auto"/>
        </w:rPr>
        <w:t xml:space="preserve">. If any Lender requests compensation under </w:t>
      </w:r>
      <w:r>
        <w:rPr>
          <w:rFonts w:ascii="Times New Roman" w:cs="Times New Roman" w:eastAsia="Times New Roman" w:hAnsi="Times New Roman"/>
          <w:sz w:val="14"/>
          <w:szCs w:val="14"/>
          <w:u w:val="single" w:color="auto"/>
          <w:color w:val="auto"/>
        </w:rPr>
        <w:t>Section 3.04</w:t>
      </w:r>
      <w:r>
        <w:rPr>
          <w:rFonts w:ascii="Times New Roman" w:cs="Times New Roman" w:eastAsia="Times New Roman" w:hAnsi="Times New Roman"/>
          <w:sz w:val="14"/>
          <w:szCs w:val="14"/>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and, in each case, such Lender has declined or is unable to designate a different Lending Office in accordance with </w:t>
      </w:r>
      <w:r>
        <w:rPr>
          <w:rFonts w:ascii="Times New Roman" w:cs="Times New Roman" w:eastAsia="Times New Roman" w:hAnsi="Times New Roman"/>
          <w:sz w:val="14"/>
          <w:szCs w:val="14"/>
          <w:u w:val="single" w:color="auto"/>
          <w:color w:val="auto"/>
        </w:rPr>
        <w:t>Section 3.06(a)</w:t>
      </w:r>
      <w:r>
        <w:rPr>
          <w:rFonts w:ascii="Times New Roman" w:cs="Times New Roman" w:eastAsia="Times New Roman" w:hAnsi="Times New Roman"/>
          <w:sz w:val="14"/>
          <w:szCs w:val="14"/>
          <w:color w:val="auto"/>
        </w:rPr>
        <w:t xml:space="preserve">, the Borrower may replace such Lender in accordance with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220" w:right="239" w:firstLine="343"/>
        <w:spacing w:after="0" w:line="252" w:lineRule="auto"/>
        <w:rPr>
          <w:sz w:val="20"/>
          <w:szCs w:val="20"/>
          <w:color w:val="auto"/>
        </w:rPr>
      </w:pPr>
      <w:r>
        <w:rPr>
          <w:rFonts w:ascii="Times New Roman" w:cs="Times New Roman" w:eastAsia="Times New Roman" w:hAnsi="Times New Roman"/>
          <w:sz w:val="14"/>
          <w:szCs w:val="14"/>
          <w:b w:val="1"/>
          <w:bCs w:val="1"/>
          <w:color w:val="auto"/>
        </w:rPr>
        <w:t>3.07 Successor Rates</w:t>
      </w:r>
      <w:r>
        <w:rPr>
          <w:rFonts w:ascii="Times New Roman" w:cs="Times New Roman" w:eastAsia="Times New Roman" w:hAnsi="Times New Roman"/>
          <w:sz w:val="14"/>
          <w:szCs w:val="14"/>
          <w:color w:val="auto"/>
        </w:rPr>
        <w:t>. Notwithstanding anything to the contrary in this Agreement or any other Loan Document, if the Administrative Agent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determines (which determination shall be conclusive absent manifest error), or the Borrower or Required Lenders notify the Administrative Agent (with, in the case of the Required Lenders, a copy to the Borrower) that the Borrower or Required Lenders (as applicable) have determined, that: (a) adequate and reasonable means do not exist for ascertaining one month, three month, and six month interest periods of Term SOFR, including because the Term SOFR Screen Rate is not available or published on a current basis and such circumstances are unlikely to be temporary; or (b)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no longer be representative or made available, or permitted to be used for determining the interest rate of syndicated loans, or shall or will otherwise cease;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4"/>
          <w:szCs w:val="14"/>
          <w:u w:val="single" w:color="auto"/>
          <w:color w:val="auto"/>
        </w:rPr>
        <w:t>Term SOFR Scheduled Unavailability Date</w:t>
      </w:r>
      <w:r>
        <w:rPr>
          <w:rFonts w:ascii="Times New Roman" w:cs="Times New Roman" w:eastAsia="Times New Roman" w:hAnsi="Times New Roman"/>
          <w:sz w:val="14"/>
          <w:szCs w:val="14"/>
          <w:color w:val="auto"/>
        </w:rPr>
        <w:t>”); then, on a date and time determined by the Administrative Agent (any such date, a “</w:t>
      </w:r>
      <w:r>
        <w:rPr>
          <w:rFonts w:ascii="Times New Roman" w:cs="Times New Roman" w:eastAsia="Times New Roman" w:hAnsi="Times New Roman"/>
          <w:sz w:val="14"/>
          <w:szCs w:val="14"/>
          <w:u w:val="single" w:color="auto"/>
          <w:color w:val="auto"/>
        </w:rPr>
        <w:t>Term SOFR Replacement Date</w:t>
      </w:r>
      <w:r>
        <w:rPr>
          <w:rFonts w:ascii="Times New Roman" w:cs="Times New Roman" w:eastAsia="Times New Roman" w:hAnsi="Times New Roman"/>
          <w:sz w:val="14"/>
          <w:szCs w:val="14"/>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above, no later than the Term SOFR Scheduled Unavailability Date, Term SOFR will be replaced hereunder and under any other Loan Document with Daily Simple SOFR for any payment period for interest calculated that can be determined by the Administrative Agent, in each case, without any amendment to, or further action or consent of any other party to, this Agreement or any other Loan Document (any such successor rate established pursuant to this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Term SOFR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Successor Rate</w:t>
      </w:r>
      <w:r>
        <w:rPr>
          <w:rFonts w:ascii="Times New Roman" w:cs="Times New Roman" w:eastAsia="Times New Roman" w:hAnsi="Times New Roman"/>
          <w:sz w:val="14"/>
          <w:szCs w:val="14"/>
          <w:color w:val="auto"/>
        </w:rPr>
        <w:t>”). If the Term SOFR Successor Rate is Daily Simple SOFR, all interest payments will be payable on a monthly basis.</w:t>
      </w:r>
    </w:p>
    <w:p>
      <w:pPr>
        <w:spacing w:after="0" w:line="155"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 xml:space="preserve">Notwithstanding anything to the contrary herein, (A) if the Administrative Agent determines that Daily Simple SOFR is not available on or prior to the Term SOFR Replacement Date, or (B) if the events or circumstances of the type described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or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above have occurred with respect to the Term SOFR Successor Rate then in effect, then, in each case, the Administrative Agent and the Borrower may amend this Agreement solely for the purpose of replacing Term SOFR or any then-current Term SOFR Successor Rate in accordance with this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ml:space="preserve"> at the end of any Interest Period, relevant Interest Payment Date or payment period for interest calculated, as applicable, with an alternative benchmark rate giving due consideration to any evolving or then-existing convention for similar credit facilities syndicated and agented in the United States for such alternative benchmark and, in each case, including any mathematical or other adjustments to such benchmark giving due consideration to any evolving or then-existing convention for similar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42" w:right="1440" w:bottom="1440" w:gutter="0" w:footer="0" w:header="0"/>
        </w:sectPr>
      </w:pPr>
    </w:p>
    <w:bookmarkStart w:id="641" w:name="page642"/>
    <w:bookmarkEnd w:id="641"/>
    <w:p>
      <w:pPr>
        <w:ind w:left="220" w:right="399"/>
        <w:spacing w:after="0" w:line="22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constitute a “Term SOFR Successor Rate”. Any such amendment shall become effective at 5:00 p.m. on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54"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color w:val="auto"/>
        </w:rPr>
        <w:t xml:space="preserve">The Administrative Agent will promptly (in one or more notices) notify the Borrower and each Lender of the implementation of any Term SOFR Successor Rate. Any Term SOFR Successor Rate shall be applied in a manner consistent with market practice;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such market practice is not administratively feasible for the Administrative Agent, such Term SOFR Successor Rate shall be applied in a manner as otherwise reasonably determined by the Administrative Agent. Notwithstanding anything else herein, if at any time any Term SOFR Successor Rate as so determined would otherwise be less than zero, such Term SOFR Successor Rate will be deemed to be zero for the purposes of this Agreement and the other Loan Documents.</w:t>
      </w:r>
    </w:p>
    <w:p>
      <w:pPr>
        <w:spacing w:after="0" w:line="143"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 xml:space="preserve">In connection with the implementation of a Term SOFR Successor Rate, the Administrative Agent will have the right to make Term SOFR Conforming Changes from time to time and, notwithstanding anything to the contrary herein or in any other Loan Document, any amendments implementing such Term SOFR Conforming Changes will become effective without any further action or consent of any other party to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any such amendment effected, the Administrative Agent shall post each such amendment implementing such Term SOFR Conforming Changes to the Borrower and the Lenders reasonably promptly after such amendment becomes effective.</w:t>
      </w:r>
    </w:p>
    <w:p>
      <w:pPr>
        <w:spacing w:after="0" w:line="144" w:lineRule="exact"/>
        <w:rPr>
          <w:sz w:val="20"/>
          <w:szCs w:val="20"/>
          <w:color w:val="auto"/>
        </w:rPr>
      </w:pPr>
    </w:p>
    <w:p>
      <w:pPr>
        <w:jc w:val="both"/>
        <w:ind w:left="220" w:right="5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For purposes of this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those Lenders that either have not made, or do not have an obligation under this Agreement to make, Term SOFR Loans (or Loans accruing interest by reference to a Term SOFR Successor Rate, as applicable) shall be excluded from any determination of Required Lenders.</w:t>
      </w:r>
    </w:p>
    <w:p>
      <w:pPr>
        <w:spacing w:after="0" w:line="134" w:lineRule="exact"/>
        <w:rPr>
          <w:sz w:val="20"/>
          <w:szCs w:val="20"/>
          <w:color w:val="auto"/>
        </w:rPr>
      </w:pPr>
    </w:p>
    <w:p>
      <w:pPr>
        <w:ind w:left="220" w:right="29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3.08 Survival</w:t>
      </w:r>
      <w:r>
        <w:rPr>
          <w:rFonts w:ascii="Times New Roman" w:cs="Times New Roman" w:eastAsia="Times New Roman" w:hAnsi="Times New Roman"/>
          <w:sz w:val="14"/>
          <w:szCs w:val="14"/>
          <w:color w:val="auto"/>
        </w:rPr>
        <w:t>. All of the Borrower’s obligations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survive termination of the Term Facility, repayment of all Obligations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the Loan Documents, and resignation of the Administrative Agent.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CONDITIONS PRECEDENT TO CREDIT EXTENSIONS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4.01 Conditions of Closing Date</w:t>
      </w:r>
      <w:r>
        <w:rPr>
          <w:rFonts w:ascii="Times New Roman" w:cs="Times New Roman" w:eastAsia="Times New Roman" w:hAnsi="Times New Roman"/>
          <w:sz w:val="14"/>
          <w:szCs w:val="14"/>
          <w:color w:val="auto"/>
        </w:rPr>
        <w:t>. This Agreement shall become effective upon satisfaction of the following conditions precedent:</w:t>
      </w:r>
    </w:p>
    <w:p>
      <w:pPr>
        <w:spacing w:after="0" w:line="93" w:lineRule="exact"/>
        <w:rPr>
          <w:sz w:val="20"/>
          <w:szCs w:val="20"/>
          <w:color w:val="auto"/>
        </w:rPr>
      </w:pPr>
    </w:p>
    <w:p>
      <w:pPr>
        <w:ind w:left="560" w:right="659" w:firstLine="327"/>
        <w:spacing w:after="0" w:line="283" w:lineRule="auto"/>
        <w:tabs>
          <w:tab w:leader="none" w:pos="1080" w:val="left"/>
        </w:tabs>
        <w:numPr>
          <w:ilvl w:val="0"/>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 Documents</w:t>
      </w:r>
      <w:r>
        <w:rPr>
          <w:rFonts w:ascii="Times New Roman" w:cs="Times New Roman" w:eastAsia="Times New Roman" w:hAnsi="Times New Roman"/>
          <w:sz w:val="14"/>
          <w:szCs w:val="14"/>
          <w:color w:val="auto"/>
        </w:rPr>
        <w:t>. Receipt by the Administrative Agent of executed counterparts of this Agreement and any requested Notes, each properly executed by a Responsible Officer of the Borrower and by each Lender party thereto.</w:t>
      </w:r>
    </w:p>
    <w:p>
      <w:pPr>
        <w:spacing w:after="0" w:line="40" w:lineRule="exact"/>
        <w:rPr>
          <w:rFonts w:ascii="Times New Roman" w:cs="Times New Roman" w:eastAsia="Times New Roman" w:hAnsi="Times New Roman"/>
          <w:sz w:val="14"/>
          <w:szCs w:val="14"/>
          <w:color w:val="auto"/>
        </w:rPr>
      </w:pPr>
    </w:p>
    <w:p>
      <w:pPr>
        <w:ind w:left="560" w:right="599" w:firstLine="327"/>
        <w:spacing w:after="0" w:line="283" w:lineRule="auto"/>
        <w:tabs>
          <w:tab w:leader="none" w:pos="1087" w:val="left"/>
        </w:tabs>
        <w:numPr>
          <w:ilvl w:val="0"/>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Opinion of Counsel</w:t>
      </w:r>
      <w:r>
        <w:rPr>
          <w:rFonts w:ascii="Times New Roman" w:cs="Times New Roman" w:eastAsia="Times New Roman" w:hAnsi="Times New Roman"/>
          <w:sz w:val="14"/>
          <w:szCs w:val="14"/>
          <w:color w:val="auto"/>
        </w:rPr>
        <w:t>. Receipt by the Administrative Agent of a favorable opinion of legal counsel to the Borrower, addressed to the Administrative Agent and each Lender, dated as of the Closing Date.</w:t>
      </w:r>
    </w:p>
    <w:p>
      <w:pPr>
        <w:spacing w:after="0" w:line="40" w:lineRule="exact"/>
        <w:rPr>
          <w:rFonts w:ascii="Times New Roman" w:cs="Times New Roman" w:eastAsia="Times New Roman" w:hAnsi="Times New Roman"/>
          <w:sz w:val="14"/>
          <w:szCs w:val="14"/>
          <w:color w:val="auto"/>
        </w:rPr>
      </w:pPr>
    </w:p>
    <w:p>
      <w:pPr>
        <w:ind w:left="560" w:right="339" w:firstLine="327"/>
        <w:spacing w:after="0" w:line="258" w:lineRule="auto"/>
        <w:tabs>
          <w:tab w:leader="none" w:pos="1080" w:val="left"/>
        </w:tabs>
        <w:numPr>
          <w:ilvl w:val="0"/>
          <w:numId w:val="6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Organization Documents, Resolutions, Etc.</w:t>
      </w:r>
      <w:r>
        <w:rPr>
          <w:rFonts w:ascii="Times New Roman" w:cs="Times New Roman" w:eastAsia="Times New Roman" w:hAnsi="Times New Roman"/>
          <w:sz w:val="14"/>
          <w:szCs w:val="14"/>
          <w:color w:val="auto"/>
        </w:rPr>
        <w:t xml:space="preserve"> Receipt by the Administrative Agent of: (i) copies of the Organization Documents of the Borrower certified to be true and complete as of a recent date by the appropriate Governmental Authority of the state or other jurisdiction of its incorporation or organization, where applicable, and certified by a secretary or assistant secretary of the Borrower to be true and correct as of the Closing Date; (ii) such certificates of resolutions or other action, incumbency certificates and/or other certificates of Responsible Officers of the Borrower as the Administrative Agent may reasonably require evidencing the identity, authority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241" w:right="1440" w:bottom="1440" w:gutter="0" w:footer="0" w:header="0"/>
        </w:sectPr>
      </w:pPr>
    </w:p>
    <w:bookmarkStart w:id="642" w:name="page643"/>
    <w:bookmarkEnd w:id="642"/>
    <w:p>
      <w:pPr>
        <w:ind w:left="560" w:right="2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and capacity of each Responsible Officer thereof authorized to act as a Responsible Officer in connection with this Agreement and the other Loan Documents to which the Borrower is a party; and (iii) such documents and certifications as the Administrative Agent may reasonably require to evidence that the Borrower is duly organized or formed, and that the Borrower is validly existing, in good standing and qualified to engage in business in its jurisdiction or organization or formation.</w:t>
      </w:r>
    </w:p>
    <w:p>
      <w:pPr>
        <w:spacing w:after="0" w:line="57" w:lineRule="exact"/>
        <w:rPr>
          <w:sz w:val="20"/>
          <w:szCs w:val="20"/>
          <w:color w:val="auto"/>
        </w:rPr>
      </w:pPr>
    </w:p>
    <w:p>
      <w:pPr>
        <w:ind w:left="560" w:right="239" w:firstLine="327"/>
        <w:spacing w:after="0" w:line="283" w:lineRule="auto"/>
        <w:tabs>
          <w:tab w:leader="none" w:pos="1087"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 Receipt by the Administrative Agent of any fees required to be paid to the Administrative Agent, BofA Securities or any Lender on or before the Closing Date pursuant to the Loan Documents.</w:t>
      </w:r>
    </w:p>
    <w:p>
      <w:pPr>
        <w:spacing w:after="0" w:line="40" w:lineRule="exact"/>
        <w:rPr>
          <w:rFonts w:ascii="Times New Roman" w:cs="Times New Roman" w:eastAsia="Times New Roman" w:hAnsi="Times New Roman"/>
          <w:sz w:val="14"/>
          <w:szCs w:val="14"/>
          <w:color w:val="auto"/>
        </w:rPr>
      </w:pPr>
    </w:p>
    <w:p>
      <w:pPr>
        <w:ind w:left="560" w:right="259" w:firstLine="327"/>
        <w:spacing w:after="0" w:line="283" w:lineRule="auto"/>
        <w:tabs>
          <w:tab w:leader="none" w:pos="1080"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Attorney Costs</w:t>
      </w:r>
      <w:r>
        <w:rPr>
          <w:rFonts w:ascii="Times New Roman" w:cs="Times New Roman" w:eastAsia="Times New Roman" w:hAnsi="Times New Roman"/>
          <w:sz w:val="14"/>
          <w:szCs w:val="14"/>
          <w:color w:val="auto"/>
        </w:rPr>
        <w:t>. Unless waived by the Administrative Agent, the Borrower shall have paid all fees, charges and disbursements of counsel to the Administrative Agent owing under any Loan Document to the extent invoiced at least three Business Days prior to or on the Closing Date.</w:t>
      </w:r>
    </w:p>
    <w:p>
      <w:pPr>
        <w:spacing w:after="0" w:line="40" w:lineRule="exact"/>
        <w:rPr>
          <w:rFonts w:ascii="Times New Roman" w:cs="Times New Roman" w:eastAsia="Times New Roman" w:hAnsi="Times New Roman"/>
          <w:sz w:val="14"/>
          <w:szCs w:val="14"/>
          <w:color w:val="auto"/>
        </w:rPr>
      </w:pPr>
    </w:p>
    <w:p>
      <w:pPr>
        <w:ind w:left="560" w:right="259" w:firstLine="327"/>
        <w:spacing w:after="0" w:line="258" w:lineRule="auto"/>
        <w:tabs>
          <w:tab w:leader="none" w:pos="1064" w:val="left"/>
        </w:tabs>
        <w:numPr>
          <w:ilvl w:val="0"/>
          <w:numId w:val="6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KYC Information; Beneficial Ownership</w:t>
      </w:r>
      <w:r>
        <w:rPr>
          <w:rFonts w:ascii="Times New Roman" w:cs="Times New Roman" w:eastAsia="Times New Roman" w:hAnsi="Times New Roman"/>
          <w:sz w:val="14"/>
          <w:szCs w:val="14"/>
          <w:color w:val="auto"/>
        </w:rPr>
        <w:t>. The Borrower shall have provided to the Administrative Agent and each Lender the documentation and information requested by the Administrative Agent or such Lender in order to comply with applicable law, including the Act. If the Borrower qualifies as a “legal entity customer” under the Beneficial Ownership Regulation, the Administrative Agent and each Lender shall have received, to the extent requested by the Administrative Agent or such Lender, a Beneficial Ownership Certification in relation to the Borrower.</w:t>
      </w:r>
    </w:p>
    <w:p>
      <w:pPr>
        <w:spacing w:after="0" w:line="144" w:lineRule="exact"/>
        <w:rPr>
          <w:sz w:val="20"/>
          <w:szCs w:val="20"/>
          <w:color w:val="auto"/>
        </w:rPr>
      </w:pPr>
    </w:p>
    <w:p>
      <w:pPr>
        <w:ind w:left="220" w:right="299" w:firstLine="343"/>
        <w:spacing w:after="0" w:line="261" w:lineRule="auto"/>
        <w:rPr>
          <w:sz w:val="20"/>
          <w:szCs w:val="20"/>
          <w:color w:val="auto"/>
        </w:rPr>
      </w:pPr>
      <w:r>
        <w:rPr>
          <w:rFonts w:ascii="Times New Roman" w:cs="Times New Roman" w:eastAsia="Times New Roman" w:hAnsi="Times New Roman"/>
          <w:sz w:val="14"/>
          <w:szCs w:val="14"/>
          <w:color w:val="auto"/>
        </w:rPr>
        <w:t xml:space="preserve">Without limiting the generality of the provisions of the sentence of </w:t>
      </w:r>
      <w:r>
        <w:rPr>
          <w:rFonts w:ascii="Times New Roman" w:cs="Times New Roman" w:eastAsia="Times New Roman" w:hAnsi="Times New Roman"/>
          <w:sz w:val="14"/>
          <w:szCs w:val="14"/>
          <w:u w:val="single" w:color="auto"/>
          <w:color w:val="auto"/>
        </w:rPr>
        <w:t>Section 9.04</w:t>
      </w:r>
      <w:r>
        <w:rPr>
          <w:rFonts w:ascii="Times New Roman" w:cs="Times New Roman" w:eastAsia="Times New Roman" w:hAnsi="Times New Roman"/>
          <w:sz w:val="14"/>
          <w:szCs w:val="14"/>
          <w:color w:val="auto"/>
        </w:rPr>
        <w:t xml:space="preserve">, for purposes of determining compliance with the conditions specified in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39" w:lineRule="exact"/>
        <w:rPr>
          <w:sz w:val="20"/>
          <w:szCs w:val="20"/>
          <w:color w:val="auto"/>
        </w:rPr>
      </w:pPr>
    </w:p>
    <w:p>
      <w:pPr>
        <w:ind w:left="220" w:right="7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4.02 Conditions to Funding</w:t>
      </w:r>
      <w:r>
        <w:rPr>
          <w:rFonts w:ascii="Times New Roman" w:cs="Times New Roman" w:eastAsia="Times New Roman" w:hAnsi="Times New Roman"/>
          <w:sz w:val="14"/>
          <w:szCs w:val="14"/>
          <w:color w:val="auto"/>
        </w:rPr>
        <w:t>. The obligation of each Lender to make its initial Credit Extension hereunder is subject to satisfaction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following conditions precedent:</w:t>
      </w:r>
    </w:p>
    <w:p>
      <w:pPr>
        <w:spacing w:after="0" w:line="39" w:lineRule="exact"/>
        <w:rPr>
          <w:sz w:val="20"/>
          <w:szCs w:val="20"/>
          <w:color w:val="auto"/>
        </w:rPr>
      </w:pPr>
    </w:p>
    <w:p>
      <w:pPr>
        <w:ind w:left="560" w:right="339" w:firstLine="327"/>
        <w:spacing w:after="0" w:line="283" w:lineRule="auto"/>
        <w:tabs>
          <w:tab w:leader="none" w:pos="1080" w:val="left"/>
        </w:tabs>
        <w:numPr>
          <w:ilvl w:val="0"/>
          <w:numId w:val="6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 Documents</w:t>
      </w:r>
      <w:r>
        <w:rPr>
          <w:rFonts w:ascii="Times New Roman" w:cs="Times New Roman" w:eastAsia="Times New Roman" w:hAnsi="Times New Roman"/>
          <w:sz w:val="14"/>
          <w:szCs w:val="14"/>
          <w:color w:val="auto"/>
        </w:rPr>
        <w:t>. Receipt by the Administrative Agent of executed counterparts of the Security Agreement and the Mirror Intercreditor Agreement, each properly executed by a Responsible Officer of the Borrower and by each Lender party thereto.</w:t>
      </w:r>
    </w:p>
    <w:p>
      <w:pPr>
        <w:spacing w:after="0" w:line="40" w:lineRule="exact"/>
        <w:rPr>
          <w:rFonts w:ascii="Times New Roman" w:cs="Times New Roman" w:eastAsia="Times New Roman" w:hAnsi="Times New Roman"/>
          <w:sz w:val="14"/>
          <w:szCs w:val="14"/>
          <w:color w:val="auto"/>
        </w:rPr>
      </w:pPr>
    </w:p>
    <w:p>
      <w:pPr>
        <w:ind w:left="560" w:right="239" w:firstLine="327"/>
        <w:spacing w:after="0" w:line="254" w:lineRule="auto"/>
        <w:tabs>
          <w:tab w:leader="none" w:pos="1087" w:val="left"/>
        </w:tabs>
        <w:numPr>
          <w:ilvl w:val="0"/>
          <w:numId w:val="6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Mirror Transactions</w:t>
      </w:r>
      <w:r>
        <w:rPr>
          <w:rFonts w:ascii="Times New Roman" w:cs="Times New Roman" w:eastAsia="Times New Roman" w:hAnsi="Times New Roman"/>
          <w:sz w:val="14"/>
          <w:szCs w:val="14"/>
          <w:color w:val="auto"/>
        </w:rPr>
        <w:t xml:space="preserve">. The Mirror Transactions shall have been consummated, or will be consummated substantially concurrently with the initial Credit Extensions, in accordance with the Mirror Transaction Documents and no amendments, modifications, consents or waivers to or of either Mirror Transaction Document (it being understood and agreed that any purchase price, dividend, cash payment or exchange ratio adjustments and any automatic extension of the Outside Date (as defined in the Mirror Merger Agreement) thereunder, in each case expressly contemplated by the Mirror Separation Agreement or the Mirror Merger Agreement, each as in effect on the Closing Date, shall not be considered an amendment, modification, consent or waiver) that are materially adverse to the Lenders shall have been made without the consent of the Administrative Agent (such consent not to be unreasonably withheld, delayed or conditioned));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changes in the amount of the SpinCo Cash Distribution (as defined in the Mirror Separation Agreement) pursuant to the Mirror Merger Agreement in effect on the Closing Date shall not be deemed to be materially adverse to the interests of the Lenders and shall not require the consent of the Administrative Agent if, in the case of a reduction of the SpinCo Cash Distribution, the Commitments are reduced on a dollar-for-dollar basis.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241" w:right="1440" w:bottom="1440" w:gutter="0" w:footer="0" w:header="0"/>
        </w:sectPr>
      </w:pPr>
    </w:p>
    <w:bookmarkStart w:id="643" w:name="page644"/>
    <w:bookmarkEnd w:id="643"/>
    <w:p>
      <w:pPr>
        <w:ind w:left="560" w:right="299" w:firstLine="327"/>
        <w:spacing w:after="0" w:line="258" w:lineRule="auto"/>
        <w:tabs>
          <w:tab w:leader="none" w:pos="1080"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Specified Mirror Merger Agreement Representations</w:t>
      </w:r>
      <w:r>
        <w:rPr>
          <w:rFonts w:ascii="Times New Roman" w:cs="Times New Roman" w:eastAsia="Times New Roman" w:hAnsi="Times New Roman"/>
          <w:sz w:val="14"/>
          <w:szCs w:val="14"/>
          <w:color w:val="auto"/>
        </w:rPr>
        <w:t>. The representations made by the Borrower and its Subsidiaries and Affiliates with respect to their business in the Mirror Merger Agreement that are material to the interests of the Lenders shall be true and correct solely to the extent that the Company or any of its Subsidiaries or Affiliates has the right to terminate its or their respective obligations under the Mirror Merger Agreement or otherwise decline to close the Mirror Transactions as a result of a breach of any such representations or any such representations not being accurate to the extent such accuracy is required (in each case, determined without regard to any notice requirement).</w:t>
      </w:r>
    </w:p>
    <w:p>
      <w:pPr>
        <w:spacing w:after="0" w:line="59" w:lineRule="exact"/>
        <w:rPr>
          <w:rFonts w:ascii="Times New Roman" w:cs="Times New Roman" w:eastAsia="Times New Roman" w:hAnsi="Times New Roman"/>
          <w:sz w:val="14"/>
          <w:szCs w:val="14"/>
          <w:color w:val="auto"/>
        </w:rPr>
      </w:pPr>
    </w:p>
    <w:p>
      <w:pPr>
        <w:jc w:val="both"/>
        <w:ind w:left="560" w:right="339" w:firstLine="327"/>
        <w:spacing w:after="0" w:line="261" w:lineRule="auto"/>
        <w:tabs>
          <w:tab w:leader="none" w:pos="1087"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Specified Representations</w:t>
      </w:r>
      <w:r>
        <w:rPr>
          <w:rFonts w:ascii="Times New Roman" w:cs="Times New Roman" w:eastAsia="Times New Roman" w:hAnsi="Times New Roman"/>
          <w:sz w:val="14"/>
          <w:szCs w:val="14"/>
          <w:color w:val="auto"/>
        </w:rPr>
        <w:t>. The Specified Representations shall be true and correct in all material respects (or if qualified by materiality or material adverse effect, in all respects) on the Mirror Transactions Funding Date (unless such representations relate to an earlier date, in which case, such representations shall have been true and correct in all material respects (or if qualified by materiality or material adverse effect, in all respects) as of such earlier date).</w:t>
      </w:r>
    </w:p>
    <w:p>
      <w:pPr>
        <w:spacing w:after="0" w:line="56" w:lineRule="exact"/>
        <w:rPr>
          <w:rFonts w:ascii="Times New Roman" w:cs="Times New Roman" w:eastAsia="Times New Roman" w:hAnsi="Times New Roman"/>
          <w:sz w:val="14"/>
          <w:szCs w:val="14"/>
          <w:color w:val="auto"/>
        </w:rPr>
      </w:pPr>
    </w:p>
    <w:p>
      <w:pPr>
        <w:ind w:left="560" w:right="319" w:firstLine="327"/>
        <w:spacing w:after="0" w:line="267" w:lineRule="auto"/>
        <w:tabs>
          <w:tab w:leader="none" w:pos="1080"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Existing Indebtedness</w:t>
      </w:r>
      <w:r>
        <w:rPr>
          <w:rFonts w:ascii="Times New Roman" w:cs="Times New Roman" w:eastAsia="Times New Roman" w:hAnsi="Times New Roman"/>
          <w:sz w:val="14"/>
          <w:szCs w:val="14"/>
          <w:color w:val="auto"/>
        </w:rPr>
        <w:t>. The Borrower, its Subsidiaries and the assets and business transferred from Mercury to the Borrower pursuant to the Mirror Separation Agreement shall have been released, or will be released substantially concurrently with the funding of the Loans, from all Liens and other guarantee and collateral obligations under the Mercury Credit Agreement (as defined in the Mirror Merger Agreement).</w:t>
      </w:r>
    </w:p>
    <w:p>
      <w:pPr>
        <w:spacing w:after="0" w:line="51" w:lineRule="exact"/>
        <w:rPr>
          <w:rFonts w:ascii="Times New Roman" w:cs="Times New Roman" w:eastAsia="Times New Roman" w:hAnsi="Times New Roman"/>
          <w:sz w:val="14"/>
          <w:szCs w:val="14"/>
          <w:color w:val="auto"/>
        </w:rPr>
      </w:pPr>
    </w:p>
    <w:p>
      <w:pPr>
        <w:ind w:left="560" w:right="239" w:firstLine="327"/>
        <w:spacing w:after="0" w:line="267" w:lineRule="auto"/>
        <w:tabs>
          <w:tab w:leader="none" w:pos="1064"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Mirror Closing Date</w:t>
      </w:r>
      <w:r>
        <w:rPr>
          <w:rFonts w:ascii="Times New Roman" w:cs="Times New Roman" w:eastAsia="Times New Roman" w:hAnsi="Times New Roman"/>
          <w:sz w:val="14"/>
          <w:szCs w:val="14"/>
          <w:color w:val="auto"/>
        </w:rPr>
        <w:t>. The closing date of the Mirror Transactions shall have occurred on or prior to the date that is five (5) Business Days after the Outside Date (as defined in the Mirror Merger Agreement as in effect on the Closing Date, and giving effect to any extensions permitted thereunder).</w:t>
      </w:r>
    </w:p>
    <w:p>
      <w:pPr>
        <w:spacing w:after="0" w:line="51" w:lineRule="exact"/>
        <w:rPr>
          <w:rFonts w:ascii="Times New Roman" w:cs="Times New Roman" w:eastAsia="Times New Roman" w:hAnsi="Times New Roman"/>
          <w:sz w:val="14"/>
          <w:szCs w:val="14"/>
          <w:color w:val="auto"/>
        </w:rPr>
      </w:pPr>
    </w:p>
    <w:p>
      <w:pPr>
        <w:ind w:left="560" w:right="619" w:firstLine="327"/>
        <w:spacing w:after="0" w:line="283" w:lineRule="auto"/>
        <w:tabs>
          <w:tab w:leader="none" w:pos="1087"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Committed Loan Notice</w:t>
      </w:r>
      <w:r>
        <w:rPr>
          <w:rFonts w:ascii="Times New Roman" w:cs="Times New Roman" w:eastAsia="Times New Roman" w:hAnsi="Times New Roman"/>
          <w:sz w:val="14"/>
          <w:szCs w:val="14"/>
          <w:color w:val="auto"/>
        </w:rPr>
        <w:t>. The Administrative Agent shall have received a Committed Loan Notice with respect to the initial Credit Extensions in accordance with the requirements hereof.</w:t>
      </w:r>
    </w:p>
    <w:p>
      <w:pPr>
        <w:spacing w:after="0" w:line="40" w:lineRule="exact"/>
        <w:rPr>
          <w:rFonts w:ascii="Times New Roman" w:cs="Times New Roman" w:eastAsia="Times New Roman" w:hAnsi="Times New Roman"/>
          <w:sz w:val="14"/>
          <w:szCs w:val="14"/>
          <w:color w:val="auto"/>
        </w:rPr>
      </w:pPr>
    </w:p>
    <w:p>
      <w:pPr>
        <w:ind w:left="560" w:right="379" w:firstLine="327"/>
        <w:spacing w:after="0" w:line="261" w:lineRule="auto"/>
        <w:tabs>
          <w:tab w:leader="none" w:pos="1087"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xml:space="preserve">. The Administrative Agent shall have received a certificate signed by a Responsible Officer of the Borrower certifying that (i) the conditions specified in </w:t>
      </w:r>
      <w:r>
        <w:rPr>
          <w:rFonts w:ascii="Times New Roman" w:cs="Times New Roman" w:eastAsia="Times New Roman" w:hAnsi="Times New Roman"/>
          <w:sz w:val="14"/>
          <w:szCs w:val="14"/>
          <w:u w:val="single" w:color="auto"/>
          <w:color w:val="auto"/>
        </w:rPr>
        <w:t>Sections 4.02(b)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have been satisfied and (ii) the Borrower and its Subsidiaries (after giving effect to the transactions to occur on the Mirror Transactions Funding Date and the incurrence of Indebtedness related thereto) on a consolidated basis, are Solvent.</w:t>
      </w:r>
    </w:p>
    <w:p>
      <w:pPr>
        <w:spacing w:after="0" w:line="56" w:lineRule="exact"/>
        <w:rPr>
          <w:rFonts w:ascii="Times New Roman" w:cs="Times New Roman" w:eastAsia="Times New Roman" w:hAnsi="Times New Roman"/>
          <w:sz w:val="14"/>
          <w:szCs w:val="14"/>
          <w:color w:val="auto"/>
        </w:rPr>
      </w:pPr>
    </w:p>
    <w:p>
      <w:pPr>
        <w:ind w:left="560" w:right="399" w:firstLine="327"/>
        <w:spacing w:after="0" w:line="254" w:lineRule="auto"/>
        <w:tabs>
          <w:tab w:leader="none" w:pos="1056" w:val="left"/>
        </w:tabs>
        <w:numPr>
          <w:ilvl w:val="0"/>
          <w:numId w:val="6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Perfection and Priority of Liens</w:t>
      </w:r>
      <w:r>
        <w:rPr>
          <w:rFonts w:ascii="Times New Roman" w:cs="Times New Roman" w:eastAsia="Times New Roman" w:hAnsi="Times New Roman"/>
          <w:sz w:val="14"/>
          <w:szCs w:val="14"/>
          <w:color w:val="auto"/>
        </w:rPr>
        <w:t>. Receipt by the Administrative Agent of the following: (i) proper financing statements in form appropriate for filing under the UCC of all jurisdictions that the Administrative Agent may deem necessary or desirable in order to perfect the Liens created under the Security Agreement, covering the Collateral described in the Security Agreement; (ii) lien searches with respect to the Borrower completed by legal counsel to the Administrative Agent; (iii) certificates representing any Equity Interests pledged under the Security Agreement accompanied by undated stock powers (or other transfers, stock transfer forms or the equivalent thereof) executed in blank and instruments evidencing any Indebtedness pledged under the Security Agreement indorsed in blank; (iv) searches of ownership of, and Liens on, intellectual property of the Borrower in the appropriate United States governmental offices completed by legal counsel to the Administrative Agent; and (v) duly executed notices of grant of security interest in intellectual property of the Borrower in the form required by the Security Agreement.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241" w:right="1440" w:bottom="1440" w:gutter="0" w:footer="0" w:header="0"/>
        </w:sectPr>
      </w:pPr>
    </w:p>
    <w:bookmarkStart w:id="644" w:name="page645"/>
    <w:bookmarkEnd w:id="644"/>
    <w:p>
      <w:pPr>
        <w:ind w:left="560" w:right="259" w:firstLine="327"/>
        <w:spacing w:after="0" w:line="283" w:lineRule="auto"/>
        <w:tabs>
          <w:tab w:leader="none" w:pos="1056" w:val="left"/>
        </w:tabs>
        <w:numPr>
          <w:ilvl w:val="0"/>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Fees</w:t>
      </w:r>
      <w:r>
        <w:rPr>
          <w:rFonts w:ascii="Times New Roman" w:cs="Times New Roman" w:eastAsia="Times New Roman" w:hAnsi="Times New Roman"/>
          <w:sz w:val="14"/>
          <w:szCs w:val="14"/>
          <w:color w:val="auto"/>
        </w:rPr>
        <w:t>. Receipt by the Administrative Agent of any fees required to be paid to the Administrative Agent, BofA Securities or any Lender on or before the Mirror Transactions Funding Date pursuant to the Loan Documents.</w:t>
      </w:r>
    </w:p>
    <w:p>
      <w:pPr>
        <w:spacing w:after="0" w:line="40" w:lineRule="exact"/>
        <w:rPr>
          <w:rFonts w:ascii="Times New Roman" w:cs="Times New Roman" w:eastAsia="Times New Roman" w:hAnsi="Times New Roman"/>
          <w:sz w:val="14"/>
          <w:szCs w:val="14"/>
          <w:color w:val="auto"/>
        </w:rPr>
      </w:pPr>
    </w:p>
    <w:p>
      <w:pPr>
        <w:ind w:left="560" w:right="239" w:firstLine="327"/>
        <w:spacing w:after="0" w:line="267" w:lineRule="auto"/>
        <w:tabs>
          <w:tab w:leader="none" w:pos="1087" w:val="left"/>
        </w:tabs>
        <w:numPr>
          <w:ilvl w:val="0"/>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Attorney Costs</w:t>
      </w:r>
      <w:r>
        <w:rPr>
          <w:rFonts w:ascii="Times New Roman" w:cs="Times New Roman" w:eastAsia="Times New Roman" w:hAnsi="Times New Roman"/>
          <w:sz w:val="14"/>
          <w:szCs w:val="14"/>
          <w:color w:val="auto"/>
        </w:rPr>
        <w:t>. Unless waived by the Administrative Agent, the Company shall have paid all fees, charges and disbursements of counsel to the Administrative Agent owing under any Loan Document to the extent invoiced at least three Business Days prior to or on the Mirror Transactions Funding Date.</w:t>
      </w:r>
    </w:p>
    <w:p>
      <w:pPr>
        <w:spacing w:after="0" w:line="51" w:lineRule="exact"/>
        <w:rPr>
          <w:rFonts w:ascii="Times New Roman" w:cs="Times New Roman" w:eastAsia="Times New Roman" w:hAnsi="Times New Roman"/>
          <w:sz w:val="14"/>
          <w:szCs w:val="14"/>
          <w:color w:val="auto"/>
        </w:rPr>
      </w:pPr>
    </w:p>
    <w:p>
      <w:pPr>
        <w:ind w:left="560" w:right="399" w:firstLine="327"/>
        <w:spacing w:after="0" w:line="283" w:lineRule="auto"/>
        <w:tabs>
          <w:tab w:leader="none" w:pos="1056" w:val="left"/>
        </w:tabs>
        <w:numPr>
          <w:ilvl w:val="0"/>
          <w:numId w:val="7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KYC Information</w:t>
      </w:r>
      <w:r>
        <w:rPr>
          <w:rFonts w:ascii="Times New Roman" w:cs="Times New Roman" w:eastAsia="Times New Roman" w:hAnsi="Times New Roman"/>
          <w:sz w:val="14"/>
          <w:szCs w:val="14"/>
          <w:color w:val="auto"/>
        </w:rPr>
        <w:t>. The Borrower shall have provided to the Administrative Agent and each Lender the documentation and information requested by the Administrative Agent or such Lender in order to comply with applicable law, including the Act.</w:t>
      </w:r>
    </w:p>
    <w:p>
      <w:pPr>
        <w:spacing w:after="0" w:line="125" w:lineRule="exact"/>
        <w:rPr>
          <w:sz w:val="20"/>
          <w:szCs w:val="20"/>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 xml:space="preserve">Without limiting the generality of the provisions of the sentence of </w:t>
      </w:r>
      <w:r>
        <w:rPr>
          <w:rFonts w:ascii="Times New Roman" w:cs="Times New Roman" w:eastAsia="Times New Roman" w:hAnsi="Times New Roman"/>
          <w:sz w:val="14"/>
          <w:szCs w:val="14"/>
          <w:u w:val="single" w:color="auto"/>
          <w:color w:val="auto"/>
        </w:rPr>
        <w:t>Section 9.04</w:t>
      </w:r>
      <w:r>
        <w:rPr>
          <w:rFonts w:ascii="Times New Roman" w:cs="Times New Roman" w:eastAsia="Times New Roman" w:hAnsi="Times New Roman"/>
          <w:sz w:val="14"/>
          <w:szCs w:val="14"/>
          <w:color w:val="auto"/>
        </w:rPr>
        <w:t xml:space="preserve">, for purposes of determining compliance with the conditions specified in this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Mirror Transactions Funding Date specifying its objection thereto.</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The Parent represents and warrants to the Administrative Agent and the Lenders that:</w:t>
      </w:r>
    </w:p>
    <w:p>
      <w:pPr>
        <w:spacing w:after="0" w:line="89"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5.01 Existence, Qualification and Power</w:t>
      </w:r>
      <w:r>
        <w:rPr>
          <w:rFonts w:ascii="Times New Roman" w:cs="Times New Roman" w:eastAsia="Times New Roman" w:hAnsi="Times New Roman"/>
          <w:sz w:val="14"/>
          <w:szCs w:val="14"/>
          <w:color w:val="auto"/>
        </w:rPr>
        <w:t>. Each Loan Party and each of its Material Subsidiaries (a) is duly organized or formed, validly existing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transactions contemplated thereby,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14"/>
          <w:szCs w:val="14"/>
          <w:u w:val="single" w:color="auto"/>
          <w:color w:val="auto"/>
        </w:rPr>
        <w:t>clause (b)(i)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above, to the extent that failure to do so could not reasonably be expected to have a Material Adverse Effect.</w:t>
      </w:r>
    </w:p>
    <w:p>
      <w:pPr>
        <w:spacing w:after="0" w:line="144"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5.02 Authorization; No Contravention</w:t>
      </w:r>
      <w:r>
        <w:rPr>
          <w:rFonts w:ascii="Times New Roman" w:cs="Times New Roman" w:eastAsia="Times New Roman" w:hAnsi="Times New Roman"/>
          <w:sz w:val="14"/>
          <w:szCs w:val="14"/>
          <w:color w:val="auto"/>
        </w:rPr>
        <w:t>. The execution, delivery and performance by each Loan Party of each Loan Document to which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Person is party (a) have been duly authorized by all necessary corporate or other organizational action, and (b) do not and will not: (i) contravene the terms of any of such Person’s Organization Documents; (ii) conflict with or result in any breach or contravention of, or the creation of any Lien under, or require any payment to be made under (A) any Contractual Obligation evidencing Indebtedness of such Person or any of its Material Subsidiaries in excess of the Threshold Amount or (B) any order, injunction, writ or decree of any Governmental Authority or any arbitral award to which such Person or its property is subject; or (iii) violate any Law; except with respect to any conflict, breach, contravention of, payment or violation (but not creation of Lien) referred to in </w:t>
      </w:r>
      <w:r>
        <w:rPr>
          <w:rFonts w:ascii="Times New Roman" w:cs="Times New Roman" w:eastAsia="Times New Roman" w:hAnsi="Times New Roman"/>
          <w:sz w:val="14"/>
          <w:szCs w:val="14"/>
          <w:u w:val="single" w:color="auto"/>
          <w:color w:val="auto"/>
        </w:rPr>
        <w:t>clauses (b)(ii)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(b)(iii)</w:t>
      </w:r>
      <w:r>
        <w:rPr>
          <w:rFonts w:ascii="Times New Roman" w:cs="Times New Roman" w:eastAsia="Times New Roman" w:hAnsi="Times New Roman"/>
          <w:sz w:val="14"/>
          <w:szCs w:val="14"/>
          <w:color w:val="auto"/>
        </w:rPr>
        <w:t xml:space="preserve"> above to the extent that such conflicts, breaches, contraventions, payments and violations could not reasonably be expected to have, individually or in the aggregate, a Material Adverse Effect.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241" w:right="1440" w:bottom="1440" w:gutter="0" w:footer="0" w:header="0"/>
        </w:sectPr>
      </w:pPr>
    </w:p>
    <w:bookmarkStart w:id="645" w:name="page646"/>
    <w:bookmarkEnd w:id="645"/>
    <w:p>
      <w:pPr>
        <w:ind w:left="220" w:right="31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5.03 Governmental Authorization; Other Consents</w:t>
      </w:r>
      <w:r>
        <w:rPr>
          <w:rFonts w:ascii="Times New Roman" w:cs="Times New Roman" w:eastAsia="Times New Roman" w:hAnsi="Times New Roman"/>
          <w:sz w:val="14"/>
          <w:szCs w:val="14"/>
          <w:color w:val="auto"/>
        </w:rPr>
        <w:t>. No approval, consent, exemption, authorization, or other action by, or notice to, or filing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any Governmental Authority or any other Person is necessary or required in connection with (a) the execution, delivery or performance by, or enforcement against, any Loan Party of this Agreement or any other Loan Document, or for the consummation of the transactions contemplated hereby or thereby,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w:t>
      </w:r>
    </w:p>
    <w:p>
      <w:pPr>
        <w:spacing w:after="0" w:line="143" w:lineRule="exact"/>
        <w:rPr>
          <w:sz w:val="20"/>
          <w:szCs w:val="20"/>
          <w:color w:val="auto"/>
        </w:rPr>
      </w:pPr>
    </w:p>
    <w:p>
      <w:pPr>
        <w:ind w:left="220" w:right="23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5.04 Binding Effect</w:t>
      </w:r>
      <w:r>
        <w:rPr>
          <w:rFonts w:ascii="Times New Roman" w:cs="Times New Roman" w:eastAsia="Times New Roman" w:hAnsi="Times New Roman"/>
          <w:sz w:val="14"/>
          <w:szCs w:val="14"/>
          <w:color w:val="auto"/>
        </w:rPr>
        <w:t>. This Agreement has been, and each other Loan Document, when delivered hereunder, will have been, duly executed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5.05 Financial Statements; No Material Adverse Effect</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359" w:firstLine="327"/>
        <w:spacing w:after="0" w:line="261" w:lineRule="auto"/>
        <w:tabs>
          <w:tab w:leader="none" w:pos="1080" w:val="left"/>
        </w:tabs>
        <w:numPr>
          <w:ilvl w:val="0"/>
          <w:numId w:val="7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Audited Financial Statements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w:t>
      </w:r>
    </w:p>
    <w:p>
      <w:pPr>
        <w:spacing w:after="0" w:line="56" w:lineRule="exact"/>
        <w:rPr>
          <w:rFonts w:ascii="Times New Roman" w:cs="Times New Roman" w:eastAsia="Times New Roman" w:hAnsi="Times New Roman"/>
          <w:sz w:val="14"/>
          <w:szCs w:val="14"/>
          <w:color w:val="auto"/>
        </w:rPr>
      </w:pPr>
    </w:p>
    <w:p>
      <w:pPr>
        <w:ind w:left="560" w:right="259" w:firstLine="327"/>
        <w:spacing w:after="0" w:line="261" w:lineRule="auto"/>
        <w:tabs>
          <w:tab w:leader="none" w:pos="1088" w:val="left"/>
        </w:tabs>
        <w:numPr>
          <w:ilvl w:val="0"/>
          <w:numId w:val="7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Interim Financial Statements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subject, in the case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to the absence of footnotes and to normal yearend audit adjustments.</w:t>
      </w:r>
    </w:p>
    <w:p>
      <w:pPr>
        <w:spacing w:after="0" w:line="56" w:lineRule="exact"/>
        <w:rPr>
          <w:rFonts w:ascii="Times New Roman" w:cs="Times New Roman" w:eastAsia="Times New Roman" w:hAnsi="Times New Roman"/>
          <w:sz w:val="14"/>
          <w:szCs w:val="14"/>
          <w:color w:val="auto"/>
        </w:rPr>
      </w:pPr>
    </w:p>
    <w:p>
      <w:pPr>
        <w:ind w:left="560" w:right="759" w:firstLine="327"/>
        <w:spacing w:after="0" w:line="283" w:lineRule="auto"/>
        <w:tabs>
          <w:tab w:leader="none" w:pos="1080" w:val="left"/>
        </w:tabs>
        <w:numPr>
          <w:ilvl w:val="0"/>
          <w:numId w:val="7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2025, there has been no event or circumstance, either individually or in the aggregate, that has had or could reasonably be expected to have a Material Adverse Effect.</w:t>
      </w:r>
    </w:p>
    <w:p>
      <w:pPr>
        <w:spacing w:after="0" w:line="40" w:lineRule="exact"/>
        <w:rPr>
          <w:rFonts w:ascii="Times New Roman" w:cs="Times New Roman" w:eastAsia="Times New Roman" w:hAnsi="Times New Roman"/>
          <w:sz w:val="14"/>
          <w:szCs w:val="14"/>
          <w:color w:val="auto"/>
        </w:rPr>
      </w:pPr>
    </w:p>
    <w:p>
      <w:pPr>
        <w:ind w:left="560" w:right="239" w:firstLine="327"/>
        <w:spacing w:after="0" w:line="261" w:lineRule="auto"/>
        <w:tabs>
          <w:tab w:leader="none" w:pos="1088" w:val="left"/>
        </w:tabs>
        <w:numPr>
          <w:ilvl w:val="0"/>
          <w:numId w:val="7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forecasted balance sheet and statements of income and cash flows of the Company and its Subsidiaries delivered pursuant to </w:t>
      </w:r>
      <w:r>
        <w:rPr>
          <w:rFonts w:ascii="Times New Roman" w:cs="Times New Roman" w:eastAsia="Times New Roman" w:hAnsi="Times New Roman"/>
          <w:sz w:val="14"/>
          <w:szCs w:val="14"/>
          <w:u w:val="single" w:color="auto"/>
          <w:color w:val="auto"/>
        </w:rPr>
        <w:t>Section 6.01(c)</w:t>
      </w:r>
      <w:r>
        <w:rPr>
          <w:rFonts w:ascii="Times New Roman" w:cs="Times New Roman" w:eastAsia="Times New Roman" w:hAnsi="Times New Roman"/>
          <w:sz w:val="14"/>
          <w:szCs w:val="14"/>
          <w:color w:val="auto"/>
        </w:rPr>
        <w:t xml:space="preserve"> were prepared in good faith on the basis of the assumptions stated therein, which assumptions were deemed to be reasonable in light of the conditions existing at the time of delivery of such forecasts, and represented, at the time of delivery, the Company’s good faith estimate of its future financial condition and performance.</w:t>
      </w:r>
    </w:p>
    <w:p>
      <w:pPr>
        <w:spacing w:after="0" w:line="139" w:lineRule="exact"/>
        <w:rPr>
          <w:sz w:val="20"/>
          <w:szCs w:val="20"/>
          <w:color w:val="auto"/>
        </w:rPr>
      </w:pPr>
    </w:p>
    <w:p>
      <w:pPr>
        <w:ind w:left="220" w:right="3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5.06 Litigation</w:t>
      </w:r>
      <w:r>
        <w:rPr>
          <w:rFonts w:ascii="Times New Roman" w:cs="Times New Roman" w:eastAsia="Times New Roman" w:hAnsi="Times New Roman"/>
          <w:sz w:val="14"/>
          <w:szCs w:val="14"/>
          <w:color w:val="auto"/>
        </w:rPr>
        <w:t>. There are no actions, suits, proceedings, claims or disputes pending or, to the knowledge of the Parent, threatened in writing,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law, in equity or before any Governmental Authority, by or against the Parent or any of its Material Subsidiaries or against any of their properties or revenues that (a) purport to affect or pertain to this Agreement or any other Loan Document, or any of the transactions contemplated hereby or thereby, or (b) either individually or in the aggregate, if determined adversely, could reasonably be expected to have a Material Adverse Effect.</w:t>
      </w:r>
    </w:p>
    <w:p>
      <w:pPr>
        <w:spacing w:after="0" w:line="138" w:lineRule="exact"/>
        <w:rPr>
          <w:sz w:val="20"/>
          <w:szCs w:val="20"/>
          <w:color w:val="auto"/>
        </w:rPr>
      </w:pPr>
    </w:p>
    <w:p>
      <w:pPr>
        <w:ind w:left="220" w:right="31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5.07 No Default</w:t>
      </w:r>
      <w:r>
        <w:rPr>
          <w:rFonts w:ascii="Times New Roman" w:cs="Times New Roman" w:eastAsia="Times New Roman" w:hAnsi="Times New Roman"/>
          <w:sz w:val="14"/>
          <w:szCs w:val="14"/>
          <w:color w:val="auto"/>
        </w:rPr>
        <w:t>. Neither any Loan Party nor any Material Subsidiary thereof is in default under or with respect to, or party to, any Contractual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240" w:right="1440" w:bottom="1440" w:gutter="0" w:footer="0" w:header="0"/>
        </w:sectPr>
      </w:pPr>
    </w:p>
    <w:bookmarkStart w:id="646" w:name="page647"/>
    <w:bookmarkEnd w:id="646"/>
    <w:p>
      <w:pPr>
        <w:ind w:left="220" w:right="29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5.08 Ownership of Property; Liens</w:t>
      </w:r>
      <w:r>
        <w:rPr>
          <w:rFonts w:ascii="Times New Roman" w:cs="Times New Roman" w:eastAsia="Times New Roman" w:hAnsi="Times New Roman"/>
          <w:sz w:val="14"/>
          <w:szCs w:val="14"/>
          <w:color w:val="auto"/>
        </w:rPr>
        <w:t>. Each Loan Party and each of its Material Subsidiaries has good record and marketable title in fee simple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Material Subsidiaries is subject to no Liens, other than Liens permitted by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220" w:right="21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5.09 Environmental Compliance</w:t>
      </w:r>
      <w:r>
        <w:rPr>
          <w:rFonts w:ascii="Times New Roman" w:cs="Times New Roman" w:eastAsia="Times New Roman" w:hAnsi="Times New Roman"/>
          <w:sz w:val="14"/>
          <w:szCs w:val="14"/>
          <w:color w:val="auto"/>
        </w:rPr>
        <w:t>. The Loan Parties and their respective Material Subsidiaries conduct in the ordinary course of business a review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effect of existing Environmental Laws and claims alleging potential liability or responsibility for violation of any Environmental Law on their respective businesses, operations and properties, and as a result thereof the Loan Parties have reasonably concluded that such Environmental Laws and claims could not, individually or in the aggregate, reasonably be expected to have a Material Adverse Effect.</w:t>
      </w:r>
    </w:p>
    <w:p>
      <w:pPr>
        <w:spacing w:after="0" w:line="138" w:lineRule="exact"/>
        <w:rPr>
          <w:sz w:val="20"/>
          <w:szCs w:val="20"/>
          <w:color w:val="auto"/>
        </w:rPr>
      </w:pPr>
    </w:p>
    <w:p>
      <w:pPr>
        <w:ind w:left="220" w:right="47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5.10 Insurance</w:t>
      </w:r>
      <w:r>
        <w:rPr>
          <w:rFonts w:ascii="Times New Roman" w:cs="Times New Roman" w:eastAsia="Times New Roman" w:hAnsi="Times New Roman"/>
          <w:sz w:val="14"/>
          <w:szCs w:val="14"/>
          <w:color w:val="auto"/>
        </w:rPr>
        <w:t>. The properties of each Loan Party and each of its Material Subsidiaries are insured with financially sound and reputable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insurance companies not Affiliates of the Loan Parties, in such amounts, with such deductibles and covering such risks as are customarily carried by companies engaged in similar businesses and owning similar properties in localities where any Loan Party or the applicable Material Subsidiary operates.</w:t>
      </w:r>
    </w:p>
    <w:p>
      <w:pPr>
        <w:spacing w:after="0" w:line="138"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5.11 Taxes</w:t>
      </w:r>
      <w:r>
        <w:rPr>
          <w:rFonts w:ascii="Times New Roman" w:cs="Times New Roman" w:eastAsia="Times New Roman" w:hAnsi="Times New Roman"/>
          <w:sz w:val="14"/>
          <w:szCs w:val="14"/>
          <w:color w:val="auto"/>
        </w:rPr>
        <w:t>. Each Loan Party and each of its Material Subsidiaries have filed all federal, state, provincial, territorial income and other material tax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returns and reports required to be filed, and have paid all federal, state, provincial, territorial income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of its Material Subsidiaries that would, if made, have a Material Adverse Effect. No Loan Party or Material Subsidiary thereof is party to any tax sharing agreement outside the ordinary course of business.</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5.12 ERISA Compliance</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59" w:firstLine="327"/>
        <w:spacing w:after="0" w:line="254" w:lineRule="auto"/>
        <w:tabs>
          <w:tab w:leader="none" w:pos="1080" w:val="left"/>
        </w:tabs>
        <w:numPr>
          <w:ilvl w:val="0"/>
          <w:numId w:val="7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could not reasonably be expected to have a Material Adverse Effect, (i) each Plan is in compliance in all material respects with the applicable provisions of ERISA, the Code and other federal or state Laws applicable to such Plan; (ii) the Borrower and each ERISA Affiliate have made all required contributions to each Plan subject to Section 412 of the Code, and no application for a funding waiver pursuant to Section 412 of the Code has been made with respect to any Plan; (iii) there has been no prohibited transaction or violation of the fiduciary responsibility rules with respect to any Plan; (iv) no ERISA Event has occurred, and the Borrower is not aware of any fact, event or circumstance that could reasonably be expected to constitute or result in an ERISA Event with respect to any Pension Plan; (v) there are no pending or, to the best knowledge of the Borrower, threatened claims, actions or lawsuits, or action by any Governmental Authority, with respect to any Plan that could reasonably be expected to have a Material Adverse Effect; (vi) neither the Borrower nor any ERISA Affiliate has incurred any liability to the PBGC other than for the payment of premiums, and there are no premium payments which have become due that are unpaid; and (vii) the Borrower and each ERISA Affiliate have met all applicable requirements under the Pension Funding Rules in respect of each Pension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239" w:right="1440" w:bottom="1440" w:gutter="0" w:footer="0" w:header="0"/>
        </w:sectPr>
      </w:pPr>
    </w:p>
    <w:bookmarkStart w:id="647" w:name="page648"/>
    <w:bookmarkEnd w:id="647"/>
    <w:p>
      <w:pPr>
        <w:ind w:left="560" w:right="239" w:firstLine="327"/>
        <w:spacing w:after="0" w:line="261" w:lineRule="auto"/>
        <w:tabs>
          <w:tab w:leader="none" w:pos="1088"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With respect to each employee benefit plan maintained or contributed to by any Loan Party or any Material Subsidiary of any Loan Party that is not subject to United States law (a “</w:t>
      </w:r>
      <w:r>
        <w:rPr>
          <w:rFonts w:ascii="Times New Roman" w:cs="Times New Roman" w:eastAsia="Times New Roman" w:hAnsi="Times New Roman"/>
          <w:sz w:val="14"/>
          <w:szCs w:val="14"/>
          <w:u w:val="single" w:color="auto"/>
          <w:color w:val="auto"/>
        </w:rPr>
        <w:t>Foreign Plan</w:t>
      </w:r>
      <w:r>
        <w:rPr>
          <w:rFonts w:ascii="Times New Roman" w:cs="Times New Roman" w:eastAsia="Times New Roman" w:hAnsi="Times New Roman"/>
          <w:sz w:val="14"/>
          <w:szCs w:val="14"/>
          <w:color w:val="auto"/>
        </w:rPr>
        <w:t>”), except as could not reasonably be expected to have a Material Adverse Effect, (i) no Foreign Plan Event has occurred; and (ii) each Foreign Plan required to be registered has been registered and has been maintained in good standing with applicable regulatory authorities.</w:t>
      </w:r>
    </w:p>
    <w:p>
      <w:pPr>
        <w:spacing w:after="0" w:line="56" w:lineRule="exact"/>
        <w:rPr>
          <w:rFonts w:ascii="Times New Roman" w:cs="Times New Roman" w:eastAsia="Times New Roman" w:hAnsi="Times New Roman"/>
          <w:sz w:val="14"/>
          <w:szCs w:val="14"/>
          <w:color w:val="auto"/>
        </w:rPr>
      </w:pPr>
    </w:p>
    <w:p>
      <w:pPr>
        <w:ind w:left="560" w:right="599" w:firstLine="327"/>
        <w:spacing w:after="0" w:line="267" w:lineRule="auto"/>
        <w:tabs>
          <w:tab w:leader="none" w:pos="1080"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could not reasonably be expected to have a Material Adverse Effect, none of the Parent, any Material Subsidiary nor any ERISA Affiliate maintains or contributes to, or has any unsatisfied obligation to contribute to, or liability or contingent liability under, any terminated Pension Plan.</w:t>
      </w:r>
    </w:p>
    <w:p>
      <w:pPr>
        <w:spacing w:after="0" w:line="51" w:lineRule="exact"/>
        <w:rPr>
          <w:rFonts w:ascii="Times New Roman" w:cs="Times New Roman" w:eastAsia="Times New Roman" w:hAnsi="Times New Roman"/>
          <w:sz w:val="14"/>
          <w:szCs w:val="14"/>
          <w:color w:val="auto"/>
        </w:rPr>
      </w:pPr>
    </w:p>
    <w:p>
      <w:pPr>
        <w:ind w:left="560" w:right="239" w:firstLine="327"/>
        <w:spacing w:after="0" w:line="283" w:lineRule="auto"/>
        <w:tabs>
          <w:tab w:leader="none" w:pos="1088" w:val="left"/>
        </w:tabs>
        <w:numPr>
          <w:ilvl w:val="0"/>
          <w:numId w:val="7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Closing Date, the underlying assets of the Borrower do not constitute “plan assets” (within the meaning of 29 CFR 2510.3-101, as modified by Section 3(42) of ERISA).</w:t>
      </w:r>
    </w:p>
    <w:p>
      <w:pPr>
        <w:spacing w:after="0" w:line="123"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5.13 Subsidiaries; Equity Interests</w:t>
      </w:r>
      <w:r>
        <w:rPr>
          <w:rFonts w:ascii="Times New Roman" w:cs="Times New Roman" w:eastAsia="Times New Roman" w:hAnsi="Times New Roman"/>
          <w:sz w:val="14"/>
          <w:szCs w:val="14"/>
          <w:color w:val="auto"/>
        </w:rPr>
        <w:t>. As of the Closing Date, the Borrower has no Subsidiaries other than those specifically disclosed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Subsidiary in Part (a) of </w:t>
      </w:r>
      <w:r>
        <w:rPr>
          <w:rFonts w:ascii="Times New Roman" w:cs="Times New Roman" w:eastAsia="Times New Roman" w:hAnsi="Times New Roman"/>
          <w:sz w:val="14"/>
          <w:szCs w:val="14"/>
          <w:u w:val="single" w:color="auto"/>
          <w:color w:val="auto"/>
        </w:rPr>
        <w:t>Schedule 5.13</w:t>
      </w:r>
      <w:r>
        <w:rPr>
          <w:rFonts w:ascii="Times New Roman" w:cs="Times New Roman" w:eastAsia="Times New Roman" w:hAnsi="Times New Roman"/>
          <w:sz w:val="14"/>
          <w:szCs w:val="14"/>
          <w:color w:val="auto"/>
        </w:rPr>
        <w:t xml:space="preserve">, and all of the outstanding Equity Interests in such Subsidiaries have been validly issued, are fully paid and non-assessable and are owned by a Loan Party in the amounts specified on Part (a) of </w:t>
      </w:r>
      <w:r>
        <w:rPr>
          <w:rFonts w:ascii="Times New Roman" w:cs="Times New Roman" w:eastAsia="Times New Roman" w:hAnsi="Times New Roman"/>
          <w:sz w:val="14"/>
          <w:szCs w:val="14"/>
          <w:u w:val="single" w:color="auto"/>
          <w:color w:val="auto"/>
        </w:rPr>
        <w:t>Schedule 5.13</w:t>
      </w:r>
      <w:r>
        <w:rPr>
          <w:rFonts w:ascii="Times New Roman" w:cs="Times New Roman" w:eastAsia="Times New Roman" w:hAnsi="Times New Roman"/>
          <w:sz w:val="14"/>
          <w:szCs w:val="14"/>
          <w:color w:val="auto"/>
        </w:rPr>
        <w:t xml:space="preserve"> free and clear of all Liens except those created under the Collateral Documents. The Borrower has no equity investments in any other corporation or entity other than those specifically disclosed in Part (b) of </w:t>
      </w:r>
      <w:r>
        <w:rPr>
          <w:rFonts w:ascii="Times New Roman" w:cs="Times New Roman" w:eastAsia="Times New Roman" w:hAnsi="Times New Roman"/>
          <w:sz w:val="14"/>
          <w:szCs w:val="14"/>
          <w:u w:val="single" w:color="auto"/>
          <w:color w:val="auto"/>
        </w:rPr>
        <w:t>Schedule 5.13</w:t>
      </w:r>
      <w:r>
        <w:rPr>
          <w:rFonts w:ascii="Times New Roman" w:cs="Times New Roman" w:eastAsia="Times New Roman" w:hAnsi="Times New Roman"/>
          <w:sz w:val="14"/>
          <w:szCs w:val="14"/>
          <w:color w:val="auto"/>
        </w:rPr>
        <w:t xml:space="preserve">. All of the outstanding Equity Interests in the Borrower have been validly issued, are fully paid and non-assessable. Set forth on Part (c) of </w:t>
      </w:r>
      <w:r>
        <w:rPr>
          <w:rFonts w:ascii="Times New Roman" w:cs="Times New Roman" w:eastAsia="Times New Roman" w:hAnsi="Times New Roman"/>
          <w:sz w:val="14"/>
          <w:szCs w:val="14"/>
          <w:u w:val="single" w:color="auto"/>
          <w:color w:val="auto"/>
        </w:rPr>
        <w:t>Schedule 5.13</w:t>
      </w:r>
      <w:r>
        <w:rPr>
          <w:rFonts w:ascii="Times New Roman" w:cs="Times New Roman" w:eastAsia="Times New Roman" w:hAnsi="Times New Roman"/>
          <w:sz w:val="14"/>
          <w:szCs w:val="14"/>
          <w:color w:val="auto"/>
        </w:rPr>
        <w:t xml:space="preserve"> is a complete and accurate list of all Loan Parties, showing as of the Closing Date (as to each Loan Party) the jurisdiction of its incorporation, the address of its principal place of business and its U.S. taxpayer identification number.</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5.14 Margin Regulations; Investment Company Act</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359" w:firstLine="327"/>
        <w:spacing w:after="0" w:line="261" w:lineRule="auto"/>
        <w:tabs>
          <w:tab w:leader="none" w:pos="1080" w:val="left"/>
        </w:tabs>
        <w:numPr>
          <w:ilvl w:val="0"/>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No proceeds of any Loans will be used to purchase or carry margin stock or for any other purpose, in each case, which violates, or which would be inconsistent with, the provisions of Regulation T, U or X issued by the FRB.</w:t>
      </w:r>
    </w:p>
    <w:p>
      <w:pPr>
        <w:spacing w:after="0" w:line="56"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Loan Parties is an “investment company” under the Investment Company Act of 1940.</w:t>
      </w:r>
    </w:p>
    <w:p>
      <w:pPr>
        <w:spacing w:after="0" w:line="173"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5.15 Disclosure</w:t>
      </w:r>
      <w:r>
        <w:rPr>
          <w:rFonts w:ascii="Times New Roman" w:cs="Times New Roman" w:eastAsia="Times New Roman" w:hAnsi="Times New Roman"/>
          <w:sz w:val="14"/>
          <w:szCs w:val="14"/>
          <w:color w:val="auto"/>
        </w:rPr>
        <w:t>. The Loan Parties have disclosed to the Administrative Agent and the Lenders all corporate or other restrictions to which it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its Material Subsidiaries is subject, and all other matters known to it, that, individually or in the aggregate, could reasonably be expected to result in a Material Adverse Effect. No report, financial statement, certificate or other written information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projected financial information, the Parent represent only that such information was prepared in good faith based upon assumptions believed to be reasonable at the time. As of the Closing Date, the information included in any Beneficial Ownership Certification delivered on or prior to the Closing Date, if applicable, is true and correct in all respects.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242" w:right="1440" w:bottom="1440" w:gutter="0" w:footer="0" w:header="0"/>
        </w:sectPr>
      </w:pPr>
    </w:p>
    <w:bookmarkStart w:id="648" w:name="page649"/>
    <w:bookmarkEnd w:id="648"/>
    <w:p>
      <w:pPr>
        <w:ind w:left="220" w:right="2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5.16 Compliance with Laws</w:t>
      </w:r>
      <w:r>
        <w:rPr>
          <w:rFonts w:ascii="Times New Roman" w:cs="Times New Roman" w:eastAsia="Times New Roman" w:hAnsi="Times New Roman"/>
          <w:sz w:val="14"/>
          <w:szCs w:val="14"/>
          <w:color w:val="auto"/>
        </w:rPr>
        <w:t>. Each Loan Party and each Material Subsidiary thereof is in compliance in all material respects with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38" w:lineRule="exact"/>
        <w:rPr>
          <w:sz w:val="20"/>
          <w:szCs w:val="20"/>
          <w:color w:val="auto"/>
        </w:rPr>
      </w:pPr>
    </w:p>
    <w:p>
      <w:pPr>
        <w:ind w:left="220" w:right="29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5.17 Intellectual Property; Licenses, Etc. </w:t>
      </w:r>
      <w:r>
        <w:rPr>
          <w:rFonts w:ascii="Times New Roman" w:cs="Times New Roman" w:eastAsia="Times New Roman" w:hAnsi="Times New Roman"/>
          <w:sz w:val="14"/>
          <w:szCs w:val="14"/>
          <w:color w:val="auto"/>
        </w:rPr>
        <w:t>Each Loan Party and their respective Material Subsidiaries own, or possess the right to use, all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trademarks, service marks, trade names, copyrights, patents and other intellectual property rights (collectively, “</w:t>
      </w:r>
      <w:r>
        <w:rPr>
          <w:rFonts w:ascii="Times New Roman" w:cs="Times New Roman" w:eastAsia="Times New Roman" w:hAnsi="Times New Roman"/>
          <w:sz w:val="14"/>
          <w:szCs w:val="14"/>
          <w:u w:val="single" w:color="auto"/>
          <w:color w:val="auto"/>
        </w:rPr>
        <w:t>IP Rights</w:t>
      </w:r>
      <w:r>
        <w:rPr>
          <w:rFonts w:ascii="Times New Roman" w:cs="Times New Roman" w:eastAsia="Times New Roman" w:hAnsi="Times New Roman"/>
          <w:sz w:val="14"/>
          <w:szCs w:val="14"/>
          <w:color w:val="auto"/>
        </w:rPr>
        <w:t>”) that are reasonably necessary for the operation of their respective businesses as currently conducted, except where the failure to have such rights, either individually or in the aggregate, could not reasonably be expected to have a Material Adverse Effect. The operation of the business of the Loan Parties and the Material Subsidiaries, taken as a whole, does not infringe, misappropriate, dilute or otherwise violate any IP Rights of any other Person in any manner that could reasonably be expected to have a Material Adverse Effect. No claim or litigation alleging that any Loan Party or any of its Material Subsidiaries infringes, misappropriates, dilutes or otherwise violates any IP Rights of any other Person is pending or, to the knowledge of the Parent, threatened in writing, which, either individually or in the aggregate, could reasonably be expected to have a Material Adverse Effect.</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5.18 Solvency</w:t>
      </w:r>
      <w:r>
        <w:rPr>
          <w:rFonts w:ascii="Times New Roman" w:cs="Times New Roman" w:eastAsia="Times New Roman" w:hAnsi="Times New Roman"/>
          <w:sz w:val="14"/>
          <w:szCs w:val="14"/>
          <w:color w:val="auto"/>
        </w:rPr>
        <w:t>. The Parent and its Subsidiaries, on a consolidated basis, are Solvent.</w:t>
      </w:r>
    </w:p>
    <w:p>
      <w:pPr>
        <w:spacing w:after="0" w:line="175" w:lineRule="exact"/>
        <w:rPr>
          <w:sz w:val="20"/>
          <w:szCs w:val="20"/>
          <w:color w:val="auto"/>
        </w:rPr>
      </w:pPr>
    </w:p>
    <w:p>
      <w:pPr>
        <w:ind w:left="220" w:right="79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5.19 Labor Matters</w:t>
      </w:r>
      <w:r>
        <w:rPr>
          <w:rFonts w:ascii="Times New Roman" w:cs="Times New Roman" w:eastAsia="Times New Roman" w:hAnsi="Times New Roman"/>
          <w:sz w:val="14"/>
          <w:szCs w:val="14"/>
          <w:color w:val="auto"/>
        </w:rPr>
        <w:t>. Except as would not reasonably be expected to have a Material Adverse Effect, neither the Parent nor any Material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Subsidiary has suffered any strikes, walkouts, work stoppages or other material labor difficulty within the last five years.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5.20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5.21 Collateral Documents</w:t>
      </w:r>
      <w:r>
        <w:rPr>
          <w:rFonts w:ascii="Times New Roman" w:cs="Times New Roman" w:eastAsia="Times New Roman" w:hAnsi="Times New Roman"/>
          <w:sz w:val="14"/>
          <w:szCs w:val="14"/>
          <w:color w:val="auto"/>
        </w:rPr>
        <w:t>. On the Mirror Transactions Funding Date, (a) the provisions of the Collateral Documents are effective to create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favor of the Administrative Agent, for the benefit of the Secured Parties, a legal, valid and enforceable first priority Lien (subject to Liens permitted by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on all right, title and interest of the respective Loan Parties in the Collateral described therein and (b) except for filings contemplated hereby and by the Collateral Documents, no filing or other action will be necessary to perfect or protect such Liens.</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5.22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5.23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5.24 Government Sanctions</w:t>
      </w:r>
      <w:r>
        <w:rPr>
          <w:rFonts w:ascii="Times New Roman" w:cs="Times New Roman" w:eastAsia="Times New Roman" w:hAnsi="Times New Roman"/>
          <w:sz w:val="14"/>
          <w:szCs w:val="14"/>
          <w:color w:val="auto"/>
        </w:rPr>
        <w:t>. The Parent represents that neither the Parent nor any of its Subsidiaries (collectively, the “</w:t>
      </w:r>
      <w:r>
        <w:rPr>
          <w:rFonts w:ascii="Times New Roman" w:cs="Times New Roman" w:eastAsia="Times New Roman" w:hAnsi="Times New Roman"/>
          <w:sz w:val="14"/>
          <w:szCs w:val="14"/>
          <w:u w:val="single" w:color="auto"/>
          <w:color w:val="auto"/>
        </w:rPr>
        <w:t>Parent Group</w:t>
      </w:r>
      <w:r>
        <w:rPr>
          <w:rFonts w:ascii="Times New Roman" w:cs="Times New Roman" w:eastAsia="Times New Roman" w:hAnsi="Times New Roman"/>
          <w:sz w:val="14"/>
          <w:szCs w:val="14"/>
          <w:color w:val="auto"/>
        </w:rPr>
        <w:t>”),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respective directors, officers or, to the knowledge of the Parent, any employee, Affiliate or agent of the Parent Group is an individual or entity that is, or is owned or controlled by one or more individuals or entities that is, (a) currently the subject or target of any Sanctions, (b) included on OFAC’s List of Specially Designated Nationals, HMT’s Consolidated List of Financial Sanctions Targets, or any similar list enforced by any other relevant sanctions authority, or (c) located, organized or resident in a Designated Jurisdiction. The Parent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144" w:lineRule="exact"/>
        <w:rPr>
          <w:sz w:val="20"/>
          <w:szCs w:val="20"/>
          <w:color w:val="auto"/>
        </w:rPr>
      </w:pPr>
    </w:p>
    <w:p>
      <w:pPr>
        <w:ind w:left="220" w:right="23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5.25 PATRIOT Act</w:t>
      </w:r>
      <w:r>
        <w:rPr>
          <w:rFonts w:ascii="Times New Roman" w:cs="Times New Roman" w:eastAsia="Times New Roman" w:hAnsi="Times New Roman"/>
          <w:sz w:val="14"/>
          <w:szCs w:val="14"/>
          <w:color w:val="auto"/>
        </w:rPr>
        <w:t>. To the extent applicable, the Parent and each Subsidiary is in compliance, in all material respects, with (a) the Trading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Enemy Act, as amended, and each of the foreign assets control regulations of the United States Treasury Department (31 CFR, Subtitle B, Chapter V, as amended) and any other enabling legislation or executive order relating thereto, and (b) the Act.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238" w:right="1440" w:bottom="1440" w:gutter="0" w:footer="0" w:header="0"/>
        </w:sectPr>
      </w:pPr>
    </w:p>
    <w:bookmarkStart w:id="649" w:name="page650"/>
    <w:bookmarkEnd w:id="649"/>
    <w:p>
      <w:pPr>
        <w:ind w:left="220" w:right="27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5.26 Anti-Corruption Laws</w:t>
      </w:r>
      <w:r>
        <w:rPr>
          <w:rFonts w:ascii="Times New Roman" w:cs="Times New Roman" w:eastAsia="Times New Roman" w:hAnsi="Times New Roman"/>
          <w:sz w:val="14"/>
          <w:szCs w:val="14"/>
          <w:color w:val="auto"/>
        </w:rPr>
        <w:t>. The Loan Parties and their Subsidiaries have conducted their business in compliance with the United States Foreign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Corrupt Practices Act of 1977, the UK Bribery Act 2010 and other similar anti-corruption legislation in other jurisdictions, and have instituted and maintained policies and procedures designed to promote and achieve compliance with such laws.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5.27 Affected Financial Institutions</w:t>
      </w:r>
      <w:r>
        <w:rPr>
          <w:rFonts w:ascii="Times New Roman" w:cs="Times New Roman" w:eastAsia="Times New Roman" w:hAnsi="Times New Roman"/>
          <w:sz w:val="14"/>
          <w:szCs w:val="14"/>
          <w:color w:val="auto"/>
        </w:rPr>
        <w:t>. No Loan Party is an Affected Financial Institution.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AFFIRMATIVE COVENANTS</w:t>
      </w:r>
    </w:p>
    <w:p>
      <w:pPr>
        <w:spacing w:after="0" w:line="161" w:lineRule="exact"/>
        <w:rPr>
          <w:sz w:val="20"/>
          <w:szCs w:val="20"/>
          <w:color w:val="auto"/>
        </w:rPr>
      </w:pPr>
    </w:p>
    <w:p>
      <w:pPr>
        <w:jc w:val="both"/>
        <w:ind w:left="220" w:right="519" w:firstLine="343"/>
        <w:spacing w:after="0" w:line="261" w:lineRule="auto"/>
        <w:rPr>
          <w:sz w:val="20"/>
          <w:szCs w:val="20"/>
          <w:color w:val="auto"/>
        </w:rPr>
      </w:pPr>
      <w:r>
        <w:rPr>
          <w:rFonts w:ascii="Times New Roman" w:cs="Times New Roman" w:eastAsia="Times New Roman" w:hAnsi="Times New Roman"/>
          <w:sz w:val="14"/>
          <w:szCs w:val="14"/>
          <w:color w:val="auto"/>
        </w:rPr>
        <w:t xml:space="preserve">At all times on and after the Parent Change Time, so long as any Lender shall have any Commitment hereunder, any Loan or other Obligation hereunder shall remain unpaid or unsatisfied (other than any contingent claims for indemnification or expense reimbursement not yet asserted), the Parent shall, and shall (except in the case of the covenants set forth in </w:t>
      </w:r>
      <w:r>
        <w:rPr>
          <w:rFonts w:ascii="Times New Roman" w:cs="Times New Roman" w:eastAsia="Times New Roman" w:hAnsi="Times New Roman"/>
          <w:sz w:val="14"/>
          <w:szCs w:val="14"/>
          <w:u w:val="single" w:color="auto"/>
          <w:color w:val="auto"/>
        </w:rPr>
        <w:t>Sections 6.01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6.03</w:t>
      </w:r>
      <w:r>
        <w:rPr>
          <w:rFonts w:ascii="Times New Roman" w:cs="Times New Roman" w:eastAsia="Times New Roman" w:hAnsi="Times New Roman"/>
          <w:sz w:val="14"/>
          <w:szCs w:val="14"/>
          <w:color w:val="auto"/>
        </w:rPr>
        <w:t xml:space="preserve">) cause each other Loan Party and each Material Subsidiary (or, in the case of the covenant set forth in </w:t>
      </w:r>
      <w:r>
        <w:rPr>
          <w:rFonts w:ascii="Times New Roman" w:cs="Times New Roman" w:eastAsia="Times New Roman" w:hAnsi="Times New Roman"/>
          <w:sz w:val="14"/>
          <w:szCs w:val="14"/>
          <w:u w:val="single" w:color="auto"/>
          <w:color w:val="auto"/>
        </w:rPr>
        <w:t>Section 6.16</w:t>
      </w:r>
      <w:r>
        <w:rPr>
          <w:rFonts w:ascii="Times New Roman" w:cs="Times New Roman" w:eastAsia="Times New Roman" w:hAnsi="Times New Roman"/>
          <w:sz w:val="14"/>
          <w:szCs w:val="14"/>
          <w:color w:val="auto"/>
        </w:rPr>
        <w:t>, each Subsidiary) that is not a Loan Party to:</w:t>
      </w:r>
    </w:p>
    <w:p>
      <w:pPr>
        <w:spacing w:after="0" w:line="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6.01 Financial Statements</w:t>
      </w:r>
      <w:r>
        <w:rPr>
          <w:rFonts w:ascii="Times New Roman" w:cs="Times New Roman" w:eastAsia="Times New Roman" w:hAnsi="Times New Roman"/>
          <w:sz w:val="14"/>
          <w:szCs w:val="14"/>
          <w:color w:val="auto"/>
        </w:rPr>
        <w:t>. Deliver to the Administrative Agent (for further distribution to each Lender):</w:t>
      </w:r>
    </w:p>
    <w:p>
      <w:pPr>
        <w:spacing w:after="0" w:line="93" w:lineRule="exact"/>
        <w:rPr>
          <w:sz w:val="20"/>
          <w:szCs w:val="20"/>
          <w:color w:val="auto"/>
        </w:rPr>
      </w:pPr>
    </w:p>
    <w:p>
      <w:pPr>
        <w:ind w:left="560" w:right="259" w:firstLine="327"/>
        <w:spacing w:after="0" w:line="256" w:lineRule="auto"/>
        <w:tabs>
          <w:tab w:leader="none" w:pos="1080" w:val="left"/>
        </w:tabs>
        <w:numPr>
          <w:ilvl w:val="0"/>
          <w:numId w:val="7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available, but in any event within 90 days after the end of each fiscal year of the Company,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59" w:lineRule="exact"/>
        <w:rPr>
          <w:rFonts w:ascii="Times New Roman" w:cs="Times New Roman" w:eastAsia="Times New Roman" w:hAnsi="Times New Roman"/>
          <w:sz w:val="14"/>
          <w:szCs w:val="14"/>
          <w:color w:val="auto"/>
        </w:rPr>
      </w:pPr>
    </w:p>
    <w:p>
      <w:pPr>
        <w:ind w:left="560" w:right="219" w:firstLine="327"/>
        <w:spacing w:after="0" w:line="254" w:lineRule="auto"/>
        <w:tabs>
          <w:tab w:leader="none" w:pos="1088" w:val="left"/>
        </w:tabs>
        <w:numPr>
          <w:ilvl w:val="0"/>
          <w:numId w:val="7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soon as available, but in any event within 45 days after the end of each of the first three fiscal quarters of each fiscal year of the Company, a consolidated balance sheet of the Company and its Subsidiaries as at the end of such fiscal quarter, the related consolidated statements of income or operations for such fiscal quarter and for the portion of the Company’s fiscal year then ended, and the related consolidated statements of changes in shareholders’ equity, and cash flows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 and such consolidating statements to be certified by the chief executive officer, chief financial officer, treasurer or controller of the Company to the effect that such statements are fairly stated in all material respects when considered in relation to the consolidated financial statements of the Company and its Subsidiaries;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239" w:right="1440" w:bottom="1440" w:gutter="0" w:footer="0" w:header="0"/>
        </w:sectPr>
      </w:pPr>
    </w:p>
    <w:bookmarkStart w:id="650" w:name="page651"/>
    <w:bookmarkEnd w:id="650"/>
    <w:p>
      <w:pPr>
        <w:ind w:left="560" w:right="319" w:firstLine="327"/>
        <w:spacing w:after="0" w:line="261" w:lineRule="auto"/>
        <w:tabs>
          <w:tab w:leader="none" w:pos="1080" w:val="left"/>
        </w:tabs>
        <w:numPr>
          <w:ilvl w:val="0"/>
          <w:numId w:val="7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as soon as available, but in any event not later than March 15 of each fiscal year of the Company, an annual business plan and budget of the Company and its Subsidiaries on a consolidated basis, including forecasts prepared by management of the Company of consolidated balance sheets and statements of income or operations and cash flows of the Company and its Subsidiaries on a quarterly basis for the then-current fiscal year (including the fiscal year in which the Maturity Date occurs).</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6.02 Certificates; Other Information</w:t>
      </w:r>
      <w:r>
        <w:rPr>
          <w:rFonts w:ascii="Times New Roman" w:cs="Times New Roman" w:eastAsia="Times New Roman" w:hAnsi="Times New Roman"/>
          <w:sz w:val="14"/>
          <w:szCs w:val="14"/>
          <w:color w:val="auto"/>
        </w:rPr>
        <w:t>. Deliver to the Administrative Agent (for further distribution to each Lender):</w:t>
      </w:r>
    </w:p>
    <w:p>
      <w:pPr>
        <w:spacing w:after="0" w:line="93" w:lineRule="exact"/>
        <w:rPr>
          <w:sz w:val="20"/>
          <w:szCs w:val="20"/>
          <w:color w:val="auto"/>
        </w:rPr>
      </w:pPr>
    </w:p>
    <w:p>
      <w:pPr>
        <w:ind w:left="560" w:right="839" w:firstLine="327"/>
        <w:spacing w:after="0" w:line="283" w:lineRule="auto"/>
        <w:tabs>
          <w:tab w:leader="none" w:pos="1080"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concurrently with the delivery of the financial statements referred to in </w:t>
      </w:r>
      <w:r>
        <w:rPr>
          <w:rFonts w:ascii="Times New Roman" w:cs="Times New Roman" w:eastAsia="Times New Roman" w:hAnsi="Times New Roman"/>
          <w:sz w:val="14"/>
          <w:szCs w:val="14"/>
          <w:u w:val="single" w:color="auto"/>
          <w:color w:val="auto"/>
        </w:rPr>
        <w:t>Sections 6.01(a)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a duly completed Compliance Certificate signed by the chief executive officer, chief financial officer, treasurer or controller of the Company;</w:t>
      </w:r>
    </w:p>
    <w:p>
      <w:pPr>
        <w:spacing w:after="0" w:line="40" w:lineRule="exact"/>
        <w:rPr>
          <w:rFonts w:ascii="Times New Roman" w:cs="Times New Roman" w:eastAsia="Times New Roman" w:hAnsi="Times New Roman"/>
          <w:sz w:val="14"/>
          <w:szCs w:val="14"/>
          <w:color w:val="auto"/>
        </w:rPr>
      </w:pPr>
    </w:p>
    <w:p>
      <w:pPr>
        <w:ind w:left="560" w:right="279" w:firstLine="327"/>
        <w:spacing w:after="0" w:line="261" w:lineRule="auto"/>
        <w:tabs>
          <w:tab w:leader="none" w:pos="1088"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and in any event within five Business Days after receipt thereof by any Loan Party or any Material Subsidiary thereof, copies of each material notice or other material correspondence received from the SEC (or comparable agency in any applicable non-U.S. jurisdiction) concerning any material investigation or inquiry by such agency regarding financial or other operational results of any Loan Party or any Material Subsidiary thereof;</w:t>
      </w:r>
    </w:p>
    <w:p>
      <w:pPr>
        <w:spacing w:after="0" w:line="56" w:lineRule="exact"/>
        <w:rPr>
          <w:rFonts w:ascii="Times New Roman" w:cs="Times New Roman" w:eastAsia="Times New Roman" w:hAnsi="Times New Roman"/>
          <w:sz w:val="14"/>
          <w:szCs w:val="14"/>
          <w:color w:val="auto"/>
        </w:rPr>
      </w:pPr>
    </w:p>
    <w:p>
      <w:pPr>
        <w:ind w:left="560" w:right="239" w:firstLine="327"/>
        <w:spacing w:after="0" w:line="267" w:lineRule="auto"/>
        <w:tabs>
          <w:tab w:leader="none" w:pos="1080" w:val="left"/>
        </w:tabs>
        <w:numPr>
          <w:ilvl w:val="0"/>
          <w:numId w:val="7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 and</w:t>
      </w:r>
    </w:p>
    <w:p>
      <w:pPr>
        <w:spacing w:after="0" w:line="51" w:lineRule="exact"/>
        <w:rPr>
          <w:rFonts w:ascii="Times New Roman" w:cs="Times New Roman" w:eastAsia="Times New Roman" w:hAnsi="Times New Roman"/>
          <w:sz w:val="14"/>
          <w:szCs w:val="14"/>
          <w:color w:val="auto"/>
        </w:rPr>
      </w:pPr>
    </w:p>
    <w:p>
      <w:pPr>
        <w:ind w:left="560" w:right="359" w:firstLine="327"/>
        <w:spacing w:after="0" w:line="323" w:lineRule="auto"/>
        <w:tabs>
          <w:tab w:leader="none" w:pos="1088" w:val="left"/>
        </w:tabs>
        <w:numPr>
          <w:ilvl w:val="0"/>
          <w:numId w:val="7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such additional information regarding the business, financial or corporate affairs of the Company or any Material Subsidiary, or compliance with the terms of the Loan Documents, as the Administrative Agent or any Lender may from time to time reasonably request.</w:t>
      </w:r>
    </w:p>
    <w:p>
      <w:pPr>
        <w:spacing w:after="0" w:line="102"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color w:val="auto"/>
        </w:rPr>
        <w:t xml:space="preserve">Documents required to be delivered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(to the extent any such documents are included in materials otherwise filed with the SEC) may be delivered electronically and if so delivered, shall be deemed to have been delivered on the date (x) on which the Company posts such documents, or provides a link thereto on the Company’s website on the Internet at the website address listed on </w:t>
      </w:r>
      <w:r>
        <w:rPr>
          <w:rFonts w:ascii="Times New Roman" w:cs="Times New Roman" w:eastAsia="Times New Roman" w:hAnsi="Times New Roman"/>
          <w:sz w:val="14"/>
          <w:szCs w:val="14"/>
          <w:u w:val="single" w:color="auto"/>
          <w:color w:val="auto"/>
        </w:rPr>
        <w:t>Schedule 11.02</w:t>
      </w:r>
      <w:r>
        <w:rPr>
          <w:rFonts w:ascii="Times New Roman" w:cs="Times New Roman" w:eastAsia="Times New Roman" w:hAnsi="Times New Roman"/>
          <w:sz w:val="14"/>
          <w:szCs w:val="14"/>
          <w:color w:val="auto"/>
        </w:rPr>
        <w:t xml:space="preserve">; or (y)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the Company shall deliver paper copies of such documents to the Administrative Agent or any Lender that requests the Company to deliver such paper copies until a written request to cease delivering paper copies is given by the Administrative Agent or such Lender and (ii) the Company shall notify the Administrative Agent and each Lender (by telecopier or electronic mail) of the posting of any such documents and provide to the Administrative Agent by electronic mail electronic versions (i.e., soft copies) of such documents to the extent not readily available on any such Intranet or website. Notwithstanding anything contained herein, in every instance the Company shall be required to provide paper copies of the Compliance Certificates required by </w:t>
      </w:r>
      <w:r>
        <w:rPr>
          <w:rFonts w:ascii="Times New Roman" w:cs="Times New Roman" w:eastAsia="Times New Roman" w:hAnsi="Times New Roman"/>
          <w:sz w:val="14"/>
          <w:szCs w:val="14"/>
          <w:u w:val="single" w:color="auto"/>
          <w:color w:val="auto"/>
        </w:rPr>
        <w:t>Section 6.02(a)</w:t>
      </w:r>
      <w:r>
        <w:rPr>
          <w:rFonts w:ascii="Times New Roman" w:cs="Times New Roman" w:eastAsia="Times New Roman" w:hAnsi="Times New Roman"/>
          <w:sz w:val="14"/>
          <w:szCs w:val="14"/>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241" w:right="1440" w:bottom="1440" w:gutter="0" w:footer="0" w:header="0"/>
        </w:sectPr>
      </w:pPr>
    </w:p>
    <w:bookmarkStart w:id="651" w:name="page652"/>
    <w:bookmarkEnd w:id="651"/>
    <w:p>
      <w:pPr>
        <w:ind w:left="220" w:right="259" w:firstLine="343"/>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Borrower hereby acknowledges that (a) the Administrative Agent and/or the Arranger will make available to the Lenders materials and/or information provided by or on behalf of the Borrower hereunder (collectively, “</w:t>
      </w:r>
      <w:r>
        <w:rPr>
          <w:rFonts w:ascii="Times New Roman" w:cs="Times New Roman" w:eastAsia="Times New Roman" w:hAnsi="Times New Roman"/>
          <w:sz w:val="14"/>
          <w:szCs w:val="14"/>
          <w:u w:val="single" w:color="auto"/>
          <w:color w:val="auto"/>
        </w:rPr>
        <w:t>Borrower Materials</w:t>
      </w:r>
      <w:r>
        <w:rPr>
          <w:rFonts w:ascii="Times New Roman" w:cs="Times New Roman" w:eastAsia="Times New Roman" w:hAnsi="Times New Roman"/>
          <w:sz w:val="14"/>
          <w:szCs w:val="14"/>
          <w:color w:val="auto"/>
        </w:rPr>
        <w:t>”) by posting the Borrower Materials on Intralinks or another similar electronic system (the “</w:t>
      </w:r>
      <w:r>
        <w:rPr>
          <w:rFonts w:ascii="Times New Roman" w:cs="Times New Roman" w:eastAsia="Times New Roman" w:hAnsi="Times New Roman"/>
          <w:sz w:val="14"/>
          <w:szCs w:val="14"/>
          <w:u w:val="single" w:color="auto"/>
          <w:color w:val="auto"/>
        </w:rPr>
        <w:t>Platform</w:t>
      </w:r>
      <w:r>
        <w:rPr>
          <w:rFonts w:ascii="Times New Roman" w:cs="Times New Roman" w:eastAsia="Times New Roman" w:hAnsi="Times New Roman"/>
          <w:sz w:val="14"/>
          <w:szCs w:val="14"/>
          <w:color w:val="auto"/>
        </w:rPr>
        <w:t>”) and (b) certain of the Lenders (each, a “</w:t>
      </w:r>
      <w:r>
        <w:rPr>
          <w:rFonts w:ascii="Times New Roman" w:cs="Times New Roman" w:eastAsia="Times New Roman" w:hAnsi="Times New Roman"/>
          <w:sz w:val="14"/>
          <w:szCs w:val="14"/>
          <w:u w:val="single" w:color="auto"/>
          <w:color w:val="auto"/>
        </w:rPr>
        <w:t>Public Lender</w:t>
      </w:r>
      <w:r>
        <w:rPr>
          <w:rFonts w:ascii="Times New Roman" w:cs="Times New Roman" w:eastAsia="Times New Roman" w:hAnsi="Times New Roman"/>
          <w:sz w:val="14"/>
          <w:szCs w:val="14"/>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 shall be deemed to have authorized the Administrative Agent, the Arranger and the Lenders to treat such Borrower Materials as not containing any material non-public information (although it may be sensitive and proprietary) with respect to the Borrower or its Affiliates or the respective securities of any of the foregoing for purposes of United States federal and state securities laws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such Borrower Materials constitute Information, they shall be treated as set forth in </w:t>
      </w:r>
      <w:r>
        <w:rPr>
          <w:rFonts w:ascii="Times New Roman" w:cs="Times New Roman" w:eastAsia="Times New Roman" w:hAnsi="Times New Roman"/>
          <w:sz w:val="14"/>
          <w:szCs w:val="14"/>
          <w:u w:val="single" w:color="auto"/>
          <w:color w:val="auto"/>
        </w:rPr>
        <w:t>Section 11.07</w:t>
      </w:r>
      <w:r>
        <w:rPr>
          <w:rFonts w:ascii="Times New Roman" w:cs="Times New Roman" w:eastAsia="Times New Roman" w:hAnsi="Times New Roman"/>
          <w:sz w:val="14"/>
          <w:szCs w:val="14"/>
          <w:color w:val="auto"/>
        </w:rPr>
        <w:t>); (y) all Borrower Materials marked “PUBLIC” are permitted to be made available through a portion of the Platform designated “Public Side Information;” and (z) the Administrative Agent and the Arranger shall be entitled to treat Borrower Materials that are not marked “PUBLIC” as being suitable only for posting on a portion of the Platform not designated “Public Side Information.”</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6.03 Notices</w:t>
      </w:r>
      <w:r>
        <w:rPr>
          <w:rFonts w:ascii="Times New Roman" w:cs="Times New Roman" w:eastAsia="Times New Roman" w:hAnsi="Times New Roman"/>
          <w:sz w:val="14"/>
          <w:szCs w:val="14"/>
          <w:color w:val="auto"/>
        </w:rPr>
        <w:t>. Promptly notify the Administrative Agent (for further notification to each Lender):</w:t>
      </w:r>
    </w:p>
    <w:p>
      <w:pPr>
        <w:spacing w:after="0" w:line="93" w:lineRule="exact"/>
        <w:rPr>
          <w:sz w:val="20"/>
          <w:szCs w:val="20"/>
          <w:color w:val="auto"/>
        </w:rPr>
      </w:pPr>
    </w:p>
    <w:p>
      <w:pPr>
        <w:ind w:left="1080" w:hanging="193"/>
        <w:spacing w:after="0"/>
        <w:tabs>
          <w:tab w:leader="none" w:pos="1080" w:val="left"/>
        </w:tabs>
        <w:numPr>
          <w:ilvl w:val="0"/>
          <w:numId w:val="7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occurrence of any Default;</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any matter that has resulted or could reasonably be expected to result in a Material Adverse Effect;</w:t>
      </w:r>
    </w:p>
    <w:p>
      <w:pPr>
        <w:spacing w:after="0" w:line="91" w:lineRule="exact"/>
        <w:rPr>
          <w:rFonts w:ascii="Times New Roman" w:cs="Times New Roman" w:eastAsia="Times New Roman" w:hAnsi="Times New Roman"/>
          <w:sz w:val="14"/>
          <w:szCs w:val="14"/>
          <w:color w:val="auto"/>
        </w:rPr>
      </w:pPr>
    </w:p>
    <w:p>
      <w:pPr>
        <w:ind w:left="560" w:right="679" w:firstLine="327"/>
        <w:spacing w:after="0" w:line="283" w:lineRule="auto"/>
        <w:tabs>
          <w:tab w:leader="none" w:pos="1080" w:val="left"/>
        </w:tabs>
        <w:numPr>
          <w:ilvl w:val="0"/>
          <w:numId w:val="7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occurrence of any ERISA Event or Foreign Plan Event that, either individually or together with any other ERISA Events or Foreign Plan Events, could reasonably be expected to have a Material Adverse Effect; and</w:t>
      </w:r>
    </w:p>
    <w:p>
      <w:pPr>
        <w:spacing w:after="0" w:line="40"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any material change in accounting policies or financial reporting practices by the Company.</w:t>
      </w:r>
    </w:p>
    <w:p>
      <w:pPr>
        <w:spacing w:after="0" w:line="175"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Each notice pursuant to this </w:t>
      </w:r>
      <w:r>
        <w:rPr>
          <w:rFonts w:ascii="Times New Roman" w:cs="Times New Roman" w:eastAsia="Times New Roman" w:hAnsi="Times New Roman"/>
          <w:sz w:val="14"/>
          <w:szCs w:val="14"/>
          <w:u w:val="single" w:color="auto"/>
          <w:color w:val="auto"/>
        </w:rPr>
        <w:t>Section 6.03</w:t>
      </w:r>
      <w:r>
        <w:rPr>
          <w:rFonts w:ascii="Times New Roman" w:cs="Times New Roman" w:eastAsia="Times New Roman" w:hAnsi="Times New Roman"/>
          <w:sz w:val="14"/>
          <w:szCs w:val="14"/>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14"/>
          <w:szCs w:val="14"/>
          <w:u w:val="single" w:color="auto"/>
          <w:color w:val="auto"/>
        </w:rPr>
        <w:t>Section 6.03(a)</w:t>
      </w:r>
      <w:r>
        <w:rPr>
          <w:rFonts w:ascii="Times New Roman" w:cs="Times New Roman" w:eastAsia="Times New Roman" w:hAnsi="Times New Roman"/>
          <w:sz w:val="14"/>
          <w:szCs w:val="14"/>
          <w:color w:val="auto"/>
        </w:rPr>
        <w:t xml:space="preserve"> shall describe with particularity any and all provisions of this Agreement and any other Loan Document that have been breached.</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6.04 Payment of Obligations</w:t>
      </w:r>
      <w:r>
        <w:rPr>
          <w:rFonts w:ascii="Times New Roman" w:cs="Times New Roman" w:eastAsia="Times New Roman" w:hAnsi="Times New Roman"/>
          <w:sz w:val="14"/>
          <w:szCs w:val="14"/>
          <w:color w:val="auto"/>
        </w:rPr>
        <w:t>. Pay and discharge as the same shall become due and payable, all its material obligations and liabilities, including</w:t>
      </w:r>
    </w:p>
    <w:p>
      <w:pPr>
        <w:spacing w:after="0" w:line="24" w:lineRule="exact"/>
        <w:rPr>
          <w:sz w:val="20"/>
          <w:szCs w:val="20"/>
          <w:color w:val="auto"/>
        </w:rPr>
      </w:pPr>
    </w:p>
    <w:p>
      <w:pPr>
        <w:ind w:left="220" w:right="279" w:hanging="5"/>
        <w:spacing w:after="0" w:line="254" w:lineRule="auto"/>
        <w:tabs>
          <w:tab w:leader="none" w:pos="410" w:val="left"/>
        </w:tabs>
        <w:numPr>
          <w:ilvl w:val="0"/>
          <w:numId w:val="7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 liabilities, assessments and governmental charges or levies upon it or its properties or assets, unless the same are being contested in good faith by appropriate proceedings diligently conducted and adequate reserves in accordance with GAAP are being maintained by it and (b) all lawful claims which, if unpaid, would by law become a Lien upon it or its properties or assets, unless the same are being contested in good faith by appropriate proceedings diligently conducted and adequate reserves are being maintained by it.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41" w:right="1440" w:bottom="1440" w:gutter="0" w:footer="0" w:header="0"/>
        </w:sectPr>
      </w:pPr>
    </w:p>
    <w:bookmarkStart w:id="652" w:name="page653"/>
    <w:bookmarkEnd w:id="652"/>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6.05 Preservation of Existence, Etc.</w:t>
      </w:r>
    </w:p>
    <w:p>
      <w:pPr>
        <w:spacing w:after="0" w:line="93" w:lineRule="exact"/>
        <w:rPr>
          <w:sz w:val="20"/>
          <w:szCs w:val="20"/>
          <w:color w:val="auto"/>
        </w:rPr>
      </w:pPr>
    </w:p>
    <w:p>
      <w:pPr>
        <w:ind w:left="560" w:right="659" w:firstLine="327"/>
        <w:spacing w:after="0" w:line="283" w:lineRule="auto"/>
        <w:tabs>
          <w:tab w:leader="none" w:pos="1080" w:val="left"/>
        </w:tabs>
        <w:numPr>
          <w:ilvl w:val="0"/>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14"/>
          <w:szCs w:val="14"/>
          <w:u w:val="single" w:color="auto"/>
          <w:color w:val="auto"/>
        </w:rPr>
        <w:t>Section 7.04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7.05</w:t>
      </w:r>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ind w:left="560" w:right="279" w:firstLine="327"/>
        <w:spacing w:after="0" w:line="283" w:lineRule="auto"/>
        <w:tabs>
          <w:tab w:leader="none" w:pos="1088" w:val="left"/>
        </w:tabs>
        <w:numPr>
          <w:ilvl w:val="0"/>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w:t>
      </w:r>
    </w:p>
    <w:p>
      <w:pPr>
        <w:spacing w:after="0" w:line="40"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Preserve or renew all of its IP Rights, the non-preservation of which could reasonably be expected to have a Material Adverse Effect.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6.06 Maintenance of Properties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499" w:firstLine="327"/>
        <w:spacing w:after="0" w:line="283" w:lineRule="auto"/>
        <w:tabs>
          <w:tab w:leader="none" w:pos="1080" w:val="left"/>
        </w:tabs>
        <w:numPr>
          <w:ilvl w:val="0"/>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preserve and protect all of its material properties and equipment necessary in the operation of its business in good working order and condition, ordinary wear and tear excepted.</w:t>
      </w:r>
    </w:p>
    <w:p>
      <w:pPr>
        <w:spacing w:after="0" w:line="40" w:lineRule="exact"/>
        <w:rPr>
          <w:rFonts w:ascii="Times New Roman" w:cs="Times New Roman" w:eastAsia="Times New Roman" w:hAnsi="Times New Roman"/>
          <w:sz w:val="14"/>
          <w:szCs w:val="14"/>
          <w:color w:val="auto"/>
        </w:rPr>
      </w:pPr>
    </w:p>
    <w:p>
      <w:pPr>
        <w:ind w:left="560" w:right="579" w:firstLine="327"/>
        <w:spacing w:after="0" w:line="283" w:lineRule="auto"/>
        <w:tabs>
          <w:tab w:leader="none" w:pos="1088" w:val="left"/>
        </w:tabs>
        <w:numPr>
          <w:ilvl w:val="0"/>
          <w:numId w:val="7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all necessary repairs thereto and renewals and replacements thereof except where the failure to do so could not reasonably be expected to have a Material Adverse Effect.</w:t>
      </w:r>
    </w:p>
    <w:p>
      <w:pPr>
        <w:spacing w:after="0" w:line="123" w:lineRule="exact"/>
        <w:rPr>
          <w:sz w:val="20"/>
          <w:szCs w:val="20"/>
          <w:color w:val="auto"/>
        </w:rPr>
      </w:pPr>
    </w:p>
    <w:p>
      <w:pPr>
        <w:ind w:left="220" w:right="23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6.07 Maintenance of Insurance</w:t>
      </w:r>
      <w:r>
        <w:rPr>
          <w:rFonts w:ascii="Times New Roman" w:cs="Times New Roman" w:eastAsia="Times New Roman" w:hAnsi="Times New Roman"/>
          <w:sz w:val="14"/>
          <w:szCs w:val="14"/>
          <w:color w:val="auto"/>
        </w:rPr>
        <w:t>. Maintain with financially sound and reputable insurance companies not Affiliates of the Borrower, insurance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 (or 10 days’ prior notice in the case of termination or cancellation due to non-payment).</w:t>
      </w:r>
    </w:p>
    <w:p>
      <w:pPr>
        <w:spacing w:after="0" w:line="141" w:lineRule="exact"/>
        <w:rPr>
          <w:sz w:val="20"/>
          <w:szCs w:val="20"/>
          <w:color w:val="auto"/>
        </w:rPr>
      </w:pPr>
    </w:p>
    <w:p>
      <w:pPr>
        <w:ind w:left="220" w:right="31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6.08 Compliance with Laws</w:t>
      </w:r>
      <w:r>
        <w:rPr>
          <w:rFonts w:ascii="Times New Roman" w:cs="Times New Roman" w:eastAsia="Times New Roman" w:hAnsi="Times New Roman"/>
          <w:sz w:val="14"/>
          <w:szCs w:val="14"/>
          <w:color w:val="auto"/>
        </w:rPr>
        <w:t>. Comply in all material respects with the requirements of all Laws and all orders, writs, injunctions and decrees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38" w:lineRule="exact"/>
        <w:rPr>
          <w:sz w:val="20"/>
          <w:szCs w:val="20"/>
          <w:color w:val="auto"/>
        </w:rPr>
      </w:pPr>
    </w:p>
    <w:p>
      <w:pPr>
        <w:ind w:left="220" w:right="77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6.09 Books and Records</w:t>
      </w:r>
      <w:r>
        <w:rPr>
          <w:rFonts w:ascii="Times New Roman" w:cs="Times New Roman" w:eastAsia="Times New Roman" w:hAnsi="Times New Roman"/>
          <w:sz w:val="14"/>
          <w:szCs w:val="14"/>
          <w:color w:val="auto"/>
        </w:rPr>
        <w:t>. Maintain proper books of record and account, in which full, true and correct entries in conformity with GAAP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consistently applied shall be made of all financial transactions and matters involving its assets and business.</w:t>
      </w:r>
    </w:p>
    <w:p>
      <w:pPr>
        <w:spacing w:after="0" w:line="121"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6.10 Inspection Rights</w:t>
      </w:r>
      <w:r>
        <w:rPr>
          <w:rFonts w:ascii="Times New Roman" w:cs="Times New Roman" w:eastAsia="Times New Roman" w:hAnsi="Times New Roman"/>
          <w:sz w:val="14"/>
          <w:szCs w:val="14"/>
          <w:color w:val="auto"/>
        </w:rPr>
        <w:t>. Permit representatives and independent contractors of the Administrative Agent to visit and inspect any of its properties,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Company and at the Company’s expense;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excluding any such visits and inspections during the continuation of an Event of Default, the Administrative Agent shall not exercise such rights more often than one time during any calendar year.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240" w:right="1440" w:bottom="1440" w:gutter="0" w:footer="0" w:header="0"/>
        </w:sectPr>
      </w:pPr>
    </w:p>
    <w:bookmarkStart w:id="653" w:name="page654"/>
    <w:bookmarkEnd w:id="653"/>
    <w:p>
      <w:pPr>
        <w:ind w:left="220" w:right="39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6.11 Use of Proceeds</w:t>
      </w:r>
      <w:r>
        <w:rPr>
          <w:rFonts w:ascii="Times New Roman" w:cs="Times New Roman" w:eastAsia="Times New Roman" w:hAnsi="Times New Roman"/>
          <w:sz w:val="14"/>
          <w:szCs w:val="14"/>
          <w:color w:val="auto"/>
        </w:rPr>
        <w:t>. Use the proceeds of the Credit Extensions (a) to pay fees and expenses incurred in connection with the transactions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contemplated hereby, (b) to consummate in part the Mirror Transactions (other than the Gold Special Dividend (as defined in the Mirror Merger Agreement)), (c) to fund any Cash Transfer (as defined in the Mirror Separation Agreement) payable by the Borrower to Mercury and (d) for other general corporate purposes of the Parent and its Subsidiaries not in contravention of any Law or of any Loan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proceeds of the Credit Extensions may be used to fund the Gold Special Dividend only (i) to the extent of proceeds of the Credit Extensions remaining after the application thereof to the SpinCo Cash Distribution and any Cash Transfer (in each case as defined in the Mirror Separation Agreement) and (ii) from and after the consummation of the Mirror Merger.</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6.12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33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6.13 Covenant to Guarantee Obligations and Give Security</w:t>
      </w:r>
      <w:r>
        <w:rPr>
          <w:rFonts w:ascii="Times New Roman" w:cs="Times New Roman" w:eastAsia="Times New Roman" w:hAnsi="Times New Roman"/>
          <w:sz w:val="14"/>
          <w:szCs w:val="14"/>
          <w:color w:val="auto"/>
        </w:rPr>
        <w:t>. Upon (x) the formation or acquisition of any new direct or indirect Material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Subsidiary (other than an Excluded Subsidiary), (y) any Subsidiary (other than an Excluded Subsidiary) becoming a Material Subsidiary (the date such Subsidiary is determined to be, or designated as, a Material Subsidiary in accordance with the definition thereof being the “</w:t>
      </w:r>
      <w:r>
        <w:rPr>
          <w:rFonts w:ascii="Times New Roman" w:cs="Times New Roman" w:eastAsia="Times New Roman" w:hAnsi="Times New Roman"/>
          <w:sz w:val="14"/>
          <w:szCs w:val="14"/>
          <w:u w:val="single" w:color="auto"/>
          <w:color w:val="auto"/>
        </w:rPr>
        <w:t>Material Subsidiary Date</w:t>
      </w:r>
      <w:r>
        <w:rPr>
          <w:rFonts w:ascii="Times New Roman" w:cs="Times New Roman" w:eastAsia="Times New Roman" w:hAnsi="Times New Roman"/>
          <w:sz w:val="14"/>
          <w:szCs w:val="14"/>
          <w:color w:val="auto"/>
        </w:rPr>
        <w:t>”) or (z) any Domestic Subsidiary providing a Guarantee of the Company Indebtedness or becoming a borrower under the Company Credit Agreement (such Domestic Subsidiary, a “</w:t>
      </w:r>
      <w:r>
        <w:rPr>
          <w:rFonts w:ascii="Times New Roman" w:cs="Times New Roman" w:eastAsia="Times New Roman" w:hAnsi="Times New Roman"/>
          <w:sz w:val="14"/>
          <w:szCs w:val="14"/>
          <w:u w:val="single" w:color="auto"/>
          <w:color w:val="auto"/>
        </w:rPr>
        <w:t>Company Debt Guarantor</w:t>
      </w:r>
      <w:r>
        <w:rPr>
          <w:rFonts w:ascii="Times New Roman" w:cs="Times New Roman" w:eastAsia="Times New Roman" w:hAnsi="Times New Roman"/>
          <w:sz w:val="14"/>
          <w:szCs w:val="14"/>
          <w:color w:val="auto"/>
        </w:rPr>
        <w:t>”), then the Company shall, in each case, at the Company’s expense:</w:t>
      </w:r>
    </w:p>
    <w:p>
      <w:pPr>
        <w:spacing w:after="0" w:line="58" w:lineRule="exact"/>
        <w:rPr>
          <w:sz w:val="20"/>
          <w:szCs w:val="20"/>
          <w:color w:val="auto"/>
        </w:rPr>
      </w:pPr>
    </w:p>
    <w:p>
      <w:pPr>
        <w:ind w:left="560" w:right="279" w:firstLine="327"/>
        <w:spacing w:after="0" w:line="256" w:lineRule="auto"/>
        <w:tabs>
          <w:tab w:leader="none" w:pos="1080"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in the case of Persons described in </w:t>
      </w:r>
      <w:r>
        <w:rPr>
          <w:rFonts w:ascii="Times New Roman" w:cs="Times New Roman" w:eastAsia="Times New Roman" w:hAnsi="Times New Roman"/>
          <w:sz w:val="14"/>
          <w:szCs w:val="14"/>
          <w:u w:val="single" w:color="auto"/>
          <w:color w:val="auto"/>
        </w:rPr>
        <w:t>clauses (x)</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(y)</w:t>
      </w:r>
      <w:r>
        <w:rPr>
          <w:rFonts w:ascii="Times New Roman" w:cs="Times New Roman" w:eastAsia="Times New Roman" w:hAnsi="Times New Roman"/>
          <w:sz w:val="14"/>
          <w:szCs w:val="14"/>
          <w:color w:val="auto"/>
        </w:rPr>
        <w:t xml:space="preserve"> in the preamble to this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 within 45 days (or such later date as shall be agreed by the Administrative Agent in its sole discretion) after such formation, acquisition or Material Subsidiary Date, as applicable and (ii) in the case of a Company Debt Guarantor, no later than the date such Person provides a Guarantee of the Company Indebtedness or the date such Person becomes a borrower under the Company Credit Agreement, as the case may be (or such later date as shall be agreed by the Administrative Agent in its sole discretion), cause such Person (such Material Subsidiary or Company Debt Guarantor being a “</w:t>
      </w:r>
      <w:r>
        <w:rPr>
          <w:rFonts w:ascii="Times New Roman" w:cs="Times New Roman" w:eastAsia="Times New Roman" w:hAnsi="Times New Roman"/>
          <w:sz w:val="14"/>
          <w:szCs w:val="14"/>
          <w:u w:val="single" w:color="auto"/>
          <w:color w:val="auto"/>
        </w:rPr>
        <w:t>New Guarantor</w:t>
      </w:r>
      <w:r>
        <w:rPr>
          <w:rFonts w:ascii="Times New Roman" w:cs="Times New Roman" w:eastAsia="Times New Roman" w:hAnsi="Times New Roman"/>
          <w:sz w:val="14"/>
          <w:szCs w:val="14"/>
          <w:color w:val="auto"/>
        </w:rPr>
        <w:t>”) to duly execute and deliver to the Administrative Agent a guaranty or guaranty supplement, in form and substance reasonably satisfactory to the Administrative Agent, guaranteeing the Obligations;</w:t>
      </w:r>
    </w:p>
    <w:p>
      <w:pPr>
        <w:spacing w:after="0" w:line="59" w:lineRule="exact"/>
        <w:rPr>
          <w:rFonts w:ascii="Times New Roman" w:cs="Times New Roman" w:eastAsia="Times New Roman" w:hAnsi="Times New Roman"/>
          <w:sz w:val="14"/>
          <w:szCs w:val="14"/>
          <w:color w:val="auto"/>
        </w:rPr>
      </w:pPr>
    </w:p>
    <w:p>
      <w:pPr>
        <w:ind w:left="560" w:right="279" w:firstLine="327"/>
        <w:spacing w:after="0" w:line="254" w:lineRule="auto"/>
        <w:tabs>
          <w:tab w:leader="none" w:pos="1088"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(i) each New Guarantor described in </w:t>
      </w:r>
      <w:r>
        <w:rPr>
          <w:rFonts w:ascii="Times New Roman" w:cs="Times New Roman" w:eastAsia="Times New Roman" w:hAnsi="Times New Roman"/>
          <w:sz w:val="14"/>
          <w:szCs w:val="14"/>
          <w:u w:val="single" w:color="auto"/>
          <w:color w:val="auto"/>
        </w:rPr>
        <w:t>Section 6.13(a)(i)</w:t>
      </w:r>
      <w:r>
        <w:rPr>
          <w:rFonts w:ascii="Times New Roman" w:cs="Times New Roman" w:eastAsia="Times New Roman" w:hAnsi="Times New Roman"/>
          <w:sz w:val="14"/>
          <w:szCs w:val="14"/>
          <w:color w:val="auto"/>
        </w:rPr>
        <w:t xml:space="preserve">, within 45 days (or such later date as shall be agreed by the Administrative Agent in its sole discretion) after such formation, acquisition or Material Subsidiary Date, as applicable and (ii) each New Guarantor described in </w:t>
      </w:r>
      <w:r>
        <w:rPr>
          <w:rFonts w:ascii="Times New Roman" w:cs="Times New Roman" w:eastAsia="Times New Roman" w:hAnsi="Times New Roman"/>
          <w:sz w:val="14"/>
          <w:szCs w:val="14"/>
          <w:u w:val="single" w:color="auto"/>
          <w:color w:val="auto"/>
        </w:rPr>
        <w:t>Section 6.13(a)(ii)</w:t>
      </w:r>
      <w:r>
        <w:rPr>
          <w:rFonts w:ascii="Times New Roman" w:cs="Times New Roman" w:eastAsia="Times New Roman" w:hAnsi="Times New Roman"/>
          <w:sz w:val="14"/>
          <w:szCs w:val="14"/>
          <w:color w:val="auto"/>
        </w:rPr>
        <w:t xml:space="preserve">, no later than the date such Person provides a Guarantee of the Company Indebtedness or the date such Person becomes a borrower under the Company Credit Agreement, as the case may be (or such later date as shall be agreed by the Administrative Agent in its sole discretion), cause such New Guarantor to duly execute and deliver to the Administrative Agent Security Agreement Supplements and other security agreements, pledge agreements and Account Control Agreements, as specified by and in form and substance reasonably satisfactory to the Administrative Agent (including delivery of all Equity Interests to be pledged and other instruments of the type specified in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securing payment of all Obligations and constituting perfected Liens (subject to Liens permitted by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on all of such New Guarantor’s property and assets (other than Excluded Assets); and</w:t>
      </w:r>
    </w:p>
    <w:p>
      <w:pPr>
        <w:spacing w:after="0" w:line="64" w:lineRule="exact"/>
        <w:rPr>
          <w:rFonts w:ascii="Times New Roman" w:cs="Times New Roman" w:eastAsia="Times New Roman" w:hAnsi="Times New Roman"/>
          <w:sz w:val="14"/>
          <w:szCs w:val="14"/>
          <w:color w:val="auto"/>
        </w:rPr>
      </w:pPr>
    </w:p>
    <w:p>
      <w:pPr>
        <w:ind w:left="560" w:right="239" w:firstLine="327"/>
        <w:spacing w:after="0" w:line="255" w:lineRule="auto"/>
        <w:tabs>
          <w:tab w:leader="none" w:pos="1080" w:val="left"/>
        </w:tabs>
        <w:numPr>
          <w:ilvl w:val="0"/>
          <w:numId w:val="7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(i) each New Guarantor described in </w:t>
      </w:r>
      <w:r>
        <w:rPr>
          <w:rFonts w:ascii="Times New Roman" w:cs="Times New Roman" w:eastAsia="Times New Roman" w:hAnsi="Times New Roman"/>
          <w:sz w:val="14"/>
          <w:szCs w:val="14"/>
          <w:u w:val="single" w:color="auto"/>
          <w:color w:val="auto"/>
        </w:rPr>
        <w:t>Section 6.13(a)(i)</w:t>
      </w:r>
      <w:r>
        <w:rPr>
          <w:rFonts w:ascii="Times New Roman" w:cs="Times New Roman" w:eastAsia="Times New Roman" w:hAnsi="Times New Roman"/>
          <w:sz w:val="14"/>
          <w:szCs w:val="14"/>
          <w:color w:val="auto"/>
        </w:rPr>
        <w:t xml:space="preserve">, within 45 days (or such later date as shall be agreed by the Administrative Agent in its sole discretion) after such formation, acquisition or Material Subsidiary Date, as applicable and (ii) each New Guarantor described in </w:t>
      </w:r>
      <w:r>
        <w:rPr>
          <w:rFonts w:ascii="Times New Roman" w:cs="Times New Roman" w:eastAsia="Times New Roman" w:hAnsi="Times New Roman"/>
          <w:sz w:val="14"/>
          <w:szCs w:val="14"/>
          <w:u w:val="single" w:color="auto"/>
          <w:color w:val="auto"/>
        </w:rPr>
        <w:t>Section 6.13(a)(ii)</w:t>
      </w:r>
      <w:r>
        <w:rPr>
          <w:rFonts w:ascii="Times New Roman" w:cs="Times New Roman" w:eastAsia="Times New Roman" w:hAnsi="Times New Roman"/>
          <w:sz w:val="14"/>
          <w:szCs w:val="14"/>
          <w:color w:val="auto"/>
        </w:rPr>
        <w:t xml:space="preserve">, no later than the date such Person provides a Guarantee of the Company Indebtedness or the date such Person becomes a borrower under the Company Credit Agreement, as the case may be (or such later date as shall be agreed by the Administrative Agent in its sole discretion), deliver to the Administrative Agent, upon the reasonable request (in advance of the date thereof in respect of Persons described in </w:t>
      </w:r>
      <w:r>
        <w:rPr>
          <w:rFonts w:ascii="Times New Roman" w:cs="Times New Roman" w:eastAsia="Times New Roman" w:hAnsi="Times New Roman"/>
          <w:sz w:val="14"/>
          <w:szCs w:val="14"/>
          <w:u w:val="single" w:color="auto"/>
          <w:color w:val="auto"/>
        </w:rPr>
        <w:t>clause (c)(ii)</w:t>
      </w:r>
      <w:r>
        <w:rPr>
          <w:rFonts w:ascii="Times New Roman" w:cs="Times New Roman" w:eastAsia="Times New Roman" w:hAnsi="Times New Roman"/>
          <w:sz w:val="14"/>
          <w:szCs w:val="14"/>
          <w:color w:val="auto"/>
        </w:rPr>
        <w:t xml:space="preserve"> hereof) of the Administrative Agent, a signed copy of a favorable opinion, addressed to the Administrative Agent and the Lenders, of counsel for the Loan Parties acceptable to the Administrative Agent as to the matters contained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above, and as to such other matters as the Administrative Agent may reasonably request.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239" w:right="1440" w:bottom="1440" w:gutter="0" w:footer="0" w:header="0"/>
        </w:sectPr>
      </w:pPr>
    </w:p>
    <w:bookmarkStart w:id="654" w:name="page655"/>
    <w:bookmarkEnd w:id="654"/>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Notwithstanding anything to the contrary in any Loan Document, (i) no more than 66% of the voting Equity Interests of any first-tier Foreign Subsidiary, any CFC, any CFC Holdco or any Disregarded Entity Borrower (as defined in the Company Credit Agreement as in effect on the date hereof) shall be pledged as security for the Obligations, (ii) [reserved], (iii) the Collateral shall not include (and no actions under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above shall be required or taken with respect thereto) (A) any Excluded Assets or (B) any fee-owned real property of any Loan Party, (iv) no Loan Party shall be required to execute and deliver any guaranty documentation governed under the laws of any jurisdiction other than the United States (or any State thereof), and (v) no action in any jurisdiction other than the United States shall be required in order to create or perfect any security interest in any assets of the Loan Parties (it being understood and agreed that no security agreements and no pledge agreements shall be governed under the laws of any jurisdiction other than the United States (or any State thereof)).</w:t>
      </w:r>
    </w:p>
    <w:p>
      <w:pPr>
        <w:spacing w:after="0" w:line="143"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b w:val="1"/>
          <w:bCs w:val="1"/>
          <w:color w:val="auto"/>
        </w:rPr>
        <w:t>6.14 Compliance with Environmental Laws</w:t>
      </w:r>
      <w:r>
        <w:rPr>
          <w:rFonts w:ascii="Times New Roman" w:cs="Times New Roman" w:eastAsia="Times New Roman" w:hAnsi="Times New Roman"/>
          <w:sz w:val="14"/>
          <w:szCs w:val="14"/>
          <w:color w:val="auto"/>
        </w:rPr>
        <w:t>. Comply, and take commercially reasonable efforts to cause all lessees and other Persons operating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or occupying its properties to comply, in all material respects, with all applicable Environmental Laws and Environmental Permits; obtain and renew all Environmental Permits necessary for its operations and properties, except where the failure to do so could not, individually or in the aggregate, reasonable be expected to have a Material Adverse Effect; and conduct any investigation, study, sampling and testing, and undertake any cleanup, removal, remedial or other action reasonably necessary to remove and clean up all Hazardous Materials from any of its properties, to the extent required by and in accordance with the requirements of all Environmental Laws;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it shall not be required to undertake any such cleanup, removal, remedial or other action to the extent that (x) its obligation to do so is being contested in good faith and by proper proceedings and appropriate reserves are being maintained with respect to such circumstances in accordance with GAAP or (y) such cleanup, removal, remedial or other action is not required by the applicable Governmental Authority after disclosure of the underlying matter to such Governmental Authority and the failure to undertake such cleanup, removal, remedial or other action could not, individually or in the aggregate, reasonably be expected to have a Material Adverse Effect.</w:t>
      </w:r>
    </w:p>
    <w:p>
      <w:pPr>
        <w:spacing w:after="0" w:line="146" w:lineRule="exact"/>
        <w:rPr>
          <w:sz w:val="20"/>
          <w:szCs w:val="20"/>
          <w:color w:val="auto"/>
        </w:rPr>
      </w:pPr>
    </w:p>
    <w:p>
      <w:pPr>
        <w:ind w:left="220" w:right="219" w:firstLine="343"/>
        <w:spacing w:after="0" w:line="254" w:lineRule="auto"/>
        <w:rPr>
          <w:sz w:val="20"/>
          <w:szCs w:val="20"/>
          <w:color w:val="auto"/>
        </w:rPr>
      </w:pPr>
      <w:r>
        <w:rPr>
          <w:rFonts w:ascii="Times New Roman" w:cs="Times New Roman" w:eastAsia="Times New Roman" w:hAnsi="Times New Roman"/>
          <w:sz w:val="14"/>
          <w:szCs w:val="14"/>
          <w:b w:val="1"/>
          <w:bCs w:val="1"/>
          <w:color w:val="auto"/>
        </w:rPr>
        <w:t>6.15 Further Assurances</w:t>
      </w:r>
      <w:r>
        <w:rPr>
          <w:rFonts w:ascii="Times New Roman" w:cs="Times New Roman" w:eastAsia="Times New Roman" w:hAnsi="Times New Roman"/>
          <w:sz w:val="14"/>
          <w:szCs w:val="14"/>
          <w:color w:val="auto"/>
        </w:rPr>
        <w:t>. Promptly upon request by the Administrative Agent, or any Lender through the Administrative Agent, (a) correct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Material Subsidiaries’ properties, assets, rights or interests to the Liens now or hereafter intended to be covered by any of the Collateral Documents,</w:t>
      </w:r>
    </w:p>
    <w:p>
      <w:pPr>
        <w:spacing w:after="0" w:line="4" w:lineRule="exact"/>
        <w:rPr>
          <w:sz w:val="20"/>
          <w:szCs w:val="20"/>
          <w:color w:val="auto"/>
        </w:rPr>
      </w:pPr>
    </w:p>
    <w:p>
      <w:pPr>
        <w:ind w:left="220" w:right="259" w:hanging="5"/>
        <w:spacing w:after="0" w:line="254" w:lineRule="auto"/>
        <w:tabs>
          <w:tab w:leader="none" w:pos="465" w:val="left"/>
        </w:tabs>
        <w:numPr>
          <w:ilvl w:val="0"/>
          <w:numId w:val="7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Material Subsidiaries is or is to be a party, and cause each of its Material Subsidiaries to do so.</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40" w:right="1440" w:bottom="1440" w:gutter="0" w:footer="0" w:header="0"/>
        </w:sectPr>
      </w:pPr>
    </w:p>
    <w:bookmarkStart w:id="655" w:name="page656"/>
    <w:bookmarkEnd w:id="655"/>
    <w:p>
      <w:pPr>
        <w:ind w:left="220" w:right="2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6.16 Anti-Corruption Laws; Sanctions</w:t>
      </w:r>
      <w:r>
        <w:rPr>
          <w:rFonts w:ascii="Times New Roman" w:cs="Times New Roman" w:eastAsia="Times New Roman" w:hAnsi="Times New Roman"/>
          <w:sz w:val="14"/>
          <w:szCs w:val="14"/>
          <w:color w:val="auto"/>
        </w:rPr>
        <w:t>. Conduct its business in compliance with (a) the United States Foreign Corrupt Practices Act of 1977,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UK Bribery Act 2010 and other similar anti-corruption legislation in other jurisdictions and maintain policies and procedures designed to promote and achieve compliance with such laws, and (b) all applicable Sanctions and maintain policies and procedures designed to promote and achieve compliance with such Sanctions.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NEGATIVE COVENANTS</w:t>
      </w:r>
    </w:p>
    <w:p>
      <w:pPr>
        <w:spacing w:after="0" w:line="161" w:lineRule="exact"/>
        <w:rPr>
          <w:sz w:val="20"/>
          <w:szCs w:val="20"/>
          <w:color w:val="auto"/>
        </w:rPr>
      </w:pPr>
    </w:p>
    <w:p>
      <w:pPr>
        <w:jc w:val="both"/>
        <w:ind w:left="220" w:right="2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At all times on and after the Parent Change Time (or, in the case of </w:t>
      </w:r>
      <w:r>
        <w:rPr>
          <w:rFonts w:ascii="Times New Roman" w:cs="Times New Roman" w:eastAsia="Times New Roman" w:hAnsi="Times New Roman"/>
          <w:sz w:val="14"/>
          <w:szCs w:val="14"/>
          <w:u w:val="single" w:color="auto"/>
          <w:color w:val="auto"/>
        </w:rPr>
        <w:t>Section 7.17</w:t>
      </w:r>
      <w:r>
        <w:rPr>
          <w:rFonts w:ascii="Times New Roman" w:cs="Times New Roman" w:eastAsia="Times New Roman" w:hAnsi="Times New Roman"/>
          <w:sz w:val="14"/>
          <w:szCs w:val="14"/>
          <w:color w:val="auto"/>
        </w:rPr>
        <w:t xml:space="preserve">, at all times on and after the Closing Date), so long as any Lender shall have any Commitment hereunder, any Loan or other Obligation hereunder shall remain unpaid or unsatisfied (other than any contingent claims for indemnification or expense reimbursement not yet asserted), the Parent shall not, nor shall it permit any other Loan Party or any Material Subsidiary (or, in the case of the covenants set forth in </w:t>
      </w:r>
      <w:r>
        <w:rPr>
          <w:rFonts w:ascii="Times New Roman" w:cs="Times New Roman" w:eastAsia="Times New Roman" w:hAnsi="Times New Roman"/>
          <w:sz w:val="14"/>
          <w:szCs w:val="14"/>
          <w:u w:val="single" w:color="auto"/>
          <w:color w:val="auto"/>
        </w:rPr>
        <w:t>Sections 7.15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7.16</w:t>
      </w:r>
      <w:r>
        <w:rPr>
          <w:rFonts w:ascii="Times New Roman" w:cs="Times New Roman" w:eastAsia="Times New Roman" w:hAnsi="Times New Roman"/>
          <w:sz w:val="14"/>
          <w:szCs w:val="14"/>
          <w:color w:val="auto"/>
        </w:rPr>
        <w:t>, any Subsidiary) that is not a Loan Party to, directly or indirectly:</w:t>
      </w:r>
    </w:p>
    <w:p>
      <w:pPr>
        <w:spacing w:after="0" w:line="139" w:lineRule="exact"/>
        <w:rPr>
          <w:sz w:val="20"/>
          <w:szCs w:val="20"/>
          <w:color w:val="auto"/>
        </w:rPr>
      </w:pPr>
    </w:p>
    <w:p>
      <w:pPr>
        <w:ind w:left="220" w:right="7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7.01 Liens</w:t>
      </w:r>
      <w:r>
        <w:rPr>
          <w:rFonts w:ascii="Times New Roman" w:cs="Times New Roman" w:eastAsia="Times New Roman" w:hAnsi="Times New Roman"/>
          <w:sz w:val="14"/>
          <w:szCs w:val="14"/>
          <w:color w:val="auto"/>
        </w:rPr>
        <w:t>. Create, incur, assume or suffer to exist any Lien upon any of its property, assets or revenues, whether now owned or hereafter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acquired, other than the following:</w:t>
      </w:r>
    </w:p>
    <w:p>
      <w:pPr>
        <w:spacing w:after="0" w:line="39" w:lineRule="exact"/>
        <w:rPr>
          <w:sz w:val="20"/>
          <w:szCs w:val="20"/>
          <w:color w:val="auto"/>
        </w:rPr>
      </w:pPr>
    </w:p>
    <w:p>
      <w:pPr>
        <w:ind w:left="1080" w:hanging="193"/>
        <w:spacing w:after="0"/>
        <w:tabs>
          <w:tab w:leader="none" w:pos="1080" w:val="left"/>
        </w:tabs>
        <w:numPr>
          <w:ilvl w:val="1"/>
          <w:numId w:val="7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the Obligations pursuant to any Loan Document;</w:t>
      </w:r>
    </w:p>
    <w:p>
      <w:pPr>
        <w:spacing w:after="0" w:line="91" w:lineRule="exact"/>
        <w:rPr>
          <w:rFonts w:ascii="Times New Roman" w:cs="Times New Roman" w:eastAsia="Times New Roman" w:hAnsi="Times New Roman"/>
          <w:sz w:val="14"/>
          <w:szCs w:val="14"/>
          <w:color w:val="auto"/>
        </w:rPr>
      </w:pPr>
    </w:p>
    <w:p>
      <w:pPr>
        <w:jc w:val="both"/>
        <w:ind w:left="560" w:right="279" w:firstLine="327"/>
        <w:spacing w:after="0" w:line="261" w:lineRule="auto"/>
        <w:tabs>
          <w:tab w:leader="none" w:pos="1088" w:val="left"/>
        </w:tabs>
        <w:numPr>
          <w:ilvl w:val="1"/>
          <w:numId w:val="7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existing on the Closing Date and, to the extent any such Lien secures obligations on the Closing Date in excess of $250,000, listed on </w:t>
      </w:r>
      <w:r>
        <w:rPr>
          <w:rFonts w:ascii="Times New Roman" w:cs="Times New Roman" w:eastAsia="Times New Roman" w:hAnsi="Times New Roman"/>
          <w:sz w:val="14"/>
          <w:szCs w:val="14"/>
          <w:u w:val="single" w:color="auto"/>
          <w:color w:val="auto"/>
        </w:rPr>
        <w:t>Schedule 7.01</w:t>
      </w:r>
      <w:r>
        <w:rPr>
          <w:rFonts w:ascii="Times New Roman" w:cs="Times New Roman" w:eastAsia="Times New Roman" w:hAnsi="Times New Roman"/>
          <w:sz w:val="14"/>
          <w:szCs w:val="14"/>
          <w:color w:val="auto"/>
        </w:rPr>
        <w:t xml:space="preserve"> and any renewals or extensions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14"/>
          <w:szCs w:val="14"/>
          <w:u w:val="single" w:color="auto"/>
          <w:color w:val="auto"/>
        </w:rPr>
        <w:t>Section 7.03(b)</w:t>
      </w:r>
      <w:r>
        <w:rPr>
          <w:rFonts w:ascii="Times New Roman" w:cs="Times New Roman" w:eastAsia="Times New Roman" w:hAnsi="Times New Roman"/>
          <w:sz w:val="14"/>
          <w:szCs w:val="14"/>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14"/>
          <w:szCs w:val="14"/>
          <w:u w:val="single" w:color="auto"/>
          <w:color w:val="auto"/>
        </w:rPr>
        <w:t>Section 7.03(b)</w:t>
      </w:r>
      <w:r>
        <w:rPr>
          <w:rFonts w:ascii="Times New Roman" w:cs="Times New Roman" w:eastAsia="Times New Roman" w:hAnsi="Times New Roman"/>
          <w:sz w:val="14"/>
          <w:szCs w:val="14"/>
          <w:color w:val="auto"/>
        </w:rPr>
        <w:t>;</w:t>
      </w:r>
    </w:p>
    <w:p>
      <w:pPr>
        <w:spacing w:after="0" w:line="56" w:lineRule="exact"/>
        <w:rPr>
          <w:rFonts w:ascii="Times New Roman" w:cs="Times New Roman" w:eastAsia="Times New Roman" w:hAnsi="Times New Roman"/>
          <w:sz w:val="14"/>
          <w:szCs w:val="14"/>
          <w:color w:val="auto"/>
        </w:rPr>
      </w:pPr>
    </w:p>
    <w:p>
      <w:pPr>
        <w:ind w:left="560" w:right="499" w:firstLine="327"/>
        <w:spacing w:after="0" w:line="283" w:lineRule="auto"/>
        <w:tabs>
          <w:tab w:leader="none" w:pos="1080" w:val="left"/>
        </w:tabs>
        <w:numPr>
          <w:ilvl w:val="1"/>
          <w:numId w:val="7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not yet delinquent or which are being contested in good faith and by appropriate proceedings diligently conducted, if adequate reserves with respect thereto are maintained on the books of the applicable Person in accordance with GAAP;</w:t>
      </w:r>
    </w:p>
    <w:p>
      <w:pPr>
        <w:spacing w:after="0" w:line="40" w:lineRule="exact"/>
        <w:rPr>
          <w:rFonts w:ascii="Times New Roman" w:cs="Times New Roman" w:eastAsia="Times New Roman" w:hAnsi="Times New Roman"/>
          <w:sz w:val="14"/>
          <w:szCs w:val="14"/>
          <w:color w:val="auto"/>
        </w:rPr>
      </w:pPr>
    </w:p>
    <w:p>
      <w:pPr>
        <w:ind w:left="560" w:right="279" w:firstLine="327"/>
        <w:spacing w:after="0" w:line="267" w:lineRule="auto"/>
        <w:tabs>
          <w:tab w:leader="none" w:pos="1088" w:val="left"/>
        </w:tabs>
        <w:numPr>
          <w:ilvl w:val="1"/>
          <w:numId w:val="7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51" w:lineRule="exact"/>
        <w:rPr>
          <w:rFonts w:ascii="Times New Roman" w:cs="Times New Roman" w:eastAsia="Times New Roman" w:hAnsi="Times New Roman"/>
          <w:sz w:val="14"/>
          <w:szCs w:val="14"/>
          <w:color w:val="auto"/>
        </w:rPr>
      </w:pPr>
    </w:p>
    <w:p>
      <w:pPr>
        <w:ind w:left="560" w:right="259" w:firstLine="327"/>
        <w:spacing w:after="0" w:line="277" w:lineRule="auto"/>
        <w:tabs>
          <w:tab w:leader="none" w:pos="1080" w:val="left"/>
        </w:tabs>
        <w:numPr>
          <w:ilvl w:val="1"/>
          <w:numId w:val="7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with respect to Subsidiaries incorporated or established in the Federal Republic of Germany, customary retention of title arrangements (including any extended retention of title arrangements (</w:t>
      </w:r>
      <w:r>
        <w:rPr>
          <w:rFonts w:ascii="Times New Roman" w:cs="Times New Roman" w:eastAsia="Times New Roman" w:hAnsi="Times New Roman"/>
          <w:sz w:val="13"/>
          <w:szCs w:val="13"/>
          <w:i w:val="1"/>
          <w:iCs w:val="1"/>
          <w:color w:val="auto"/>
        </w:rPr>
        <w:t>verlängerter Eigentumsvorbehalt</w:t>
      </w:r>
      <w:r>
        <w:rPr>
          <w:rFonts w:ascii="Times New Roman" w:cs="Times New Roman" w:eastAsia="Times New Roman" w:hAnsi="Times New Roman"/>
          <w:sz w:val="13"/>
          <w:szCs w:val="13"/>
          <w:color w:val="auto"/>
        </w:rPr>
        <w:t>)) arising in the ordinary course of business and pledges in favor of account banks pursuant to their general terms and conditions (</w:t>
      </w:r>
      <w:r>
        <w:rPr>
          <w:rFonts w:ascii="Times New Roman" w:cs="Times New Roman" w:eastAsia="Times New Roman" w:hAnsi="Times New Roman"/>
          <w:sz w:val="13"/>
          <w:szCs w:val="13"/>
          <w:i w:val="1"/>
          <w:iCs w:val="1"/>
          <w:color w:val="auto"/>
        </w:rPr>
        <w:t>Allgemeine Geschäftsbedingungen</w:t>
      </w:r>
      <w:r>
        <w:rPr>
          <w:rFonts w:ascii="Times New Roman" w:cs="Times New Roman" w:eastAsia="Times New Roman" w:hAnsi="Times New Roman"/>
          <w:sz w:val="13"/>
          <w:szCs w:val="13"/>
          <w:color w:val="auto"/>
        </w:rPr>
        <w:t>) with respect to bank accounts and</w:t>
      </w:r>
    </w:p>
    <w:p>
      <w:pPr>
        <w:spacing w:after="0" w:line="1" w:lineRule="exact"/>
        <w:rPr>
          <w:rFonts w:ascii="Times New Roman" w:cs="Times New Roman" w:eastAsia="Times New Roman" w:hAnsi="Times New Roman"/>
          <w:sz w:val="13"/>
          <w:szCs w:val="13"/>
          <w:color w:val="auto"/>
        </w:rPr>
      </w:pPr>
    </w:p>
    <w:p>
      <w:pPr>
        <w:ind w:left="760" w:hanging="202"/>
        <w:spacing w:after="0"/>
        <w:tabs>
          <w:tab w:leader="none" w:pos="760" w:val="left"/>
        </w:tabs>
        <w:numPr>
          <w:ilvl w:val="0"/>
          <w:numId w:val="7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connection with Cash Pooling Arrangements;</w:t>
      </w:r>
    </w:p>
    <w:p>
      <w:pPr>
        <w:spacing w:after="0" w:line="76" w:lineRule="exact"/>
        <w:rPr>
          <w:rFonts w:ascii="Times New Roman" w:cs="Times New Roman" w:eastAsia="Times New Roman" w:hAnsi="Times New Roman"/>
          <w:sz w:val="14"/>
          <w:szCs w:val="14"/>
          <w:color w:val="auto"/>
        </w:rPr>
      </w:pPr>
    </w:p>
    <w:p>
      <w:pPr>
        <w:ind w:left="560" w:right="499" w:firstLine="327"/>
        <w:spacing w:after="0" w:line="283" w:lineRule="auto"/>
        <w:tabs>
          <w:tab w:leader="none" w:pos="1064" w:val="left"/>
        </w:tabs>
        <w:numPr>
          <w:ilvl w:val="1"/>
          <w:numId w:val="7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pledges or deposits in the ordinary course of business in connection with workers’ compensation, unemployment insurance and other social security legislation, other than any Lien imposed by ERISA;</w:t>
      </w:r>
    </w:p>
    <w:p>
      <w:pPr>
        <w:spacing w:after="0" w:line="40" w:lineRule="exact"/>
        <w:rPr>
          <w:rFonts w:ascii="Times New Roman" w:cs="Times New Roman" w:eastAsia="Times New Roman" w:hAnsi="Times New Roman"/>
          <w:sz w:val="14"/>
          <w:szCs w:val="14"/>
          <w:color w:val="auto"/>
        </w:rPr>
      </w:pPr>
    </w:p>
    <w:p>
      <w:pPr>
        <w:ind w:left="560" w:right="339" w:firstLine="327"/>
        <w:spacing w:after="0" w:line="283" w:lineRule="auto"/>
        <w:tabs>
          <w:tab w:leader="none" w:pos="1088" w:val="left"/>
        </w:tabs>
        <w:numPr>
          <w:ilvl w:val="1"/>
          <w:numId w:val="7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240" w:right="1440" w:bottom="1440" w:gutter="0" w:footer="0" w:header="0"/>
        </w:sectPr>
      </w:pPr>
    </w:p>
    <w:bookmarkStart w:id="656" w:name="page657"/>
    <w:bookmarkEnd w:id="656"/>
    <w:p>
      <w:pPr>
        <w:jc w:val="both"/>
        <w:ind w:left="560" w:right="299" w:firstLine="327"/>
        <w:spacing w:after="0" w:line="267" w:lineRule="auto"/>
        <w:tabs>
          <w:tab w:leader="none" w:pos="1088"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51"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judgments for the payment of money not constituting an Event of Default under </w:t>
      </w:r>
      <w:r>
        <w:rPr>
          <w:rFonts w:ascii="Times New Roman" w:cs="Times New Roman" w:eastAsia="Times New Roman" w:hAnsi="Times New Roman"/>
          <w:sz w:val="14"/>
          <w:szCs w:val="14"/>
          <w:u w:val="single" w:color="auto"/>
          <w:color w:val="auto"/>
        </w:rPr>
        <w:t>Section 8.01(h)</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560" w:right="239" w:firstLine="327"/>
        <w:spacing w:after="0" w:line="267" w:lineRule="auto"/>
        <w:tabs>
          <w:tab w:leader="none" w:pos="1057"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Indebtedness permitted under </w:t>
      </w:r>
      <w:r>
        <w:rPr>
          <w:rFonts w:ascii="Times New Roman" w:cs="Times New Roman" w:eastAsia="Times New Roman" w:hAnsi="Times New Roman"/>
          <w:sz w:val="14"/>
          <w:szCs w:val="14"/>
          <w:u w:val="single" w:color="auto"/>
          <w:color w:val="auto"/>
        </w:rPr>
        <w:t>Section 7.03(e)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5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assets of Excluded Subsidiaries securing Indebtedness of Excluded Subsidiaries permitted by </w:t>
      </w:r>
      <w:r>
        <w:rPr>
          <w:rFonts w:ascii="Times New Roman" w:cs="Times New Roman" w:eastAsia="Times New Roman" w:hAnsi="Times New Roman"/>
          <w:sz w:val="14"/>
          <w:szCs w:val="14"/>
          <w:u w:val="single" w:color="auto"/>
          <w:color w:val="auto"/>
        </w:rPr>
        <w:t>Section 7.03(g)</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0"/>
          <w:numId w:val="7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assets or Equity Interests of any Subsidiary of the Company organized in China securing Indebtedness permitted by</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u w:val="single" w:color="auto"/>
          <w:color w:val="auto"/>
        </w:rPr>
        <w:t>Section 7.03(j)</w:t>
      </w:r>
      <w:r>
        <w:rPr>
          <w:rFonts w:ascii="Times New Roman" w:cs="Times New Roman" w:eastAsia="Times New Roman" w:hAnsi="Times New Roman"/>
          <w:sz w:val="14"/>
          <w:szCs w:val="14"/>
          <w:color w:val="auto"/>
        </w:rPr>
        <w:t>;</w:t>
      </w:r>
    </w:p>
    <w:p>
      <w:pPr>
        <w:spacing w:after="0" w:line="77" w:lineRule="exact"/>
        <w:rPr>
          <w:sz w:val="20"/>
          <w:szCs w:val="20"/>
          <w:color w:val="auto"/>
        </w:rPr>
      </w:pPr>
    </w:p>
    <w:p>
      <w:pPr>
        <w:ind w:left="560" w:right="919" w:firstLine="327"/>
        <w:spacing w:after="0" w:line="283" w:lineRule="auto"/>
        <w:tabs>
          <w:tab w:leader="none" w:pos="1127" w:val="left"/>
        </w:tabs>
        <w:numPr>
          <w:ilvl w:val="0"/>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the assets or Equity Interests of any Foreign Subsidiary that is not a Loan Party securing Indebtedness permitted by </w:t>
      </w:r>
      <w:r>
        <w:rPr>
          <w:rFonts w:ascii="Times New Roman" w:cs="Times New Roman" w:eastAsia="Times New Roman" w:hAnsi="Times New Roman"/>
          <w:sz w:val="14"/>
          <w:szCs w:val="14"/>
          <w:u w:val="single" w:color="auto"/>
          <w:color w:val="auto"/>
        </w:rPr>
        <w:t>Section 7.03(k)</w:t>
      </w:r>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the real property owned by Gentherm Properties II, LLC securing the Indebtedness permitted by </w:t>
      </w:r>
      <w:r>
        <w:rPr>
          <w:rFonts w:ascii="Times New Roman" w:cs="Times New Roman" w:eastAsia="Times New Roman" w:hAnsi="Times New Roman"/>
          <w:sz w:val="14"/>
          <w:szCs w:val="14"/>
          <w:u w:val="single" w:color="auto"/>
          <w:color w:val="auto"/>
        </w:rPr>
        <w:t>Section 7.03(i)</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jc w:val="both"/>
        <w:ind w:left="560" w:right="439" w:firstLine="327"/>
        <w:spacing w:after="0" w:line="267" w:lineRule="auto"/>
        <w:tabs>
          <w:tab w:leader="none" w:pos="1088" w:val="left"/>
        </w:tabs>
        <w:numPr>
          <w:ilvl w:val="0"/>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granted in connection with any Securitization Transaction;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such Liens extend only to the assets subject to such Securitization Transaction and equity interests of any special purpose subsidiary organized in connection therewith, and (ii) such Securitization Transaction is permitted by </w:t>
      </w:r>
      <w:r>
        <w:rPr>
          <w:rFonts w:ascii="Times New Roman" w:cs="Times New Roman" w:eastAsia="Times New Roman" w:hAnsi="Times New Roman"/>
          <w:sz w:val="14"/>
          <w:szCs w:val="14"/>
          <w:u w:val="single" w:color="auto"/>
          <w:color w:val="auto"/>
        </w:rPr>
        <w:t>Section 7.03(l)</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customs and revenue authorities to secure payment of customs duties in connection with the importation of goods;</w:t>
      </w:r>
    </w:p>
    <w:p>
      <w:pPr>
        <w:spacing w:after="0" w:line="91" w:lineRule="exact"/>
        <w:rPr>
          <w:rFonts w:ascii="Times New Roman" w:cs="Times New Roman" w:eastAsia="Times New Roman" w:hAnsi="Times New Roman"/>
          <w:sz w:val="14"/>
          <w:szCs w:val="14"/>
          <w:color w:val="auto"/>
        </w:rPr>
      </w:pPr>
    </w:p>
    <w:p>
      <w:pPr>
        <w:ind w:left="560" w:right="559" w:firstLine="327"/>
        <w:spacing w:after="0" w:line="283" w:lineRule="auto"/>
        <w:tabs>
          <w:tab w:leader="none" w:pos="1088" w:val="left"/>
        </w:tabs>
        <w:numPr>
          <w:ilvl w:val="0"/>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Company Indebtedness permitted to be incurred pursuant to </w:t>
      </w:r>
      <w:r>
        <w:rPr>
          <w:rFonts w:ascii="Times New Roman" w:cs="Times New Roman" w:eastAsia="Times New Roman" w:hAnsi="Times New Roman"/>
          <w:sz w:val="14"/>
          <w:szCs w:val="14"/>
          <w:u w:val="single" w:color="auto"/>
          <w:color w:val="auto"/>
        </w:rPr>
        <w:t>Section 7.03(n)</w:t>
      </w:r>
      <w:r>
        <w:rPr>
          <w:rFonts w:ascii="Times New Roman" w:cs="Times New Roman" w:eastAsia="Times New Roman" w:hAnsi="Times New Roman"/>
          <w:sz w:val="14"/>
          <w:szCs w:val="14"/>
          <w:color w:val="auto"/>
        </w:rPr>
        <w:t>, to the extent such Liens are at all times subject to a Pari Passu Intercreditor Agreement;</w:t>
      </w:r>
    </w:p>
    <w:p>
      <w:pPr>
        <w:spacing w:after="0" w:line="40"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0"/>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assets that are the subject of any Permitted Sale Leaseback permitted by </w:t>
      </w:r>
      <w:r>
        <w:rPr>
          <w:rFonts w:ascii="Times New Roman" w:cs="Times New Roman" w:eastAsia="Times New Roman" w:hAnsi="Times New Roman"/>
          <w:sz w:val="14"/>
          <w:szCs w:val="14"/>
          <w:u w:val="single" w:color="auto"/>
          <w:color w:val="auto"/>
        </w:rPr>
        <w:t>Section 7.05</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Incremental Equivalent Debt, to the extent subject to an Intercreditor Agreement;</w:t>
      </w:r>
    </w:p>
    <w:p>
      <w:pPr>
        <w:spacing w:after="0" w:line="91" w:lineRule="exact"/>
        <w:rPr>
          <w:rFonts w:ascii="Times New Roman" w:cs="Times New Roman" w:eastAsia="Times New Roman" w:hAnsi="Times New Roman"/>
          <w:sz w:val="14"/>
          <w:szCs w:val="14"/>
          <w:color w:val="auto"/>
        </w:rPr>
      </w:pPr>
    </w:p>
    <w:p>
      <w:pPr>
        <w:ind w:left="560" w:right="379" w:firstLine="327"/>
        <w:spacing w:after="0" w:line="283" w:lineRule="auto"/>
        <w:tabs>
          <w:tab w:leader="none" w:pos="1057" w:val="left"/>
        </w:tabs>
        <w:numPr>
          <w:ilvl w:val="0"/>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Liens securing Indebtedness and other obligations of the Company and its Material Subsidiaries in an aggregate principal amount not to exceed an amount at any one time outstanding equal to the greater of (i) $47,000,000 and (ii) 25% of TTM Consolidated EBITDA; and</w:t>
      </w:r>
    </w:p>
    <w:p>
      <w:pPr>
        <w:spacing w:after="0" w:line="40" w:lineRule="exact"/>
        <w:rPr>
          <w:rFonts w:ascii="Times New Roman" w:cs="Times New Roman" w:eastAsia="Times New Roman" w:hAnsi="Times New Roman"/>
          <w:sz w:val="14"/>
          <w:szCs w:val="14"/>
          <w:color w:val="auto"/>
        </w:rPr>
      </w:pPr>
    </w:p>
    <w:p>
      <w:pPr>
        <w:ind w:left="560" w:right="359" w:firstLine="327"/>
        <w:spacing w:after="0" w:line="261" w:lineRule="auto"/>
        <w:tabs>
          <w:tab w:leader="none" w:pos="1088" w:val="left"/>
        </w:tabs>
        <w:numPr>
          <w:ilvl w:val="0"/>
          <w:numId w:val="7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Indebtedness permitted under </w:t>
      </w:r>
      <w:r>
        <w:rPr>
          <w:rFonts w:ascii="Times New Roman" w:cs="Times New Roman" w:eastAsia="Times New Roman" w:hAnsi="Times New Roman"/>
          <w:sz w:val="14"/>
          <w:szCs w:val="14"/>
          <w:u w:val="single" w:color="auto"/>
          <w:color w:val="auto"/>
        </w:rPr>
        <w:t>Section 7.03(q)</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Liens (i) do not at any time encumber any property other than assets and Persons acquired in the applicable Permitted Acquisition or permitted Investment, (ii) were not created in contemplation of the applicable Permitted Acquisition or permitted Investment and (iii) secure only those obligations and unused commitments that it secured on the date of such acquisition or the date such Person becomes a Subsidiary.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241" w:right="1440" w:bottom="1440" w:gutter="0" w:footer="0" w:header="0"/>
        </w:sectPr>
      </w:pPr>
    </w:p>
    <w:bookmarkStart w:id="657" w:name="page658"/>
    <w:bookmarkEnd w:id="657"/>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7.02 Investments</w:t>
      </w:r>
      <w:r>
        <w:rPr>
          <w:rFonts w:ascii="Times New Roman" w:cs="Times New Roman" w:eastAsia="Times New Roman" w:hAnsi="Times New Roman"/>
          <w:sz w:val="14"/>
          <w:szCs w:val="14"/>
          <w:color w:val="auto"/>
        </w:rPr>
        <w:t>. Make any Investments, except:</w:t>
      </w:r>
    </w:p>
    <w:p>
      <w:pPr>
        <w:spacing w:after="0" w:line="93" w:lineRule="exact"/>
        <w:rPr>
          <w:sz w:val="20"/>
          <w:szCs w:val="20"/>
          <w:color w:val="auto"/>
        </w:rPr>
      </w:pPr>
    </w:p>
    <w:p>
      <w:pPr>
        <w:ind w:left="1080" w:hanging="193"/>
        <w:spacing w:after="0"/>
        <w:tabs>
          <w:tab w:leader="none" w:pos="1080"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held or made by the Company or such Material Subsidiary in the form of cash and Cash Equivalents;</w:t>
      </w:r>
    </w:p>
    <w:p>
      <w:pPr>
        <w:spacing w:after="0" w:line="91" w:lineRule="exact"/>
        <w:rPr>
          <w:rFonts w:ascii="Times New Roman" w:cs="Times New Roman" w:eastAsia="Times New Roman" w:hAnsi="Times New Roman"/>
          <w:sz w:val="14"/>
          <w:szCs w:val="14"/>
          <w:color w:val="auto"/>
        </w:rPr>
      </w:pPr>
    </w:p>
    <w:p>
      <w:pPr>
        <w:ind w:left="560" w:right="679" w:firstLine="327"/>
        <w:spacing w:after="0" w:line="283" w:lineRule="auto"/>
        <w:tabs>
          <w:tab w:leader="none" w:pos="1088"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to officers, directors and employees of the Company and its Material Subsidiaries in an aggregate amount not to exceed $500,000 at any time outstanding, for travel, entertainment, relocation and analogous ordinary business purposes;</w:t>
      </w:r>
    </w:p>
    <w:p>
      <w:pPr>
        <w:spacing w:after="0" w:line="40" w:lineRule="exact"/>
        <w:rPr>
          <w:rFonts w:ascii="Times New Roman" w:cs="Times New Roman" w:eastAsia="Times New Roman" w:hAnsi="Times New Roman"/>
          <w:sz w:val="14"/>
          <w:szCs w:val="14"/>
          <w:color w:val="auto"/>
        </w:rPr>
      </w:pPr>
    </w:p>
    <w:p>
      <w:pPr>
        <w:ind w:left="560" w:right="259" w:firstLine="327"/>
        <w:spacing w:after="0" w:line="267" w:lineRule="auto"/>
        <w:tabs>
          <w:tab w:leader="none" w:pos="1080"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Investments in any Person that is a Loan Party prior to giving effect to such Investment (including any new Subsidiary that becomes a Loan Party simultaneously with such Investment) and (ii) Investments by any Subsidiary of the Company that is not a Loan Party in any Subsidiary of the Company that is not a Loan Party;</w:t>
      </w:r>
    </w:p>
    <w:p>
      <w:pPr>
        <w:spacing w:after="0" w:line="51" w:lineRule="exact"/>
        <w:rPr>
          <w:rFonts w:ascii="Times New Roman" w:cs="Times New Roman" w:eastAsia="Times New Roman" w:hAnsi="Times New Roman"/>
          <w:sz w:val="14"/>
          <w:szCs w:val="14"/>
          <w:color w:val="auto"/>
        </w:rPr>
      </w:pPr>
    </w:p>
    <w:p>
      <w:pPr>
        <w:ind w:left="560" w:right="339" w:firstLine="327"/>
        <w:spacing w:after="0" w:line="267" w:lineRule="auto"/>
        <w:tabs>
          <w:tab w:leader="none" w:pos="1088"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51" w:lineRule="exact"/>
        <w:rPr>
          <w:rFonts w:ascii="Times New Roman" w:cs="Times New Roman" w:eastAsia="Times New Roman" w:hAnsi="Times New Roman"/>
          <w:sz w:val="14"/>
          <w:szCs w:val="14"/>
          <w:color w:val="auto"/>
        </w:rPr>
      </w:pPr>
    </w:p>
    <w:p>
      <w:pPr>
        <w:ind w:left="560" w:right="379" w:firstLine="327"/>
        <w:spacing w:after="0" w:line="267" w:lineRule="auto"/>
        <w:tabs>
          <w:tab w:leader="none" w:pos="1080"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Guarantees either (i) permitted by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(other than by reference to this </w:t>
      </w:r>
      <w:r>
        <w:rPr>
          <w:rFonts w:ascii="Times New Roman" w:cs="Times New Roman" w:eastAsia="Times New Roman" w:hAnsi="Times New Roman"/>
          <w:sz w:val="14"/>
          <w:szCs w:val="14"/>
          <w:u w:val="single" w:color="auto"/>
          <w:color w:val="auto"/>
        </w:rPr>
        <w:t>Section 7.02</w:t>
      </w:r>
      <w:r>
        <w:rPr>
          <w:rFonts w:ascii="Times New Roman" w:cs="Times New Roman" w:eastAsia="Times New Roman" w:hAnsi="Times New Roman"/>
          <w:sz w:val="14"/>
          <w:szCs w:val="14"/>
          <w:color w:val="auto"/>
        </w:rPr>
        <w:t xml:space="preserve"> (or any sub-clause hereof)) or (ii) of Indebtedness of any Subsidiary which Indebtedness would be permitted by </w:t>
      </w:r>
      <w:r>
        <w:rPr>
          <w:rFonts w:ascii="Times New Roman" w:cs="Times New Roman" w:eastAsia="Times New Roman" w:hAnsi="Times New Roman"/>
          <w:sz w:val="14"/>
          <w:szCs w:val="14"/>
          <w:u w:val="single" w:color="auto"/>
          <w:color w:val="auto"/>
        </w:rPr>
        <w:t>Section 7.03(e)</w:t>
      </w:r>
      <w:r>
        <w:rPr>
          <w:rFonts w:ascii="Times New Roman" w:cs="Times New Roman" w:eastAsia="Times New Roman" w:hAnsi="Times New Roman"/>
          <w:sz w:val="14"/>
          <w:szCs w:val="14"/>
          <w:color w:val="auto"/>
        </w:rPr>
        <w:t xml:space="preserve"> if incurred directly by the Borrowers or any Material Subsidiary of the Borrowers;</w:t>
      </w:r>
    </w:p>
    <w:p>
      <w:pPr>
        <w:spacing w:after="0" w:line="51" w:lineRule="exact"/>
        <w:rPr>
          <w:rFonts w:ascii="Times New Roman" w:cs="Times New Roman" w:eastAsia="Times New Roman" w:hAnsi="Times New Roman"/>
          <w:sz w:val="14"/>
          <w:szCs w:val="14"/>
          <w:color w:val="auto"/>
        </w:rPr>
      </w:pPr>
    </w:p>
    <w:p>
      <w:pPr>
        <w:ind w:left="560" w:right="359" w:firstLine="327"/>
        <w:spacing w:after="0" w:line="283" w:lineRule="auto"/>
        <w:tabs>
          <w:tab w:leader="none" w:pos="1064"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Permitted Acquisitions and (ii) the Mirror Transactions (including all Investments of the Borrower and its Subsidiaries existing as of the Mirror Transactions Funding Date);</w:t>
      </w:r>
    </w:p>
    <w:p>
      <w:pPr>
        <w:spacing w:after="0" w:line="40" w:lineRule="exact"/>
        <w:rPr>
          <w:rFonts w:ascii="Times New Roman" w:cs="Times New Roman" w:eastAsia="Times New Roman" w:hAnsi="Times New Roman"/>
          <w:sz w:val="14"/>
          <w:szCs w:val="14"/>
          <w:color w:val="auto"/>
        </w:rPr>
      </w:pPr>
    </w:p>
    <w:p>
      <w:pPr>
        <w:ind w:left="560" w:right="259" w:firstLine="327"/>
        <w:spacing w:after="0" w:line="323" w:lineRule="auto"/>
        <w:tabs>
          <w:tab w:leader="none" w:pos="1088" w:val="left"/>
        </w:tabs>
        <w:numPr>
          <w:ilvl w:val="0"/>
          <w:numId w:val="7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Investments consisting of the ownership of Equity Interests in Subsidiaries as of the Closing Date and (ii) other Investments existing as of the Closing Date and, in the case of this </w:t>
      </w:r>
      <w:r>
        <w:rPr>
          <w:rFonts w:ascii="Times New Roman" w:cs="Times New Roman" w:eastAsia="Times New Roman" w:hAnsi="Times New Roman"/>
          <w:sz w:val="13"/>
          <w:szCs w:val="13"/>
          <w:u w:val="single" w:color="auto"/>
          <w:color w:val="auto"/>
        </w:rPr>
        <w:t>clause (ii)</w:t>
      </w:r>
      <w:r>
        <w:rPr>
          <w:rFonts w:ascii="Times New Roman" w:cs="Times New Roman" w:eastAsia="Times New Roman" w:hAnsi="Times New Roman"/>
          <w:sz w:val="13"/>
          <w:szCs w:val="13"/>
          <w:color w:val="auto"/>
        </w:rPr>
        <w:t xml:space="preserve"> and to the extent any such Investment is in excess of $250,000, set forth in </w:t>
      </w:r>
      <w:r>
        <w:rPr>
          <w:rFonts w:ascii="Times New Roman" w:cs="Times New Roman" w:eastAsia="Times New Roman" w:hAnsi="Times New Roman"/>
          <w:sz w:val="13"/>
          <w:szCs w:val="13"/>
          <w:u w:val="single" w:color="auto"/>
          <w:color w:val="auto"/>
        </w:rPr>
        <w:t>Schedule 7.02</w:t>
      </w:r>
      <w:r>
        <w:rPr>
          <w:rFonts w:ascii="Times New Roman" w:cs="Times New Roman" w:eastAsia="Times New Roman" w:hAnsi="Times New Roman"/>
          <w:sz w:val="13"/>
          <w:szCs w:val="13"/>
          <w:color w:val="auto"/>
        </w:rPr>
        <w:t>;</w:t>
      </w:r>
    </w:p>
    <w:p>
      <w:pPr>
        <w:spacing w:after="0" w:line="18" w:lineRule="exact"/>
        <w:rPr>
          <w:rFonts w:ascii="Times New Roman" w:cs="Times New Roman" w:eastAsia="Times New Roman" w:hAnsi="Times New Roman"/>
          <w:sz w:val="13"/>
          <w:szCs w:val="13"/>
          <w:color w:val="auto"/>
        </w:rPr>
      </w:pPr>
    </w:p>
    <w:p>
      <w:pPr>
        <w:ind w:left="560" w:right="319" w:firstLine="327"/>
        <w:spacing w:after="0" w:line="267" w:lineRule="auto"/>
        <w:tabs>
          <w:tab w:leader="none" w:pos="1088"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made after the Closing Date in Subsidiaries of the Company that are organized in China;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outstanding amount of such Investments made after the Closing Date shall not exceed, at any one time outstanding, the greater of (i) $56,000,000 and (ii) 30% of TTM Consolidated EBITDA;</w:t>
      </w:r>
    </w:p>
    <w:p>
      <w:pPr>
        <w:spacing w:after="0" w:line="51" w:lineRule="exact"/>
        <w:rPr>
          <w:rFonts w:ascii="Times New Roman" w:cs="Times New Roman" w:eastAsia="Times New Roman" w:hAnsi="Times New Roman"/>
          <w:sz w:val="14"/>
          <w:szCs w:val="14"/>
          <w:color w:val="auto"/>
        </w:rPr>
      </w:pPr>
    </w:p>
    <w:p>
      <w:pPr>
        <w:ind w:left="560" w:right="319" w:firstLine="327"/>
        <w:spacing w:after="0" w:line="267" w:lineRule="auto"/>
        <w:tabs>
          <w:tab w:leader="none" w:pos="1057"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made after the Closing Date in Subsidiaries that are not Loan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outstanding amount of such Investments made after the Closing Date shall not exceed, at any one time outstanding, the greater of (i) $150,000,000 and (ii) 81% of TTM Consolidated EBITDA;</w:t>
      </w:r>
    </w:p>
    <w:p>
      <w:pPr>
        <w:spacing w:after="0" w:line="51"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0"/>
          <w:numId w:val="7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Investments made after the Closing Date not exceeding an amount at any one time outstanding equal to the greater of (i)</w:t>
      </w:r>
    </w:p>
    <w:p>
      <w:pPr>
        <w:spacing w:after="0" w:line="22" w:lineRule="exact"/>
        <w:rPr>
          <w:sz w:val="20"/>
          <w:szCs w:val="20"/>
          <w:color w:val="auto"/>
        </w:rPr>
      </w:pPr>
    </w:p>
    <w:p>
      <w:pPr>
        <w:ind w:left="560" w:right="299"/>
        <w:spacing w:after="0" w:line="261" w:lineRule="auto"/>
        <w:rPr>
          <w:sz w:val="20"/>
          <w:szCs w:val="20"/>
          <w:color w:val="auto"/>
        </w:rPr>
      </w:pPr>
      <w:r>
        <w:rPr>
          <w:rFonts w:ascii="Times New Roman" w:cs="Times New Roman" w:eastAsia="Times New Roman" w:hAnsi="Times New Roman"/>
          <w:sz w:val="14"/>
          <w:szCs w:val="14"/>
          <w:color w:val="auto"/>
        </w:rPr>
        <w:t xml:space="preserve">$100,000,000 and (ii) 54% of TTM Consolidated EBITDA;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Investments shall be made in Subsidiaries of the Company that are not Loan Parties;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9019"/>
          </w:cols>
          <w:pgMar w:left="1440" w:top="239" w:right="1440" w:bottom="1440" w:gutter="0" w:footer="0" w:header="0"/>
        </w:sectPr>
      </w:pPr>
    </w:p>
    <w:bookmarkStart w:id="658" w:name="page659"/>
    <w:bookmarkEnd w:id="658"/>
    <w:p>
      <w:pPr>
        <w:ind w:left="560" w:right="399" w:firstLine="327"/>
        <w:spacing w:after="0" w:line="283" w:lineRule="auto"/>
        <w:tabs>
          <w:tab w:leader="none" w:pos="1088" w:val="left"/>
        </w:tabs>
        <w:numPr>
          <w:ilvl w:val="1"/>
          <w:numId w:val="7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Investments made in a special purpose subsidiary or affiliate of the Company in connection with Securitization Transactions permitted by </w:t>
      </w:r>
      <w:r>
        <w:rPr>
          <w:rFonts w:ascii="Times New Roman" w:cs="Times New Roman" w:eastAsia="Times New Roman" w:hAnsi="Times New Roman"/>
          <w:sz w:val="14"/>
          <w:szCs w:val="14"/>
          <w:u w:val="single" w:color="auto"/>
          <w:color w:val="auto"/>
        </w:rPr>
        <w:t>Section 7.03(l)</w:t>
      </w:r>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jc w:val="both"/>
        <w:ind w:left="560" w:right="339" w:firstLine="327"/>
        <w:spacing w:after="0" w:line="277" w:lineRule="auto"/>
        <w:tabs>
          <w:tab w:leader="none" w:pos="1057" w:val="left"/>
        </w:tabs>
        <w:numPr>
          <w:ilvl w:val="1"/>
          <w:numId w:val="7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made by the Company, any Loan Party or any Material Subsidiary (i) after the Closing Date in a wholly-owned Subsidiary (any such Subsidiary, an “</w:t>
      </w:r>
      <w:r>
        <w:rPr>
          <w:rFonts w:ascii="Times New Roman" w:cs="Times New Roman" w:eastAsia="Times New Roman" w:hAnsi="Times New Roman"/>
          <w:sz w:val="13"/>
          <w:szCs w:val="13"/>
          <w:u w:val="single" w:color="auto"/>
          <w:color w:val="auto"/>
        </w:rPr>
        <w:t>I/C Finco</w:t>
      </w:r>
      <w:r>
        <w:rPr>
          <w:rFonts w:ascii="Times New Roman" w:cs="Times New Roman" w:eastAsia="Times New Roman" w:hAnsi="Times New Roman"/>
          <w:sz w:val="13"/>
          <w:szCs w:val="13"/>
          <w:color w:val="auto"/>
        </w:rPr>
        <w:t>”) sufficient to permit each I/C Finco to adequately perform the function of a regional internal treasury centre of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aggregate amount of such Investments during the term of this Agreement shall not exceed $100,000,000) and</w:t>
      </w:r>
    </w:p>
    <w:p>
      <w:pPr>
        <w:spacing w:after="0" w:line="1" w:lineRule="exact"/>
        <w:rPr>
          <w:rFonts w:ascii="Times New Roman" w:cs="Times New Roman" w:eastAsia="Times New Roman" w:hAnsi="Times New Roman"/>
          <w:sz w:val="13"/>
          <w:szCs w:val="13"/>
          <w:color w:val="auto"/>
        </w:rPr>
      </w:pPr>
    </w:p>
    <w:p>
      <w:pPr>
        <w:ind w:left="760" w:hanging="202"/>
        <w:spacing w:after="0"/>
        <w:tabs>
          <w:tab w:leader="none" w:pos="760" w:val="left"/>
        </w:tabs>
        <w:numPr>
          <w:ilvl w:val="0"/>
          <w:numId w:val="7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Cash Pooling Arrangements;</w:t>
      </w:r>
    </w:p>
    <w:p>
      <w:pPr>
        <w:spacing w:after="0" w:line="76" w:lineRule="exact"/>
        <w:rPr>
          <w:rFonts w:ascii="Times New Roman" w:cs="Times New Roman" w:eastAsia="Times New Roman" w:hAnsi="Times New Roman"/>
          <w:sz w:val="14"/>
          <w:szCs w:val="14"/>
          <w:color w:val="auto"/>
        </w:rPr>
      </w:pPr>
    </w:p>
    <w:p>
      <w:pPr>
        <w:ind w:left="560" w:right="339" w:firstLine="327"/>
        <w:spacing w:after="0" w:line="283" w:lineRule="auto"/>
        <w:tabs>
          <w:tab w:leader="none" w:pos="1127" w:val="left"/>
        </w:tabs>
        <w:numPr>
          <w:ilvl w:val="1"/>
          <w:numId w:val="7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Investments made after the Closing Date not to exceed the Available Amount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Event of Default has occurred and is continuing or would result therefrom; and</w:t>
      </w:r>
    </w:p>
    <w:p>
      <w:pPr>
        <w:spacing w:after="0" w:line="40" w:lineRule="exact"/>
        <w:rPr>
          <w:rFonts w:ascii="Times New Roman" w:cs="Times New Roman" w:eastAsia="Times New Roman" w:hAnsi="Times New Roman"/>
          <w:sz w:val="14"/>
          <w:szCs w:val="14"/>
          <w:color w:val="auto"/>
        </w:rPr>
      </w:pPr>
    </w:p>
    <w:p>
      <w:pPr>
        <w:ind w:left="560" w:right="359" w:firstLine="327"/>
        <w:spacing w:after="0" w:line="283" w:lineRule="auto"/>
        <w:tabs>
          <w:tab w:leader="none" w:pos="1088" w:val="left"/>
        </w:tabs>
        <w:numPr>
          <w:ilvl w:val="1"/>
          <w:numId w:val="7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additional Investments;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upon giving effect to any such Investment on a Pro Forma Basis, the Consolidated Net Leverage Ratio is less than or equal to 3.00 to 1.0.</w:t>
      </w:r>
    </w:p>
    <w:p>
      <w:pPr>
        <w:spacing w:after="0" w:line="1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7.03 Indebtedness</w:t>
      </w:r>
      <w:r>
        <w:rPr>
          <w:rFonts w:ascii="Times New Roman" w:cs="Times New Roman" w:eastAsia="Times New Roman" w:hAnsi="Times New Roman"/>
          <w:sz w:val="14"/>
          <w:szCs w:val="14"/>
          <w:color w:val="auto"/>
        </w:rPr>
        <w:t>. Create, incur, assume or suffer to exist any Indebtedness, except:</w:t>
      </w:r>
    </w:p>
    <w:p>
      <w:pPr>
        <w:spacing w:after="0" w:line="93" w:lineRule="exact"/>
        <w:rPr>
          <w:sz w:val="20"/>
          <w:szCs w:val="20"/>
          <w:color w:val="auto"/>
        </w:rPr>
      </w:pPr>
    </w:p>
    <w:p>
      <w:pPr>
        <w:ind w:left="1080" w:hanging="193"/>
        <w:spacing w:after="0"/>
        <w:tabs>
          <w:tab w:leader="none" w:pos="1080"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under the Loan Documents;</w:t>
      </w:r>
    </w:p>
    <w:p>
      <w:pPr>
        <w:spacing w:after="0" w:line="91" w:lineRule="exact"/>
        <w:rPr>
          <w:rFonts w:ascii="Times New Roman" w:cs="Times New Roman" w:eastAsia="Times New Roman" w:hAnsi="Times New Roman"/>
          <w:sz w:val="14"/>
          <w:szCs w:val="14"/>
          <w:color w:val="auto"/>
        </w:rPr>
      </w:pPr>
    </w:p>
    <w:p>
      <w:pPr>
        <w:ind w:left="560" w:right="959" w:firstLine="327"/>
        <w:spacing w:after="0" w:line="283" w:lineRule="auto"/>
        <w:tabs>
          <w:tab w:leader="none" w:pos="1088"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Indebtedness outstanding on the Closing Date and, to the extent any such Indebtedness is in excess of $250,000, listed on </w:t>
      </w:r>
      <w:r>
        <w:rPr>
          <w:rFonts w:ascii="Times New Roman" w:cs="Times New Roman" w:eastAsia="Times New Roman" w:hAnsi="Times New Roman"/>
          <w:sz w:val="14"/>
          <w:szCs w:val="14"/>
          <w:u w:val="single" w:color="auto"/>
          <w:color w:val="auto"/>
        </w:rPr>
        <w:t>Schedule 7.03</w:t>
      </w:r>
      <w:r>
        <w:rPr>
          <w:rFonts w:ascii="Times New Roman" w:cs="Times New Roman" w:eastAsia="Times New Roman" w:hAnsi="Times New Roman"/>
          <w:sz w:val="14"/>
          <w:szCs w:val="14"/>
          <w:color w:val="auto"/>
        </w:rPr>
        <w:t xml:space="preserve"> and (ii) any Permitted Refinancing thereof;</w:t>
      </w:r>
    </w:p>
    <w:p>
      <w:pPr>
        <w:spacing w:after="0" w:line="40" w:lineRule="exact"/>
        <w:rPr>
          <w:rFonts w:ascii="Times New Roman" w:cs="Times New Roman" w:eastAsia="Times New Roman" w:hAnsi="Times New Roman"/>
          <w:sz w:val="14"/>
          <w:szCs w:val="14"/>
          <w:color w:val="auto"/>
        </w:rPr>
      </w:pPr>
    </w:p>
    <w:p>
      <w:pPr>
        <w:ind w:left="560" w:right="259" w:firstLine="327"/>
        <w:spacing w:after="0" w:line="267" w:lineRule="auto"/>
        <w:tabs>
          <w:tab w:leader="none" w:pos="1080"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Guarantees provided by the Company or any other Loan Party of Indebtedness otherwise permitted hereunder of the Company or any other Subsidiary; provided that Guarantees by any Loan Party of any Indebtedness of any Subsidiary that is not a Loan Party shall be permitted by </w:t>
      </w:r>
      <w:r>
        <w:rPr>
          <w:rFonts w:ascii="Times New Roman" w:cs="Times New Roman" w:eastAsia="Times New Roman" w:hAnsi="Times New Roman"/>
          <w:sz w:val="14"/>
          <w:szCs w:val="14"/>
          <w:u w:val="single" w:color="auto"/>
          <w:color w:val="auto"/>
        </w:rPr>
        <w:t>Section 7.02</w:t>
      </w:r>
      <w:r>
        <w:rPr>
          <w:rFonts w:ascii="Times New Roman" w:cs="Times New Roman" w:eastAsia="Times New Roman" w:hAnsi="Times New Roman"/>
          <w:sz w:val="14"/>
          <w:szCs w:val="14"/>
          <w:color w:val="auto"/>
        </w:rPr>
        <w:t xml:space="preserve"> (other than, for the avoidance of doubt, </w:t>
      </w:r>
      <w:r>
        <w:rPr>
          <w:rFonts w:ascii="Times New Roman" w:cs="Times New Roman" w:eastAsia="Times New Roman" w:hAnsi="Times New Roman"/>
          <w:sz w:val="14"/>
          <w:szCs w:val="14"/>
          <w:u w:val="single" w:color="auto"/>
          <w:color w:val="auto"/>
        </w:rPr>
        <w:t>Section 7.02(e)(i)</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560" w:right="299" w:firstLine="327"/>
        <w:spacing w:after="0" w:line="257" w:lineRule="auto"/>
        <w:tabs>
          <w:tab w:leader="none" w:pos="1088"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obligations (contingent or otherwise) of the Company or any Material Subsidiary existing or arising under or in connection with (i) any Swap Contract;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(y) such Swap Contract does not contain any provision exonerating the non-defaulting party from its obligation to make payments on outstanding transactions to the defaulting party or (ii) any Treasury Management Agreement;</w:t>
      </w:r>
    </w:p>
    <w:p>
      <w:pPr>
        <w:spacing w:after="0" w:line="58" w:lineRule="exact"/>
        <w:rPr>
          <w:rFonts w:ascii="Times New Roman" w:cs="Times New Roman" w:eastAsia="Times New Roman" w:hAnsi="Times New Roman"/>
          <w:sz w:val="14"/>
          <w:szCs w:val="14"/>
          <w:color w:val="auto"/>
        </w:rPr>
      </w:pPr>
    </w:p>
    <w:p>
      <w:pPr>
        <w:jc w:val="both"/>
        <w:ind w:left="560" w:right="419" w:firstLine="327"/>
        <w:spacing w:after="0" w:line="267" w:lineRule="auto"/>
        <w:tabs>
          <w:tab w:leader="none" w:pos="1080"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in respect of Capitalized Leases, Synthetic Lease Obligations and purchase money obligations for fixed or capital assets within the limitations set forth in </w:t>
      </w:r>
      <w:r>
        <w:rPr>
          <w:rFonts w:ascii="Times New Roman" w:cs="Times New Roman" w:eastAsia="Times New Roman" w:hAnsi="Times New Roman"/>
          <w:sz w:val="14"/>
          <w:szCs w:val="14"/>
          <w:u w:val="single" w:color="auto"/>
          <w:color w:val="auto"/>
        </w:rPr>
        <w:t>Section 7.01(j)</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amount of all such Indebtedness at any one time outstanding shall not exceed an amount equal to the greater of (i) $56,000,000 and (ii) 30% of TTM Consolidated EBITDA;</w:t>
      </w:r>
    </w:p>
    <w:p>
      <w:pPr>
        <w:spacing w:after="0" w:line="51" w:lineRule="exact"/>
        <w:rPr>
          <w:rFonts w:ascii="Times New Roman" w:cs="Times New Roman" w:eastAsia="Times New Roman" w:hAnsi="Times New Roman"/>
          <w:sz w:val="14"/>
          <w:szCs w:val="14"/>
          <w:color w:val="auto"/>
        </w:rPr>
      </w:pPr>
    </w:p>
    <w:p>
      <w:pPr>
        <w:ind w:left="560" w:right="299" w:firstLine="327"/>
        <w:spacing w:after="0" w:line="267" w:lineRule="auto"/>
        <w:tabs>
          <w:tab w:leader="none" w:pos="1064" w:val="left"/>
        </w:tabs>
        <w:numPr>
          <w:ilvl w:val="0"/>
          <w:numId w:val="7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intercompany Indebtedness among the Loan Parties and their respective Subsidiaries to the extent permitted under </w:t>
      </w:r>
      <w:r>
        <w:rPr>
          <w:rFonts w:ascii="Times New Roman" w:cs="Times New Roman" w:eastAsia="Times New Roman" w:hAnsi="Times New Roman"/>
          <w:sz w:val="14"/>
          <w:szCs w:val="14"/>
          <w:u w:val="single" w:color="auto"/>
          <w:color w:val="auto"/>
        </w:rPr>
        <w:t>Section 7.02(c)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(l)</w:t>
      </w:r>
      <w:r>
        <w:rPr>
          <w:rFonts w:ascii="Times New Roman" w:cs="Times New Roman" w:eastAsia="Times New Roman" w:hAnsi="Times New Roman"/>
          <w:sz w:val="14"/>
          <w:szCs w:val="14"/>
          <w:color w:val="auto"/>
        </w:rPr>
        <w:t>; provided that any such Indebtedness (other than pursuant to Cash Pooling Arrangements) owing by a Loan Party to a non-Loan Party shall be subordinated to the Obligations on terms reasonably acceptable to the Administrative Agent;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9019"/>
          </w:cols>
          <w:pgMar w:left="1440" w:top="240" w:right="1440" w:bottom="1440" w:gutter="0" w:footer="0" w:header="0"/>
        </w:sectPr>
      </w:pPr>
    </w:p>
    <w:bookmarkStart w:id="659" w:name="page660"/>
    <w:bookmarkEnd w:id="659"/>
    <w:p>
      <w:pPr>
        <w:ind w:left="560" w:right="459" w:firstLine="327"/>
        <w:spacing w:after="0" w:line="283" w:lineRule="auto"/>
        <w:tabs>
          <w:tab w:leader="none" w:pos="1088" w:val="left"/>
        </w:tabs>
        <w:numPr>
          <w:ilvl w:val="1"/>
          <w:numId w:val="7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Indebtedness of the Company and its Material Subsidiaries in an aggregate principal amount not to exceed an amount at any one time outstanding equal to the greater of (i) $65,000,000 and (ii) 35% of TTM Consolidated EBITDA;</w:t>
      </w:r>
    </w:p>
    <w:p>
      <w:pPr>
        <w:spacing w:after="0" w:line="40" w:lineRule="exact"/>
        <w:rPr>
          <w:rFonts w:ascii="Times New Roman" w:cs="Times New Roman" w:eastAsia="Times New Roman" w:hAnsi="Times New Roman"/>
          <w:sz w:val="14"/>
          <w:szCs w:val="14"/>
          <w:color w:val="auto"/>
        </w:rPr>
      </w:pPr>
    </w:p>
    <w:p>
      <w:pPr>
        <w:ind w:left="560" w:right="659" w:firstLine="327"/>
        <w:spacing w:after="0" w:line="283" w:lineRule="auto"/>
        <w:tabs>
          <w:tab w:leader="none" w:pos="1088" w:val="left"/>
        </w:tabs>
        <w:numPr>
          <w:ilvl w:val="1"/>
          <w:numId w:val="7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constituting Indebtedness, Indebtedness incurred in connection with non-recourse supply chain financing and similar arrangements offered by customers of the Company and its Subsidiaries;</w:t>
      </w:r>
    </w:p>
    <w:p>
      <w:pPr>
        <w:spacing w:after="0" w:line="40" w:lineRule="exact"/>
        <w:rPr>
          <w:rFonts w:ascii="Times New Roman" w:cs="Times New Roman" w:eastAsia="Times New Roman" w:hAnsi="Times New Roman"/>
          <w:sz w:val="14"/>
          <w:szCs w:val="14"/>
          <w:color w:val="auto"/>
        </w:rPr>
      </w:pPr>
    </w:p>
    <w:p>
      <w:pPr>
        <w:ind w:left="560" w:right="479" w:firstLine="327"/>
        <w:spacing w:after="0" w:line="323" w:lineRule="auto"/>
        <w:tabs>
          <w:tab w:leader="none" w:pos="1057" w:val="left"/>
        </w:tabs>
        <w:numPr>
          <w:ilvl w:val="1"/>
          <w:numId w:val="7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Indebtedness of Gentherm Properties II, LLC secured only by that certain fee owned real property of Gentherm Properties II, LLC located at 38455 Hills Tech Drive, Farmington Hills, Michigan, in an aggregate amount not to exceed $5,000,000 at any one time outstanding;</w:t>
      </w:r>
    </w:p>
    <w:p>
      <w:pPr>
        <w:spacing w:after="0" w:line="18" w:lineRule="exact"/>
        <w:rPr>
          <w:rFonts w:ascii="Times New Roman" w:cs="Times New Roman" w:eastAsia="Times New Roman" w:hAnsi="Times New Roman"/>
          <w:sz w:val="13"/>
          <w:szCs w:val="13"/>
          <w:color w:val="auto"/>
        </w:rPr>
      </w:pPr>
    </w:p>
    <w:p>
      <w:pPr>
        <w:ind w:left="560" w:right="359" w:firstLine="327"/>
        <w:spacing w:after="0" w:line="283" w:lineRule="auto"/>
        <w:tabs>
          <w:tab w:leader="none" w:pos="1057" w:val="left"/>
        </w:tabs>
        <w:numPr>
          <w:ilvl w:val="1"/>
          <w:numId w:val="7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Indebtedness of Subsidiaries of the Company that are organized in China in an aggregate principal amount not to exceed, at any time outstanding, the greater of (x) $56,000,000 and (y) 30% of TTM Consolidated EBITDA and (ii) any Permitted Refinancing thereof;</w:t>
      </w:r>
    </w:p>
    <w:p>
      <w:pPr>
        <w:spacing w:after="0" w:line="40" w:lineRule="exact"/>
        <w:rPr>
          <w:rFonts w:ascii="Times New Roman" w:cs="Times New Roman" w:eastAsia="Times New Roman" w:hAnsi="Times New Roman"/>
          <w:sz w:val="14"/>
          <w:szCs w:val="14"/>
          <w:color w:val="auto"/>
        </w:rPr>
      </w:pPr>
    </w:p>
    <w:p>
      <w:pPr>
        <w:ind w:left="560" w:right="379" w:firstLine="327"/>
        <w:spacing w:after="0" w:line="258" w:lineRule="auto"/>
        <w:tabs>
          <w:tab w:leader="none" w:pos="1088" w:val="left"/>
        </w:tabs>
        <w:numPr>
          <w:ilvl w:val="1"/>
          <w:numId w:val="7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Indebtedness of Subsidiaries that are not Loan Parties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outstanding principal amount of such Indebtedness, together with the aggregate outstanding principal amount of Indebtedness owing by Subsidiaries that are not Loan Parties to Loan Parties incurred pursuant to </w:t>
      </w:r>
      <w:r>
        <w:rPr>
          <w:rFonts w:ascii="Times New Roman" w:cs="Times New Roman" w:eastAsia="Times New Roman" w:hAnsi="Times New Roman"/>
          <w:sz w:val="14"/>
          <w:szCs w:val="14"/>
          <w:u w:val="single" w:color="auto"/>
          <w:color w:val="auto"/>
        </w:rPr>
        <w:t>Section 7.03(r)</w:t>
      </w:r>
      <w:r>
        <w:rPr>
          <w:rFonts w:ascii="Times New Roman" w:cs="Times New Roman" w:eastAsia="Times New Roman" w:hAnsi="Times New Roman"/>
          <w:sz w:val="14"/>
          <w:szCs w:val="14"/>
          <w:color w:val="auto"/>
        </w:rPr>
        <w:t>, shall not exceed the greater of (x) $150,000,000 and (y) 81% of TTM Consolidated EBITDA) and</w:t>
      </w:r>
    </w:p>
    <w:p>
      <w:pPr>
        <w:ind w:left="760" w:hanging="202"/>
        <w:spacing w:after="0"/>
        <w:tabs>
          <w:tab w:leader="none" w:pos="760" w:val="left"/>
        </w:tabs>
        <w:numPr>
          <w:ilvl w:val="0"/>
          <w:numId w:val="7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Permitted Refinancing thereof;</w:t>
      </w:r>
    </w:p>
    <w:p>
      <w:pPr>
        <w:spacing w:after="0" w:line="76" w:lineRule="exact"/>
        <w:rPr>
          <w:rFonts w:ascii="Times New Roman" w:cs="Times New Roman" w:eastAsia="Times New Roman" w:hAnsi="Times New Roman"/>
          <w:sz w:val="14"/>
          <w:szCs w:val="14"/>
          <w:color w:val="auto"/>
        </w:rPr>
      </w:pPr>
    </w:p>
    <w:p>
      <w:pPr>
        <w:ind w:left="560" w:right="339" w:firstLine="327"/>
        <w:spacing w:after="0" w:line="283" w:lineRule="auto"/>
        <w:tabs>
          <w:tab w:leader="none" w:pos="1057" w:val="left"/>
        </w:tabs>
        <w:numPr>
          <w:ilvl w:val="1"/>
          <w:numId w:val="7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arising in connection with Securitization Transactions in an aggregate principal amount not to exceed $100,000,000 at any time outstanding;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Default shall exist at the time such Indebtedness is incurred, or would result from the incurrence thereof;</w:t>
      </w:r>
    </w:p>
    <w:p>
      <w:pPr>
        <w:spacing w:after="0" w:line="40" w:lineRule="exact"/>
        <w:rPr>
          <w:rFonts w:ascii="Times New Roman" w:cs="Times New Roman" w:eastAsia="Times New Roman" w:hAnsi="Times New Roman"/>
          <w:sz w:val="14"/>
          <w:szCs w:val="14"/>
          <w:color w:val="auto"/>
        </w:rPr>
      </w:pPr>
    </w:p>
    <w:p>
      <w:pPr>
        <w:ind w:left="560" w:right="239" w:firstLine="327"/>
        <w:spacing w:after="0" w:line="274" w:lineRule="auto"/>
        <w:tabs>
          <w:tab w:leader="none" w:pos="1127" w:val="left"/>
        </w:tabs>
        <w:numPr>
          <w:ilvl w:val="1"/>
          <w:numId w:val="7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additional unsecured Indebtedness of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(u) no Event of Default has occurred and is continuing, or would result immediately after giving effect to the incurrence thereof, (v) after giving effect to the incurrence of such Indebtedness on a Pro Forma Basis, the Loan Parties would be in compliance with the financial covenants set forth in </w:t>
      </w:r>
      <w:r>
        <w:rPr>
          <w:rFonts w:ascii="Times New Roman" w:cs="Times New Roman" w:eastAsia="Times New Roman" w:hAnsi="Times New Roman"/>
          <w:sz w:val="13"/>
          <w:szCs w:val="13"/>
          <w:u w:val="single" w:color="auto"/>
          <w:color w:val="auto"/>
        </w:rPr>
        <w:t>Section 7.11</w:t>
      </w:r>
      <w:r>
        <w:rPr>
          <w:rFonts w:ascii="Times New Roman" w:cs="Times New Roman" w:eastAsia="Times New Roman" w:hAnsi="Times New Roman"/>
          <w:sz w:val="13"/>
          <w:szCs w:val="13"/>
          <w:color w:val="auto"/>
        </w:rPr>
        <w:t xml:space="preserve"> as of the most recently ended fiscal quarter of the Company for which financial statements were required to be delivered pursuant to </w:t>
      </w:r>
      <w:r>
        <w:rPr>
          <w:rFonts w:ascii="Times New Roman" w:cs="Times New Roman" w:eastAsia="Times New Roman" w:hAnsi="Times New Roman"/>
          <w:sz w:val="13"/>
          <w:szCs w:val="13"/>
          <w:u w:val="single" w:color="auto"/>
          <w:color w:val="auto"/>
        </w:rPr>
        <w:t>Section 6.01(a)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6.01(b)</w:t>
      </w:r>
      <w:r>
        <w:rPr>
          <w:rFonts w:ascii="Times New Roman" w:cs="Times New Roman" w:eastAsia="Times New Roman" w:hAnsi="Times New Roman"/>
          <w:sz w:val="13"/>
          <w:szCs w:val="13"/>
          <w:color w:val="auto"/>
        </w:rPr>
        <w:t xml:space="preserve"> (or, prior to the first delivery of financial statements pursuant to </w:t>
      </w:r>
      <w:r>
        <w:rPr>
          <w:rFonts w:ascii="Times New Roman" w:cs="Times New Roman" w:eastAsia="Times New Roman" w:hAnsi="Times New Roman"/>
          <w:sz w:val="13"/>
          <w:szCs w:val="13"/>
          <w:u w:val="single" w:color="auto"/>
          <w:color w:val="auto"/>
        </w:rPr>
        <w:t>Section 6.01(a)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6.01(b)</w:t>
      </w:r>
      <w:r>
        <w:rPr>
          <w:rFonts w:ascii="Times New Roman" w:cs="Times New Roman" w:eastAsia="Times New Roman" w:hAnsi="Times New Roman"/>
          <w:sz w:val="13"/>
          <w:szCs w:val="13"/>
          <w:color w:val="auto"/>
        </w:rPr>
        <w:t xml:space="preserve"> by reference to the Interim Financial Statements), (w) such Indebtedness shall not mature earlier than the Maturity Date, (x) such Indebtedness shall not provide for any amortization, mandatory prepayment, redemption, repurchase or sinking fund payments prior to the Maturity Date, (y) such Indebtedness shall not be guaranteed by any Person that is not a Loan Party and (z) such Indebtedness shall only contain covenants, events of default and other terms that are customary for similar Indebtedness in light of then-prevailing market conditions and, when taken as a whole (other than interest rates, fees, discounts, premiums and optional prepayment or redemption terms), are (A) substantially identical to, or are not materially more restrictive to the Company and its Subsidiaries than, those set forth in the Loan Documents (as determined by the Company in good faith) (other than (1) covenants or other provisions applicable solely to periods after the Maturity Date, and (2) covenants or other provisions that are added to the Loan Documents for the benefit of the Administrative Agent and the Lenders) or (B) otherwise reasonably acceptable to the Administrative Agent and (ii) any Permitted Refinancing thereof;</w:t>
      </w:r>
    </w:p>
    <w:p>
      <w:pPr>
        <w:spacing w:after="0" w:line="52" w:lineRule="exact"/>
        <w:rPr>
          <w:rFonts w:ascii="Times New Roman" w:cs="Times New Roman" w:eastAsia="Times New Roman" w:hAnsi="Times New Roman"/>
          <w:sz w:val="13"/>
          <w:szCs w:val="13"/>
          <w:color w:val="auto"/>
        </w:rPr>
      </w:pPr>
    </w:p>
    <w:p>
      <w:pPr>
        <w:ind w:left="560" w:right="579" w:firstLine="327"/>
        <w:spacing w:after="0" w:line="283" w:lineRule="auto"/>
        <w:tabs>
          <w:tab w:leader="none" w:pos="1088" w:val="left"/>
        </w:tabs>
        <w:numPr>
          <w:ilvl w:val="1"/>
          <w:numId w:val="7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Company Indebtedness in an aggregate principal amount not to exceed at any time outstanding the sum of $550,000,000 plus all amounts incurred pursuant to Section 2.02(f) of the Company Credit Agreement and (ii) any Permitted Refinancing thereof;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9019"/>
          </w:cols>
          <w:pgMar w:left="1440" w:top="242" w:right="1440" w:bottom="1440" w:gutter="0" w:footer="0" w:header="0"/>
        </w:sectPr>
      </w:pPr>
    </w:p>
    <w:bookmarkStart w:id="660" w:name="page661"/>
    <w:bookmarkEnd w:id="660"/>
    <w:p>
      <w:pPr>
        <w:ind w:left="560" w:right="259" w:firstLine="327"/>
        <w:spacing w:after="0" w:line="252" w:lineRule="auto"/>
        <w:tabs>
          <w:tab w:leader="none" w:pos="1088" w:val="left"/>
        </w:tabs>
        <w:numPr>
          <w:ilvl w:val="1"/>
          <w:numId w:val="7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(i) additional Indebtedness of any Loan Party that is unsecured or secured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 with, or a junior Lien basis to, the Obligations, including in the form of notes (including convertible notes) in a public offering or in a Rule 144A or other private placement, term loans and/or 364-day bridge loans, in an aggregate principal amount not to exceed at any time outstanding the Incremental Cap (as defined in the Company Credit Agreement (as in effect on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subject to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no Event of Default shall exist and be continuing at the time of, or result from, such Incremental Equivalent Debt, (B) such Indebtedness shall (w) have a maturity date that is no earlier than the Maturity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clause (w) shall not apply to bridge Indebtedness so long as: (1)(x) at the initial maturity of such bridge Indebtedness, such bridge Indebtedness shall automatically convert to (or would be required to be exchanged for) Indebtedness that complies with this clause (w) or (y) such bridge Indebtedness is incurred with the intent to convert such bridge Indebtedness to permanent financing that complies with this clause (w) and (2) the only prepayments required to be made on such bridge Indebtedness shall be such prepayments as are customary for similar bridge financings in light of then-prevailing market conditions (as determined by the Company in consultation with the Administrative Agent)), (x) have an amortization schedule that is determined by the Borrower and the lenders providing such Indebtedness and that is otherwise customary for the type of Indebtedness (as determined by the Company in good faith), (y) shall not be secured by any property that is not Collateral (unless added as Collateral) or incurred or Guaranteed by any Person that is not a Loan Party (unless added as a Loan Party) and (z) otherwise be on terms not materially less favorable, taken as a whole, to the Borrower than the then-existing Loans (other than terms</w:t>
      </w:r>
    </w:p>
    <w:p>
      <w:pPr>
        <w:spacing w:after="0" w:line="4" w:lineRule="exact"/>
        <w:rPr>
          <w:rFonts w:ascii="Times New Roman" w:cs="Times New Roman" w:eastAsia="Times New Roman" w:hAnsi="Times New Roman"/>
          <w:sz w:val="14"/>
          <w:szCs w:val="14"/>
          <w:color w:val="auto"/>
        </w:rPr>
      </w:pPr>
    </w:p>
    <w:p>
      <w:pPr>
        <w:ind w:left="560" w:right="359" w:hanging="2"/>
        <w:spacing w:after="0" w:line="252" w:lineRule="auto"/>
        <w:tabs>
          <w:tab w:leader="none" w:pos="735" w:val="left"/>
        </w:tabs>
        <w:numPr>
          <w:ilvl w:val="0"/>
          <w:numId w:val="7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are applicable only after the Maturity Date, (II) contained in such Indebtedness that are, taken as a whole, more favorable to the lenders providing such Indebtedness than those contained in the Loan Documents and are then conformed (or added) to the Loan Documents for the benefit of all Lenders or (III) that are otherwise reasonably satisfactory to the Administrative Agent), (C) if such Indebtedness is secured, it shall only be secured by all or a portion of the Collateral and shall be subject to the terms of a Pari Passu Intercreditor Agreement or a Junior Lien Intercreditor Agreement, as applicable, and (D) such Indebtedness shall not be guaranteed by any Person that is not a Loan Party (such Indebtedness incurred pursuant to this </w:t>
      </w:r>
      <w:r>
        <w:rPr>
          <w:rFonts w:ascii="Times New Roman" w:cs="Times New Roman" w:eastAsia="Times New Roman" w:hAnsi="Times New Roman"/>
          <w:sz w:val="14"/>
          <w:szCs w:val="14"/>
          <w:u w:val="single" w:color="auto"/>
          <w:color w:val="auto"/>
        </w:rPr>
        <w:t>clause (o)(i)</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Incremental Equivalent Debt</w:t>
      </w:r>
      <w:r>
        <w:rPr>
          <w:rFonts w:ascii="Times New Roman" w:cs="Times New Roman" w:eastAsia="Times New Roman" w:hAnsi="Times New Roman"/>
          <w:sz w:val="14"/>
          <w:szCs w:val="14"/>
          <w:color w:val="auto"/>
        </w:rPr>
        <w:t>”) and (ii) any Permitted Refinancing thereof;</w:t>
      </w:r>
    </w:p>
    <w:p>
      <w:pPr>
        <w:spacing w:after="0" w:line="64" w:lineRule="exact"/>
        <w:rPr>
          <w:rFonts w:ascii="Times New Roman" w:cs="Times New Roman" w:eastAsia="Times New Roman" w:hAnsi="Times New Roman"/>
          <w:sz w:val="14"/>
          <w:szCs w:val="14"/>
          <w:color w:val="auto"/>
        </w:rPr>
      </w:pPr>
    </w:p>
    <w:p>
      <w:pPr>
        <w:ind w:left="560" w:right="319" w:firstLine="327"/>
        <w:spacing w:after="0" w:line="283" w:lineRule="auto"/>
        <w:tabs>
          <w:tab w:leader="none" w:pos="1088" w:val="left"/>
        </w:tabs>
        <w:numPr>
          <w:ilvl w:val="1"/>
          <w:numId w:val="7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incurred in connection with any Permitted Sale Leaseback permitted by </w:t>
      </w:r>
      <w:r>
        <w:rPr>
          <w:rFonts w:ascii="Times New Roman" w:cs="Times New Roman" w:eastAsia="Times New Roman" w:hAnsi="Times New Roman"/>
          <w:sz w:val="14"/>
          <w:szCs w:val="14"/>
          <w:u w:val="single" w:color="auto"/>
          <w:color w:val="auto"/>
        </w:rPr>
        <w:t>Section 7.05</w:t>
      </w:r>
      <w:r>
        <w:rPr>
          <w:rFonts w:ascii="Times New Roman" w:cs="Times New Roman" w:eastAsia="Times New Roman" w:hAnsi="Times New Roman"/>
          <w:sz w:val="14"/>
          <w:szCs w:val="14"/>
          <w:color w:val="auto"/>
        </w:rPr>
        <w:t xml:space="preserve"> in an aggregate principal amount not to exceed, at any time outstanding, the greater of (i) $28,000,000 and (ii) 15% of TTM Consolidated EBITDA;</w:t>
      </w:r>
    </w:p>
    <w:p>
      <w:pPr>
        <w:spacing w:after="0" w:line="40" w:lineRule="exact"/>
        <w:rPr>
          <w:rFonts w:ascii="Times New Roman" w:cs="Times New Roman" w:eastAsia="Times New Roman" w:hAnsi="Times New Roman"/>
          <w:sz w:val="14"/>
          <w:szCs w:val="14"/>
          <w:color w:val="auto"/>
        </w:rPr>
      </w:pPr>
    </w:p>
    <w:p>
      <w:pPr>
        <w:ind w:left="560" w:right="239" w:firstLine="327"/>
        <w:spacing w:after="0" w:line="258" w:lineRule="auto"/>
        <w:tabs>
          <w:tab w:leader="none" w:pos="1088" w:val="left"/>
        </w:tabs>
        <w:numPr>
          <w:ilvl w:val="1"/>
          <w:numId w:val="7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Indebtedness assumed or acquired by the Company or any Material Subsidiary in connection with any Permitted Acquisition or other similar permitted Investment;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the Loan Parties shall be in compliance on a Pro Forma Basis with the financial covenants set forth in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 xml:space="preserve"> as of the most recent fiscal quarter end for which the Company was required to deliver financial statements pursuant to</w:t>
      </w:r>
    </w:p>
    <w:p>
      <w:pPr>
        <w:ind w:left="560" w:right="67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(y) such Indebtedness was not created in contemplation of such Permitted Acquisition or Investment and (ii) any Permitted Refinancing thereof; and</w:t>
      </w:r>
    </w:p>
    <w:p>
      <w:pPr>
        <w:spacing w:after="0" w:line="55" w:lineRule="exact"/>
        <w:rPr>
          <w:rFonts w:ascii="Times New Roman" w:cs="Times New Roman" w:eastAsia="Times New Roman" w:hAnsi="Times New Roman"/>
          <w:sz w:val="14"/>
          <w:szCs w:val="14"/>
          <w:color w:val="auto"/>
        </w:rPr>
      </w:pPr>
    </w:p>
    <w:p>
      <w:pPr>
        <w:ind w:left="560" w:right="439" w:firstLine="327"/>
        <w:spacing w:after="0" w:line="261" w:lineRule="auto"/>
        <w:tabs>
          <w:tab w:leader="none" w:pos="1064" w:val="left"/>
        </w:tabs>
        <w:numPr>
          <w:ilvl w:val="1"/>
          <w:numId w:val="7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constituting Indebtedness, obligations pursuant to Cash Pooling Arrangements;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outstanding principal amount of such Indebtedness owing by Subsidiaries that are not Loan Parties to Loan Parties, together with the aggregate outstanding principal amount of Indebtedness incurred pursuant to </w:t>
      </w:r>
      <w:r>
        <w:rPr>
          <w:rFonts w:ascii="Times New Roman" w:cs="Times New Roman" w:eastAsia="Times New Roman" w:hAnsi="Times New Roman"/>
          <w:sz w:val="14"/>
          <w:szCs w:val="14"/>
          <w:u w:val="single" w:color="auto"/>
          <w:color w:val="auto"/>
        </w:rPr>
        <w:t>Section 7.03(k)</w:t>
      </w:r>
      <w:r>
        <w:rPr>
          <w:rFonts w:ascii="Times New Roman" w:cs="Times New Roman" w:eastAsia="Times New Roman" w:hAnsi="Times New Roman"/>
          <w:sz w:val="14"/>
          <w:szCs w:val="14"/>
          <w:color w:val="auto"/>
        </w:rPr>
        <w:t>, shall not exceed the greater of (x) $150,000,000 and (y) 81% of TTM Consolidated EBITDA.</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9019"/>
          </w:cols>
          <w:pgMar w:left="1440" w:top="239" w:right="1440" w:bottom="1440" w:gutter="0" w:footer="0" w:header="0"/>
        </w:sectPr>
      </w:pPr>
    </w:p>
    <w:bookmarkStart w:id="661" w:name="page662"/>
    <w:bookmarkEnd w:id="661"/>
    <w:p>
      <w:pPr>
        <w:ind w:left="220" w:right="43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7.04 Fundamental Changes</w:t>
      </w:r>
      <w:r>
        <w:rPr>
          <w:rFonts w:ascii="Times New Roman" w:cs="Times New Roman" w:eastAsia="Times New Roman" w:hAnsi="Times New Roman"/>
          <w:sz w:val="14"/>
          <w:szCs w:val="14"/>
          <w:color w:val="auto"/>
        </w:rPr>
        <w:t>. Merge, dissolve, liquidate, amalgamate or consolidate with or into another Person, or Dispose of (whether in one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transaction or in a series of transactions) all or substantially all of its assets (whether now owned or hereafter acquired) to or in favor of any Person, except that:</w:t>
      </w:r>
    </w:p>
    <w:p>
      <w:pPr>
        <w:spacing w:after="0" w:line="51" w:lineRule="exact"/>
        <w:rPr>
          <w:sz w:val="20"/>
          <w:szCs w:val="20"/>
          <w:color w:val="auto"/>
        </w:rPr>
      </w:pPr>
    </w:p>
    <w:p>
      <w:pPr>
        <w:ind w:left="1080" w:hanging="193"/>
        <w:spacing w:after="0"/>
        <w:tabs>
          <w:tab w:leader="none" w:pos="1080" w:val="left"/>
        </w:tabs>
        <w:numPr>
          <w:ilvl w:val="0"/>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Material Subsidiary may merge or consolidate with: (i)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shall be the continuing or</w:t>
      </w:r>
    </w:p>
    <w:p>
      <w:pPr>
        <w:spacing w:after="0" w:line="21" w:lineRule="exact"/>
        <w:rPr>
          <w:rFonts w:ascii="Times New Roman" w:cs="Times New Roman" w:eastAsia="Times New Roman" w:hAnsi="Times New Roman"/>
          <w:sz w:val="14"/>
          <w:szCs w:val="14"/>
          <w:color w:val="auto"/>
        </w:rPr>
      </w:pPr>
    </w:p>
    <w:p>
      <w:pPr>
        <w:ind w:left="560" w:right="2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surviving Person; (ii) the Borrower (other than the Company) or any Guarantor;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when any Material Subsidiary that is not a Loan Party is merging with a Subsidiary that is a Guarantor, such Guarantor shall be the continuing or surviving Person, (y) when any Material Subsidiary that is not the Borrower is merging with the Borrower, the Borrower shall be the continuing or surviving Person and (z) when any Material Subsidiary that is not a Domestic Loan Party is merging with a Domestic Loan Party, such Domestic Loan Party shall be the continuing or surviving Person; or (iii) to the extent that such Material Subsidiary is not a Loan Party, any Subsidiary that is not a Loan Party;</w:t>
      </w:r>
    </w:p>
    <w:p>
      <w:pPr>
        <w:spacing w:after="0" w:line="61" w:lineRule="exact"/>
        <w:rPr>
          <w:rFonts w:ascii="Times New Roman" w:cs="Times New Roman" w:eastAsia="Times New Roman" w:hAnsi="Times New Roman"/>
          <w:sz w:val="14"/>
          <w:szCs w:val="14"/>
          <w:color w:val="auto"/>
        </w:rPr>
      </w:pPr>
    </w:p>
    <w:p>
      <w:pPr>
        <w:ind w:left="560" w:right="299" w:firstLine="327"/>
        <w:spacing w:after="0" w:line="261" w:lineRule="auto"/>
        <w:tabs>
          <w:tab w:leader="none" w:pos="1088" w:val="left"/>
        </w:tabs>
        <w:numPr>
          <w:ilvl w:val="0"/>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Material Subsidiary or Loan Party (other than the Company) may Dispose of all or substantially all of its assets (upon voluntary liquidation, dissolution or otherwise) to the Company or to any Material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transferor in such a transaction is a Loan Party, then the transferee must be a Loan Party;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if the transferor in such a transaction is a Domestic Loan Party, then the transferee must be a Domestic Loan Party;</w:t>
      </w:r>
    </w:p>
    <w:p>
      <w:pPr>
        <w:spacing w:after="0" w:line="56"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Disposition contemplated by </w:t>
      </w:r>
      <w:r>
        <w:rPr>
          <w:rFonts w:ascii="Times New Roman" w:cs="Times New Roman" w:eastAsia="Times New Roman" w:hAnsi="Times New Roman"/>
          <w:sz w:val="14"/>
          <w:szCs w:val="14"/>
          <w:u w:val="single" w:color="auto"/>
          <w:color w:val="auto"/>
        </w:rPr>
        <w:t>Section 7.05(g)</w:t>
      </w:r>
      <w:r>
        <w:rPr>
          <w:rFonts w:ascii="Times New Roman" w:cs="Times New Roman" w:eastAsia="Times New Roman" w:hAnsi="Times New Roman"/>
          <w:sz w:val="14"/>
          <w:szCs w:val="14"/>
          <w:color w:val="auto"/>
        </w:rPr>
        <w:t xml:space="preserve"> may be consummated;</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Mirror Transactions may be consummated; and</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consummate the TopCo Restructuring.</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7.05 Dispositions</w:t>
      </w:r>
      <w:r>
        <w:rPr>
          <w:rFonts w:ascii="Times New Roman" w:cs="Times New Roman" w:eastAsia="Times New Roman" w:hAnsi="Times New Roman"/>
          <w:sz w:val="14"/>
          <w:szCs w:val="14"/>
          <w:color w:val="auto"/>
        </w:rPr>
        <w:t>. Make any Disposition, except:</w:t>
      </w:r>
    </w:p>
    <w:p>
      <w:pPr>
        <w:spacing w:after="0" w:line="93" w:lineRule="exact"/>
        <w:rPr>
          <w:sz w:val="20"/>
          <w:szCs w:val="20"/>
          <w:color w:val="auto"/>
        </w:rPr>
      </w:pPr>
    </w:p>
    <w:p>
      <w:pPr>
        <w:ind w:left="1080" w:hanging="193"/>
        <w:spacing w:after="0"/>
        <w:tabs>
          <w:tab w:leader="none" w:pos="1080" w:val="left"/>
        </w:tabs>
        <w:numPr>
          <w:ilvl w:val="1"/>
          <w:numId w:val="7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obsolete or worn out property, whether now owned or hereafter acquired, in the ordinary course of business;</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1"/>
          <w:numId w:val="7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inventory in the ordinary course of business;</w:t>
      </w:r>
    </w:p>
    <w:p>
      <w:pPr>
        <w:spacing w:after="0" w:line="91" w:lineRule="exact"/>
        <w:rPr>
          <w:rFonts w:ascii="Times New Roman" w:cs="Times New Roman" w:eastAsia="Times New Roman" w:hAnsi="Times New Roman"/>
          <w:sz w:val="14"/>
          <w:szCs w:val="14"/>
          <w:color w:val="auto"/>
        </w:rPr>
      </w:pPr>
    </w:p>
    <w:p>
      <w:pPr>
        <w:ind w:left="560" w:right="239" w:firstLine="327"/>
        <w:spacing w:after="0" w:line="283" w:lineRule="auto"/>
        <w:tabs>
          <w:tab w:leader="none" w:pos="1080" w:val="left"/>
        </w:tabs>
        <w:numPr>
          <w:ilvl w:val="1"/>
          <w:numId w:val="7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40" w:lineRule="exact"/>
        <w:rPr>
          <w:rFonts w:ascii="Times New Roman" w:cs="Times New Roman" w:eastAsia="Times New Roman" w:hAnsi="Times New Roman"/>
          <w:sz w:val="14"/>
          <w:szCs w:val="14"/>
          <w:color w:val="auto"/>
        </w:rPr>
      </w:pPr>
    </w:p>
    <w:p>
      <w:pPr>
        <w:ind w:left="560" w:right="259" w:firstLine="327"/>
        <w:spacing w:after="0" w:line="274" w:lineRule="auto"/>
        <w:tabs>
          <w:tab w:leader="none" w:pos="1088" w:val="left"/>
        </w:tabs>
        <w:numPr>
          <w:ilvl w:val="1"/>
          <w:numId w:val="7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Dispositions of property by any Material Subsidiary to the Company or to a Subsidiary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 transferor of such property is a Loan Party, the transferee thereof must be a Loan Party;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that, if the transferor of such property is a Domestic Loan Party, then the transferee must be a Domestic Loan Party) and (ii) Dispositions of property between or among the Company or any Subsidiary in connection with any defined manufacturing footprint realignment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aggregate book value of all property Disposed of in reliance on this </w:t>
      </w:r>
      <w:r>
        <w:rPr>
          <w:rFonts w:ascii="Times New Roman" w:cs="Times New Roman" w:eastAsia="Times New Roman" w:hAnsi="Times New Roman"/>
          <w:sz w:val="13"/>
          <w:szCs w:val="13"/>
          <w:u w:val="single" w:color="auto"/>
          <w:color w:val="auto"/>
        </w:rPr>
        <w:t>clause (d)(ii)</w:t>
      </w:r>
      <w:r>
        <w:rPr>
          <w:rFonts w:ascii="Times New Roman" w:cs="Times New Roman" w:eastAsia="Times New Roman" w:hAnsi="Times New Roman"/>
          <w:sz w:val="13"/>
          <w:szCs w:val="13"/>
          <w:color w:val="auto"/>
        </w:rPr>
        <w:t xml:space="preserve"> from Loan Parties to Subsidiaries of the Company that are not Loan Parties shall not exceed an amount equal to the greater of</w:t>
      </w:r>
    </w:p>
    <w:p>
      <w:pPr>
        <w:spacing w:after="0" w:line="2" w:lineRule="exact"/>
        <w:rPr>
          <w:rFonts w:ascii="Times New Roman" w:cs="Times New Roman" w:eastAsia="Times New Roman" w:hAnsi="Times New Roman"/>
          <w:sz w:val="13"/>
          <w:szCs w:val="13"/>
          <w:color w:val="auto"/>
        </w:rPr>
      </w:pPr>
    </w:p>
    <w:p>
      <w:pPr>
        <w:ind w:left="780" w:hanging="222"/>
        <w:spacing w:after="0"/>
        <w:tabs>
          <w:tab w:leader="none" w:pos="780" w:val="left"/>
        </w:tabs>
        <w:numPr>
          <w:ilvl w:val="0"/>
          <w:numId w:val="7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$30,000,000 and (B) 15% of TTM Consolidated EBITDA);</w:t>
      </w:r>
    </w:p>
    <w:p>
      <w:pPr>
        <w:spacing w:after="0" w:line="76"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1"/>
          <w:numId w:val="7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Dispositions permitted by </w:t>
      </w:r>
      <w:r>
        <w:rPr>
          <w:rFonts w:ascii="Times New Roman" w:cs="Times New Roman" w:eastAsia="Times New Roman" w:hAnsi="Times New Roman"/>
          <w:sz w:val="14"/>
          <w:szCs w:val="14"/>
          <w:u w:val="single" w:color="auto"/>
          <w:color w:val="auto"/>
        </w:rPr>
        <w:t>Sections 7.02</w:t>
      </w:r>
      <w:r>
        <w:rPr>
          <w:rFonts w:ascii="Times New Roman" w:cs="Times New Roman" w:eastAsia="Times New Roman" w:hAnsi="Times New Roman"/>
          <w:sz w:val="14"/>
          <w:szCs w:val="14"/>
          <w:color w:val="auto"/>
        </w:rPr>
        <w:t xml:space="preserve">, 7.04 or </w:t>
      </w:r>
      <w:r>
        <w:rPr>
          <w:rFonts w:ascii="Times New Roman" w:cs="Times New Roman" w:eastAsia="Times New Roman" w:hAnsi="Times New Roman"/>
          <w:sz w:val="14"/>
          <w:szCs w:val="14"/>
          <w:u w:val="single" w:color="auto"/>
          <w:color w:val="auto"/>
        </w:rPr>
        <w:t>7.06</w:t>
      </w:r>
      <w:r>
        <w:rPr>
          <w:rFonts w:ascii="Times New Roman" w:cs="Times New Roman" w:eastAsia="Times New Roman" w:hAnsi="Times New Roman"/>
          <w:sz w:val="14"/>
          <w:szCs w:val="14"/>
          <w:color w:val="auto"/>
        </w:rPr>
        <w:t xml:space="preserve"> (in each case, other than by reference to this </w:t>
      </w:r>
      <w:r>
        <w:rPr>
          <w:rFonts w:ascii="Times New Roman" w:cs="Times New Roman" w:eastAsia="Times New Roman" w:hAnsi="Times New Roman"/>
          <w:sz w:val="14"/>
          <w:szCs w:val="14"/>
          <w:u w:val="single" w:color="auto"/>
          <w:color w:val="auto"/>
        </w:rPr>
        <w:t>Section 7.05</w:t>
      </w:r>
      <w:r>
        <w:rPr>
          <w:rFonts w:ascii="Times New Roman" w:cs="Times New Roman" w:eastAsia="Times New Roman" w:hAnsi="Times New Roman"/>
          <w:sz w:val="14"/>
          <w:szCs w:val="14"/>
          <w:color w:val="auto"/>
        </w:rPr>
        <w:t xml:space="preserve"> (or any sub-clause</w:t>
      </w:r>
    </w:p>
    <w:p>
      <w:pPr>
        <w:spacing w:after="0" w:line="21"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-121285</wp:posOffset>
            </wp:positionV>
            <wp:extent cx="17780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3">
                      <a:extLst>
                        <a:ext uri="{28A0092B-C50C-407E-A947-70E740481C1C}"/>
                      </a:extLst>
                    </a:blip>
                    <a:srcRect/>
                    <a:stretch>
                      <a:fillRect/>
                    </a:stretch>
                  </pic:blipFill>
                  <pic:spPr bwMode="auto">
                    <a:xfrm>
                      <a:off x="0" y="0"/>
                      <a:ext cx="177800" cy="6985"/>
                    </a:xfrm>
                    <a:prstGeom prst="rect">
                      <a:avLst/>
                    </a:prstGeom>
                    <a:noFill/>
                  </pic:spPr>
                </pic:pic>
              </a:graphicData>
            </a:graphic>
          </wp:anchor>
        </w:drawing>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9019"/>
          </w:cols>
          <w:pgMar w:left="1440" w:top="238" w:right="1440" w:bottom="1440" w:gutter="0" w:footer="0" w:header="0"/>
        </w:sectPr>
      </w:pPr>
    </w:p>
    <w:bookmarkStart w:id="662" w:name="page663"/>
    <w:bookmarkEnd w:id="662"/>
    <w:p>
      <w:pPr>
        <w:ind w:left="560" w:right="399" w:firstLine="327"/>
        <w:spacing w:after="0" w:line="258" w:lineRule="auto"/>
        <w:tabs>
          <w:tab w:leader="none" w:pos="1064" w:val="left"/>
        </w:tabs>
        <w:numPr>
          <w:ilvl w:val="1"/>
          <w:numId w:val="7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 non-exclusive licenses of IP Rights (A) to any Loan Party or any Subsidiary of any Loan Party or (B) in the ordinary course of business and (ii) licenses of IP Rights on an exclusive basis (A) between or among Loan Parties or (B) otherwise, so long as such exclusive licensing is limited to geographic areas, particular fields of use, customized products for customers or limited time periods, and so long as, after giving effect to such license, the Loan Parties retain sufficient rights to use the subject IP Rights as to enable them to continue to conduct their business in the ordinary course;</w:t>
      </w:r>
    </w:p>
    <w:p>
      <w:pPr>
        <w:spacing w:after="0" w:line="59" w:lineRule="exact"/>
        <w:rPr>
          <w:rFonts w:ascii="Times New Roman" w:cs="Times New Roman" w:eastAsia="Times New Roman" w:hAnsi="Times New Roman"/>
          <w:sz w:val="14"/>
          <w:szCs w:val="14"/>
          <w:color w:val="auto"/>
        </w:rPr>
      </w:pPr>
    </w:p>
    <w:p>
      <w:pPr>
        <w:ind w:left="560" w:right="459" w:firstLine="327"/>
        <w:spacing w:after="0" w:line="283" w:lineRule="auto"/>
        <w:tabs>
          <w:tab w:leader="none" w:pos="1088" w:val="left"/>
        </w:tabs>
        <w:numPr>
          <w:ilvl w:val="1"/>
          <w:numId w:val="7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Disposition (including any Sale Leaseback) by Gentherm Properties II, LLC of the fee owned real property located at 38455 Hills Tech Drive, Farmington Hills, Michigan;</w:t>
      </w:r>
    </w:p>
    <w:p>
      <w:pPr>
        <w:spacing w:after="0" w:line="40" w:lineRule="exact"/>
        <w:rPr>
          <w:rFonts w:ascii="Times New Roman" w:cs="Times New Roman" w:eastAsia="Times New Roman" w:hAnsi="Times New Roman"/>
          <w:sz w:val="14"/>
          <w:szCs w:val="14"/>
          <w:color w:val="auto"/>
        </w:rPr>
      </w:pPr>
    </w:p>
    <w:p>
      <w:pPr>
        <w:ind w:left="560" w:right="279" w:firstLine="327"/>
        <w:spacing w:after="0" w:line="283" w:lineRule="auto"/>
        <w:tabs>
          <w:tab w:leader="none" w:pos="1088" w:val="left"/>
        </w:tabs>
        <w:numPr>
          <w:ilvl w:val="1"/>
          <w:numId w:val="7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Dispositions of accounts, receivables or rights to payment to a special purpose subsidiary or affiliate of the Company (or, with respect to factoring arrangements, an unaffiliated third party) in connection with Securitization Transactions permitted by </w:t>
      </w:r>
      <w:r>
        <w:rPr>
          <w:rFonts w:ascii="Times New Roman" w:cs="Times New Roman" w:eastAsia="Times New Roman" w:hAnsi="Times New Roman"/>
          <w:sz w:val="14"/>
          <w:szCs w:val="14"/>
          <w:u w:val="single" w:color="auto"/>
          <w:color w:val="auto"/>
        </w:rPr>
        <w:t>Section 7.03(l)</w:t>
      </w:r>
      <w:r>
        <w:rPr>
          <w:rFonts w:ascii="Times New Roman" w:cs="Times New Roman" w:eastAsia="Times New Roman" w:hAnsi="Times New Roman"/>
          <w:sz w:val="14"/>
          <w:szCs w:val="14"/>
          <w:color w:val="auto"/>
        </w:rPr>
        <w:t>;</w:t>
      </w:r>
    </w:p>
    <w:p>
      <w:pPr>
        <w:spacing w:after="0" w:line="40" w:lineRule="exact"/>
        <w:rPr>
          <w:rFonts w:ascii="Times New Roman" w:cs="Times New Roman" w:eastAsia="Times New Roman" w:hAnsi="Times New Roman"/>
          <w:sz w:val="14"/>
          <w:szCs w:val="14"/>
          <w:color w:val="auto"/>
        </w:rPr>
      </w:pPr>
    </w:p>
    <w:p>
      <w:pPr>
        <w:ind w:left="560" w:right="339" w:firstLine="327"/>
        <w:spacing w:after="0" w:line="258" w:lineRule="auto"/>
        <w:tabs>
          <w:tab w:leader="none" w:pos="1057" w:val="left"/>
        </w:tabs>
        <w:numPr>
          <w:ilvl w:val="1"/>
          <w:numId w:val="7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Dispositions by the Company and its Material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at the time of such Disposition, no Event of Default shall exist or would result from such Disposition and (ii) the aggregate book value of all property Disposed of in reliance on this clause (i) in any fiscal year shall not exceed an amount equal to the sum of (A) the greater of (x) $28,000,000 and (y) 15% of TTM Consolidated EBITDA plus</w:t>
      </w:r>
    </w:p>
    <w:p>
      <w:pPr>
        <w:ind w:left="780" w:hanging="222"/>
        <w:spacing w:after="0"/>
        <w:tabs>
          <w:tab w:leader="none" w:pos="780" w:val="left"/>
        </w:tabs>
        <w:numPr>
          <w:ilvl w:val="0"/>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additional amounts to the extent such amounts are actually applied to prepay the Loans pursuant to </w:t>
      </w:r>
      <w:r>
        <w:rPr>
          <w:rFonts w:ascii="Times New Roman" w:cs="Times New Roman" w:eastAsia="Times New Roman" w:hAnsi="Times New Roman"/>
          <w:sz w:val="14"/>
          <w:szCs w:val="14"/>
          <w:u w:val="single" w:color="auto"/>
          <w:color w:val="auto"/>
        </w:rPr>
        <w:t>Section 2.05(b)(i)</w:t>
      </w:r>
      <w:r>
        <w:rPr>
          <w:rFonts w:ascii="Times New Roman" w:cs="Times New Roman" w:eastAsia="Times New Roman" w:hAnsi="Times New Roman"/>
          <w:sz w:val="14"/>
          <w:szCs w:val="14"/>
          <w:color w:val="auto"/>
        </w:rPr>
        <w:t>;</w:t>
      </w:r>
    </w:p>
    <w:p>
      <w:pPr>
        <w:spacing w:after="0" w:line="76" w:lineRule="exact"/>
        <w:rPr>
          <w:rFonts w:ascii="Times New Roman" w:cs="Times New Roman" w:eastAsia="Times New Roman" w:hAnsi="Times New Roman"/>
          <w:sz w:val="14"/>
          <w:szCs w:val="14"/>
          <w:color w:val="auto"/>
        </w:rPr>
      </w:pPr>
    </w:p>
    <w:p>
      <w:pPr>
        <w:ind w:left="560" w:right="239" w:firstLine="327"/>
        <w:spacing w:after="0" w:line="267" w:lineRule="auto"/>
        <w:tabs>
          <w:tab w:leader="none" w:pos="1057" w:val="left"/>
        </w:tabs>
        <w:numPr>
          <w:ilvl w:val="1"/>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Dispositions in the ordinary course of business of accounts, accounts receivable, bills of exchange or rights to payment in connection with the compromise, settlement or collection thereof and (ii) Dispositions of accounts, accounts receivable, bills of exchange or rights to payment in connection with non-recourse supply chain financing and similar arrangements offered by customers of the Company and its Subsidiaries;</w:t>
      </w:r>
    </w:p>
    <w:p>
      <w:pPr>
        <w:spacing w:after="0" w:line="51" w:lineRule="exact"/>
        <w:rPr>
          <w:rFonts w:ascii="Times New Roman" w:cs="Times New Roman" w:eastAsia="Times New Roman" w:hAnsi="Times New Roman"/>
          <w:sz w:val="14"/>
          <w:szCs w:val="14"/>
          <w:color w:val="auto"/>
        </w:rPr>
      </w:pPr>
    </w:p>
    <w:p>
      <w:pPr>
        <w:ind w:left="560" w:right="559" w:firstLine="327"/>
        <w:spacing w:after="0" w:line="283" w:lineRule="auto"/>
        <w:tabs>
          <w:tab w:leader="none" w:pos="1088" w:val="left"/>
        </w:tabs>
        <w:numPr>
          <w:ilvl w:val="1"/>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Dispositions in connection with Permitted Sale Leasebacks;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fair market value of all property so Disposed after the Closing Date shall not exceed the greater of (i) $28,000,000 and (ii) 15% of TTM Consolidated EBITDA;</w:t>
      </w:r>
    </w:p>
    <w:p>
      <w:pPr>
        <w:spacing w:after="0" w:line="40"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1"/>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Disposition of the manufacturing facility in Plzeň, Czech Republic;</w:t>
      </w:r>
    </w:p>
    <w:p>
      <w:pPr>
        <w:spacing w:after="0" w:line="91" w:lineRule="exact"/>
        <w:rPr>
          <w:rFonts w:ascii="Times New Roman" w:cs="Times New Roman" w:eastAsia="Times New Roman" w:hAnsi="Times New Roman"/>
          <w:sz w:val="14"/>
          <w:szCs w:val="14"/>
          <w:color w:val="auto"/>
        </w:rPr>
      </w:pPr>
    </w:p>
    <w:p>
      <w:pPr>
        <w:ind w:left="1120" w:hanging="233"/>
        <w:spacing w:after="0"/>
        <w:tabs>
          <w:tab w:leader="none" w:pos="1120" w:val="left"/>
        </w:tabs>
        <w:numPr>
          <w:ilvl w:val="1"/>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Disposition of cash or Cash Equivalents or other financial instruments;</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1"/>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or sale of Equity Interests by a Subsidiary to the Company or any Subsidiary;</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1"/>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early termination or unwinding of any Swap Contract; and</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1"/>
          <w:numId w:val="7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to effect the TopCo Restructuring;</w:t>
      </w:r>
    </w:p>
    <w:p>
      <w:pPr>
        <w:spacing w:after="0" w:line="175" w:lineRule="exact"/>
        <w:rPr>
          <w:sz w:val="20"/>
          <w:szCs w:val="20"/>
          <w:color w:val="auto"/>
        </w:rPr>
      </w:pPr>
    </w:p>
    <w:p>
      <w:pPr>
        <w:ind w:left="220" w:right="379"/>
        <w:spacing w:after="0" w:line="283" w:lineRule="auto"/>
        <w:rPr>
          <w:sz w:val="20"/>
          <w:szCs w:val="20"/>
          <w:color w:val="auto"/>
        </w:rPr>
      </w:pP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any Disposition (other than Dispositions between or among Loan Parties) pursuant to </w:t>
      </w:r>
      <w:r>
        <w:rPr>
          <w:rFonts w:ascii="Times New Roman" w:cs="Times New Roman" w:eastAsia="Times New Roman" w:hAnsi="Times New Roman"/>
          <w:sz w:val="14"/>
          <w:szCs w:val="14"/>
          <w:u w:val="single" w:color="auto"/>
          <w:color w:val="auto"/>
        </w:rPr>
        <w:t>clauses (d)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(k)</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(l)</w:t>
      </w:r>
      <w:r>
        <w:rPr>
          <w:rFonts w:ascii="Times New Roman" w:cs="Times New Roman" w:eastAsia="Times New Roman" w:hAnsi="Times New Roman"/>
          <w:sz w:val="14"/>
          <w:szCs w:val="14"/>
          <w:color w:val="auto"/>
        </w:rPr>
        <w:t xml:space="preserve"> shall be for fair market value.</w:t>
      </w:r>
    </w:p>
    <w:p>
      <w:pPr>
        <w:spacing w:after="0" w:line="1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7.06 Restricted Payments</w:t>
      </w:r>
      <w:r>
        <w:rPr>
          <w:rFonts w:ascii="Times New Roman" w:cs="Times New Roman" w:eastAsia="Times New Roman" w:hAnsi="Times New Roman"/>
          <w:sz w:val="14"/>
          <w:szCs w:val="14"/>
          <w:color w:val="auto"/>
        </w:rPr>
        <w:t>. Declare or make any Restricted Payment, except that:</w:t>
      </w:r>
    </w:p>
    <w:p>
      <w:pPr>
        <w:spacing w:after="0" w:line="93" w:lineRule="exact"/>
        <w:rPr>
          <w:sz w:val="20"/>
          <w:szCs w:val="20"/>
          <w:color w:val="auto"/>
        </w:rPr>
      </w:pPr>
    </w:p>
    <w:p>
      <w:pPr>
        <w:jc w:val="both"/>
        <w:ind w:left="560" w:right="339" w:firstLine="327"/>
        <w:spacing w:after="0" w:line="267" w:lineRule="auto"/>
        <w:tabs>
          <w:tab w:leader="none" w:pos="1080" w:val="left"/>
        </w:tabs>
        <w:numPr>
          <w:ilvl w:val="0"/>
          <w:numId w:val="7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Material Subsidiary may make Restricted Payments to the Company and any other Subsidiary that owns an Equity Interest in such Material Subsidiary, in each case, ratably according to their respective holdings of the type of Equity Interest in respect of which such Restricted Payment is being made;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9019"/>
          </w:cols>
          <w:pgMar w:left="1440" w:top="242" w:right="1440" w:bottom="1440" w:gutter="0" w:footer="0" w:header="0"/>
        </w:sectPr>
      </w:pPr>
    </w:p>
    <w:bookmarkStart w:id="663" w:name="page664"/>
    <w:bookmarkEnd w:id="663"/>
    <w:p>
      <w:pPr>
        <w:ind w:left="560" w:right="739" w:firstLine="327"/>
        <w:spacing w:after="0" w:line="283" w:lineRule="auto"/>
        <w:tabs>
          <w:tab w:leader="none" w:pos="1088"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Company and each Material Subsidiary may make Restricted Payments payable solely in the form of common stock or other common Equity Interests of such Person;</w:t>
      </w:r>
    </w:p>
    <w:p>
      <w:pPr>
        <w:spacing w:after="0" w:line="40" w:lineRule="exact"/>
        <w:rPr>
          <w:rFonts w:ascii="Times New Roman" w:cs="Times New Roman" w:eastAsia="Times New Roman" w:hAnsi="Times New Roman"/>
          <w:sz w:val="14"/>
          <w:szCs w:val="14"/>
          <w:color w:val="auto"/>
        </w:rPr>
      </w:pPr>
    </w:p>
    <w:p>
      <w:pPr>
        <w:ind w:left="560" w:right="439" w:firstLine="327"/>
        <w:spacing w:after="0" w:line="283" w:lineRule="auto"/>
        <w:tabs>
          <w:tab w:leader="none" w:pos="1080"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Material Subsidiary may purchase, redeem or otherwise acquire Equity Interests issued by it with the proceeds received from the substantially concurrent issue of new shares of its common stock or other common Equity Interests;</w:t>
      </w:r>
    </w:p>
    <w:p>
      <w:pPr>
        <w:spacing w:after="0" w:line="40" w:lineRule="exact"/>
        <w:rPr>
          <w:rFonts w:ascii="Times New Roman" w:cs="Times New Roman" w:eastAsia="Times New Roman" w:hAnsi="Times New Roman"/>
          <w:sz w:val="14"/>
          <w:szCs w:val="14"/>
          <w:color w:val="auto"/>
        </w:rPr>
      </w:pPr>
    </w:p>
    <w:p>
      <w:pPr>
        <w:ind w:left="560" w:right="279" w:firstLine="327"/>
        <w:spacing w:after="0" w:line="283" w:lineRule="auto"/>
        <w:tabs>
          <w:tab w:leader="none" w:pos="1088"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by the Company or any Material Subsidiary to allow the payment of cash in lieu of the issuance of fractional shares upon (i) the exercise of options or warrants or (ii) the conversion or exchange of Equity Interests of any such Person;</w:t>
      </w:r>
    </w:p>
    <w:p>
      <w:pPr>
        <w:spacing w:after="0" w:line="40" w:lineRule="exact"/>
        <w:rPr>
          <w:rFonts w:ascii="Times New Roman" w:cs="Times New Roman" w:eastAsia="Times New Roman" w:hAnsi="Times New Roman"/>
          <w:sz w:val="14"/>
          <w:szCs w:val="14"/>
          <w:color w:val="auto"/>
        </w:rPr>
      </w:pPr>
    </w:p>
    <w:p>
      <w:pPr>
        <w:jc w:val="both"/>
        <w:ind w:left="560" w:right="259" w:firstLine="327"/>
        <w:spacing w:after="0" w:line="267" w:lineRule="auto"/>
        <w:tabs>
          <w:tab w:leader="none" w:pos="1080"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may make other Restricted Payments in an aggregate amount not to exceed, during the term of this Agreement, the greater of (i) $47,000,000 and (ii) 25% of TTM Consolidated EBITDA;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immediately before and immediately after giving Pro Forma Effect to any such Restricted Payment, no Event of Default shall have occurred and be continuing;</w:t>
      </w:r>
    </w:p>
    <w:p>
      <w:pPr>
        <w:spacing w:after="0" w:line="51" w:lineRule="exact"/>
        <w:rPr>
          <w:rFonts w:ascii="Times New Roman" w:cs="Times New Roman" w:eastAsia="Times New Roman" w:hAnsi="Times New Roman"/>
          <w:sz w:val="14"/>
          <w:szCs w:val="14"/>
          <w:color w:val="auto"/>
        </w:rPr>
      </w:pPr>
    </w:p>
    <w:p>
      <w:pPr>
        <w:ind w:left="560" w:right="299" w:firstLine="327"/>
        <w:spacing w:after="0" w:line="267" w:lineRule="auto"/>
        <w:tabs>
          <w:tab w:leader="none" w:pos="1064"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may make any Restricted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immediately before and immediately after giving Pro Forma Effect to any such Restricted Payment, no Event of Default shall have occurred and be continuing, and (ii) upon giving effect to any such Restricted Payment on a Pro Forma Basis, the Consolidated Net Leverage Ratio is less than or equal to 2.50 to 1.0;</w:t>
      </w:r>
    </w:p>
    <w:p>
      <w:pPr>
        <w:spacing w:after="0" w:line="51" w:lineRule="exact"/>
        <w:rPr>
          <w:rFonts w:ascii="Times New Roman" w:cs="Times New Roman" w:eastAsia="Times New Roman" w:hAnsi="Times New Roman"/>
          <w:sz w:val="14"/>
          <w:szCs w:val="14"/>
          <w:color w:val="auto"/>
        </w:rPr>
      </w:pPr>
    </w:p>
    <w:p>
      <w:pPr>
        <w:ind w:left="560" w:right="359" w:firstLine="327"/>
        <w:spacing w:after="0" w:line="261" w:lineRule="auto"/>
        <w:tabs>
          <w:tab w:leader="none" w:pos="1088"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may make any other Restricted Payment in an aggregate amount not to exceed the Available Amount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 Event of Default has occurred and is continuing or would result therefrom and (ii) upon giving effect thereto on a Pro Forma Basis, the Loan Parties shall be in compliance with the financial covenants set forth in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 xml:space="preserve"> as of the most recent fiscal quarter end for which the Company was required to deliver financial statements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w:t>
      </w:r>
    </w:p>
    <w:p>
      <w:pPr>
        <w:spacing w:after="0" w:line="56" w:lineRule="exact"/>
        <w:rPr>
          <w:rFonts w:ascii="Times New Roman" w:cs="Times New Roman" w:eastAsia="Times New Roman" w:hAnsi="Times New Roman"/>
          <w:sz w:val="14"/>
          <w:szCs w:val="14"/>
          <w:color w:val="auto"/>
        </w:rPr>
      </w:pPr>
    </w:p>
    <w:p>
      <w:pPr>
        <w:ind w:left="560" w:right="499" w:firstLine="327"/>
        <w:spacing w:after="0" w:line="267" w:lineRule="auto"/>
        <w:tabs>
          <w:tab w:leader="none" w:pos="1088"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may make (i) the SpinCo Cash Distribution (as defined in the Mirror Separation Agreement and as may be adjusted in accordance with the Mirror Transaction Documents) and (ii) the Gold Special Dividend (as defined in the Mirror Merger Agreement), if any;</w:t>
      </w:r>
    </w:p>
    <w:p>
      <w:pPr>
        <w:spacing w:after="0" w:line="51" w:lineRule="exact"/>
        <w:rPr>
          <w:rFonts w:ascii="Times New Roman" w:cs="Times New Roman" w:eastAsia="Times New Roman" w:hAnsi="Times New Roman"/>
          <w:sz w:val="14"/>
          <w:szCs w:val="14"/>
          <w:color w:val="auto"/>
        </w:rPr>
      </w:pPr>
    </w:p>
    <w:p>
      <w:pPr>
        <w:ind w:left="560" w:right="719" w:firstLine="327"/>
        <w:spacing w:after="0" w:line="267" w:lineRule="auto"/>
        <w:tabs>
          <w:tab w:leader="none" w:pos="1057"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repurchase of Equity Interests deemed to occur upon the exercise of stock or other equity options and any repurchase or other acquisition of Equity Interests made in lieu of withholding taxes in connection with any exercise or exchange of stock options, warrants, incentives or other rights to acquire Equity Interests; and</w:t>
      </w:r>
    </w:p>
    <w:p>
      <w:pPr>
        <w:spacing w:after="0" w:line="51"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0"/>
          <w:numId w:val="7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make Permitted Tax Distributions.</w:t>
      </w:r>
    </w:p>
    <w:p>
      <w:pPr>
        <w:spacing w:after="0" w:line="173" w:lineRule="exact"/>
        <w:rPr>
          <w:sz w:val="20"/>
          <w:szCs w:val="20"/>
          <w:color w:val="auto"/>
        </w:rPr>
      </w:pPr>
    </w:p>
    <w:p>
      <w:pPr>
        <w:ind w:left="220" w:right="29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7.07 Change in Nature of Business</w:t>
      </w:r>
      <w:r>
        <w:rPr>
          <w:rFonts w:ascii="Times New Roman" w:cs="Times New Roman" w:eastAsia="Times New Roman" w:hAnsi="Times New Roman"/>
          <w:sz w:val="14"/>
          <w:szCs w:val="14"/>
          <w:color w:val="auto"/>
        </w:rPr>
        <w:t>. Engage in any material line of business substantially different from those lines of business conducted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and its Material Subsidiaries on the Mirror Transactions Funding Date or any business substantially related, incidental, similar, complementary or ancillary thereto (or any reasonable extension or expansion thereof), other than pursuant to the Mirror Transactions.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9019"/>
          </w:cols>
          <w:pgMar w:left="1440" w:top="241" w:right="1440" w:bottom="1440" w:gutter="0" w:footer="0" w:header="0"/>
        </w:sectPr>
      </w:pPr>
    </w:p>
    <w:bookmarkStart w:id="664" w:name="page665"/>
    <w:bookmarkEnd w:id="664"/>
    <w:p>
      <w:pPr>
        <w:ind w:left="220" w:right="6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7.08 Transactions with Affiliates</w:t>
      </w:r>
      <w:r>
        <w:rPr>
          <w:rFonts w:ascii="Times New Roman" w:cs="Times New Roman" w:eastAsia="Times New Roman" w:hAnsi="Times New Roman"/>
          <w:sz w:val="14"/>
          <w:szCs w:val="14"/>
          <w:color w:val="auto"/>
        </w:rPr>
        <w:t>. Enter into any transaction of any kind with any of its Affiliates, whether or not in the ordinary course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 in each case, to the extent the fair market value thereof is in excess of $1,000,000, other than:</w:t>
      </w:r>
    </w:p>
    <w:p>
      <w:pPr>
        <w:spacing w:after="0" w:line="39" w:lineRule="exact"/>
        <w:rPr>
          <w:sz w:val="20"/>
          <w:szCs w:val="20"/>
          <w:color w:val="auto"/>
        </w:rPr>
      </w:pPr>
    </w:p>
    <w:p>
      <w:pPr>
        <w:ind w:left="560" w:right="259" w:firstLine="327"/>
        <w:spacing w:after="0" w:line="267" w:lineRule="auto"/>
        <w:tabs>
          <w:tab w:leader="none" w:pos="1080" w:val="left"/>
        </w:tabs>
        <w:numPr>
          <w:ilvl w:val="0"/>
          <w:numId w:val="7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intercompany loans among Loan Parties and their respective Subsidiaries permitted under </w:t>
      </w:r>
      <w:r>
        <w:rPr>
          <w:rFonts w:ascii="Times New Roman" w:cs="Times New Roman" w:eastAsia="Times New Roman" w:hAnsi="Times New Roman"/>
          <w:sz w:val="14"/>
          <w:szCs w:val="14"/>
          <w:u w:val="single" w:color="auto"/>
          <w:color w:val="auto"/>
        </w:rPr>
        <w:t>Section 7.02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(ii) transactions solely among Loan Parties not otherwise prohibited hereunder and (iii) any transaction solely between or among any Subsidiaries that are not Loan Parties;</w:t>
      </w:r>
    </w:p>
    <w:p>
      <w:pPr>
        <w:spacing w:after="0" w:line="51" w:lineRule="exact"/>
        <w:rPr>
          <w:rFonts w:ascii="Times New Roman" w:cs="Times New Roman" w:eastAsia="Times New Roman" w:hAnsi="Times New Roman"/>
          <w:sz w:val="14"/>
          <w:szCs w:val="14"/>
          <w:color w:val="auto"/>
        </w:rPr>
      </w:pPr>
    </w:p>
    <w:p>
      <w:pPr>
        <w:ind w:left="560" w:right="419" w:firstLine="327"/>
        <w:spacing w:after="0" w:line="283" w:lineRule="auto"/>
        <w:tabs>
          <w:tab w:leader="none" w:pos="1088" w:val="left"/>
        </w:tabs>
        <w:numPr>
          <w:ilvl w:val="0"/>
          <w:numId w:val="7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on fair and reasonable terms substantially as favorable to it as would be obtainable by it at the time in a comparable arm’s length transaction with a Person other than one of its Affiliates;</w:t>
      </w:r>
    </w:p>
    <w:p>
      <w:pPr>
        <w:spacing w:after="0" w:line="40" w:lineRule="exact"/>
        <w:rPr>
          <w:rFonts w:ascii="Times New Roman" w:cs="Times New Roman" w:eastAsia="Times New Roman" w:hAnsi="Times New Roman"/>
          <w:sz w:val="14"/>
          <w:szCs w:val="14"/>
          <w:color w:val="auto"/>
        </w:rPr>
      </w:pPr>
    </w:p>
    <w:p>
      <w:pPr>
        <w:ind w:left="560" w:right="479" w:firstLine="327"/>
        <w:spacing w:after="0" w:line="261" w:lineRule="auto"/>
        <w:tabs>
          <w:tab w:leader="none" w:pos="1080" w:val="left"/>
        </w:tabs>
        <w:numPr>
          <w:ilvl w:val="0"/>
          <w:numId w:val="7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employment agreement, employee benefit plan, officer or director indemnification agreement or any similar arrangement entered into by the Company or any Subsidiary in the ordinary course of business and payments pursuant thereto, and the reimbursement of expenses (including travel and entertainment expenses and similar expenditures in the ordinary course of business) of employees, officers, directors or consultants of the Company or any Subsidiary;</w:t>
      </w:r>
    </w:p>
    <w:p>
      <w:pPr>
        <w:spacing w:after="0" w:line="56"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Restricted Payments permitted by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xml:space="preserve"> (other than by reference to this </w:t>
      </w:r>
      <w:r>
        <w:rPr>
          <w:rFonts w:ascii="Times New Roman" w:cs="Times New Roman" w:eastAsia="Times New Roman" w:hAnsi="Times New Roman"/>
          <w:sz w:val="14"/>
          <w:szCs w:val="14"/>
          <w:u w:val="single" w:color="auto"/>
          <w:color w:val="auto"/>
        </w:rPr>
        <w:t>Section 7.08(d)</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jc w:val="both"/>
        <w:ind w:left="560" w:right="339" w:firstLine="327"/>
        <w:spacing w:after="0" w:line="261" w:lineRule="auto"/>
        <w:tabs>
          <w:tab w:leader="none" w:pos="1080" w:val="left"/>
        </w:tabs>
        <w:numPr>
          <w:ilvl w:val="0"/>
          <w:numId w:val="7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 respect of which the Company delivers to the Administrative Agent a letter addressed to the board of directors of the Company from an accounting, appraisal or investment banking firm, in each case, of nationally recognized standing, which letter states that such transaction is on terms that are no less favorable to the Company or the applicable Subsidiary, as applicable, than would be obtained in a comparable arm’s length transaction with a Person that is not an Affiliate;</w:t>
      </w:r>
    </w:p>
    <w:p>
      <w:pPr>
        <w:spacing w:after="0" w:line="56"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0"/>
          <w:numId w:val="7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Mirror Transactions; and</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transactions necessary to facilitate the TopCo Restructuring.</w:t>
      </w:r>
    </w:p>
    <w:p>
      <w:pPr>
        <w:spacing w:after="0" w:line="173" w:lineRule="exact"/>
        <w:rPr>
          <w:sz w:val="20"/>
          <w:szCs w:val="20"/>
          <w:color w:val="auto"/>
        </w:rPr>
      </w:pPr>
    </w:p>
    <w:p>
      <w:pPr>
        <w:ind w:left="220" w:right="23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7.09 Burdensome Agreements</w:t>
      </w:r>
      <w:r>
        <w:rPr>
          <w:rFonts w:ascii="Times New Roman" w:cs="Times New Roman" w:eastAsia="Times New Roman" w:hAnsi="Times New Roman"/>
          <w:sz w:val="14"/>
          <w:szCs w:val="14"/>
          <w:color w:val="auto"/>
        </w:rPr>
        <w:t>. Enter into any Contractual Obligation (other than this Agreement or any other Loan Document) that (A) limits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ability (i) of any Material Subsidiary to make Restricted Payments to the Company or any Guarantor or to otherwise transfer property to the Company or any Guarantor, (ii) of the Company or any Material Subsidiary to act as a Loan Party pursuant to the Loan Documents, (iii) of the Company or any Material Subsidiary to create, incur, assume or suffer to exist Liens on property of such Person or (B) requires the grant of a Lien to secure an obligation of such Person if a Lien is granted to secure another obligation of such Person, except:</w:t>
      </w:r>
    </w:p>
    <w:p>
      <w:pPr>
        <w:spacing w:after="0" w:line="58" w:lineRule="exact"/>
        <w:rPr>
          <w:sz w:val="20"/>
          <w:szCs w:val="20"/>
          <w:color w:val="auto"/>
        </w:rPr>
      </w:pPr>
    </w:p>
    <w:p>
      <w:pPr>
        <w:ind w:left="560" w:right="599" w:firstLine="327"/>
        <w:spacing w:after="0" w:line="283" w:lineRule="auto"/>
        <w:tabs>
          <w:tab w:leader="none" w:pos="1080" w:val="left"/>
        </w:tabs>
        <w:numPr>
          <w:ilvl w:val="0"/>
          <w:numId w:val="7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restriction or limitation incurred or provided in favor of any holder of Indebtedness of the type permitted under </w:t>
      </w:r>
      <w:r>
        <w:rPr>
          <w:rFonts w:ascii="Times New Roman" w:cs="Times New Roman" w:eastAsia="Times New Roman" w:hAnsi="Times New Roman"/>
          <w:sz w:val="14"/>
          <w:szCs w:val="14"/>
          <w:u w:val="single" w:color="auto"/>
          <w:color w:val="auto"/>
        </w:rPr>
        <w:t>Section 7.03(e)</w:t>
      </w:r>
      <w:r>
        <w:rPr>
          <w:rFonts w:ascii="Times New Roman" w:cs="Times New Roman" w:eastAsia="Times New Roman" w:hAnsi="Times New Roman"/>
          <w:sz w:val="14"/>
          <w:szCs w:val="14"/>
          <w:color w:val="auto"/>
        </w:rPr>
        <w:t xml:space="preserve"> solely to the extent any such negative pledge relates to the property financed by or the subject of such Indebtedness;</w:t>
      </w:r>
    </w:p>
    <w:p>
      <w:pPr>
        <w:spacing w:after="0" w:line="40" w:lineRule="exact"/>
        <w:rPr>
          <w:rFonts w:ascii="Times New Roman" w:cs="Times New Roman" w:eastAsia="Times New Roman" w:hAnsi="Times New Roman"/>
          <w:sz w:val="14"/>
          <w:szCs w:val="14"/>
          <w:color w:val="auto"/>
        </w:rPr>
      </w:pPr>
    </w:p>
    <w:p>
      <w:pPr>
        <w:ind w:left="560" w:right="279" w:firstLine="327"/>
        <w:spacing w:after="0" w:line="283" w:lineRule="auto"/>
        <w:tabs>
          <w:tab w:leader="none" w:pos="1088" w:val="left"/>
        </w:tabs>
        <w:numPr>
          <w:ilvl w:val="0"/>
          <w:numId w:val="7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customary restriction in or under leases, subleases, licenses, sublicenses or asset sale agreements otherwise permitted hereby so long as such restrictions only relate to the assets subject thereto;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9019"/>
          </w:cols>
          <w:pgMar w:left="1440" w:top="239" w:right="1440" w:bottom="1440" w:gutter="0" w:footer="0" w:header="0"/>
        </w:sectPr>
      </w:pPr>
    </w:p>
    <w:bookmarkStart w:id="665" w:name="page666"/>
    <w:bookmarkEnd w:id="665"/>
    <w:p>
      <w:pPr>
        <w:ind w:left="1080" w:hanging="193"/>
        <w:spacing w:after="0"/>
        <w:tabs>
          <w:tab w:leader="none" w:pos="1080" w:val="left"/>
        </w:tabs>
        <w:numPr>
          <w:ilvl w:val="1"/>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any customary provision restricting subletting or assignment of any lease governing a leasehold interest;</w:t>
      </w:r>
    </w:p>
    <w:p>
      <w:pPr>
        <w:spacing w:after="0" w:line="91" w:lineRule="exact"/>
        <w:rPr>
          <w:rFonts w:ascii="Times New Roman" w:cs="Times New Roman" w:eastAsia="Times New Roman" w:hAnsi="Times New Roman"/>
          <w:sz w:val="14"/>
          <w:szCs w:val="14"/>
          <w:color w:val="auto"/>
        </w:rPr>
      </w:pPr>
    </w:p>
    <w:p>
      <w:pPr>
        <w:ind w:left="560" w:right="299" w:firstLine="327"/>
        <w:spacing w:after="0" w:line="283" w:lineRule="auto"/>
        <w:tabs>
          <w:tab w:leader="none" w:pos="1088" w:val="left"/>
        </w:tabs>
        <w:numPr>
          <w:ilvl w:val="1"/>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restrictions in any agreement regarding Indebtedness or other obligations of any Subsidiary that is not a Loan Party not prohibited under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(in which case, any such restriction shall only be effective against the assets of such Subsidiary and its Subsidiaries);</w:t>
      </w:r>
    </w:p>
    <w:p>
      <w:pPr>
        <w:spacing w:after="0" w:line="40" w:lineRule="exact"/>
        <w:rPr>
          <w:rFonts w:ascii="Times New Roman" w:cs="Times New Roman" w:eastAsia="Times New Roman" w:hAnsi="Times New Roman"/>
          <w:sz w:val="14"/>
          <w:szCs w:val="14"/>
          <w:color w:val="auto"/>
        </w:rPr>
      </w:pPr>
    </w:p>
    <w:p>
      <w:pPr>
        <w:ind w:left="560" w:right="339" w:firstLine="327"/>
        <w:spacing w:after="0" w:line="283" w:lineRule="auto"/>
        <w:tabs>
          <w:tab w:leader="none" w:pos="1080" w:val="left"/>
        </w:tabs>
        <w:numPr>
          <w:ilvl w:val="1"/>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contained in joint venture agreements and other similar agreements only applicable to the applicable joint venture and only to the extent the applicable joint venture is not prohibited by this Agreement;</w:t>
      </w:r>
    </w:p>
    <w:p>
      <w:pPr>
        <w:spacing w:after="0" w:line="40" w:lineRule="exact"/>
        <w:rPr>
          <w:rFonts w:ascii="Times New Roman" w:cs="Times New Roman" w:eastAsia="Times New Roman" w:hAnsi="Times New Roman"/>
          <w:sz w:val="14"/>
          <w:szCs w:val="14"/>
          <w:color w:val="auto"/>
        </w:rPr>
      </w:pPr>
    </w:p>
    <w:p>
      <w:pPr>
        <w:ind w:left="560" w:right="519" w:firstLine="327"/>
        <w:spacing w:after="0" w:line="283" w:lineRule="auto"/>
        <w:tabs>
          <w:tab w:leader="none" w:pos="1064" w:val="left"/>
        </w:tabs>
        <w:numPr>
          <w:ilvl w:val="1"/>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customary restrictions and conditions contained in any agreement relating to any Disposition not prohibited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restrictions and conditions are applicable solely to the Subsidiary or assets the subject of such permitted Disposition;</w:t>
      </w:r>
    </w:p>
    <w:p>
      <w:pPr>
        <w:spacing w:after="0" w:line="40" w:lineRule="exact"/>
        <w:rPr>
          <w:rFonts w:ascii="Times New Roman" w:cs="Times New Roman" w:eastAsia="Times New Roman" w:hAnsi="Times New Roman"/>
          <w:sz w:val="14"/>
          <w:szCs w:val="14"/>
          <w:color w:val="auto"/>
        </w:rPr>
      </w:pPr>
    </w:p>
    <w:p>
      <w:pPr>
        <w:ind w:left="560" w:right="519" w:firstLine="327"/>
        <w:spacing w:after="0" w:line="267" w:lineRule="auto"/>
        <w:tabs>
          <w:tab w:leader="none" w:pos="1088" w:val="left"/>
        </w:tabs>
        <w:numPr>
          <w:ilvl w:val="1"/>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agreement of a Person in effect at the time such Person becomes a Subsidiary, so long as such agreement was not entered into in contemplation of such Person becoming a Subsidiary, in each case to the extent relating to the Subsidiary party to such agreement and its Subsidiaries;</w:t>
      </w:r>
    </w:p>
    <w:p>
      <w:pPr>
        <w:spacing w:after="0" w:line="5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1"/>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by applicable Laws;</w:t>
      </w:r>
    </w:p>
    <w:p>
      <w:pPr>
        <w:spacing w:after="0" w:line="91" w:lineRule="exact"/>
        <w:rPr>
          <w:rFonts w:ascii="Times New Roman" w:cs="Times New Roman" w:eastAsia="Times New Roman" w:hAnsi="Times New Roman"/>
          <w:sz w:val="14"/>
          <w:szCs w:val="14"/>
          <w:color w:val="auto"/>
        </w:rPr>
      </w:pPr>
    </w:p>
    <w:p>
      <w:pPr>
        <w:ind w:left="560" w:right="379" w:firstLine="327"/>
        <w:spacing w:after="0" w:line="258" w:lineRule="auto"/>
        <w:tabs>
          <w:tab w:leader="none" w:pos="1057" w:val="left"/>
        </w:tabs>
        <w:numPr>
          <w:ilvl w:val="1"/>
          <w:numId w:val="7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customary restrictions in any agreement or instrument relating to (x) any Incremental Equivalent Debt, (y) any other Indebtedness permitted to be incurred under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or (z) any Cash Pooling Arrangement;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the Company shall have determined in good faith that such restrictions will not affect the Loan Parties’ ability to make any payment required by the Loan Documents as and when due and</w:t>
      </w:r>
    </w:p>
    <w:p>
      <w:pPr>
        <w:ind w:left="760" w:hanging="202"/>
        <w:spacing w:after="0"/>
        <w:tabs>
          <w:tab w:leader="none" w:pos="760" w:val="left"/>
        </w:tabs>
        <w:numPr>
          <w:ilvl w:val="0"/>
          <w:numId w:val="7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restrictions do not restrict the Liens securing the Obligations or the first priority status thereof;</w:t>
      </w:r>
    </w:p>
    <w:p>
      <w:pPr>
        <w:spacing w:after="0" w:line="76" w:lineRule="exact"/>
        <w:rPr>
          <w:rFonts w:ascii="Times New Roman" w:cs="Times New Roman" w:eastAsia="Times New Roman" w:hAnsi="Times New Roman"/>
          <w:sz w:val="14"/>
          <w:szCs w:val="14"/>
          <w:color w:val="auto"/>
        </w:rPr>
      </w:pPr>
    </w:p>
    <w:p>
      <w:pPr>
        <w:ind w:left="1060" w:hanging="173"/>
        <w:spacing w:after="0"/>
        <w:tabs>
          <w:tab w:leader="none" w:pos="1060" w:val="left"/>
        </w:tabs>
        <w:numPr>
          <w:ilvl w:val="1"/>
          <w:numId w:val="7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provisions restricting assignment of any agreement entered into in the ordinary course of business; and</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1"/>
          <w:numId w:val="7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restrictions contained in the Organization Documents of any Subsidiary that is not a Loan Party.</w:t>
      </w:r>
    </w:p>
    <w:p>
      <w:pPr>
        <w:spacing w:after="0" w:line="173" w:lineRule="exact"/>
        <w:rPr>
          <w:sz w:val="20"/>
          <w:szCs w:val="20"/>
          <w:color w:val="auto"/>
        </w:rPr>
      </w:pPr>
    </w:p>
    <w:p>
      <w:pPr>
        <w:ind w:left="220" w:right="31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7.10 Use of Proceeds</w:t>
      </w:r>
      <w:r>
        <w:rPr>
          <w:rFonts w:ascii="Times New Roman" w:cs="Times New Roman" w:eastAsia="Times New Roman" w:hAnsi="Times New Roman"/>
          <w:sz w:val="14"/>
          <w:szCs w:val="14"/>
          <w:color w:val="auto"/>
        </w:rPr>
        <w:t>. Use the proceeds of any Credit Extension, whether immediately, incidentally or ultimately, to purchase or carry margin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stock (within the meaning of Regulation U of the FRB) or to extend credit to others for the purpose of purchasing or carrying margin stock or to refund indebtedness originally incurred for such purpose.</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7.11 Financial Covenants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779" w:firstLine="327"/>
        <w:spacing w:after="0" w:line="283" w:lineRule="auto"/>
        <w:tabs>
          <w:tab w:leader="none" w:pos="1080" w:val="left"/>
        </w:tabs>
        <w:numPr>
          <w:ilvl w:val="0"/>
          <w:numId w:val="7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Consolidated Interest Coverage Ratio</w:t>
      </w:r>
      <w:r>
        <w:rPr>
          <w:rFonts w:ascii="Times New Roman" w:cs="Times New Roman" w:eastAsia="Times New Roman" w:hAnsi="Times New Roman"/>
          <w:sz w:val="14"/>
          <w:szCs w:val="14"/>
          <w:color w:val="auto"/>
        </w:rPr>
        <w:t>. Permit the Consolidated Interest Coverage Ratio as of the end of any fiscal quarter of the Company to be less than 3.00 to 1.0.</w:t>
      </w:r>
    </w:p>
    <w:p>
      <w:pPr>
        <w:spacing w:after="0" w:line="40" w:lineRule="exact"/>
        <w:rPr>
          <w:rFonts w:ascii="Times New Roman" w:cs="Times New Roman" w:eastAsia="Times New Roman" w:hAnsi="Times New Roman"/>
          <w:sz w:val="14"/>
          <w:szCs w:val="14"/>
          <w:color w:val="auto"/>
        </w:rPr>
      </w:pPr>
    </w:p>
    <w:p>
      <w:pPr>
        <w:ind w:left="560" w:right="319" w:firstLine="327"/>
        <w:spacing w:after="0" w:line="257" w:lineRule="auto"/>
        <w:tabs>
          <w:tab w:leader="none" w:pos="1087" w:val="left"/>
        </w:tabs>
        <w:numPr>
          <w:ilvl w:val="0"/>
          <w:numId w:val="7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Consolidated Net Leverage Ratio</w:t>
      </w:r>
      <w:r>
        <w:rPr>
          <w:rFonts w:ascii="Times New Roman" w:cs="Times New Roman" w:eastAsia="Times New Roman" w:hAnsi="Times New Roman"/>
          <w:sz w:val="14"/>
          <w:szCs w:val="14"/>
          <w:color w:val="auto"/>
        </w:rPr>
        <w:t xml:space="preserve">. Permit the Consolidated Net Leverage Ratio as of the end of any fiscal quarter of the Company to be greater than 3.50 to 1.0;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connection with a Material Acquisition, the Company may elect by written notice to the Administrative Agent that the ratio described above shall be increased to 4.00 to 1.0 (each, a “</w:t>
      </w:r>
      <w:r>
        <w:rPr>
          <w:rFonts w:ascii="Times New Roman" w:cs="Times New Roman" w:eastAsia="Times New Roman" w:hAnsi="Times New Roman"/>
          <w:sz w:val="14"/>
          <w:szCs w:val="14"/>
          <w:u w:val="single" w:color="auto"/>
          <w:color w:val="auto"/>
        </w:rPr>
        <w:t>Leverage Increase</w:t>
      </w:r>
      <w:r>
        <w:rPr>
          <w:rFonts w:ascii="Times New Roman" w:cs="Times New Roman" w:eastAsia="Times New Roman" w:hAnsi="Times New Roman"/>
          <w:sz w:val="14"/>
          <w:szCs w:val="14"/>
          <w:color w:val="auto"/>
        </w:rPr>
        <w:t xml:space="preserve">”) for four consecutive fiscal quarters commencing with the fiscal quarter in which such Material Acquisition occurred;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for at least one full fiscal quarter immediately following the last fiscal quarter of each Leverage Increase, the Consolidated Net Leverage Ratio as of the end of such fiscal quarter shall be not greater than 3.50 to 1.0 before another Leverage Increase may occur.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9019"/>
          </w:cols>
          <w:pgMar w:left="1440" w:top="241" w:right="1440" w:bottom="1440" w:gutter="0" w:footer="0" w:header="0"/>
        </w:sectPr>
      </w:pPr>
    </w:p>
    <w:bookmarkStart w:id="666" w:name="page667"/>
    <w:bookmarkEnd w:id="666"/>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7.12 Amendments of Organization Documents, Material IP Rights, etc.</w:t>
      </w:r>
    </w:p>
    <w:p>
      <w:pPr>
        <w:spacing w:after="0" w:line="93" w:lineRule="exact"/>
        <w:rPr>
          <w:sz w:val="20"/>
          <w:szCs w:val="20"/>
          <w:color w:val="auto"/>
        </w:rPr>
      </w:pPr>
    </w:p>
    <w:p>
      <w:pPr>
        <w:ind w:left="1080" w:hanging="193"/>
        <w:spacing w:after="0"/>
        <w:tabs>
          <w:tab w:leader="none" w:pos="1080" w:val="left"/>
        </w:tabs>
        <w:numPr>
          <w:ilvl w:val="0"/>
          <w:numId w:val="7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change any of its Organization Documents in a manner materially adverse to the Lenders.</w:t>
      </w:r>
    </w:p>
    <w:p>
      <w:pPr>
        <w:spacing w:after="0" w:line="91" w:lineRule="exact"/>
        <w:rPr>
          <w:rFonts w:ascii="Times New Roman" w:cs="Times New Roman" w:eastAsia="Times New Roman" w:hAnsi="Times New Roman"/>
          <w:sz w:val="14"/>
          <w:szCs w:val="14"/>
          <w:color w:val="auto"/>
        </w:rPr>
      </w:pPr>
    </w:p>
    <w:p>
      <w:pPr>
        <w:ind w:left="560" w:right="359" w:firstLine="327"/>
        <w:spacing w:after="0" w:line="283" w:lineRule="auto"/>
        <w:tabs>
          <w:tab w:leader="none" w:pos="1088" w:val="left"/>
        </w:tabs>
        <w:numPr>
          <w:ilvl w:val="0"/>
          <w:numId w:val="7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providing notice within 30 days of the occurrence thereof to the Administrative Agent (or such later date as the Administrative Agent shall agree in its reasonable discretion), change its name, jurisdiction of organization or form of organization.</w:t>
      </w:r>
    </w:p>
    <w:p>
      <w:pPr>
        <w:spacing w:after="0" w:line="40" w:lineRule="exact"/>
        <w:rPr>
          <w:rFonts w:ascii="Times New Roman" w:cs="Times New Roman" w:eastAsia="Times New Roman" w:hAnsi="Times New Roman"/>
          <w:sz w:val="14"/>
          <w:szCs w:val="14"/>
          <w:color w:val="auto"/>
        </w:rPr>
      </w:pPr>
    </w:p>
    <w:p>
      <w:pPr>
        <w:jc w:val="both"/>
        <w:ind w:left="560" w:right="559" w:firstLine="327"/>
        <w:spacing w:after="0" w:line="267" w:lineRule="auto"/>
        <w:tabs>
          <w:tab w:leader="none" w:pos="1080" w:val="left"/>
        </w:tabs>
        <w:numPr>
          <w:ilvl w:val="0"/>
          <w:numId w:val="7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other provisions of this Agreement to the contrary, (i) permit any Loan Party (other than the Company) or any Subsidiary to issue or have outstanding any shares of preferred Equity Interests or (ii) create, incur, assume or suffer to exist any Lien on any Equity Interests of any Subsidiary of any Loan Party, except for Liens permitted by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560" w:right="339" w:firstLine="327"/>
        <w:spacing w:after="0" w:line="257" w:lineRule="auto"/>
        <w:tabs>
          <w:tab w:leader="none" w:pos="1088" w:val="left"/>
        </w:tabs>
        <w:numPr>
          <w:ilvl w:val="0"/>
          <w:numId w:val="7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Agreement to the contrary, neither the Company nor any Subsidiary shall consummate, or permit a Subsidiary to consummate, any transaction that results (whether by way of a Restricted Payment, Investment, Disposition or otherwise, and whether in a single transaction or a series of transactions) in the transfer (including an exclusive license) of any Material IP Rights (or the Equity Interests in any Subsidiary that owns any Material IP Rights) to (x) any Subsidiary that is not a Loan Party (other than any such transfer from a Subsidiary that is not a Loan Party to a Subsidiary that is not a Loan Party) or (y) any Affiliate that is not the Company or a Subsidiary unless, in the case of this clause (y), such transfer is made on an arm’s length basis.</w:t>
      </w:r>
    </w:p>
    <w:p>
      <w:pPr>
        <w:spacing w:after="0" w:line="143" w:lineRule="exact"/>
        <w:rPr>
          <w:sz w:val="20"/>
          <w:szCs w:val="20"/>
          <w:color w:val="auto"/>
        </w:rPr>
      </w:pPr>
    </w:p>
    <w:p>
      <w:pPr>
        <w:ind w:left="220" w:right="4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Nothing in this </w:t>
      </w:r>
      <w:r>
        <w:rPr>
          <w:rFonts w:ascii="Times New Roman" w:cs="Times New Roman" w:eastAsia="Times New Roman" w:hAnsi="Times New Roman"/>
          <w:sz w:val="14"/>
          <w:szCs w:val="14"/>
          <w:u w:val="single" w:color="auto"/>
          <w:color w:val="auto"/>
        </w:rPr>
        <w:t>Section 7.12</w:t>
      </w:r>
      <w:r>
        <w:rPr>
          <w:rFonts w:ascii="Times New Roman" w:cs="Times New Roman" w:eastAsia="Times New Roman" w:hAnsi="Times New Roman"/>
          <w:sz w:val="14"/>
          <w:szCs w:val="14"/>
          <w:color w:val="auto"/>
        </w:rPr>
        <w:t xml:space="preserve"> shall limit or restrict the TopCo Restructuring (it being understood that the Parent shall be required to comply with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above in connection with the TopCo Restructuring, to the extent that the Parent or any other Loan Party changes its name, jurisdiction of organization or form of organization).</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7.13 Accounting Changes</w:t>
      </w:r>
      <w:r>
        <w:rPr>
          <w:rFonts w:ascii="Times New Roman" w:cs="Times New Roman" w:eastAsia="Times New Roman" w:hAnsi="Times New Roman"/>
          <w:sz w:val="14"/>
          <w:szCs w:val="14"/>
          <w:color w:val="auto"/>
        </w:rPr>
        <w:t>. Make any change in (a) its accounting policies or reporting practices, except as required by GAAP or (b) its fiscal</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year.</w:t>
      </w:r>
    </w:p>
    <w:p>
      <w:pPr>
        <w:spacing w:after="0" w:line="159" w:lineRule="exact"/>
        <w:rPr>
          <w:sz w:val="20"/>
          <w:szCs w:val="20"/>
          <w:color w:val="auto"/>
        </w:rPr>
      </w:pPr>
    </w:p>
    <w:p>
      <w:pPr>
        <w:jc w:val="both"/>
        <w:ind w:left="220" w:right="35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7.14 Prepayments, Etc. of Junior Indebtedness</w:t>
      </w:r>
      <w:r>
        <w:rPr>
          <w:rFonts w:ascii="Times New Roman" w:cs="Times New Roman" w:eastAsia="Times New Roman" w:hAnsi="Times New Roman"/>
          <w:sz w:val="14"/>
          <w:szCs w:val="14"/>
          <w:color w:val="auto"/>
        </w:rPr>
        <w:t>. Prepay, redeem, purchase, defease or otherwise satisfy prior to the scheduled maturity 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any manner, or make any payment in violation of any subordination terms of, any Junior Indebtedness (each, a “</w:t>
      </w:r>
      <w:r>
        <w:rPr>
          <w:rFonts w:ascii="Times New Roman" w:cs="Times New Roman" w:eastAsia="Times New Roman" w:hAnsi="Times New Roman"/>
          <w:sz w:val="14"/>
          <w:szCs w:val="14"/>
          <w:u w:val="single" w:color="auto"/>
          <w:color w:val="auto"/>
        </w:rPr>
        <w:t>Junior Indebtedness Prepayment</w:t>
      </w:r>
      <w:r>
        <w:rPr>
          <w:rFonts w:ascii="Times New Roman" w:cs="Times New Roman" w:eastAsia="Times New Roman" w:hAnsi="Times New Roman"/>
          <w:sz w:val="14"/>
          <w:szCs w:val="14"/>
          <w:color w:val="auto"/>
        </w:rPr>
        <w:t>”), except:</w:t>
      </w:r>
    </w:p>
    <w:p>
      <w:pPr>
        <w:spacing w:after="0" w:line="51" w:lineRule="exact"/>
        <w:rPr>
          <w:sz w:val="20"/>
          <w:szCs w:val="20"/>
          <w:color w:val="auto"/>
        </w:rPr>
      </w:pPr>
    </w:p>
    <w:p>
      <w:pPr>
        <w:ind w:left="560" w:right="339" w:firstLine="327"/>
        <w:spacing w:after="0" w:line="283" w:lineRule="auto"/>
        <w:tabs>
          <w:tab w:leader="none" w:pos="1080" w:val="left"/>
        </w:tabs>
        <w:numPr>
          <w:ilvl w:val="0"/>
          <w:numId w:val="7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regularly scheduled or required repayments or redemptions of Junior Indebtedness as in effect on the Closing Date (other than any such payments prohibited by any subordination provisions applicable thereto) and Permitted Refinancings of such Junior Indebtedness;</w:t>
      </w:r>
    </w:p>
    <w:p>
      <w:pPr>
        <w:spacing w:after="0" w:line="40"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prepayments of Junior Indebtedness permitted under </w:t>
      </w:r>
      <w:r>
        <w:rPr>
          <w:rFonts w:ascii="Times New Roman" w:cs="Times New Roman" w:eastAsia="Times New Roman" w:hAnsi="Times New Roman"/>
          <w:sz w:val="14"/>
          <w:szCs w:val="14"/>
          <w:u w:val="single" w:color="auto"/>
          <w:color w:val="auto"/>
        </w:rPr>
        <w:t>Section 7.03</w:t>
      </w:r>
      <w:r>
        <w:rPr>
          <w:rFonts w:ascii="Times New Roman" w:cs="Times New Roman" w:eastAsia="Times New Roman" w:hAnsi="Times New Roman"/>
          <w:sz w:val="14"/>
          <w:szCs w:val="14"/>
          <w:color w:val="auto"/>
        </w:rPr>
        <w:t xml:space="preserve"> owing to any Loan Party;</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prepayments or redemptions of Junior Indebtedness within 12 months of the final maturity thereof;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9019"/>
          </w:cols>
          <w:pgMar w:left="1440" w:top="239" w:right="1440" w:bottom="1440" w:gutter="0" w:footer="0" w:header="0"/>
        </w:sectPr>
      </w:pPr>
    </w:p>
    <w:bookmarkStart w:id="667" w:name="page668"/>
    <w:bookmarkEnd w:id="667"/>
    <w:p>
      <w:pPr>
        <w:ind w:left="1080" w:hanging="193"/>
        <w:spacing w:after="0"/>
        <w:tabs>
          <w:tab w:leader="none" w:pos="1080" w:val="left"/>
        </w:tabs>
        <w:numPr>
          <w:ilvl w:val="0"/>
          <w:numId w:val="7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any payments or prepayments required or contemplated by the documentation governing Company Indebtedness;</w:t>
      </w:r>
    </w:p>
    <w:p>
      <w:pPr>
        <w:spacing w:after="0" w:line="91" w:lineRule="exact"/>
        <w:rPr>
          <w:rFonts w:ascii="Times New Roman" w:cs="Times New Roman" w:eastAsia="Times New Roman" w:hAnsi="Times New Roman"/>
          <w:sz w:val="14"/>
          <w:szCs w:val="14"/>
          <w:color w:val="auto"/>
        </w:rPr>
      </w:pPr>
    </w:p>
    <w:p>
      <w:pPr>
        <w:ind w:left="560" w:right="259" w:firstLine="327"/>
        <w:spacing w:after="0" w:line="267" w:lineRule="auto"/>
        <w:tabs>
          <w:tab w:leader="none" w:pos="1080" w:val="left"/>
        </w:tabs>
        <w:numPr>
          <w:ilvl w:val="0"/>
          <w:numId w:val="7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such prepayment, redemption, purchase, defeasance or other satisfaction (i) in an aggregate amount not to exceed, during the term of this Agreement, the greater of (x) $47,000,000 and (y) 25% of TTM Consolidated EBITDA;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immediately before and immediately after giving Pro Forma Effect thereto, no Event of Default shall have occurred and be continuing;</w:t>
      </w:r>
    </w:p>
    <w:p>
      <w:pPr>
        <w:spacing w:after="0" w:line="51" w:lineRule="exact"/>
        <w:rPr>
          <w:rFonts w:ascii="Times New Roman" w:cs="Times New Roman" w:eastAsia="Times New Roman" w:hAnsi="Times New Roman"/>
          <w:sz w:val="14"/>
          <w:szCs w:val="14"/>
          <w:color w:val="auto"/>
        </w:rPr>
      </w:pPr>
    </w:p>
    <w:p>
      <w:pPr>
        <w:jc w:val="both"/>
        <w:ind w:left="560" w:right="319" w:firstLine="327"/>
        <w:spacing w:after="0" w:line="261" w:lineRule="auto"/>
        <w:tabs>
          <w:tab w:leader="none" w:pos="1064" w:val="left"/>
        </w:tabs>
        <w:numPr>
          <w:ilvl w:val="0"/>
          <w:numId w:val="7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may make any other prepayment, redemption, purchase, defeasance or satisfaction in an aggregate amount not to exceed the Available Amount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 Event of Default has occurred and is continuing or would result therefrom and (ii) upon giving effect thereto on a Pro Forma Basis, the Loan Parties shall be in compliance with the financial covenants set forth in </w:t>
      </w:r>
      <w:r>
        <w:rPr>
          <w:rFonts w:ascii="Times New Roman" w:cs="Times New Roman" w:eastAsia="Times New Roman" w:hAnsi="Times New Roman"/>
          <w:sz w:val="14"/>
          <w:szCs w:val="14"/>
          <w:u w:val="single" w:color="auto"/>
          <w:color w:val="auto"/>
        </w:rPr>
        <w:t>Section 7.11</w:t>
      </w:r>
      <w:r>
        <w:rPr>
          <w:rFonts w:ascii="Times New Roman" w:cs="Times New Roman" w:eastAsia="Times New Roman" w:hAnsi="Times New Roman"/>
          <w:sz w:val="14"/>
          <w:szCs w:val="14"/>
          <w:color w:val="auto"/>
        </w:rPr>
        <w:t xml:space="preserve"> as of the most recent fiscal quarter end for which the Company was required to deliver financial statements pursuant to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and</w:t>
      </w:r>
    </w:p>
    <w:p>
      <w:pPr>
        <w:spacing w:after="0" w:line="56" w:lineRule="exact"/>
        <w:rPr>
          <w:rFonts w:ascii="Times New Roman" w:cs="Times New Roman" w:eastAsia="Times New Roman" w:hAnsi="Times New Roman"/>
          <w:sz w:val="14"/>
          <w:szCs w:val="14"/>
          <w:color w:val="auto"/>
        </w:rPr>
      </w:pPr>
    </w:p>
    <w:p>
      <w:pPr>
        <w:ind w:left="560" w:right="279" w:firstLine="327"/>
        <w:spacing w:after="0" w:line="267" w:lineRule="auto"/>
        <w:tabs>
          <w:tab w:leader="none" w:pos="1088" w:val="left"/>
        </w:tabs>
        <w:numPr>
          <w:ilvl w:val="0"/>
          <w:numId w:val="7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such prepayment, redemption, purchase, defeasance or other satisfaction;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 Event of Default has occurred and is continuing or would result therefrom and (ii) upon giving effect thereto on a Pro Forma Basis, the Consolidated Net Leverage Ratio is less than or equal to 2.75 to 1.0.</w:t>
      </w:r>
    </w:p>
    <w:p>
      <w:pPr>
        <w:spacing w:after="0" w:line="134" w:lineRule="exact"/>
        <w:rPr>
          <w:sz w:val="20"/>
          <w:szCs w:val="20"/>
          <w:color w:val="auto"/>
        </w:rPr>
      </w:pPr>
    </w:p>
    <w:p>
      <w:pPr>
        <w:ind w:left="220" w:right="33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7.15 Sanctions</w:t>
      </w:r>
      <w:r>
        <w:rPr>
          <w:rFonts w:ascii="Times New Roman" w:cs="Times New Roman" w:eastAsia="Times New Roman" w:hAnsi="Times New Roman"/>
          <w:sz w:val="14"/>
          <w:szCs w:val="14"/>
          <w:color w:val="auto"/>
        </w:rPr>
        <w:t>. Use any Loan or the proceeds of any Loan, or lend, contribute or otherwise make available such proceeds to any Person, to fund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underwriter, advisor, investor or otherwise) of Sanctions.</w:t>
      </w:r>
    </w:p>
    <w:p>
      <w:pPr>
        <w:spacing w:after="0" w:line="138" w:lineRule="exact"/>
        <w:rPr>
          <w:sz w:val="20"/>
          <w:szCs w:val="20"/>
          <w:color w:val="auto"/>
        </w:rPr>
      </w:pPr>
    </w:p>
    <w:p>
      <w:pPr>
        <w:ind w:left="220" w:right="3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7.16 Anti-Corruption Laws</w:t>
      </w:r>
      <w:r>
        <w:rPr>
          <w:rFonts w:ascii="Times New Roman" w:cs="Times New Roman" w:eastAsia="Times New Roman" w:hAnsi="Times New Roman"/>
          <w:sz w:val="14"/>
          <w:szCs w:val="14"/>
          <w:color w:val="auto"/>
        </w:rPr>
        <w:t>. Use any Loan or the proceeds of any Loan for any purpose which would breach the United States Foreign Corrupt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Practices Act of 1977, the UK Bribery Act 2010 and other similar anti-corruption legislation in other jurisdictions.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7.17 Permitted Activities</w:t>
      </w:r>
      <w:r>
        <w:rPr>
          <w:rFonts w:ascii="Times New Roman" w:cs="Times New Roman" w:eastAsia="Times New Roman" w:hAnsi="Times New Roman"/>
          <w:sz w:val="14"/>
          <w:szCs w:val="14"/>
          <w:color w:val="auto"/>
        </w:rPr>
        <w:t>. From the Closing Date to (but not including) the Mirror Transactions Funding Date:</w:t>
      </w:r>
    </w:p>
    <w:p>
      <w:pPr>
        <w:spacing w:after="0" w:line="93" w:lineRule="exact"/>
        <w:rPr>
          <w:sz w:val="20"/>
          <w:szCs w:val="20"/>
          <w:color w:val="auto"/>
        </w:rPr>
      </w:pPr>
    </w:p>
    <w:p>
      <w:pPr>
        <w:ind w:left="560" w:right="219" w:firstLine="327"/>
        <w:spacing w:after="0" w:line="255" w:lineRule="auto"/>
        <w:tabs>
          <w:tab w:leader="none" w:pos="1080" w:val="left"/>
        </w:tabs>
        <w:numPr>
          <w:ilvl w:val="0"/>
          <w:numId w:val="7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will not, and will not permit any of its Subsidiaries to, conduct, transact or otherwise engage in any business or operations other than (i) the ownership and/or acquisition of the Equity Interests of their respective Subsidiaries in existence on the Closing Date, (ii) the maintenance of its legal existence, including the ability to incur fees, costs and expenses relating to such maintenance, (iii) participating in tax, accounting and other administrative matters as a member of the consolidated group of Mercury and its Subsidiaries, (iv) the performance of its obligations under and in connection with the Loan Documents, (v) the consummation of the Mirror Transactions (including any activities incidental thereto), (vi) incurring fees, costs and expenses relating to overhead and general operating including professional fees for legal, tax and accounting issues and paying taxes, (vii) providing indemnification to officers and members of the board of directors and (viii) activities incidental to the businesses or activities described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to </w:t>
      </w:r>
      <w:r>
        <w:rPr>
          <w:rFonts w:ascii="Times New Roman" w:cs="Times New Roman" w:eastAsia="Times New Roman" w:hAnsi="Times New Roman"/>
          <w:sz w:val="14"/>
          <w:szCs w:val="14"/>
          <w:u w:val="single" w:color="auto"/>
          <w:color w:val="auto"/>
        </w:rPr>
        <w:t>(vii)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7.17(a)</w:t>
      </w:r>
      <w:r>
        <w:rPr>
          <w:rFonts w:ascii="Times New Roman" w:cs="Times New Roman" w:eastAsia="Times New Roman" w:hAnsi="Times New Roman"/>
          <w:sz w:val="14"/>
          <w:szCs w:val="14"/>
          <w:color w:val="auto"/>
        </w:rPr>
        <w:t>; and</w:t>
      </w:r>
    </w:p>
    <w:p>
      <w:pPr>
        <w:spacing w:after="0" w:line="61" w:lineRule="exact"/>
        <w:rPr>
          <w:rFonts w:ascii="Times New Roman" w:cs="Times New Roman" w:eastAsia="Times New Roman" w:hAnsi="Times New Roman"/>
          <w:sz w:val="14"/>
          <w:szCs w:val="14"/>
          <w:color w:val="auto"/>
        </w:rPr>
      </w:pPr>
    </w:p>
    <w:p>
      <w:pPr>
        <w:ind w:left="560" w:right="239" w:firstLine="327"/>
        <w:spacing w:after="0" w:line="261" w:lineRule="auto"/>
        <w:tabs>
          <w:tab w:leader="none" w:pos="1088" w:val="left"/>
        </w:tabs>
        <w:numPr>
          <w:ilvl w:val="0"/>
          <w:numId w:val="7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will not, and will not permit any of its Subsidiaries to, own or acquire any material assets (other than Equity Interests as referred to in </w:t>
      </w:r>
      <w:r>
        <w:rPr>
          <w:rFonts w:ascii="Times New Roman" w:cs="Times New Roman" w:eastAsia="Times New Roman" w:hAnsi="Times New Roman"/>
          <w:sz w:val="14"/>
          <w:szCs w:val="14"/>
          <w:u w:val="single" w:color="auto"/>
          <w:color w:val="auto"/>
        </w:rPr>
        <w:t>Section 7.17(a)(i)</w:t>
      </w:r>
      <w:r>
        <w:rPr>
          <w:rFonts w:ascii="Times New Roman" w:cs="Times New Roman" w:eastAsia="Times New Roman" w:hAnsi="Times New Roman"/>
          <w:sz w:val="14"/>
          <w:szCs w:val="14"/>
          <w:color w:val="auto"/>
        </w:rPr>
        <w:t xml:space="preserve"> above and cash and Cash Equivalents) or incur any liabilities (other than liabilities as referred to in </w:t>
      </w:r>
      <w:r>
        <w:rPr>
          <w:rFonts w:ascii="Times New Roman" w:cs="Times New Roman" w:eastAsia="Times New Roman" w:hAnsi="Times New Roman"/>
          <w:sz w:val="14"/>
          <w:szCs w:val="14"/>
          <w:u w:val="single" w:color="auto"/>
          <w:color w:val="auto"/>
        </w:rPr>
        <w:t>Section 7.17(a)</w:t>
      </w:r>
      <w:r>
        <w:rPr>
          <w:rFonts w:ascii="Times New Roman" w:cs="Times New Roman" w:eastAsia="Times New Roman" w:hAnsi="Times New Roman"/>
          <w:sz w:val="14"/>
          <w:szCs w:val="14"/>
          <w:color w:val="auto"/>
        </w:rPr>
        <w:t xml:space="preserve"> above, liabilities imposed by law, including tax liabilities, and other liabilities incidental to its existence and business and activities permitted by this Agreement).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9019"/>
          </w:cols>
          <w:pgMar w:left="1440" w:top="241" w:right="1440" w:bottom="1440" w:gutter="0" w:footer="0" w:header="0"/>
        </w:sectPr>
      </w:pPr>
    </w:p>
    <w:bookmarkStart w:id="668" w:name="page669"/>
    <w:bookmarkEnd w:id="668"/>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Nothing in this </w:t>
      </w:r>
      <w:r>
        <w:rPr>
          <w:rFonts w:ascii="Times New Roman" w:cs="Times New Roman" w:eastAsia="Times New Roman" w:hAnsi="Times New Roman"/>
          <w:sz w:val="14"/>
          <w:szCs w:val="14"/>
          <w:u w:val="single" w:color="auto"/>
          <w:color w:val="auto"/>
        </w:rPr>
        <w:t>Section 7.17</w:t>
      </w:r>
      <w:r>
        <w:rPr>
          <w:rFonts w:ascii="Times New Roman" w:cs="Times New Roman" w:eastAsia="Times New Roman" w:hAnsi="Times New Roman"/>
          <w:sz w:val="14"/>
          <w:szCs w:val="14"/>
          <w:color w:val="auto"/>
        </w:rPr>
        <w:t xml:space="preserve"> shall limit or restrict the Mirror Transactions.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EVENTS OF DEFAULT AND REMEDIES</w:t>
      </w:r>
    </w:p>
    <w:p>
      <w:pPr>
        <w:spacing w:after="0" w:line="159" w:lineRule="exact"/>
        <w:rPr>
          <w:sz w:val="20"/>
          <w:szCs w:val="20"/>
          <w:color w:val="auto"/>
        </w:rPr>
      </w:pPr>
    </w:p>
    <w:p>
      <w:pPr>
        <w:ind w:left="220" w:right="25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8.01 Events of Default</w:t>
      </w:r>
      <w:r>
        <w:rPr>
          <w:rFonts w:ascii="Times New Roman" w:cs="Times New Roman" w:eastAsia="Times New Roman" w:hAnsi="Times New Roman"/>
          <w:sz w:val="14"/>
          <w:szCs w:val="14"/>
          <w:color w:val="auto"/>
        </w:rPr>
        <w:t>. Any of the following occurring after the Parent Change Time (or, solely in the case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8.01(n)</w:t>
      </w:r>
      <w:r>
        <w:rPr>
          <w:rFonts w:ascii="Times New Roman" w:cs="Times New Roman" w:eastAsia="Times New Roman" w:hAnsi="Times New Roman"/>
          <w:sz w:val="14"/>
          <w:szCs w:val="14"/>
          <w:color w:val="auto"/>
        </w:rPr>
        <w:t>, occurring after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initial Credit Extensions hereunder on the Mirror Transactions Funding Date) shall constitute an “Event of Default”:</w:t>
      </w:r>
    </w:p>
    <w:p>
      <w:pPr>
        <w:spacing w:after="0" w:line="39" w:lineRule="exact"/>
        <w:rPr>
          <w:sz w:val="20"/>
          <w:szCs w:val="20"/>
          <w:color w:val="auto"/>
        </w:rPr>
      </w:pPr>
    </w:p>
    <w:p>
      <w:pPr>
        <w:ind w:left="560" w:right="279" w:firstLine="327"/>
        <w:spacing w:after="0" w:line="267" w:lineRule="auto"/>
        <w:tabs>
          <w:tab w:leader="none" w:pos="1080" w:val="left"/>
        </w:tabs>
        <w:numPr>
          <w:ilvl w:val="1"/>
          <w:numId w:val="7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Non-Payment</w:t>
      </w:r>
      <w:r>
        <w:rPr>
          <w:rFonts w:ascii="Times New Roman" w:cs="Times New Roman" w:eastAsia="Times New Roman" w:hAnsi="Times New Roman"/>
          <w:sz w:val="14"/>
          <w:szCs w:val="14"/>
          <w:color w:val="auto"/>
        </w:rPr>
        <w:t>. The Borrower or any other Loan Party fails to (i) pay when and as required to be paid herein any amount of principal of any Loan, or (ii) pay within three Business Days after the same becomes due, any interest on any Loan or (iii) pay within five Business Days after the same becomes due, any other amount payable hereunder or under any other Loan Document; or</w:t>
      </w:r>
    </w:p>
    <w:p>
      <w:pPr>
        <w:spacing w:after="0" w:line="51" w:lineRule="exact"/>
        <w:rPr>
          <w:rFonts w:ascii="Times New Roman" w:cs="Times New Roman" w:eastAsia="Times New Roman" w:hAnsi="Times New Roman"/>
          <w:sz w:val="14"/>
          <w:szCs w:val="14"/>
          <w:color w:val="auto"/>
        </w:rPr>
      </w:pPr>
    </w:p>
    <w:p>
      <w:pPr>
        <w:ind w:left="560" w:right="259" w:firstLine="327"/>
        <w:spacing w:after="0" w:line="283" w:lineRule="auto"/>
        <w:tabs>
          <w:tab w:leader="none" w:pos="1087" w:val="left"/>
        </w:tabs>
        <w:numPr>
          <w:ilvl w:val="1"/>
          <w:numId w:val="7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Specific Covenants</w:t>
      </w:r>
      <w:r>
        <w:rPr>
          <w:rFonts w:ascii="Times New Roman" w:cs="Times New Roman" w:eastAsia="Times New Roman" w:hAnsi="Times New Roman"/>
          <w:sz w:val="14"/>
          <w:szCs w:val="14"/>
          <w:color w:val="auto"/>
        </w:rPr>
        <w:t xml:space="preserve">. The Borrower or any other Loan Party fails to perform or observe any term, covenant or agreement contained in any of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6.05</w:t>
      </w:r>
      <w:r>
        <w:rPr>
          <w:rFonts w:ascii="Times New Roman" w:cs="Times New Roman" w:eastAsia="Times New Roman" w:hAnsi="Times New Roman"/>
          <w:sz w:val="14"/>
          <w:szCs w:val="14"/>
          <w:color w:val="auto"/>
        </w:rPr>
        <w:t xml:space="preserve"> (solely with respect to the Company or the Borrower), </w:t>
      </w:r>
      <w:r>
        <w:rPr>
          <w:rFonts w:ascii="Times New Roman" w:cs="Times New Roman" w:eastAsia="Times New Roman" w:hAnsi="Times New Roman"/>
          <w:sz w:val="14"/>
          <w:szCs w:val="14"/>
          <w:u w:val="single" w:color="auto"/>
          <w:color w:val="auto"/>
        </w:rPr>
        <w:t>6.11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6.13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or</w:t>
      </w:r>
    </w:p>
    <w:p>
      <w:pPr>
        <w:spacing w:after="0" w:line="40"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1"/>
          <w:numId w:val="7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Defaults</w:t>
      </w:r>
      <w:r>
        <w:rPr>
          <w:rFonts w:ascii="Times New Roman" w:cs="Times New Roman" w:eastAsia="Times New Roman" w:hAnsi="Times New Roman"/>
          <w:sz w:val="14"/>
          <w:szCs w:val="14"/>
          <w:color w:val="auto"/>
        </w:rPr>
        <w:t xml:space="preserve">. Any Loan Party fails to perform or observe any other covenant or agreement (not specified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clause</w:t>
      </w:r>
    </w:p>
    <w:p>
      <w:pPr>
        <w:spacing w:after="0" w:line="21" w:lineRule="exact"/>
        <w:rPr>
          <w:rFonts w:ascii="Times New Roman" w:cs="Times New Roman" w:eastAsia="Times New Roman" w:hAnsi="Times New Roman"/>
          <w:sz w:val="14"/>
          <w:szCs w:val="14"/>
          <w:color w:val="auto"/>
        </w:rPr>
      </w:pPr>
    </w:p>
    <w:p>
      <w:pPr>
        <w:ind w:left="560" w:right="279" w:hanging="2"/>
        <w:spacing w:after="0" w:line="261" w:lineRule="auto"/>
        <w:tabs>
          <w:tab w:leader="none" w:pos="758" w:val="left"/>
        </w:tabs>
        <w:numPr>
          <w:ilvl w:val="0"/>
          <w:numId w:val="74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above) contained in any Loan Document on its part to be performed or observed and such failure continues for 30 days after the earlier of (i) a Loan Party becoming aware of such failure or (ii) the date notice thereof shall have been given to the Borrower by the Administrative Agent; or</w:t>
      </w:r>
    </w:p>
    <w:p>
      <w:pPr>
        <w:spacing w:after="0" w:line="55" w:lineRule="exact"/>
        <w:rPr>
          <w:rFonts w:ascii="Times New Roman" w:cs="Times New Roman" w:eastAsia="Times New Roman" w:hAnsi="Times New Roman"/>
          <w:sz w:val="14"/>
          <w:szCs w:val="14"/>
          <w:u w:val="single" w:color="auto"/>
          <w:color w:val="auto"/>
        </w:rPr>
      </w:pPr>
    </w:p>
    <w:p>
      <w:pPr>
        <w:jc w:val="both"/>
        <w:ind w:left="560" w:right="239" w:firstLine="327"/>
        <w:spacing w:after="0" w:line="267" w:lineRule="auto"/>
        <w:tabs>
          <w:tab w:leader="none" w:pos="1087" w:val="left"/>
        </w:tabs>
        <w:numPr>
          <w:ilvl w:val="1"/>
          <w:numId w:val="7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Any representation, warranty, certification or statement of fact made or deemed made by or on behalf of the Borrower or any other Loan Party herein, in any other Loan Document, or in any document delivered in connection herewith or therewith shall be materially incorrect or misleading when made or deemed made; or</w:t>
      </w:r>
    </w:p>
    <w:p>
      <w:pPr>
        <w:spacing w:after="0" w:line="51" w:lineRule="exact"/>
        <w:rPr>
          <w:rFonts w:ascii="Times New Roman" w:cs="Times New Roman" w:eastAsia="Times New Roman" w:hAnsi="Times New Roman"/>
          <w:sz w:val="14"/>
          <w:szCs w:val="14"/>
          <w:color w:val="auto"/>
        </w:rPr>
      </w:pPr>
    </w:p>
    <w:p>
      <w:pPr>
        <w:ind w:left="560" w:right="459" w:firstLine="327"/>
        <w:spacing w:after="0" w:line="275" w:lineRule="auto"/>
        <w:tabs>
          <w:tab w:leader="none" w:pos="1080" w:val="left"/>
        </w:tabs>
        <w:numPr>
          <w:ilvl w:val="1"/>
          <w:numId w:val="7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Cross-Default</w:t>
      </w:r>
      <w:r>
        <w:rPr>
          <w:rFonts w:ascii="Times New Roman" w:cs="Times New Roman" w:eastAsia="Times New Roman" w:hAnsi="Times New Roman"/>
          <w:sz w:val="13"/>
          <w:szCs w:val="13"/>
          <w:color w:val="auto"/>
        </w:rPr>
        <w:t>. (i) Any Loan Party or any of its Material Subsidiaries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w:t>
      </w:r>
    </w:p>
    <w:p>
      <w:pPr>
        <w:spacing w:after="0" w:line="2" w:lineRule="exact"/>
        <w:rPr>
          <w:rFonts w:ascii="Times New Roman" w:cs="Times New Roman" w:eastAsia="Times New Roman" w:hAnsi="Times New Roman"/>
          <w:sz w:val="13"/>
          <w:szCs w:val="13"/>
          <w:color w:val="auto"/>
        </w:rPr>
      </w:pPr>
    </w:p>
    <w:p>
      <w:pPr>
        <w:ind w:left="560" w:right="23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after any applicable notice, cure or grace periods,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 (A) any event of default under such Swap Contract as to which any Loan Party or any Material Subsidiary is the Defaulting Party (as defined in such Swap Contract) or (B) any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9019"/>
          </w:cols>
          <w:pgMar w:left="1440" w:top="240" w:right="1440" w:bottom="1440" w:gutter="0" w:footer="0" w:header="0"/>
        </w:sectPr>
      </w:pPr>
    </w:p>
    <w:bookmarkStart w:id="669" w:name="page670"/>
    <w:bookmarkEnd w:id="669"/>
    <w:p>
      <w:pPr>
        <w:ind w:left="560" w:right="2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Termination Event (as so defined) under such Swap Contract as to which any Loan Party or any Material Subsidiary is an Affected Party (as so defined) and, in either event, the Swap Termination Value owed by such Loan Party or such Material Subsidiary as a result thereof is greater than the Threshold Amount; or (iii) after the Parent Change Time, an “Event of Default” under, and as defined in, the Company Credit Agreement shall have occurred; or</w:t>
      </w:r>
    </w:p>
    <w:p>
      <w:pPr>
        <w:spacing w:after="0" w:line="57" w:lineRule="exact"/>
        <w:rPr>
          <w:sz w:val="20"/>
          <w:szCs w:val="20"/>
          <w:color w:val="auto"/>
        </w:rPr>
      </w:pPr>
    </w:p>
    <w:p>
      <w:pPr>
        <w:ind w:left="560" w:right="239" w:firstLine="327"/>
        <w:spacing w:after="0" w:line="254" w:lineRule="auto"/>
        <w:tabs>
          <w:tab w:leader="none" w:pos="1064" w:val="left"/>
        </w:tabs>
        <w:numPr>
          <w:ilvl w:val="0"/>
          <w:numId w:val="7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Insolvency Proceedings, Etc.</w:t>
      </w:r>
      <w:r>
        <w:rPr>
          <w:rFonts w:ascii="Times New Roman" w:cs="Times New Roman" w:eastAsia="Times New Roman" w:hAnsi="Times New Roman"/>
          <w:sz w:val="14"/>
          <w:szCs w:val="14"/>
          <w:color w:val="auto"/>
        </w:rPr>
        <w:t xml:space="preserve"> Any Loan Party or any Material Subsidiary institutes or consents to the institution of any proceeding under any Debtor Relief Law, or makes an assignment for the benefit of creditors; or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applies for or consents to the appointment of any receiver, receiver-manager, trustee, custodian, conservator, liquidator, rehabilitator or similar officer for it or for all or any material part of its property; or any receiver, receiver-manager,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62" w:lineRule="exact"/>
        <w:rPr>
          <w:rFonts w:ascii="Times New Roman" w:cs="Times New Roman" w:eastAsia="Times New Roman" w:hAnsi="Times New Roman"/>
          <w:sz w:val="14"/>
          <w:szCs w:val="14"/>
          <w:color w:val="auto"/>
        </w:rPr>
      </w:pPr>
    </w:p>
    <w:p>
      <w:pPr>
        <w:ind w:left="560" w:right="419" w:firstLine="327"/>
        <w:spacing w:after="0" w:line="261" w:lineRule="auto"/>
        <w:tabs>
          <w:tab w:leader="none" w:pos="1087" w:val="left"/>
        </w:tabs>
        <w:numPr>
          <w:ilvl w:val="0"/>
          <w:numId w:val="7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Inability to Pay Debts; Attachment</w:t>
      </w:r>
      <w:r>
        <w:rPr>
          <w:rFonts w:ascii="Times New Roman" w:cs="Times New Roman" w:eastAsia="Times New Roman" w:hAnsi="Times New Roman"/>
          <w:sz w:val="14"/>
          <w:szCs w:val="14"/>
          <w:color w:val="auto"/>
        </w:rPr>
        <w:t>. (i) Any Loan Party or any 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60 days after its issue or levy; or</w:t>
      </w:r>
    </w:p>
    <w:p>
      <w:pPr>
        <w:spacing w:after="0" w:line="56" w:lineRule="exact"/>
        <w:rPr>
          <w:rFonts w:ascii="Times New Roman" w:cs="Times New Roman" w:eastAsia="Times New Roman" w:hAnsi="Times New Roman"/>
          <w:sz w:val="14"/>
          <w:szCs w:val="14"/>
          <w:color w:val="auto"/>
        </w:rPr>
      </w:pPr>
    </w:p>
    <w:p>
      <w:pPr>
        <w:ind w:left="560" w:right="259" w:firstLine="327"/>
        <w:spacing w:after="0" w:line="257" w:lineRule="auto"/>
        <w:tabs>
          <w:tab w:leader="none" w:pos="1087" w:val="left"/>
        </w:tabs>
        <w:numPr>
          <w:ilvl w:val="0"/>
          <w:numId w:val="7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Judgments</w:t>
      </w:r>
      <w:r>
        <w:rPr>
          <w:rFonts w:ascii="Times New Roman" w:cs="Times New Roman" w:eastAsia="Times New Roman" w:hAnsi="Times New Roman"/>
          <w:sz w:val="14"/>
          <w:szCs w:val="14"/>
          <w:color w:val="auto"/>
        </w:rPr>
        <w:t>. There is entered against any Loan Party or any Material Subsidiary (i) one or more final judgments or orders for the payment of money in an aggregate amount (as to all such judgments or orders) exceeding the Threshold Amount over any amount covered by independent third-party insurance as to which the insurer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and (B) there is a period of 60 consecutive days during which a stay of enforcement of such judgment, by reason of a pending appeal or otherwise, is not in effect; or</w:t>
      </w:r>
    </w:p>
    <w:p>
      <w:pPr>
        <w:spacing w:after="0" w:line="58" w:lineRule="exact"/>
        <w:rPr>
          <w:rFonts w:ascii="Times New Roman" w:cs="Times New Roman" w:eastAsia="Times New Roman" w:hAnsi="Times New Roman"/>
          <w:sz w:val="14"/>
          <w:szCs w:val="14"/>
          <w:color w:val="auto"/>
        </w:rPr>
      </w:pPr>
    </w:p>
    <w:p>
      <w:pPr>
        <w:ind w:left="560" w:right="239" w:firstLine="327"/>
        <w:spacing w:after="0" w:line="267" w:lineRule="auto"/>
        <w:tabs>
          <w:tab w:leader="none" w:pos="1056" w:val="left"/>
        </w:tabs>
        <w:numPr>
          <w:ilvl w:val="0"/>
          <w:numId w:val="7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(i) An ERISA Event occurs with respect to a Pension Plan or Multiemployer Plan that, either individually or together with any other ERISA Events could reasonably be expected to have a Material Adverse Effect or (ii) a Foreign Plan Event occurs that, either individually or together with any other Foreign Plan Events, could reasonably be expected to have a Material Adverse Effect; or</w:t>
      </w:r>
    </w:p>
    <w:p>
      <w:pPr>
        <w:spacing w:after="0" w:line="51" w:lineRule="exact"/>
        <w:rPr>
          <w:rFonts w:ascii="Times New Roman" w:cs="Times New Roman" w:eastAsia="Times New Roman" w:hAnsi="Times New Roman"/>
          <w:sz w:val="14"/>
          <w:szCs w:val="14"/>
          <w:color w:val="auto"/>
        </w:rPr>
      </w:pPr>
    </w:p>
    <w:p>
      <w:pPr>
        <w:ind w:left="560" w:right="319" w:firstLine="327"/>
        <w:spacing w:after="0" w:line="258" w:lineRule="auto"/>
        <w:tabs>
          <w:tab w:leader="none" w:pos="1056" w:val="left"/>
        </w:tabs>
        <w:numPr>
          <w:ilvl w:val="0"/>
          <w:numId w:val="7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Invalidity of Loan Documents</w:t>
      </w:r>
      <w:r>
        <w:rPr>
          <w:rFonts w:ascii="Times New Roman" w:cs="Times New Roman" w:eastAsia="Times New Roman" w:hAnsi="Times New Roman"/>
          <w:sz w:val="14"/>
          <w:szCs w:val="14"/>
          <w:color w:val="auto"/>
        </w:rPr>
        <w:t>. Any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9019"/>
          </w:cols>
          <w:pgMar w:left="1440" w:top="242" w:right="1440" w:bottom="1440" w:gutter="0" w:footer="0" w:header="0"/>
        </w:sectPr>
      </w:pPr>
    </w:p>
    <w:bookmarkStart w:id="670" w:name="page671"/>
    <w:bookmarkEnd w:id="670"/>
    <w:p>
      <w:pPr>
        <w:ind w:left="1080" w:hanging="193"/>
        <w:spacing w:after="0"/>
        <w:tabs>
          <w:tab w:leader="none" w:pos="1080"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Change of Control</w:t>
      </w:r>
      <w:r>
        <w:rPr>
          <w:rFonts w:ascii="Times New Roman" w:cs="Times New Roman" w:eastAsia="Times New Roman" w:hAnsi="Times New Roman"/>
          <w:sz w:val="14"/>
          <w:szCs w:val="14"/>
          <w:color w:val="auto"/>
        </w:rPr>
        <w:t>. There occurs any Change of Control; or</w:t>
      </w:r>
    </w:p>
    <w:p>
      <w:pPr>
        <w:spacing w:after="0" w:line="91" w:lineRule="exact"/>
        <w:rPr>
          <w:rFonts w:ascii="Times New Roman" w:cs="Times New Roman" w:eastAsia="Times New Roman" w:hAnsi="Times New Roman"/>
          <w:sz w:val="14"/>
          <w:szCs w:val="14"/>
          <w:color w:val="auto"/>
        </w:rPr>
      </w:pPr>
    </w:p>
    <w:p>
      <w:pPr>
        <w:ind w:left="560" w:right="459" w:firstLine="327"/>
        <w:spacing w:after="0" w:line="267" w:lineRule="auto"/>
        <w:tabs>
          <w:tab w:leader="none" w:pos="1056"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Collateral Documents</w:t>
      </w:r>
      <w:r>
        <w:rPr>
          <w:rFonts w:ascii="Times New Roman" w:cs="Times New Roman" w:eastAsia="Times New Roman" w:hAnsi="Times New Roman"/>
          <w:sz w:val="14"/>
          <w:szCs w:val="14"/>
          <w:color w:val="auto"/>
        </w:rPr>
        <w:t xml:space="preserve">. Any Collateral Document after delivery thereof pursuant to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6.13</w:t>
      </w:r>
      <w:r>
        <w:rPr>
          <w:rFonts w:ascii="Times New Roman" w:cs="Times New Roman" w:eastAsia="Times New Roman" w:hAnsi="Times New Roman"/>
          <w:sz w:val="14"/>
          <w:szCs w:val="14"/>
          <w:color w:val="auto"/>
        </w:rPr>
        <w:t xml:space="preserve"> shall for any reason (other than pursuant to the terms thereof) cease to create a valid and perfected first priority Lien (subject to Liens permitted by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on a material portion of the Collateral purported to be covered thereby; or</w:t>
      </w:r>
    </w:p>
    <w:p>
      <w:pPr>
        <w:spacing w:after="0" w:line="51" w:lineRule="exact"/>
        <w:rPr>
          <w:rFonts w:ascii="Times New Roman" w:cs="Times New Roman" w:eastAsia="Times New Roman" w:hAnsi="Times New Roman"/>
          <w:sz w:val="14"/>
          <w:szCs w:val="14"/>
          <w:color w:val="auto"/>
        </w:rPr>
      </w:pPr>
    </w:p>
    <w:p>
      <w:pPr>
        <w:ind w:left="560" w:right="259" w:firstLine="327"/>
        <w:spacing w:after="0" w:line="256" w:lineRule="auto"/>
        <w:tabs>
          <w:tab w:leader="none" w:pos="1126"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Subordination</w:t>
      </w:r>
      <w:r>
        <w:rPr>
          <w:rFonts w:ascii="Times New Roman" w:cs="Times New Roman" w:eastAsia="Times New Roman" w:hAnsi="Times New Roman"/>
          <w:sz w:val="14"/>
          <w:szCs w:val="14"/>
          <w:color w:val="auto"/>
        </w:rPr>
        <w:t>. (i) The subordination provisions of the documents evidencing or governing any Indebtedness that is subordinated or otherwise junior to the obligations of the Loan Parties under the Loan Documents (the “</w:t>
      </w:r>
      <w:r>
        <w:rPr>
          <w:rFonts w:ascii="Times New Roman" w:cs="Times New Roman" w:eastAsia="Times New Roman" w:hAnsi="Times New Roman"/>
          <w:sz w:val="14"/>
          <w:szCs w:val="14"/>
          <w:u w:val="single" w:color="auto"/>
          <w:color w:val="auto"/>
        </w:rPr>
        <w:t>Subordinated Provisions</w:t>
      </w:r>
      <w:r>
        <w:rPr>
          <w:rFonts w:ascii="Times New Roman" w:cs="Times New Roman" w:eastAsia="Times New Roman" w:hAnsi="Times New Roman"/>
          <w:sz w:val="14"/>
          <w:szCs w:val="14"/>
          <w:color w:val="auto"/>
        </w:rPr>
        <w:t>”) shall, in whole or in part, terminate, cease to be effective or cease to be legally valid, binding and enforceable against any such holder of Indebtedness; or (ii) the Borrower or any other Loan Party shall, directly or indirectly, disavow or contest in any manner (A) the effectiveness, validity or enforceability of any of the Subordinated Provisions, (B) that the Subordinated Provisions exist for the benefit of the Administrative Agent and the Lenders or (C) that all payments of principal of or premium and interest on the applicable subordinated Indebtedness, or realized from the liquidation of any property of any Loan Party, shall be subject to any of the Subordinated Provisions; or</w:t>
      </w:r>
    </w:p>
    <w:p>
      <w:pPr>
        <w:spacing w:after="0" w:line="59" w:lineRule="exact"/>
        <w:rPr>
          <w:rFonts w:ascii="Times New Roman" w:cs="Times New Roman" w:eastAsia="Times New Roman" w:hAnsi="Times New Roman"/>
          <w:sz w:val="14"/>
          <w:szCs w:val="14"/>
          <w:color w:val="auto"/>
        </w:rPr>
      </w:pPr>
    </w:p>
    <w:p>
      <w:pPr>
        <w:ind w:left="560" w:right="279" w:firstLine="327"/>
        <w:spacing w:after="0" w:line="258" w:lineRule="auto"/>
        <w:tabs>
          <w:tab w:leader="none" w:pos="1087" w:val="left"/>
        </w:tabs>
        <w:numPr>
          <w:ilvl w:val="0"/>
          <w:numId w:val="7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Mirror Transactions Funding Date Gentherm Deliverables</w:t>
      </w:r>
      <w:r>
        <w:rPr>
          <w:rFonts w:ascii="Times New Roman" w:cs="Times New Roman" w:eastAsia="Times New Roman" w:hAnsi="Times New Roman"/>
          <w:sz w:val="14"/>
          <w:szCs w:val="14"/>
          <w:color w:val="auto"/>
        </w:rPr>
        <w:t>. The Mirror Transactions Funding Date Gentherm Loan Parties shall not have executed and delivered to the Administrative Agent (or, in the case of certain Mirror Transactions Funding Date Gentherm Deliverables, to the Company Credit Agreement Agent, as bailee for the Administrative Agent pursuant to the Mirror Intercreditor Agreement) the Mirror Transactions Funding Date Company Joinder, the Mirror Transactions Funding Date Subsidiary Guaranty and each of the other Mirror Transactions Funding Date Gentherm Deliverables, in each case, prior to 11:59 p.m. on the Mirror Transactions Funding Date.</w:t>
      </w:r>
    </w:p>
    <w:p>
      <w:pPr>
        <w:spacing w:after="0" w:line="142" w:lineRule="exact"/>
        <w:rPr>
          <w:sz w:val="20"/>
          <w:szCs w:val="20"/>
          <w:color w:val="auto"/>
        </w:rPr>
      </w:pPr>
    </w:p>
    <w:p>
      <w:pPr>
        <w:ind w:left="220" w:right="49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8.02 Remedies Upon Event of Default</w:t>
      </w:r>
      <w:r>
        <w:rPr>
          <w:rFonts w:ascii="Times New Roman" w:cs="Times New Roman" w:eastAsia="Times New Roman" w:hAnsi="Times New Roman"/>
          <w:sz w:val="14"/>
          <w:szCs w:val="14"/>
          <w:color w:val="auto"/>
        </w:rPr>
        <w:t>. If any Event of Default occurs and is continuing, the Administrative Agent shall, at the request of,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with the consent of, the Required Lenders, take any or all of the following actions:</w:t>
      </w:r>
    </w:p>
    <w:p>
      <w:pPr>
        <w:spacing w:after="0" w:line="39" w:lineRule="exact"/>
        <w:rPr>
          <w:sz w:val="20"/>
          <w:szCs w:val="20"/>
          <w:color w:val="auto"/>
        </w:rPr>
      </w:pPr>
    </w:p>
    <w:p>
      <w:pPr>
        <w:ind w:left="560" w:right="819" w:firstLine="327"/>
        <w:spacing w:after="0" w:line="283" w:lineRule="auto"/>
        <w:tabs>
          <w:tab w:leader="none" w:pos="1080"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the commitment of each Lender to make Loans to be terminated, whereupon such commitments and obligation shall be terminated;</w:t>
      </w:r>
    </w:p>
    <w:p>
      <w:pPr>
        <w:spacing w:after="0" w:line="40" w:lineRule="exact"/>
        <w:rPr>
          <w:rFonts w:ascii="Times New Roman" w:cs="Times New Roman" w:eastAsia="Times New Roman" w:hAnsi="Times New Roman"/>
          <w:sz w:val="14"/>
          <w:szCs w:val="14"/>
          <w:color w:val="auto"/>
        </w:rPr>
      </w:pPr>
    </w:p>
    <w:p>
      <w:pPr>
        <w:ind w:left="560" w:right="239" w:firstLine="327"/>
        <w:spacing w:after="0" w:line="267" w:lineRule="auto"/>
        <w:tabs>
          <w:tab w:leader="none" w:pos="1088"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5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 and</w:t>
      </w:r>
    </w:p>
    <w:p>
      <w:pPr>
        <w:spacing w:after="0" w:line="9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on behalf of itself and the Lenders all rights and remedies available to it and the Lenders under the Loan Documents;</w:t>
      </w:r>
    </w:p>
    <w:p>
      <w:pPr>
        <w:spacing w:after="0" w:line="175" w:lineRule="exact"/>
        <w:rPr>
          <w:sz w:val="20"/>
          <w:szCs w:val="20"/>
          <w:color w:val="auto"/>
        </w:rPr>
      </w:pPr>
    </w:p>
    <w:p>
      <w:pPr>
        <w:ind w:left="220" w:right="219"/>
        <w:spacing w:after="0" w:line="261"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upon the occurrence of an actual or deemed entry of an order for relief with respect to the Borrower under the Bankruptcy Code of the United States or any other Debtor Relief Law, the obligation of each Lender to make Loans shall automatically terminate, the unpaid principal amount of all outstanding Loans and all interest and other amounts as aforesaid shall automatically become due and payable, in each case without further act of the Administrative Agent or any Lender.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9019"/>
          </w:cols>
          <w:pgMar w:left="1440" w:top="241" w:right="1440" w:bottom="1440" w:gutter="0" w:footer="0" w:header="0"/>
        </w:sectPr>
      </w:pPr>
    </w:p>
    <w:bookmarkStart w:id="671" w:name="page672"/>
    <w:bookmarkEnd w:id="671"/>
    <w:p>
      <w:pPr>
        <w:ind w:left="220" w:right="419" w:firstLine="343"/>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Notwithstanding anything to the contrary in this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prior to the Mirror Transactions Funding Date the commitment of each Lender to make Loans hereunder shall not be terminated or reduced (whether automatically or by action of the Administrative Agent or any Lender), and the Loans shall remain available to be borrowed by the Borrower on the Mirror Transactions Funding Date subject solely to the satisfaction of the conditions set forth in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jc w:val="both"/>
        <w:ind w:left="220" w:right="35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8.03 Application of Funds</w:t>
      </w:r>
      <w:r>
        <w:rPr>
          <w:rFonts w:ascii="Times New Roman" w:cs="Times New Roman" w:eastAsia="Times New Roman" w:hAnsi="Times New Roman"/>
          <w:sz w:val="14"/>
          <w:szCs w:val="14"/>
          <w:color w:val="auto"/>
        </w:rPr>
        <w:t>. After exercise of remedies provided for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after the Loans have automatically become immediately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due and payable as set forth in the proviso to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any amounts received on account of the Obligations shall be applied by the Administrative Agent in the following order:</w:t>
      </w:r>
    </w:p>
    <w:p>
      <w:pPr>
        <w:spacing w:after="0" w:line="51" w:lineRule="exact"/>
        <w:rPr>
          <w:sz w:val="20"/>
          <w:szCs w:val="20"/>
          <w:color w:val="auto"/>
        </w:rPr>
      </w:pPr>
    </w:p>
    <w:p>
      <w:pPr>
        <w:ind w:left="220" w:right="519" w:firstLine="343"/>
        <w:spacing w:after="0" w:line="267" w:lineRule="auto"/>
        <w:rPr>
          <w:sz w:val="20"/>
          <w:szCs w:val="20"/>
          <w:color w:val="auto"/>
        </w:rPr>
      </w:pPr>
      <w:r>
        <w:rPr>
          <w:rFonts w:ascii="Times New Roman" w:cs="Times New Roman" w:eastAsia="Times New Roman" w:hAnsi="Times New Roman"/>
          <w:sz w:val="14"/>
          <w:szCs w:val="14"/>
          <w:u w:val="single" w:color="auto"/>
          <w:color w:val="auto"/>
        </w:rPr>
        <w:t>First</w:t>
      </w:r>
      <w:r>
        <w:rPr>
          <w:rFonts w:ascii="Times New Roman" w:cs="Times New Roman" w:eastAsia="Times New Roman" w:hAnsi="Times New Roman"/>
          <w:sz w:val="14"/>
          <w:szCs w:val="14"/>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payable to the Administrative Agent in its capacity as such;</w:t>
      </w:r>
    </w:p>
    <w:p>
      <w:pPr>
        <w:spacing w:after="0" w:line="136" w:lineRule="exact"/>
        <w:rPr>
          <w:sz w:val="20"/>
          <w:szCs w:val="20"/>
          <w:color w:val="auto"/>
        </w:rPr>
      </w:pPr>
    </w:p>
    <w:p>
      <w:pPr>
        <w:jc w:val="both"/>
        <w:ind w:left="220" w:right="279" w:firstLine="343"/>
        <w:spacing w:after="0" w:line="267" w:lineRule="auto"/>
        <w:rPr>
          <w:sz w:val="20"/>
          <w:szCs w:val="20"/>
          <w:color w:val="auto"/>
        </w:rPr>
      </w:pP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ratably among them in proportion to the respective amounts described in this clause </w:t>
      </w:r>
      <w:r>
        <w:rPr>
          <w:rFonts w:ascii="Times New Roman" w:cs="Times New Roman" w:eastAsia="Times New Roman" w:hAnsi="Times New Roman"/>
          <w:sz w:val="14"/>
          <w:szCs w:val="14"/>
          <w:u w:val="single" w:color="auto"/>
          <w:color w:val="auto"/>
        </w:rPr>
        <w:t>Second</w:t>
      </w:r>
      <w:r>
        <w:rPr>
          <w:rFonts w:ascii="Times New Roman" w:cs="Times New Roman" w:eastAsia="Times New Roman" w:hAnsi="Times New Roman"/>
          <w:sz w:val="14"/>
          <w:szCs w:val="14"/>
          <w:color w:val="auto"/>
        </w:rPr>
        <w:t xml:space="preserve"> payable to them;</w:t>
      </w:r>
    </w:p>
    <w:p>
      <w:pPr>
        <w:spacing w:after="0" w:line="136" w:lineRule="exact"/>
        <w:rPr>
          <w:sz w:val="20"/>
          <w:szCs w:val="20"/>
          <w:color w:val="auto"/>
        </w:rPr>
      </w:pPr>
    </w:p>
    <w:p>
      <w:pPr>
        <w:ind w:left="220" w:right="399" w:firstLine="343"/>
        <w:spacing w:after="0" w:line="267" w:lineRule="auto"/>
        <w:rPr>
          <w:sz w:val="20"/>
          <w:szCs w:val="20"/>
          <w:color w:val="auto"/>
        </w:rPr>
      </w:pPr>
      <w:r>
        <w:rPr>
          <w:rFonts w:ascii="Times New Roman" w:cs="Times New Roman" w:eastAsia="Times New Roman" w:hAnsi="Times New Roman"/>
          <w:sz w:val="14"/>
          <w:szCs w:val="14"/>
          <w:u w:val="single" w:color="auto"/>
          <w:color w:val="auto"/>
        </w:rPr>
        <w:t>Third</w:t>
      </w:r>
      <w:r>
        <w:rPr>
          <w:rFonts w:ascii="Times New Roman" w:cs="Times New Roman" w:eastAsia="Times New Roman" w:hAnsi="Times New Roman"/>
          <w:sz w:val="14"/>
          <w:szCs w:val="14"/>
          <w:color w:val="auto"/>
        </w:rPr>
        <w:t xml:space="preserve">, to payment of that portion of the Obligations constituting accrued and unpaid interest on the Loans and fees, premiums and scheduled periodic payments, and any interest accrued thereon, ratably among the Lenders in proportion to the respective amounts described in this clause </w:t>
      </w:r>
      <w:r>
        <w:rPr>
          <w:rFonts w:ascii="Times New Roman" w:cs="Times New Roman" w:eastAsia="Times New Roman" w:hAnsi="Times New Roman"/>
          <w:sz w:val="14"/>
          <w:szCs w:val="14"/>
          <w:u w:val="single" w:color="auto"/>
          <w:color w:val="auto"/>
        </w:rPr>
        <w:t>Third</w:t>
      </w:r>
      <w:r>
        <w:rPr>
          <w:rFonts w:ascii="Times New Roman" w:cs="Times New Roman" w:eastAsia="Times New Roman" w:hAnsi="Times New Roman"/>
          <w:sz w:val="14"/>
          <w:szCs w:val="14"/>
          <w:color w:val="auto"/>
        </w:rPr>
        <w:t xml:space="preserve"> held by them;</w:t>
      </w:r>
    </w:p>
    <w:p>
      <w:pPr>
        <w:spacing w:after="0" w:line="136" w:lineRule="exact"/>
        <w:rPr>
          <w:sz w:val="20"/>
          <w:szCs w:val="20"/>
          <w:color w:val="auto"/>
        </w:rPr>
      </w:pPr>
    </w:p>
    <w:p>
      <w:pPr>
        <w:ind w:left="220" w:right="69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Fourth</w:t>
      </w:r>
      <w:r>
        <w:rPr>
          <w:rFonts w:ascii="Times New Roman" w:cs="Times New Roman" w:eastAsia="Times New Roman" w:hAnsi="Times New Roman"/>
          <w:sz w:val="14"/>
          <w:szCs w:val="14"/>
          <w:color w:val="auto"/>
        </w:rPr>
        <w:t xml:space="preserve">, to payment of that portion of the Obligations constituting accrued and unpaid principal of the Loans, ratably among the Lenders in proportion to the respective amounts described in this clause </w:t>
      </w:r>
      <w:r>
        <w:rPr>
          <w:rFonts w:ascii="Times New Roman" w:cs="Times New Roman" w:eastAsia="Times New Roman" w:hAnsi="Times New Roman"/>
          <w:sz w:val="14"/>
          <w:szCs w:val="14"/>
          <w:u w:val="single" w:color="auto"/>
          <w:color w:val="auto"/>
        </w:rPr>
        <w:t>Fourth</w:t>
      </w:r>
      <w:r>
        <w:rPr>
          <w:rFonts w:ascii="Times New Roman" w:cs="Times New Roman" w:eastAsia="Times New Roman" w:hAnsi="Times New Roman"/>
          <w:sz w:val="14"/>
          <w:szCs w:val="14"/>
          <w:color w:val="auto"/>
        </w:rPr>
        <w:t xml:space="preserve"> held by them; and</w:t>
      </w:r>
    </w:p>
    <w:p>
      <w:pPr>
        <w:spacing w:after="0" w:line="125" w:lineRule="exact"/>
        <w:rPr>
          <w:sz w:val="20"/>
          <w:szCs w:val="20"/>
          <w:color w:val="auto"/>
        </w:rPr>
      </w:pPr>
    </w:p>
    <w:p>
      <w:pPr>
        <w:ind w:left="220" w:right="619" w:firstLine="343"/>
        <w:spacing w:after="0" w:line="283" w:lineRule="auto"/>
        <w:rPr>
          <w:sz w:val="20"/>
          <w:szCs w:val="20"/>
          <w:color w:val="auto"/>
        </w:rPr>
      </w:pPr>
      <w:r>
        <w:rPr>
          <w:rFonts w:ascii="Times New Roman" w:cs="Times New Roman" w:eastAsia="Times New Roman" w:hAnsi="Times New Roman"/>
          <w:sz w:val="14"/>
          <w:szCs w:val="14"/>
          <w:u w:val="single" w:color="auto"/>
          <w:color w:val="auto"/>
        </w:rPr>
        <w:t>Last</w:t>
      </w:r>
      <w:r>
        <w:rPr>
          <w:rFonts w:ascii="Times New Roman" w:cs="Times New Roman" w:eastAsia="Times New Roman" w:hAnsi="Times New Roman"/>
          <w:sz w:val="14"/>
          <w:szCs w:val="14"/>
          <w:color w:val="auto"/>
        </w:rPr>
        <w:t>, the balance, if any, after all of the Obligations (other than any contingent claims for indemnification or expense reimbursement not yet asserted) have been indefeasibly paid in full, to the Borrower or as otherwise required by Law.</w:t>
      </w:r>
    </w:p>
    <w:p>
      <w:pPr>
        <w:spacing w:after="0" w:line="125" w:lineRule="exact"/>
        <w:rPr>
          <w:sz w:val="20"/>
          <w:szCs w:val="20"/>
          <w:color w:val="auto"/>
        </w:rPr>
      </w:pPr>
    </w:p>
    <w:p>
      <w:pPr>
        <w:jc w:val="both"/>
        <w:ind w:left="220" w:right="379" w:firstLine="343"/>
        <w:spacing w:after="0" w:line="267" w:lineRule="auto"/>
        <w:rPr>
          <w:sz w:val="20"/>
          <w:szCs w:val="20"/>
          <w:color w:val="auto"/>
        </w:rPr>
      </w:pPr>
      <w:r>
        <w:rPr>
          <w:rFonts w:ascii="Times New Roman" w:cs="Times New Roman" w:eastAsia="Times New Roman" w:hAnsi="Times New Roman"/>
          <w:sz w:val="14"/>
          <w:szCs w:val="14"/>
          <w:color w:val="auto"/>
        </w:rPr>
        <w:t>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ADMINISTRATIVE AGENT</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9.01 Appointment and Authority</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99" w:firstLine="327"/>
        <w:spacing w:after="0" w:line="257" w:lineRule="auto"/>
        <w:tabs>
          <w:tab w:leader="none" w:pos="1080" w:val="left"/>
        </w:tabs>
        <w:numPr>
          <w:ilvl w:val="0"/>
          <w:numId w:val="7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Lenders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Other than with respect to </w:t>
      </w:r>
      <w:r>
        <w:rPr>
          <w:rFonts w:ascii="Times New Roman" w:cs="Times New Roman" w:eastAsia="Times New Roman" w:hAnsi="Times New Roman"/>
          <w:sz w:val="14"/>
          <w:szCs w:val="14"/>
          <w:u w:val="single" w:color="auto"/>
          <w:color w:val="auto"/>
        </w:rPr>
        <w:t>Sections 9.06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9.10</w:t>
      </w:r>
      <w:r>
        <w:rPr>
          <w:rFonts w:ascii="Times New Roman" w:cs="Times New Roman" w:eastAsia="Times New Roman" w:hAnsi="Times New Roman"/>
          <w:sz w:val="14"/>
          <w:szCs w:val="14"/>
          <w:color w:val="auto"/>
        </w:rPr>
        <w:t>, the provisions of this Article are solely for the benefit of the Administrative Agent and the Lenders, and neither the Borrower nor any other Loan Party shall have rights as a third party beneficiary of any of such provisions. It is understood and agreed that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9019"/>
          </w:cols>
          <w:pgMar w:left="1440" w:top="241" w:right="1440" w:bottom="1440" w:gutter="0" w:footer="0" w:header="0"/>
        </w:sectPr>
      </w:pPr>
    </w:p>
    <w:bookmarkStart w:id="672" w:name="page673"/>
    <w:bookmarkEnd w:id="672"/>
    <w:p>
      <w:pPr>
        <w:ind w:left="560" w:right="25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51" w:lineRule="exact"/>
        <w:rPr>
          <w:sz w:val="20"/>
          <w:szCs w:val="20"/>
          <w:color w:val="auto"/>
        </w:rPr>
      </w:pPr>
    </w:p>
    <w:p>
      <w:pPr>
        <w:ind w:left="560" w:right="239" w:firstLine="327"/>
        <w:spacing w:after="0" w:line="277" w:lineRule="auto"/>
        <w:tabs>
          <w:tab w:leader="none" w:pos="1088" w:val="left"/>
        </w:tabs>
        <w:numPr>
          <w:ilvl w:val="0"/>
          <w:numId w:val="7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3"/>
          <w:szCs w:val="13"/>
          <w:u w:val="single" w:color="auto"/>
          <w:color w:val="auto"/>
        </w:rPr>
        <w:t>Section 9.05</w:t>
      </w:r>
      <w:r>
        <w:rPr>
          <w:rFonts w:ascii="Times New Roman" w:cs="Times New Roman" w:eastAsia="Times New Roman" w:hAnsi="Times New Roman"/>
          <w:sz w:val="13"/>
          <w:szCs w:val="13"/>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3"/>
          <w:szCs w:val="13"/>
          <w:u w:val="single" w:color="auto"/>
          <w:color w:val="auto"/>
        </w:rPr>
        <w:t>Article IX</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XI</w:t>
      </w:r>
      <w:r>
        <w:rPr>
          <w:rFonts w:ascii="Times New Roman" w:cs="Times New Roman" w:eastAsia="Times New Roman" w:hAnsi="Times New Roman"/>
          <w:sz w:val="13"/>
          <w:szCs w:val="13"/>
          <w:color w:val="auto"/>
        </w:rPr>
        <w:t xml:space="preserve"> (including </w:t>
      </w:r>
      <w:r>
        <w:rPr>
          <w:rFonts w:ascii="Times New Roman" w:cs="Times New Roman" w:eastAsia="Times New Roman" w:hAnsi="Times New Roman"/>
          <w:sz w:val="13"/>
          <w:szCs w:val="13"/>
          <w:u w:val="single" w:color="auto"/>
          <w:color w:val="auto"/>
        </w:rPr>
        <w:t>Section 11.04(c)</w:t>
      </w:r>
      <w:r>
        <w:rPr>
          <w:rFonts w:ascii="Times New Roman" w:cs="Times New Roman" w:eastAsia="Times New Roman" w:hAnsi="Times New Roman"/>
          <w:sz w:val="13"/>
          <w:szCs w:val="13"/>
          <w:color w:val="auto"/>
        </w:rPr>
        <w:t>, as though such co-agents, sub-agents and attorneys-in-fact were the “collateral agent” under the Loan Documents) as if set forth in full herein with respect thereto.</w:t>
      </w:r>
    </w:p>
    <w:p>
      <w:pPr>
        <w:spacing w:after="0" w:line="132" w:lineRule="exact"/>
        <w:rPr>
          <w:sz w:val="20"/>
          <w:szCs w:val="20"/>
          <w:color w:val="auto"/>
        </w:rPr>
      </w:pPr>
    </w:p>
    <w:p>
      <w:pPr>
        <w:ind w:left="220" w:right="21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9.02 Rights as a Lender</w:t>
      </w:r>
      <w:r>
        <w:rPr>
          <w:rFonts w:ascii="Times New Roman" w:cs="Times New Roman" w:eastAsia="Times New Roman" w:hAnsi="Times New Roman"/>
          <w:sz w:val="14"/>
          <w:szCs w:val="14"/>
          <w:color w:val="auto"/>
        </w:rPr>
        <w:t>. The Person serving as the Administrative Agent hereunder shall have the same rights and powers in its capacity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to provide notice to or consent of the Lenders with respect thereto.</w:t>
      </w:r>
    </w:p>
    <w:p>
      <w:pPr>
        <w:spacing w:after="0" w:line="144" w:lineRule="exact"/>
        <w:rPr>
          <w:sz w:val="20"/>
          <w:szCs w:val="20"/>
          <w:color w:val="auto"/>
        </w:rPr>
      </w:pPr>
    </w:p>
    <w:p>
      <w:pPr>
        <w:ind w:left="220" w:right="21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9.03 Exculpatory Provisions</w:t>
      </w:r>
      <w:r>
        <w:rPr>
          <w:rFonts w:ascii="Times New Roman" w:cs="Times New Roman" w:eastAsia="Times New Roman" w:hAnsi="Times New Roman"/>
          <w:sz w:val="14"/>
          <w:szCs w:val="14"/>
          <w:color w:val="auto"/>
        </w:rPr>
        <w:t>. None of the Administrative Agent or any Arranger shall have any duties or obligations except those expressly set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forth herein and in the other Loan Documents, and its duties hereunder shall be administrative in nature. Without limiting the generality of the foregoing, none of the Administrative Agent, any Arranger or any of their respective Related Parties: (a) shall be subject to any fiduciary or other implied duties, regardless of whether a Default has occurred and is continuing; (b) 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or (c) shall have, except as expressly set forth herein and in the other Loan Documents, any duty to disclose, and shall not be liable for the failure to disclose, to any Lender any credit or other information concerning the business, prospects, operations, property, financial and other condition or creditworthiness of the Borrower or any of its Affiliates that is communicated to, or in the possession of, the Administrative Agent or such Arranger in any capacity, except for notices, reports and other documents expressly required to be furnished to the Lenders by the Administrative Agent herein.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9019"/>
          </w:cols>
          <w:pgMar w:left="1440" w:top="241" w:right="1440" w:bottom="1440" w:gutter="0" w:footer="0" w:header="0"/>
        </w:sectPr>
      </w:pPr>
    </w:p>
    <w:bookmarkStart w:id="673" w:name="page674"/>
    <w:bookmarkEnd w:id="673"/>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Neither the Administrative Agent nor any of its Related Parties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4"/>
          <w:szCs w:val="14"/>
          <w:u w:val="single" w:color="auto"/>
          <w:color w:val="auto"/>
        </w:rPr>
        <w:t>Sections 11.01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8.02</w:t>
      </w:r>
      <w:r>
        <w:rPr>
          <w:rFonts w:ascii="Times New Roman" w:cs="Times New Roman" w:eastAsia="Times New Roman" w:hAnsi="Times New Roman"/>
          <w:sz w:val="14"/>
          <w:szCs w:val="14"/>
          <w:color w:val="auto"/>
        </w:rPr>
        <w:t>) or (ii) in the absence of its own gross negligence or willful misconduct. The Administrative Agent shall be deemed not to have knowledge of any Default unless and until notice describing such Default is given to the Administrative Agent by the Borrower or a Lender.</w:t>
      </w:r>
    </w:p>
    <w:p>
      <w:pPr>
        <w:spacing w:after="0" w:line="144"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Neither the Administrative Agent nor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elsewhere herein, other than to confirm receipt of items expressly required to be delivered to the Administrative Agent.</w:t>
      </w:r>
    </w:p>
    <w:p>
      <w:pPr>
        <w:spacing w:after="0" w:line="145" w:lineRule="exact"/>
        <w:rPr>
          <w:sz w:val="20"/>
          <w:szCs w:val="20"/>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 xml:space="preserve">Each of the Lenders hereby exempt the Administrative Agent, in any of its capacities hereunder or under the other Loan Documents, any sub-agent appointed under </w:t>
      </w:r>
      <w:r>
        <w:rPr>
          <w:rFonts w:ascii="Times New Roman" w:cs="Times New Roman" w:eastAsia="Times New Roman" w:hAnsi="Times New Roman"/>
          <w:sz w:val="14"/>
          <w:szCs w:val="14"/>
          <w:u w:val="single" w:color="auto"/>
          <w:color w:val="auto"/>
        </w:rPr>
        <w:t>Section 9.05</w:t>
      </w:r>
      <w:r>
        <w:rPr>
          <w:rFonts w:ascii="Times New Roman" w:cs="Times New Roman" w:eastAsia="Times New Roman" w:hAnsi="Times New Roman"/>
          <w:sz w:val="14"/>
          <w:szCs w:val="14"/>
          <w:color w:val="auto"/>
        </w:rPr>
        <w:t xml:space="preserve"> hereof, and any Related Parties of the Administrative Agent or any such sub-agent from the restrictions (to the extent such restrictions would otherwise apply) on self-dealing and multi-representation pursuant to any applicable laws, in each case, to the extent permitted by its organizational documents and by applicable law.</w:t>
      </w:r>
    </w:p>
    <w:p>
      <w:pPr>
        <w:spacing w:after="0" w:line="139" w:lineRule="exact"/>
        <w:rPr>
          <w:sz w:val="20"/>
          <w:szCs w:val="20"/>
          <w:color w:val="auto"/>
        </w:rPr>
      </w:pPr>
    </w:p>
    <w:p>
      <w:pPr>
        <w:ind w:left="220" w:right="35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9.04 Reliance by Administrative Agent</w:t>
      </w:r>
      <w:r>
        <w:rPr>
          <w:rFonts w:ascii="Times New Roman" w:cs="Times New Roman" w:eastAsia="Times New Roman" w:hAnsi="Times New Roman"/>
          <w:sz w:val="14"/>
          <w:szCs w:val="14"/>
          <w:color w:val="auto"/>
        </w:rPr>
        <w:t>. The Administrative Agent shall be entitled to rely upon, and shall not incur any liability for relying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49"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9.05 Delegation of Duties</w:t>
      </w:r>
      <w:r>
        <w:rPr>
          <w:rFonts w:ascii="Times New Roman" w:cs="Times New Roman" w:eastAsia="Times New Roman" w:hAnsi="Times New Roman"/>
          <w:sz w:val="14"/>
          <w:szCs w:val="14"/>
          <w:color w:val="auto"/>
        </w:rPr>
        <w:t>. The Administrative Agent may perform any and all of its duties and exercise its rights and powers hereunder or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provided for herein as well as activities as Administrative Agent. The Administrative Agent may delegate any release from the restrictions specified in, and granted pursuant to, </w:t>
      </w:r>
      <w:r>
        <w:rPr>
          <w:rFonts w:ascii="Times New Roman" w:cs="Times New Roman" w:eastAsia="Times New Roman" w:hAnsi="Times New Roman"/>
          <w:sz w:val="14"/>
          <w:szCs w:val="14"/>
          <w:u w:val="single" w:color="auto"/>
          <w:color w:val="auto"/>
        </w:rPr>
        <w:t>Section 9.01</w:t>
      </w:r>
      <w:r>
        <w:rPr>
          <w:rFonts w:ascii="Times New Roman" w:cs="Times New Roman" w:eastAsia="Times New Roman" w:hAnsi="Times New Roman"/>
          <w:sz w:val="14"/>
          <w:szCs w:val="14"/>
          <w:color w:val="auto"/>
        </w:rPr>
        <w:t xml:space="preserve"> to any such sub-agent.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9019"/>
          </w:cols>
          <w:pgMar w:left="1440" w:top="241" w:right="1440" w:bottom="1440" w:gutter="0" w:footer="0" w:header="0"/>
        </w:sectPr>
      </w:pPr>
    </w:p>
    <w:bookmarkStart w:id="674" w:name="page675"/>
    <w:bookmarkEnd w:id="674"/>
    <w:p>
      <w:pPr>
        <w:ind w:left="220" w:right="239" w:firstLine="343"/>
        <w:spacing w:after="0" w:line="252"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9.06 Resignation of Administrative Agent</w:t>
      </w:r>
      <w:r>
        <w:rPr>
          <w:rFonts w:ascii="Times New Roman" w:cs="Times New Roman" w:eastAsia="Times New Roman" w:hAnsi="Times New Roman"/>
          <w:sz w:val="14"/>
          <w:szCs w:val="14"/>
          <w:color w:val="auto"/>
        </w:rPr>
        <w:t>. The Administrative Agent may at any time give notice of its resignation to the Lenders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Borrower. Upon receipt of any such notice of resignation, the Required Lenders shall have the right to appoint a successor, which shall be a bank with an office in the United States, or an Affiliate of any such bank with an office in the United States and which successor agent shall be consented to by the Borrower at all times other than during the existence of an Event of Default under </w:t>
      </w:r>
      <w:r>
        <w:rPr>
          <w:rFonts w:ascii="Times New Roman" w:cs="Times New Roman" w:eastAsia="Times New Roman" w:hAnsi="Times New Roman"/>
          <w:sz w:val="14"/>
          <w:szCs w:val="14"/>
          <w:u w:val="single" w:color="auto"/>
          <w:color w:val="auto"/>
        </w:rPr>
        <w:t>Section 8.01(a)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(which consent of the Borrower shall not be unreasonably withheld or delayed). If no such successor shall have been so appointed by the Required Lenders and shall have accepted such appointment within 30 days after the retiring Administrative Agent gives notice of its resignation, then the retiring Administrative Agent may on behalf of the Lenders, appoint a successor Administrative Agent meeting the qualifications set forth above;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the rights and obligations of the retiring Administrative Agent are assigned and assumed by the successor Administrative Agent) and</w:t>
      </w:r>
    </w:p>
    <w:p>
      <w:pPr>
        <w:spacing w:after="0" w:line="7" w:lineRule="exact"/>
        <w:rPr>
          <w:sz w:val="20"/>
          <w:szCs w:val="20"/>
          <w:color w:val="auto"/>
        </w:rPr>
      </w:pPr>
    </w:p>
    <w:p>
      <w:pPr>
        <w:ind w:left="220" w:right="259" w:hanging="5"/>
        <w:spacing w:after="0" w:line="272" w:lineRule="auto"/>
        <w:tabs>
          <w:tab w:leader="none" w:pos="418" w:val="left"/>
        </w:tabs>
        <w:numPr>
          <w:ilvl w:val="0"/>
          <w:numId w:val="7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and the execution of the corresponding assignment and assumption,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Times New Roman" w:cs="Times New Roman" w:eastAsia="Times New Roman" w:hAnsi="Times New Roman"/>
          <w:sz w:val="13"/>
          <w:szCs w:val="13"/>
          <w:u w:val="single" w:color="auto"/>
          <w:color w:val="auto"/>
        </w:rPr>
        <w:t>Section 11.04</w:t>
      </w:r>
      <w:r>
        <w:rPr>
          <w:rFonts w:ascii="Times New Roman" w:cs="Times New Roman" w:eastAsia="Times New Roman" w:hAnsi="Times New Roman"/>
          <w:sz w:val="13"/>
          <w:szCs w:val="13"/>
          <w:color w:val="auto"/>
        </w:rPr>
        <w:t xml:space="preserve">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37"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9.07 Non-Reliance on Administrative Agent, Arrangers and Other Lenders</w:t>
      </w:r>
      <w:r>
        <w:rPr>
          <w:rFonts w:ascii="Times New Roman" w:cs="Times New Roman" w:eastAsia="Times New Roman" w:hAnsi="Times New Roman"/>
          <w:sz w:val="14"/>
          <w:szCs w:val="14"/>
          <w:color w:val="auto"/>
        </w:rPr>
        <w:t>. Each Lender expressly acknowledges that none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Administrative Agent or any Arranger has made any representation or warranty to it, and that no act by the Administrative Agent or any Arranger hereafter taken, including any consent to, and acceptance of any assignment or review of the affairs of the Borrower or any Affiliate thereof, shall be deemed to constitute any representation or warranty by the Administrative Agent or such Arranger to any Lender as to any matter, including whether the Administrative Agent or such Arranger have disclosed material information in their (or their respective Related Parties’) possession. Each Lender represents to the Administrative Agent and each Arranger that it has, independently and without reliance upon the Administrative Agent, such Arranger,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Parent and its Subsidiaries, and all applicable bank or other regulatory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9019"/>
          </w:cols>
          <w:pgMar w:left="1440" w:top="239" w:right="1440" w:bottom="1440" w:gutter="0" w:footer="0" w:header="0"/>
        </w:sectPr>
      </w:pPr>
    </w:p>
    <w:bookmarkStart w:id="675" w:name="page676"/>
    <w:bookmarkEnd w:id="675"/>
    <w:p>
      <w:pPr>
        <w:ind w:left="220" w:right="23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Laws relating to the transactions contemplated hereby, and made its own decision to enter into this Agreement and to extend credit to the Borrower hereunder. Each Lender also acknowledges that it will, independently and without reliance upon the Administrative Agent, any Arranger,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Parent and its Subsidiaries. Each Lender represents and warrants that (a) the Loan Documents set forth the terms of a commercial lending facility, and (b)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45" w:lineRule="exact"/>
        <w:rPr>
          <w:sz w:val="20"/>
          <w:szCs w:val="20"/>
          <w:color w:val="auto"/>
        </w:rPr>
      </w:pPr>
    </w:p>
    <w:p>
      <w:pPr>
        <w:jc w:val="both"/>
        <w:ind w:left="220" w:right="27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9.08 No Other Duties, Etc. </w:t>
      </w:r>
      <w:r>
        <w:rPr>
          <w:rFonts w:ascii="Times New Roman" w:cs="Times New Roman" w:eastAsia="Times New Roman" w:hAnsi="Times New Roman"/>
          <w:sz w:val="14"/>
          <w:szCs w:val="14"/>
          <w:color w:val="auto"/>
        </w:rPr>
        <w:t>Anything herein to the contrary notwithstanding, no Person acting as “co-syndication agent”, “documentation agent”,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“bookrunner”, Arranger or other title as necessary listed on the cover page hereof shall have any powers, duties or responsibilities under this Agreement or any of the other Loan Documents, except in its capacity, as applicable, as the Administrative Agent or a Lender hereunder.</w:t>
      </w:r>
    </w:p>
    <w:p>
      <w:pPr>
        <w:spacing w:after="0" w:line="133"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9.09 Administrative Agent May File Proofs of Claim; Credit Bidding</w:t>
      </w:r>
      <w:r>
        <w:rPr>
          <w:rFonts w:ascii="Times New Roman" w:cs="Times New Roman" w:eastAsia="Times New Roman" w:hAnsi="Times New Roman"/>
          <w:sz w:val="14"/>
          <w:szCs w:val="14"/>
          <w:color w:val="auto"/>
        </w:rPr>
        <w:t>. In case of the pendency of any proceeding under any Debtor Relief 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4"/>
          <w:szCs w:val="14"/>
          <w:u w:val="single" w:color="auto"/>
          <w:color w:val="auto"/>
        </w:rPr>
        <w:t>Sections 2.09</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11.04</w:t>
      </w:r>
      <w:r>
        <w:rPr>
          <w:rFonts w:ascii="Times New Roman" w:cs="Times New Roman" w:eastAsia="Times New Roman" w:hAnsi="Times New Roman"/>
          <w:sz w:val="14"/>
          <w:szCs w:val="14"/>
          <w:color w:val="auto"/>
        </w:rPr>
        <w:t xml:space="preserve">)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4"/>
          <w:szCs w:val="14"/>
          <w:u w:val="single" w:color="auto"/>
          <w:color w:val="auto"/>
        </w:rPr>
        <w:t>Sections 2.09</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11.04</w:t>
      </w:r>
      <w:r>
        <w:rPr>
          <w:rFonts w:ascii="Times New Roman" w:cs="Times New Roman" w:eastAsia="Times New Roman" w:hAnsi="Times New Roman"/>
          <w:sz w:val="14"/>
          <w:szCs w:val="14"/>
          <w:color w:val="auto"/>
        </w:rPr>
        <w:t>.</w:t>
      </w:r>
    </w:p>
    <w:p>
      <w:pPr>
        <w:spacing w:after="0" w:line="151" w:lineRule="exact"/>
        <w:rPr>
          <w:sz w:val="20"/>
          <w:szCs w:val="20"/>
          <w:color w:val="auto"/>
        </w:rPr>
      </w:pPr>
    </w:p>
    <w:p>
      <w:pPr>
        <w:ind w:left="220" w:right="479" w:firstLine="343"/>
        <w:spacing w:after="0" w:line="267" w:lineRule="auto"/>
        <w:rPr>
          <w:sz w:val="20"/>
          <w:szCs w:val="20"/>
          <w:color w:val="auto"/>
        </w:rPr>
      </w:pPr>
      <w:r>
        <w:rPr>
          <w:rFonts w:ascii="Times New Roman" w:cs="Times New Roman" w:eastAsia="Times New Roman" w:hAnsi="Times New Roman"/>
          <w:sz w:val="14"/>
          <w:szCs w:val="14"/>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9019"/>
          </w:cols>
          <w:pgMar w:left="1440" w:top="241" w:right="1440" w:bottom="1440" w:gutter="0" w:footer="0" w:header="0"/>
        </w:sectPr>
      </w:pPr>
    </w:p>
    <w:bookmarkStart w:id="676" w:name="page677"/>
    <w:bookmarkEnd w:id="676"/>
    <w:p>
      <w:pPr>
        <w:ind w:left="220" w:right="299" w:firstLine="343"/>
        <w:spacing w:after="0" w:line="27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spacing w:after="0" w:line="2" w:lineRule="exact"/>
        <w:rPr>
          <w:sz w:val="20"/>
          <w:szCs w:val="20"/>
          <w:color w:val="auto"/>
        </w:rPr>
      </w:pPr>
    </w:p>
    <w:p>
      <w:pPr>
        <w:ind w:left="220" w:right="259" w:hanging="5"/>
        <w:spacing w:after="0" w:line="270" w:lineRule="auto"/>
        <w:tabs>
          <w:tab w:leader="none" w:pos="410" w:val="left"/>
        </w:tabs>
        <w:numPr>
          <w:ilvl w:val="0"/>
          <w:numId w:val="7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(A) form one or more acquisition vehicles to make a bid, (B) adopt documents providing for the governance of the acquisition vehicle or vehicles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3"/>
          <w:szCs w:val="13"/>
          <w:u w:val="single" w:color="auto"/>
          <w:color w:val="auto"/>
        </w:rPr>
        <w:t>Section 11.01</w:t>
      </w:r>
      <w:r>
        <w:rPr>
          <w:rFonts w:ascii="Times New Roman" w:cs="Times New Roman" w:eastAsia="Times New Roman" w:hAnsi="Times New Roman"/>
          <w:sz w:val="13"/>
          <w:szCs w:val="13"/>
          <w:color w:val="auto"/>
        </w:rPr>
        <w:t>), and</w:t>
      </w:r>
    </w:p>
    <w:p>
      <w:pPr>
        <w:ind w:left="220" w:right="31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9.10 Collateral and Guaranty Matters</w:t>
      </w:r>
      <w:r>
        <w:rPr>
          <w:rFonts w:ascii="Times New Roman" w:cs="Times New Roman" w:eastAsia="Times New Roman" w:hAnsi="Times New Roman"/>
          <w:sz w:val="14"/>
          <w:szCs w:val="14"/>
          <w:color w:val="auto"/>
        </w:rPr>
        <w:t>. Each Lender irrevocably authorize, and grant power of attorney to, the Administrative Agent to, and the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Administrative Agent shall:</w:t>
      </w:r>
    </w:p>
    <w:p>
      <w:pPr>
        <w:spacing w:after="0" w:line="77" w:lineRule="exact"/>
        <w:rPr>
          <w:sz w:val="20"/>
          <w:szCs w:val="20"/>
          <w:color w:val="auto"/>
        </w:rPr>
      </w:pPr>
    </w:p>
    <w:p>
      <w:pPr>
        <w:jc w:val="both"/>
        <w:ind w:left="560" w:right="399" w:firstLine="327"/>
        <w:spacing w:after="0" w:line="281" w:lineRule="auto"/>
        <w:tabs>
          <w:tab w:leader="none" w:pos="1080" w:val="left"/>
        </w:tabs>
        <w:numPr>
          <w:ilvl w:val="1"/>
          <w:numId w:val="7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release any Lien on any property granted to or held by the Administrative Agent under any Loan Document (i) upon termination of the Term Facility and payment in full of all Obligations under the Loan Documents (other than contingent indemnification obligations not yet due),</w:t>
      </w:r>
    </w:p>
    <w:p>
      <w:pPr>
        <w:spacing w:after="0" w:line="1" w:lineRule="exact"/>
        <w:rPr>
          <w:rFonts w:ascii="Times New Roman" w:cs="Times New Roman" w:eastAsia="Times New Roman" w:hAnsi="Times New Roman"/>
          <w:sz w:val="13"/>
          <w:szCs w:val="13"/>
          <w:color w:val="auto"/>
        </w:rPr>
      </w:pPr>
    </w:p>
    <w:p>
      <w:pPr>
        <w:ind w:left="560" w:right="499" w:hanging="2"/>
        <w:spacing w:after="0" w:line="256" w:lineRule="auto"/>
        <w:tabs>
          <w:tab w:leader="none" w:pos="766" w:val="left"/>
        </w:tabs>
        <w:numPr>
          <w:ilvl w:val="0"/>
          <w:numId w:val="7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is sold or to be sold as part of or in connection with any sale permitted hereunder or under any other Loan Document or becomes Excluded Assets or otherwise no longer constitutes Collateral, or (iii) if approved, authorized or ratified in writing by the Required Lenders in accordance with </w:t>
      </w:r>
      <w:r>
        <w:rPr>
          <w:rFonts w:ascii="Times New Roman" w:cs="Times New Roman" w:eastAsia="Times New Roman" w:hAnsi="Times New Roman"/>
          <w:sz w:val="14"/>
          <w:szCs w:val="14"/>
          <w:u w:val="single" w:color="auto"/>
          <w:color w:val="auto"/>
        </w:rPr>
        <w:t>Section 11.01</w:t>
      </w:r>
      <w:r>
        <w:rPr>
          <w:rFonts w:ascii="Times New Roman" w:cs="Times New Roman" w:eastAsia="Times New Roman" w:hAnsi="Times New Roman"/>
          <w:sz w:val="14"/>
          <w:szCs w:val="14"/>
          <w:color w:val="auto"/>
        </w:rPr>
        <w:t>;</w:t>
      </w:r>
    </w:p>
    <w:p>
      <w:pPr>
        <w:spacing w:after="0" w:line="58" w:lineRule="exact"/>
        <w:rPr>
          <w:rFonts w:ascii="Times New Roman" w:cs="Times New Roman" w:eastAsia="Times New Roman" w:hAnsi="Times New Roman"/>
          <w:sz w:val="14"/>
          <w:szCs w:val="14"/>
          <w:color w:val="auto"/>
        </w:rPr>
      </w:pPr>
    </w:p>
    <w:p>
      <w:pPr>
        <w:ind w:left="560" w:right="499" w:firstLine="327"/>
        <w:spacing w:after="0" w:line="283" w:lineRule="auto"/>
        <w:tabs>
          <w:tab w:leader="none" w:pos="1088" w:val="left"/>
        </w:tabs>
        <w:numPr>
          <w:ilvl w:val="1"/>
          <w:numId w:val="7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4"/>
          <w:szCs w:val="14"/>
          <w:u w:val="single" w:color="auto"/>
          <w:color w:val="auto"/>
        </w:rPr>
        <w:t>Section 7.01(j)</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(r)</w:t>
      </w:r>
      <w:r>
        <w:rPr>
          <w:rFonts w:ascii="Times New Roman" w:cs="Times New Roman" w:eastAsia="Times New Roman" w:hAnsi="Times New Roman"/>
          <w:sz w:val="14"/>
          <w:szCs w:val="14"/>
          <w:color w:val="auto"/>
        </w:rPr>
        <w:t>;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9019"/>
          </w:cols>
          <w:pgMar w:left="1440" w:top="242" w:right="1440" w:bottom="1440" w:gutter="0" w:footer="0" w:header="0"/>
        </w:sectPr>
      </w:pPr>
    </w:p>
    <w:bookmarkStart w:id="677" w:name="page678"/>
    <w:bookmarkEnd w:id="677"/>
    <w:p>
      <w:pPr>
        <w:ind w:left="560" w:right="279" w:firstLine="327"/>
        <w:spacing w:after="0" w:line="256" w:lineRule="auto"/>
        <w:tabs>
          <w:tab w:leader="none" w:pos="1080" w:val="left"/>
        </w:tabs>
        <w:numPr>
          <w:ilvl w:val="0"/>
          <w:numId w:val="7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release any Guarantor from its obligations under the Loan Documents if such Person becomes an Excluded Subsidiary or ceases to be a Subsidiary as a result of a transaction permitted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Subsidiary shall not be released from its obligations under the Loan Documents as a result of becoming a Subsidiary that is non-wholly owned by the Parent or any of its Subsidiaries unless (x) after giving effect to the release of such Subsidiary, the outstanding Investments by the Parent, any other Loan Party and any Material Subsidiary in such Subsidiary shall be permitted by </w:t>
      </w:r>
      <w:r>
        <w:rPr>
          <w:rFonts w:ascii="Times New Roman" w:cs="Times New Roman" w:eastAsia="Times New Roman" w:hAnsi="Times New Roman"/>
          <w:sz w:val="14"/>
          <w:szCs w:val="14"/>
          <w:u w:val="single" w:color="auto"/>
          <w:color w:val="auto"/>
        </w:rPr>
        <w:t>Section 7.02</w:t>
      </w:r>
      <w:r>
        <w:rPr>
          <w:rFonts w:ascii="Times New Roman" w:cs="Times New Roman" w:eastAsia="Times New Roman" w:hAnsi="Times New Roman"/>
          <w:sz w:val="14"/>
          <w:szCs w:val="14"/>
          <w:color w:val="auto"/>
        </w:rPr>
        <w:t xml:space="preserve"> and (y) the Disposition of the Equity Interests in such Subsidiary that resulted in such Subsidiary becoming non-wholly owned by the Parent or any of its Subsidiaries shall be a good faith disposition to an unaffiliated third party for fair market value for a bona fide business purpose.</w:t>
      </w:r>
    </w:p>
    <w:p>
      <w:pPr>
        <w:spacing w:after="0" w:line="144"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any Guaranty pursuant to this </w:t>
      </w:r>
      <w:r>
        <w:rPr>
          <w:rFonts w:ascii="Times New Roman" w:cs="Times New Roman" w:eastAsia="Times New Roman" w:hAnsi="Times New Roman"/>
          <w:sz w:val="14"/>
          <w:szCs w:val="14"/>
          <w:u w:val="single" w:color="auto"/>
          <w:color w:val="auto"/>
        </w:rPr>
        <w:t>Section 9.10</w:t>
      </w:r>
      <w:r>
        <w:rPr>
          <w:rFonts w:ascii="Times New Roman" w:cs="Times New Roman" w:eastAsia="Times New Roman" w:hAnsi="Times New Roman"/>
          <w:sz w:val="14"/>
          <w:szCs w:val="14"/>
          <w:color w:val="auto"/>
        </w:rPr>
        <w:t xml:space="preserve">. In each case as specified in this </w:t>
      </w:r>
      <w:r>
        <w:rPr>
          <w:rFonts w:ascii="Times New Roman" w:cs="Times New Roman" w:eastAsia="Times New Roman" w:hAnsi="Times New Roman"/>
          <w:sz w:val="14"/>
          <w:szCs w:val="14"/>
          <w:u w:val="single" w:color="auto"/>
          <w:color w:val="auto"/>
        </w:rPr>
        <w:t>Section 9.10</w:t>
      </w:r>
      <w:r>
        <w:rPr>
          <w:rFonts w:ascii="Times New Roman" w:cs="Times New Roman" w:eastAsia="Times New Roman" w:hAnsi="Times New Roman"/>
          <w:sz w:val="14"/>
          <w:szCs w:val="14"/>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any Guaranty, in each case, in accordance with the terms of the Loan Documents and this </w:t>
      </w:r>
      <w:r>
        <w:rPr>
          <w:rFonts w:ascii="Times New Roman" w:cs="Times New Roman" w:eastAsia="Times New Roman" w:hAnsi="Times New Roman"/>
          <w:sz w:val="14"/>
          <w:szCs w:val="14"/>
          <w:u w:val="single" w:color="auto"/>
          <w:color w:val="auto"/>
        </w:rPr>
        <w:t>Section 9.10</w:t>
      </w:r>
      <w:r>
        <w:rPr>
          <w:rFonts w:ascii="Times New Roman" w:cs="Times New Roman" w:eastAsia="Times New Roman" w:hAnsi="Times New Roman"/>
          <w:sz w:val="14"/>
          <w:szCs w:val="14"/>
          <w:color w:val="auto"/>
        </w:rPr>
        <w:t xml:space="preserve">. Each Loan Party hereby irrevocably consents to any release or subordination of Collateral and any release of any Guarantor from its obligations under any Guaranty, in each case, in accordance with the terms of the Loan Documents and this </w:t>
      </w:r>
      <w:r>
        <w:rPr>
          <w:rFonts w:ascii="Times New Roman" w:cs="Times New Roman" w:eastAsia="Times New Roman" w:hAnsi="Times New Roman"/>
          <w:sz w:val="14"/>
          <w:szCs w:val="14"/>
          <w:u w:val="single" w:color="auto"/>
          <w:color w:val="auto"/>
        </w:rPr>
        <w:t>Section 9.10</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220" w:right="239" w:firstLine="343"/>
        <w:spacing w:after="0" w:line="261" w:lineRule="auto"/>
        <w:rPr>
          <w:sz w:val="20"/>
          <w:szCs w:val="20"/>
          <w:color w:val="auto"/>
        </w:rPr>
      </w:pPr>
      <w:r>
        <w:rPr>
          <w:rFonts w:ascii="Times New Roman" w:cs="Times New Roman" w:eastAsia="Times New Roman" w:hAnsi="Times New Roman"/>
          <w:sz w:val="14"/>
          <w:szCs w:val="14"/>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41" w:lineRule="exact"/>
        <w:rPr>
          <w:sz w:val="20"/>
          <w:szCs w:val="20"/>
          <w:color w:val="auto"/>
        </w:rPr>
      </w:pPr>
    </w:p>
    <w:p>
      <w:pPr>
        <w:ind w:left="220" w:right="379" w:firstLine="343"/>
        <w:spacing w:after="0" w:line="261" w:lineRule="auto"/>
        <w:rPr>
          <w:sz w:val="20"/>
          <w:szCs w:val="20"/>
          <w:color w:val="auto"/>
        </w:rPr>
      </w:pPr>
      <w:r>
        <w:rPr>
          <w:rFonts w:ascii="Times New Roman" w:cs="Times New Roman" w:eastAsia="Times New Roman" w:hAnsi="Times New Roman"/>
          <w:sz w:val="14"/>
          <w:szCs w:val="14"/>
          <w:color w:val="auto"/>
        </w:rPr>
        <w:t>Additionally, each Lender, on behalf of itself and each of its Affiliates that is a Secured Party, hereby (a) consents to, authorizes and directs the Administrative Agent’s execution and delivery of any Intercreditor Agreement on behalf of such Lender and such Affiliates, (b) agrees to be bound by the terms and conditions of any Intercreditor Agreement, and (c) consents to, authorizes and agrees that the Administrative Agent may exercise all rights, powers and remedies that the Administrative Agent may have under any Intercreditor Agreement.</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9.11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9.12 ERISA Matters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39" w:firstLine="327"/>
        <w:spacing w:after="0" w:line="255" w:lineRule="auto"/>
        <w:tabs>
          <w:tab w:leader="none" w:pos="1080" w:val="left"/>
        </w:tabs>
        <w:numPr>
          <w:ilvl w:val="1"/>
          <w:numId w:val="7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ind w:left="560" w:right="379" w:hanging="2"/>
        <w:spacing w:after="0" w:line="253" w:lineRule="auto"/>
        <w:tabs>
          <w:tab w:leader="none" w:pos="766" w:val="left"/>
        </w:tabs>
        <w:numPr>
          <w:ilvl w:val="0"/>
          <w:numId w:val="7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9019"/>
          </w:cols>
          <w:pgMar w:left="1440" w:top="241" w:right="1440" w:bottom="1440" w:gutter="0" w:footer="0" w:header="0"/>
        </w:sectPr>
      </w:pPr>
    </w:p>
    <w:bookmarkStart w:id="678" w:name="page679"/>
    <w:bookmarkEnd w:id="678"/>
    <w:p>
      <w:pPr>
        <w:ind w:left="560" w:right="33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respect to such Lender’s entrance into, participation in, administration of and performance of the Loans, the Commitments and this Agreement; (iii)(A) such Lender is an investment fund managed by a “Qualified Professional Asset Manager” (within the meaning of Part VI of PTE 84-14),</w:t>
      </w:r>
    </w:p>
    <w:p>
      <w:pPr>
        <w:spacing w:after="0" w:line="1" w:lineRule="exact"/>
        <w:rPr>
          <w:sz w:val="20"/>
          <w:szCs w:val="20"/>
          <w:color w:val="auto"/>
        </w:rPr>
      </w:pPr>
    </w:p>
    <w:p>
      <w:pPr>
        <w:ind w:left="560" w:right="259" w:hanging="2"/>
        <w:spacing w:after="0" w:line="252" w:lineRule="auto"/>
        <w:tabs>
          <w:tab w:leader="none" w:pos="782" w:val="left"/>
        </w:tabs>
        <w:numPr>
          <w:ilvl w:val="0"/>
          <w:numId w:val="7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(iv) such other representation, warranty and covenant as may be agreed in writing between the Administrative Agent, in its sole discretion, and such Lender.</w:t>
      </w:r>
    </w:p>
    <w:p>
      <w:pPr>
        <w:spacing w:after="0" w:line="64" w:lineRule="exact"/>
        <w:rPr>
          <w:rFonts w:ascii="Times New Roman" w:cs="Times New Roman" w:eastAsia="Times New Roman" w:hAnsi="Times New Roman"/>
          <w:sz w:val="14"/>
          <w:szCs w:val="14"/>
          <w:color w:val="auto"/>
        </w:rPr>
      </w:pPr>
    </w:p>
    <w:p>
      <w:pPr>
        <w:ind w:left="560" w:right="259" w:firstLine="327"/>
        <w:spacing w:after="0" w:line="255" w:lineRule="auto"/>
        <w:tabs>
          <w:tab w:leader="none" w:pos="1088" w:val="left"/>
        </w:tabs>
        <w:numPr>
          <w:ilvl w:val="1"/>
          <w:numId w:val="7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unless either (i)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in the immediately preceding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is true with respect to a Lender or (ii) a Lender has provided another representation, warranty and covenant in accordance with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in the immediately preceding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other Loan Document or any documents related to hereto or thereto).</w:t>
      </w:r>
    </w:p>
    <w:p>
      <w:pPr>
        <w:spacing w:after="0" w:line="143"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9.13 Recovery of Erroneous Payments</w:t>
      </w:r>
      <w:r>
        <w:rPr>
          <w:rFonts w:ascii="Times New Roman" w:cs="Times New Roman" w:eastAsia="Times New Roman" w:hAnsi="Times New Roman"/>
          <w:sz w:val="14"/>
          <w:szCs w:val="14"/>
          <w:color w:val="auto"/>
        </w:rPr>
        <w:t>. Without limitation of any other provision in this Agreement, if at any time the Administrative Agent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Overnight Rate.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3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GUARANTY</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10.01 Guaranty</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339" w:firstLine="327"/>
        <w:spacing w:after="0" w:line="258" w:lineRule="auto"/>
        <w:tabs>
          <w:tab w:leader="none" w:pos="1080" w:val="left"/>
        </w:tabs>
        <w:numPr>
          <w:ilvl w:val="0"/>
          <w:numId w:val="7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Parent Guarantor hereby jointly and severally with the other Parent Guarantors guarantees to each Lender and the Administrative Agent as hereinafter provided, as primary obligor and not as surety, the prompt payment of all Guaranteed Obligations in full when due (whether at stated maturity, as a mandatory prepayment, by acceleration or otherwise) strictly in accordance with the terms thereof. The Parent Guarantors hereby further agree that if any of the Guaranteed Obligations are not paid in full when due (whether at stated maturity, as a mandatory prepayment, by acceleration or otherwise), the Parent Guarantors will, jointly and severally,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9019"/>
          </w:cols>
          <w:pgMar w:left="1440" w:top="241" w:right="1440" w:bottom="1440" w:gutter="0" w:footer="0" w:header="0"/>
        </w:sectPr>
      </w:pPr>
    </w:p>
    <w:bookmarkStart w:id="679" w:name="page680"/>
    <w:bookmarkEnd w:id="679"/>
    <w:p>
      <w:pPr>
        <w:ind w:left="560" w:right="39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promptly pay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51" w:lineRule="exact"/>
        <w:rPr>
          <w:sz w:val="20"/>
          <w:szCs w:val="20"/>
          <w:color w:val="auto"/>
        </w:rPr>
      </w:pPr>
    </w:p>
    <w:p>
      <w:pPr>
        <w:ind w:left="560" w:right="259" w:firstLine="327"/>
        <w:spacing w:after="0" w:line="258" w:lineRule="auto"/>
        <w:tabs>
          <w:tab w:leader="none" w:pos="1088" w:val="left"/>
        </w:tabs>
        <w:numPr>
          <w:ilvl w:val="0"/>
          <w:numId w:val="7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provision to the contrary contained herein or in any other of the Loan Documents, (i) the obligations of each Parent Guarantor (other than the Company) under this Agreement and the other Loan Documents shall be limited to an aggregate amount equal to the largest amount that would not render such obligations subject to avoidance under the Debtor Relief Laws or any comparable provisions of any applicable state, provincial or territorial law and (ii) the Obligations of a Subsidiary that are guaranteed under this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shall exclude any Excluded Swap Obligations with respect to such Subsidiary.</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10.02 Obligations Unconditional</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980" w:right="319" w:firstLine="7"/>
        <w:spacing w:after="0" w:line="255" w:lineRule="auto"/>
        <w:tabs>
          <w:tab w:leader="none" w:pos="1170" w:val="left"/>
        </w:tabs>
        <w:numPr>
          <w:ilvl w:val="1"/>
          <w:numId w:val="7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The obligations of the Parent Guarantors under </w:t>
      </w:r>
      <w:r>
        <w:rPr>
          <w:rFonts w:ascii="Times New Roman" w:cs="Times New Roman" w:eastAsia="Times New Roman" w:hAnsi="Times New Roman"/>
          <w:sz w:val="14"/>
          <w:szCs w:val="14"/>
          <w:u w:val="single" w:color="auto"/>
          <w:color w:val="auto"/>
        </w:rPr>
        <w:t>Section 10.01(a)(i)</w:t>
      </w:r>
      <w:r>
        <w:rPr>
          <w:rFonts w:ascii="Times New Roman" w:cs="Times New Roman" w:eastAsia="Times New Roman" w:hAnsi="Times New Roman"/>
          <w:sz w:val="14"/>
          <w:szCs w:val="14"/>
          <w:color w:val="auto"/>
        </w:rPr>
        <w:t xml:space="preserve"> are joint and several,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Guaranteed Obligations, and, to the fullest extent permitted by applicable law, irrespective of any law or regulation or other circumstance whatsoever which might otherwise constitute a legal or equitable discharge or defense of a surety or guarantor, it being the intent of this</w:t>
      </w:r>
    </w:p>
    <w:p>
      <w:pPr>
        <w:ind w:left="980" w:right="31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10.02(a)(i)</w:t>
      </w:r>
      <w:r>
        <w:rPr>
          <w:rFonts w:ascii="Times New Roman" w:cs="Times New Roman" w:eastAsia="Times New Roman" w:hAnsi="Times New Roman"/>
          <w:sz w:val="14"/>
          <w:szCs w:val="14"/>
          <w:color w:val="auto"/>
        </w:rPr>
        <w:t xml:space="preserve"> that the obligations of the Parent Guarantors hereunder shall be absolute and unconditional under any and all circumstances. Each Parent Guarantor agrees that such Parent Guarantor shall have no right of subrogation, indemnity, reimbursement or contribution against any other Loan Party for amounts paid under this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until such time as the Guaranteed Obligations (other than contingent indemnification obligations not yet due) have been paid in full and the Commitments have expired or terminated.</w:t>
      </w:r>
    </w:p>
    <w:p>
      <w:pPr>
        <w:spacing w:after="0" w:line="60" w:lineRule="exact"/>
        <w:rPr>
          <w:rFonts w:ascii="Times New Roman" w:cs="Times New Roman" w:eastAsia="Times New Roman" w:hAnsi="Times New Roman"/>
          <w:sz w:val="14"/>
          <w:szCs w:val="14"/>
          <w:color w:val="auto"/>
        </w:rPr>
      </w:pPr>
    </w:p>
    <w:p>
      <w:pPr>
        <w:ind w:left="1500" w:hanging="201"/>
        <w:spacing w:after="0"/>
        <w:tabs>
          <w:tab w:leader="none" w:pos="1500" w:val="left"/>
        </w:tabs>
        <w:numPr>
          <w:ilvl w:val="2"/>
          <w:numId w:val="7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91" w:lineRule="exact"/>
        <w:rPr>
          <w:rFonts w:ascii="Times New Roman" w:cs="Times New Roman" w:eastAsia="Times New Roman" w:hAnsi="Times New Roman"/>
          <w:sz w:val="14"/>
          <w:szCs w:val="14"/>
          <w:color w:val="auto"/>
        </w:rPr>
      </w:pPr>
    </w:p>
    <w:p>
      <w:pPr>
        <w:ind w:left="560" w:right="399" w:firstLine="327"/>
        <w:spacing w:after="0" w:line="267" w:lineRule="auto"/>
        <w:tabs>
          <w:tab w:leader="none" w:pos="1088" w:val="left"/>
        </w:tabs>
        <w:numPr>
          <w:ilvl w:val="0"/>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it is agreed that, to the fullest extent permitted by law, the occurrence of any one or more of the following shall not alter or impair the liability of any Parent Guarantor hereunder, which shall remain absolute and unconditional as described above:</w:t>
      </w:r>
    </w:p>
    <w:p>
      <w:pPr>
        <w:spacing w:after="0" w:line="51" w:lineRule="exact"/>
        <w:rPr>
          <w:rFonts w:ascii="Times New Roman" w:cs="Times New Roman" w:eastAsia="Times New Roman" w:hAnsi="Times New Roman"/>
          <w:sz w:val="14"/>
          <w:szCs w:val="14"/>
          <w:color w:val="auto"/>
        </w:rPr>
      </w:pPr>
    </w:p>
    <w:p>
      <w:pPr>
        <w:ind w:left="980" w:right="299" w:firstLine="319"/>
        <w:spacing w:after="0" w:line="283" w:lineRule="auto"/>
        <w:tabs>
          <w:tab w:leader="none" w:pos="1459" w:val="left"/>
        </w:tabs>
        <w:numPr>
          <w:ilvl w:val="2"/>
          <w:numId w:val="7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or from time to time, without notice to any Parent Guarantor, the time for any performance of or compliance with any of the Guaranteed Obligations shall be extended, or such performance or compliance shall be waived;</w:t>
      </w:r>
    </w:p>
    <w:p>
      <w:pPr>
        <w:spacing w:after="0" w:line="41" w:lineRule="exact"/>
        <w:rPr>
          <w:sz w:val="20"/>
          <w:szCs w:val="20"/>
          <w:color w:val="auto"/>
        </w:rPr>
      </w:pPr>
    </w:p>
    <w:p>
      <w:pPr>
        <w:ind w:left="980" w:right="239" w:firstLine="319"/>
        <w:spacing w:after="0" w:line="283" w:lineRule="auto"/>
        <w:tabs>
          <w:tab w:leader="none" w:pos="1498" w:val="left"/>
        </w:tabs>
        <w:numPr>
          <w:ilvl w:val="0"/>
          <w:numId w:val="7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acts mentioned in any of the provisions of any of the Loan Documents or any other agreement or instrument referred to in the Loan Documents shall be done or omitted;</w:t>
      </w:r>
    </w:p>
    <w:p>
      <w:pPr>
        <w:spacing w:after="0" w:line="40" w:lineRule="exact"/>
        <w:rPr>
          <w:rFonts w:ascii="Times New Roman" w:cs="Times New Roman" w:eastAsia="Times New Roman" w:hAnsi="Times New Roman"/>
          <w:sz w:val="14"/>
          <w:szCs w:val="14"/>
          <w:color w:val="auto"/>
        </w:rPr>
      </w:pPr>
    </w:p>
    <w:p>
      <w:pPr>
        <w:jc w:val="both"/>
        <w:ind w:left="980" w:right="339" w:firstLine="319"/>
        <w:spacing w:after="0" w:line="261" w:lineRule="auto"/>
        <w:tabs>
          <w:tab w:leader="none" w:pos="1537" w:val="left"/>
        </w:tabs>
        <w:numPr>
          <w:ilvl w:val="0"/>
          <w:numId w:val="7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of any of the Guaranteed Obligations shall be accelerated, or any of the Guaranteed Obligations shall be modified, supplemented or amended in any respect, or any right under any of the Loan Documents or any other agreement or instrument referred to in the Loan Documents shall be waived or any other guarantee of any of the Guaranteed Obligations or any security therefor shall be released, impaired or exchanged in whole or in part or otherwise dealt with;</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9019"/>
          </w:cols>
          <w:pgMar w:left="1440" w:top="241" w:right="1440" w:bottom="1440" w:gutter="0" w:footer="0" w:header="0"/>
        </w:sectPr>
      </w:pPr>
    </w:p>
    <w:bookmarkStart w:id="680" w:name="page681"/>
    <w:bookmarkEnd w:id="680"/>
    <w:p>
      <w:pPr>
        <w:ind w:left="980" w:right="519" w:firstLine="319"/>
        <w:spacing w:after="0" w:line="283" w:lineRule="auto"/>
        <w:tabs>
          <w:tab w:leader="none" w:pos="1529" w:val="left"/>
        </w:tabs>
        <w:numPr>
          <w:ilvl w:val="0"/>
          <w:numId w:val="7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Lien granted to, or in favor of, the Administrative Agent or any Lender or Lenders as security for any of the Guaranteed Obligations shall fail to attach or be perfected; or</w:t>
      </w:r>
    </w:p>
    <w:p>
      <w:pPr>
        <w:spacing w:after="0" w:line="40" w:lineRule="exact"/>
        <w:rPr>
          <w:rFonts w:ascii="Times New Roman" w:cs="Times New Roman" w:eastAsia="Times New Roman" w:hAnsi="Times New Roman"/>
          <w:sz w:val="14"/>
          <w:szCs w:val="14"/>
          <w:color w:val="auto"/>
        </w:rPr>
      </w:pPr>
    </w:p>
    <w:p>
      <w:pPr>
        <w:ind w:left="980" w:right="499" w:firstLine="319"/>
        <w:spacing w:after="0" w:line="283" w:lineRule="auto"/>
        <w:tabs>
          <w:tab w:leader="none" w:pos="1490" w:val="left"/>
        </w:tabs>
        <w:numPr>
          <w:ilvl w:val="0"/>
          <w:numId w:val="7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Guaranteed Obligations shall be determined to be void or voidable (including for the benefit of any creditor of any Parent Guarantor) or shall be subordinated to the claims of any Person (including any creditor of any Parent Guarantor).</w:t>
      </w:r>
    </w:p>
    <w:p>
      <w:pPr>
        <w:spacing w:after="0" w:line="41" w:lineRule="exact"/>
        <w:rPr>
          <w:sz w:val="20"/>
          <w:szCs w:val="20"/>
          <w:color w:val="auto"/>
        </w:rPr>
      </w:pPr>
    </w:p>
    <w:p>
      <w:pPr>
        <w:ind w:left="560" w:right="319" w:firstLine="329"/>
        <w:spacing w:after="0" w:line="261" w:lineRule="auto"/>
        <w:rPr>
          <w:sz w:val="20"/>
          <w:szCs w:val="20"/>
          <w:color w:val="auto"/>
        </w:rPr>
      </w:pPr>
      <w:r>
        <w:rPr>
          <w:rFonts w:ascii="Times New Roman" w:cs="Times New Roman" w:eastAsia="Times New Roman" w:hAnsi="Times New Roman"/>
          <w:sz w:val="14"/>
          <w:szCs w:val="14"/>
          <w:color w:val="auto"/>
        </w:rPr>
        <w:t>With respect to its obligations hereunder, each Parent Guarantor hereby expressly waives diligence, presentment, demand of payment, protest and all notices whatsoever, and any requirement that the Administrative Agent or any Lender exhaust any right, power or remedy or proceed against any Person under any of the Loan Documents or any other agreement or instrument referred to in the Loan Documents or against any other Person under any other guarantee of, or security for, any of the Guaranteed Obligations.</w:t>
      </w:r>
    </w:p>
    <w:p>
      <w:pPr>
        <w:spacing w:after="0" w:line="139" w:lineRule="exact"/>
        <w:rPr>
          <w:sz w:val="20"/>
          <w:szCs w:val="20"/>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b w:val="1"/>
          <w:bCs w:val="1"/>
          <w:color w:val="auto"/>
        </w:rPr>
        <w:t>10.03 Reinstatement</w:t>
      </w:r>
      <w:r>
        <w:rPr>
          <w:rFonts w:ascii="Times New Roman" w:cs="Times New Roman" w:eastAsia="Times New Roman" w:hAnsi="Times New Roman"/>
          <w:sz w:val="14"/>
          <w:szCs w:val="14"/>
          <w:color w:val="auto"/>
        </w:rPr>
        <w:t>. The obligations of the Parent Guarantors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automatically reinstated if and to the extent that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reason any payment by or on behalf of any Person in respect of the Guaranteed Obligations is rescinded or must be otherwise restored by any holder of any of the Guaranteed Obligations, whether as a result of any proceedings in bankruptcy or reorganization or otherwise, and each Parent Guarantor agrees that it will indemnify the Administrative Agent and each other holder of the Guaranteed Obligations on demand for all reasonable costs and expenses (including the fees, charges and disbursements of counsel) incurred by the Administrative Agent or such other holder of the Guaranteed Obligations,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44" w:lineRule="exact"/>
        <w:rPr>
          <w:sz w:val="20"/>
          <w:szCs w:val="20"/>
          <w:color w:val="auto"/>
        </w:rPr>
      </w:pPr>
    </w:p>
    <w:p>
      <w:pPr>
        <w:ind w:left="220" w:right="41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10.04 Certain Additional Waivers</w:t>
      </w:r>
      <w:r>
        <w:rPr>
          <w:rFonts w:ascii="Times New Roman" w:cs="Times New Roman" w:eastAsia="Times New Roman" w:hAnsi="Times New Roman"/>
          <w:sz w:val="14"/>
          <w:szCs w:val="14"/>
          <w:color w:val="auto"/>
        </w:rPr>
        <w:t>. Each Parent Guarantor agrees that such Parent Guarantor shall have no right of recourse to security for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Guaranteed Obligations, except through the exercise of rights of subrogation pursuant to </w:t>
      </w:r>
      <w:r>
        <w:rPr>
          <w:rFonts w:ascii="Times New Roman" w:cs="Times New Roman" w:eastAsia="Times New Roman" w:hAnsi="Times New Roman"/>
          <w:sz w:val="14"/>
          <w:szCs w:val="14"/>
          <w:u w:val="single" w:color="auto"/>
          <w:color w:val="auto"/>
        </w:rPr>
        <w:t>Section 10.02(a)(i)</w:t>
      </w:r>
      <w:r>
        <w:rPr>
          <w:rFonts w:ascii="Times New Roman" w:cs="Times New Roman" w:eastAsia="Times New Roman" w:hAnsi="Times New Roman"/>
          <w:sz w:val="14"/>
          <w:szCs w:val="14"/>
          <w:color w:val="auto"/>
        </w:rPr>
        <w:t xml:space="preserve"> and through the exercise of rights of contribution pursuant to </w:t>
      </w:r>
      <w:r>
        <w:rPr>
          <w:rFonts w:ascii="Times New Roman" w:cs="Times New Roman" w:eastAsia="Times New Roman" w:hAnsi="Times New Roman"/>
          <w:sz w:val="14"/>
          <w:szCs w:val="14"/>
          <w:u w:val="single" w:color="auto"/>
          <w:color w:val="auto"/>
        </w:rPr>
        <w:t>Section 10.06(a)</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220" w:right="31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10.05 Remedies</w:t>
      </w:r>
      <w:r>
        <w:rPr>
          <w:rFonts w:ascii="Times New Roman" w:cs="Times New Roman" w:eastAsia="Times New Roman" w:hAnsi="Times New Roman"/>
          <w:sz w:val="14"/>
          <w:szCs w:val="14"/>
          <w:color w:val="auto"/>
        </w:rPr>
        <w:t>. The Parent Guarantors agree that, to the fullest extent permitted by law, as between the Parent Guarantors, on the one hand,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Administrative Agent and the Secured Parties, on the other hand, the Guaranteed Obligations may be declared to be forthwith due and payable as provided in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(and shall be deemed to have become automatically due and payable in the circumstances provided in said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for purposes of </w:t>
      </w:r>
      <w:r>
        <w:rPr>
          <w:rFonts w:ascii="Times New Roman" w:cs="Times New Roman" w:eastAsia="Times New Roman" w:hAnsi="Times New Roman"/>
          <w:sz w:val="14"/>
          <w:szCs w:val="14"/>
          <w:u w:val="single" w:color="auto"/>
          <w:color w:val="auto"/>
        </w:rPr>
        <w:t>Section 10.01(a)(i)</w:t>
      </w:r>
      <w:r>
        <w:rPr>
          <w:rFonts w:ascii="Times New Roman" w:cs="Times New Roman" w:eastAsia="Times New Roman" w:hAnsi="Times New Roman"/>
          <w:sz w:val="14"/>
          <w:szCs w:val="14"/>
          <w:color w:val="auto"/>
        </w:rPr>
        <w:t xml:space="preserve"> notwithstanding any stay, injunction or other prohibition preventing such declaration (or preventing the Guaranteed Obligations from becoming automatically due and payable) as against any other Person and that, in the event of such declaration (or the Guaranteed Obligations being deemed to have become automatically due and payable), the Guaranteed Obligations (whether or not due and payable by any other Person) shall forthwith become due and payable by the Parent Guarantors for purposes of </w:t>
      </w:r>
      <w:r>
        <w:rPr>
          <w:rFonts w:ascii="Times New Roman" w:cs="Times New Roman" w:eastAsia="Times New Roman" w:hAnsi="Times New Roman"/>
          <w:sz w:val="14"/>
          <w:szCs w:val="14"/>
          <w:u w:val="single" w:color="auto"/>
          <w:color w:val="auto"/>
        </w:rPr>
        <w:t>Section 10.01(a)(i)</w:t>
      </w:r>
      <w:r>
        <w:rPr>
          <w:rFonts w:ascii="Times New Roman" w:cs="Times New Roman" w:eastAsia="Times New Roman" w:hAnsi="Times New Roman"/>
          <w:sz w:val="14"/>
          <w:szCs w:val="14"/>
          <w:color w:val="auto"/>
        </w:rPr>
        <w:t>. The Parent Guarantors acknowledge and agree that their obligations hereunder are secured in accordance with the terms of the Collateral Documents and that the Lenders may exercise their remedies thereunder in accordance with the terms thereof.</w:t>
      </w:r>
    </w:p>
    <w:p>
      <w:pPr>
        <w:spacing w:after="0" w:line="143" w:lineRule="exact"/>
        <w:rPr>
          <w:sz w:val="20"/>
          <w:szCs w:val="20"/>
          <w:color w:val="auto"/>
        </w:rPr>
      </w:pPr>
    </w:p>
    <w:p>
      <w:pPr>
        <w:ind w:left="220" w:right="41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10.06 Rights of Contribution</w:t>
      </w:r>
      <w:r>
        <w:rPr>
          <w:rFonts w:ascii="Times New Roman" w:cs="Times New Roman" w:eastAsia="Times New Roman" w:hAnsi="Times New Roman"/>
          <w:sz w:val="14"/>
          <w:szCs w:val="14"/>
          <w:color w:val="auto"/>
        </w:rPr>
        <w:t>. The Parent Guarantors agree among themselves that, in connection with payments made hereunder, each Parent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Guarantor shall have contribution rights against the other Parent Guarantors as permitted under applicable law. Such contribution rights shall be subordinate and subject in right of payment to the obligations of the Parent Guarantors under the Loan Documents and no Parent Guarantor shall exercise such rights of contribution until all Guaranteed Obligations (other than contingent indemnification obligations not yet due) have been paid in full and the Commitments have terminated.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9019"/>
          </w:cols>
          <w:pgMar w:left="1440" w:top="241" w:right="1440" w:bottom="1440" w:gutter="0" w:footer="0" w:header="0"/>
        </w:sectPr>
      </w:pPr>
    </w:p>
    <w:bookmarkStart w:id="681" w:name="page682"/>
    <w:bookmarkEnd w:id="681"/>
    <w:p>
      <w:pPr>
        <w:ind w:left="220" w:right="41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10.07 Guarantee of Payment; Continuing Guarantee</w:t>
      </w:r>
      <w:r>
        <w:rPr>
          <w:rFonts w:ascii="Times New Roman" w:cs="Times New Roman" w:eastAsia="Times New Roman" w:hAnsi="Times New Roman"/>
          <w:sz w:val="14"/>
          <w:szCs w:val="14"/>
          <w:color w:val="auto"/>
        </w:rPr>
        <w:t>. The guarantee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the Parent Guarantors is a guaranty of payment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 of collection, is a continuing guarantee, and shall apply to all Guaranteed Obligations whenever arising.</w:t>
      </w:r>
    </w:p>
    <w:p>
      <w:pPr>
        <w:spacing w:after="0" w:line="121" w:lineRule="exact"/>
        <w:rPr>
          <w:sz w:val="20"/>
          <w:szCs w:val="20"/>
          <w:color w:val="auto"/>
        </w:rPr>
      </w:pPr>
    </w:p>
    <w:p>
      <w:pPr>
        <w:ind w:left="220" w:right="239" w:firstLine="343"/>
        <w:spacing w:after="0" w:line="254" w:lineRule="auto"/>
        <w:rPr>
          <w:sz w:val="20"/>
          <w:szCs w:val="20"/>
          <w:color w:val="auto"/>
        </w:rPr>
      </w:pPr>
      <w:r>
        <w:rPr>
          <w:rFonts w:ascii="Times New Roman" w:cs="Times New Roman" w:eastAsia="Times New Roman" w:hAnsi="Times New Roman"/>
          <w:sz w:val="14"/>
          <w:szCs w:val="14"/>
          <w:b w:val="1"/>
          <w:bCs w:val="1"/>
          <w:color w:val="auto"/>
        </w:rPr>
        <w:t>10.08 Keepwell</w:t>
      </w:r>
      <w:r>
        <w:rPr>
          <w:rFonts w:ascii="Times New Roman" w:cs="Times New Roman" w:eastAsia="Times New Roman" w:hAnsi="Times New Roman"/>
          <w:sz w:val="14"/>
          <w:szCs w:val="14"/>
          <w:color w:val="auto"/>
        </w:rPr>
        <w:t>. Each Parent Guarantor that is a Qualified ECP Guarantor at the time any Guaranty by any Loan Party that is not then an “eligible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contract participant” under the Commodity Exchange Act (a “</w:t>
      </w:r>
      <w:r>
        <w:rPr>
          <w:rFonts w:ascii="Times New Roman" w:cs="Times New Roman" w:eastAsia="Times New Roman" w:hAnsi="Times New Roman"/>
          <w:sz w:val="14"/>
          <w:szCs w:val="14"/>
          <w:u w:val="single" w:color="auto"/>
          <w:color w:val="auto"/>
        </w:rPr>
        <w:t>Specified Loan Party</w:t>
      </w:r>
      <w:r>
        <w:rPr>
          <w:rFonts w:ascii="Times New Roman" w:cs="Times New Roman" w:eastAsia="Times New Roman" w:hAnsi="Times New Roman"/>
          <w:sz w:val="14"/>
          <w:szCs w:val="14"/>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4"/>
          <w:szCs w:val="14"/>
          <w:u w:val="single" w:color="auto"/>
          <w:color w:val="auto"/>
        </w:rPr>
        <w:t>Article X</w:t>
      </w:r>
      <w:r>
        <w:rPr>
          <w:rFonts w:ascii="Times New Roman" w:cs="Times New Roman" w:eastAsia="Times New Roman" w:hAnsi="Times New Roman"/>
          <w:sz w:val="14"/>
          <w:szCs w:val="14"/>
          <w:color w:val="auto"/>
        </w:rPr>
        <w:t xml:space="preserve"> voidable under applicable Debtor Relief Laws, and not for any greater amount). The obligations and undertakings of each Parent Guarantor under this Section shall remain in full force and effect until such time as the Obligations have been paid in full and the Commitments have expired or terminated. Each Parent Guarantor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59" w:lineRule="exact"/>
        <w:rPr>
          <w:sz w:val="20"/>
          <w:szCs w:val="20"/>
          <w:color w:val="auto"/>
        </w:rPr>
      </w:pPr>
    </w:p>
    <w:p>
      <w:pPr>
        <w:ind w:left="220" w:right="359" w:firstLine="343"/>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11.01 Amendments, Etc. </w:t>
      </w:r>
      <w:r>
        <w:rPr>
          <w:rFonts w:ascii="Times New Roman" w:cs="Times New Roman" w:eastAsia="Times New Roman" w:hAnsi="Times New Roman"/>
          <w:sz w:val="14"/>
          <w:szCs w:val="14"/>
          <w:color w:val="auto"/>
        </w:rPr>
        <w:t>No amendment or waiver of any provision of this Agreement or any other Loan Document, and no consent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amendment, waiver or consent shall:</w:t>
      </w:r>
    </w:p>
    <w:p>
      <w:pPr>
        <w:spacing w:after="0" w:line="56" w:lineRule="exact"/>
        <w:rPr>
          <w:sz w:val="20"/>
          <w:szCs w:val="20"/>
          <w:color w:val="auto"/>
        </w:rPr>
      </w:pPr>
    </w:p>
    <w:p>
      <w:pPr>
        <w:ind w:left="560" w:right="659" w:firstLine="327"/>
        <w:spacing w:after="0" w:line="283" w:lineRule="auto"/>
        <w:tabs>
          <w:tab w:leader="none" w:pos="1080" w:val="left"/>
        </w:tabs>
        <w:numPr>
          <w:ilvl w:val="0"/>
          <w:numId w:val="7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extend or increase the Commitment of any Lender (or reinstate any Commitment terminated pursuant to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without the written consent of such Lender;</w:t>
      </w:r>
    </w:p>
    <w:p>
      <w:pPr>
        <w:spacing w:after="0" w:line="40" w:lineRule="exact"/>
        <w:rPr>
          <w:rFonts w:ascii="Times New Roman" w:cs="Times New Roman" w:eastAsia="Times New Roman" w:hAnsi="Times New Roman"/>
          <w:sz w:val="14"/>
          <w:szCs w:val="14"/>
          <w:color w:val="auto"/>
        </w:rPr>
      </w:pPr>
    </w:p>
    <w:p>
      <w:pPr>
        <w:ind w:left="560" w:right="239" w:firstLine="327"/>
        <w:spacing w:after="0" w:line="261" w:lineRule="auto"/>
        <w:tabs>
          <w:tab w:leader="none" w:pos="1088" w:val="left"/>
        </w:tabs>
        <w:numPr>
          <w:ilvl w:val="0"/>
          <w:numId w:val="7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postpone any date fixed by this Agreement or any other Loan Document for (i) any payment (excluding mandatory prepayments) of principal, interest, fees or other amounts due to the Lenders (or any of them) hereunder or under such other Loan Document without the written consent of each Lender entitled to such payment or (ii) any scheduled reduction of the Term Facility hereunder or under any other Loan Document without the written consent of each Lender;</w:t>
      </w:r>
    </w:p>
    <w:p>
      <w:pPr>
        <w:spacing w:after="0" w:line="56"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reduce the principal of, or the rate of interest specified herein on, any Loan or (subject to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of the third proviso to this</w:t>
      </w:r>
    </w:p>
    <w:p>
      <w:pPr>
        <w:spacing w:after="0" w:line="22" w:lineRule="exact"/>
        <w:rPr>
          <w:sz w:val="20"/>
          <w:szCs w:val="20"/>
          <w:color w:val="auto"/>
        </w:rPr>
      </w:pPr>
    </w:p>
    <w:p>
      <w:pPr>
        <w:ind w:left="560" w:right="359"/>
        <w:spacing w:after="0" w:line="253" w:lineRule="auto"/>
        <w:rPr>
          <w:sz w:val="20"/>
          <w:szCs w:val="20"/>
          <w:color w:val="auto"/>
        </w:rPr>
      </w:pPr>
      <w:r>
        <w:rPr>
          <w:rFonts w:ascii="Times New Roman" w:cs="Times New Roman" w:eastAsia="Times New Roman" w:hAnsi="Times New Roman"/>
          <w:sz w:val="14"/>
          <w:szCs w:val="14"/>
          <w:u w:val="single" w:color="auto"/>
          <w:color w:val="auto"/>
        </w:rPr>
        <w:t>Section 11.01</w:t>
      </w:r>
      <w:r>
        <w:rPr>
          <w:rFonts w:ascii="Times New Roman" w:cs="Times New Roman" w:eastAsia="Times New Roman" w:hAnsi="Times New Roman"/>
          <w:sz w:val="14"/>
          <w:szCs w:val="14"/>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only the consent of the Required Lenders shall be necessary (i) to amend the definition of “Default Rate” or to waive any obligation of the Borrower to pay interest at the Default Rate or (ii) to amend any financial covenant hereunder (or any defined term used therein) even if the effect of such amendment would be to reduce the rate of interest on any Loan or to reduce any fee payable hereunder;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9019"/>
          </w:cols>
          <w:pgMar w:left="1440" w:top="239" w:right="1440" w:bottom="1440" w:gutter="0" w:footer="0" w:header="0"/>
        </w:sectPr>
      </w:pPr>
    </w:p>
    <w:bookmarkStart w:id="682" w:name="page683"/>
    <w:bookmarkEnd w:id="682"/>
    <w:p>
      <w:pPr>
        <w:ind w:left="560" w:right="599" w:firstLine="327"/>
        <w:spacing w:after="0" w:line="283" w:lineRule="auto"/>
        <w:tabs>
          <w:tab w:leader="none" w:pos="1088" w:val="left"/>
        </w:tabs>
        <w:numPr>
          <w:ilvl w:val="0"/>
          <w:numId w:val="7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change </w:t>
      </w:r>
      <w:r>
        <w:rPr>
          <w:rFonts w:ascii="Times New Roman" w:cs="Times New Roman" w:eastAsia="Times New Roman" w:hAnsi="Times New Roman"/>
          <w:sz w:val="14"/>
          <w:szCs w:val="14"/>
          <w:u w:val="single" w:color="auto"/>
          <w:color w:val="auto"/>
        </w:rPr>
        <w:t>Section 2.12(f)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8.03</w:t>
      </w:r>
      <w:r>
        <w:rPr>
          <w:rFonts w:ascii="Times New Roman" w:cs="Times New Roman" w:eastAsia="Times New Roman" w:hAnsi="Times New Roman"/>
          <w:sz w:val="14"/>
          <w:szCs w:val="14"/>
          <w:color w:val="auto"/>
        </w:rPr>
        <w:t xml:space="preserve"> in a manner that would alter the pro rata sharing of payments required thereby without the written consent of each Lender;</w:t>
      </w:r>
    </w:p>
    <w:p>
      <w:pPr>
        <w:spacing w:after="0" w:line="40"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91" w:lineRule="exact"/>
        <w:rPr>
          <w:rFonts w:ascii="Times New Roman" w:cs="Times New Roman" w:eastAsia="Times New Roman" w:hAnsi="Times New Roman"/>
          <w:sz w:val="14"/>
          <w:szCs w:val="14"/>
          <w:color w:val="auto"/>
        </w:rPr>
      </w:pPr>
    </w:p>
    <w:p>
      <w:pPr>
        <w:ind w:left="560" w:right="359" w:firstLine="327"/>
        <w:spacing w:after="0" w:line="267" w:lineRule="auto"/>
        <w:tabs>
          <w:tab w:leader="none" w:pos="1064" w:val="left"/>
        </w:tabs>
        <w:numPr>
          <w:ilvl w:val="0"/>
          <w:numId w:val="7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change any provision of this </w:t>
      </w:r>
      <w:r>
        <w:rPr>
          <w:rFonts w:ascii="Times New Roman" w:cs="Times New Roman" w:eastAsia="Times New Roman" w:hAnsi="Times New Roman"/>
          <w:sz w:val="14"/>
          <w:szCs w:val="14"/>
          <w:u w:val="single" w:color="auto"/>
          <w:color w:val="auto"/>
        </w:rPr>
        <w:t>Section 11.01</w:t>
      </w:r>
      <w:r>
        <w:rPr>
          <w:rFonts w:ascii="Times New Roman" w:cs="Times New Roman" w:eastAsia="Times New Roman" w:hAnsi="Times New Roman"/>
          <w:sz w:val="14"/>
          <w:szCs w:val="14"/>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51"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all or substantially all of the Collateral without the written consent of each Lender;</w:t>
      </w:r>
    </w:p>
    <w:p>
      <w:pPr>
        <w:spacing w:after="0" w:line="91" w:lineRule="exact"/>
        <w:rPr>
          <w:rFonts w:ascii="Times New Roman" w:cs="Times New Roman" w:eastAsia="Times New Roman" w:hAnsi="Times New Roman"/>
          <w:sz w:val="14"/>
          <w:szCs w:val="14"/>
          <w:color w:val="auto"/>
        </w:rPr>
      </w:pPr>
    </w:p>
    <w:p>
      <w:pPr>
        <w:ind w:left="560" w:right="279" w:firstLine="327"/>
        <w:spacing w:after="0" w:line="267" w:lineRule="auto"/>
        <w:tabs>
          <w:tab w:leader="none" w:pos="1088" w:val="left"/>
        </w:tabs>
        <w:numPr>
          <w:ilvl w:val="0"/>
          <w:numId w:val="7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release the Borrower or all or substantially all of the Guarantors or the value of the Guaranty without the written consent of each Lender, except to the extent the release of any Guarantor is permitted pursuant to </w:t>
      </w:r>
      <w:r>
        <w:rPr>
          <w:rFonts w:ascii="Times New Roman" w:cs="Times New Roman" w:eastAsia="Times New Roman" w:hAnsi="Times New Roman"/>
          <w:sz w:val="14"/>
          <w:szCs w:val="14"/>
          <w:u w:val="single" w:color="auto"/>
          <w:color w:val="auto"/>
        </w:rPr>
        <w:t>Section 9.10</w:t>
      </w:r>
      <w:r>
        <w:rPr>
          <w:rFonts w:ascii="Times New Roman" w:cs="Times New Roman" w:eastAsia="Times New Roman" w:hAnsi="Times New Roman"/>
          <w:sz w:val="14"/>
          <w:szCs w:val="14"/>
          <w:color w:val="auto"/>
        </w:rPr>
        <w:t xml:space="preserve"> (in which case such release may be made by the Administrative Agent acting alone); and</w:t>
      </w:r>
    </w:p>
    <w:p>
      <w:pPr>
        <w:spacing w:after="0" w:line="51" w:lineRule="exact"/>
        <w:rPr>
          <w:rFonts w:ascii="Times New Roman" w:cs="Times New Roman" w:eastAsia="Times New Roman" w:hAnsi="Times New Roman"/>
          <w:sz w:val="14"/>
          <w:szCs w:val="14"/>
          <w:color w:val="auto"/>
        </w:rPr>
      </w:pPr>
    </w:p>
    <w:p>
      <w:pPr>
        <w:ind w:left="560" w:right="399" w:firstLine="327"/>
        <w:spacing w:after="0" w:line="267" w:lineRule="auto"/>
        <w:tabs>
          <w:tab w:leader="none" w:pos="1057" w:val="left"/>
        </w:tabs>
        <w:numPr>
          <w:ilvl w:val="0"/>
          <w:numId w:val="7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subordinate, or have the effect of subordinating, the Obligations to any other Indebtedness or other obligation, or (ii) subordinate, or have the effect of subordinating, the Liens securing the Obligations to Liens securing any other Indebtedness or other obligation, in each case without the prior written consent of each Lender directly affected thereby;</w:t>
      </w:r>
    </w:p>
    <w:p>
      <w:pPr>
        <w:spacing w:after="0" w:line="136" w:lineRule="exact"/>
        <w:rPr>
          <w:sz w:val="20"/>
          <w:szCs w:val="20"/>
          <w:color w:val="auto"/>
        </w:rPr>
      </w:pPr>
    </w:p>
    <w:p>
      <w:pPr>
        <w:ind w:left="220" w:right="239"/>
        <w:spacing w:after="0" w:line="251" w:lineRule="auto"/>
        <w:rPr>
          <w:sz w:val="20"/>
          <w:szCs w:val="20"/>
          <w:color w:val="auto"/>
        </w:rPr>
      </w:pP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 [reserved]; (ii) [reserved];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 (v)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(vi)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(vii) the Required Lenders shall determine whether or not to allow a Loan Party to use cash collateral in the context of a bankruptcy or insolvency proceeding and such determination shall be binding on all of the Lenders; (viii) this Agreement may be amended (or amended and restated) with the written consent of the Required Lenders, the Administrative Agent, the Borrower and the relevant Lenders providing such additional credit facilities (A)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(B)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 (ix) [reserved]; (x) [reserved]; (xi) [reserved]; (xii) [reserved];</w:t>
      </w:r>
    </w:p>
    <w:p>
      <w:pPr>
        <w:spacing w:after="0" w:line="12" w:lineRule="exact"/>
        <w:rPr>
          <w:sz w:val="20"/>
          <w:szCs w:val="20"/>
          <w:color w:val="auto"/>
        </w:rPr>
      </w:pPr>
    </w:p>
    <w:p>
      <w:pPr>
        <w:ind w:left="540" w:hanging="325"/>
        <w:spacing w:after="0"/>
        <w:tabs>
          <w:tab w:leader="none" w:pos="540" w:val="left"/>
        </w:tabs>
        <w:numPr>
          <w:ilvl w:val="0"/>
          <w:numId w:val="7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order to implement any Term SOFR Successor Rate or any Term SOFR Conforming Changes, in each case in accordance with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w:t>
      </w:r>
    </w:p>
    <w:p>
      <w:pPr>
        <w:spacing w:after="0" w:line="108" w:lineRule="exact"/>
        <w:rPr>
          <w:rFonts w:ascii="Times New Roman" w:cs="Times New Roman" w:eastAsia="Times New Roman" w:hAnsi="Times New Roman"/>
          <w:sz w:val="14"/>
          <w:szCs w:val="14"/>
          <w:color w:val="auto"/>
        </w:rPr>
      </w:pPr>
    </w:p>
    <w:p>
      <w:pPr>
        <w:ind w:left="4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102</w:t>
      </w:r>
    </w:p>
    <w:p>
      <w:pPr>
        <w:sectPr>
          <w:pgSz w:w="11900" w:h="16838" w:orient="portrait"/>
          <w:cols w:equalWidth="0" w:num="1">
            <w:col w:w="9019"/>
          </w:cols>
          <w:pgMar w:left="1440" w:top="241" w:right="1440" w:bottom="1440" w:gutter="0" w:footer="0" w:header="0"/>
        </w:sectPr>
      </w:pPr>
    </w:p>
    <w:bookmarkStart w:id="683" w:name="page684"/>
    <w:bookmarkEnd w:id="683"/>
    <w:p>
      <w:pPr>
        <w:ind w:left="220" w:right="23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this Agreement may be amended for such purpose as provided in </w:t>
      </w:r>
      <w:r>
        <w:rPr>
          <w:rFonts w:ascii="Times New Roman" w:cs="Times New Roman" w:eastAsia="Times New Roman" w:hAnsi="Times New Roman"/>
          <w:sz w:val="14"/>
          <w:szCs w:val="14"/>
          <w:u w:val="single" w:color="auto"/>
          <w:color w:val="auto"/>
        </w:rPr>
        <w:t>Section 3.07</w:t>
      </w:r>
      <w:r>
        <w:rPr>
          <w:rFonts w:ascii="Times New Roman" w:cs="Times New Roman" w:eastAsia="Times New Roman" w:hAnsi="Times New Roman"/>
          <w:sz w:val="14"/>
          <w:szCs w:val="14"/>
          <w:color w:val="auto"/>
        </w:rPr>
        <w:t>; (xiv) the Administrative Agent shall have the right, from time to time, to make Term SOFR Conforming Changes and any amendments implementing such Term SOFR Conforming Changes will become effective without any further action or consent of any other party to this Agreement or any other Loan Document, so long as, with respect to any such amendment effected, the Administrative Agent shall post each such amendment implementing such Term SOFR Conforming Changes to the Borrower and the Lenders reasonably promptly after such amendment becomes effective; (xv) notwithstanding anything to the contrary set forth herein, this Agreement and the other Loan Documents may be amended by the Borrower and the Administrative Agent to add such provisions and/or amend or modify such provisions as are deemed necessary, in the sole discretion of the Borrower and the Administrative Agent, to facilitate any technical adjustments related to the effectuation of the TopCo Restructuring (including to add TopCo as a Guarantor); (xvi) notwithstanding anything to the contrary set forth herein, this Agreement and the other Loan Documents may be amended by the Borrower and the Administrative Agent to add such provisions and/or amend or modify such provisions as are deemed necessary, in the sole discretion of the Borrower and the Administrative Agent, to facilitate any technical adjustments related to the effectuation of the Company Debt Assumption; and (xvii) if following the Closing Date,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46" w:lineRule="exact"/>
        <w:rPr>
          <w:sz w:val="20"/>
          <w:szCs w:val="20"/>
          <w:color w:val="auto"/>
        </w:rPr>
      </w:pPr>
    </w:p>
    <w:p>
      <w:pPr>
        <w:ind w:left="220" w:right="2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If any Lender is a Non-Consenting Lender, the Company may replace such Non-Consenting Lender in accordance with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amendment, waiver, consent or release can be effected as a result of the assignment contemplated by such Section (together with all other such assignments required by the Borrower to be made pursuant to this paragraph).</w:t>
      </w:r>
    </w:p>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11.02 Notices; Effectiveness; Electronic Communication</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359" w:firstLine="327"/>
        <w:spacing w:after="0" w:line="261" w:lineRule="auto"/>
        <w:tabs>
          <w:tab w:leader="none" w:pos="1080" w:val="left"/>
        </w:tabs>
        <w:numPr>
          <w:ilvl w:val="0"/>
          <w:numId w:val="7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 Generally</w:t>
      </w:r>
      <w:r>
        <w:rPr>
          <w:rFonts w:ascii="Times New Roman" w:cs="Times New Roman" w:eastAsia="Times New Roman" w:hAnsi="Times New Roman"/>
          <w:sz w:val="14"/>
          <w:szCs w:val="14"/>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56" w:lineRule="exact"/>
        <w:rPr>
          <w:rFonts w:ascii="Times New Roman" w:cs="Times New Roman" w:eastAsia="Times New Roman" w:hAnsi="Times New Roman"/>
          <w:sz w:val="14"/>
          <w:szCs w:val="14"/>
          <w:color w:val="auto"/>
        </w:rPr>
      </w:pPr>
    </w:p>
    <w:p>
      <w:pPr>
        <w:ind w:left="980" w:right="459" w:firstLine="319"/>
        <w:spacing w:after="0" w:line="283" w:lineRule="auto"/>
        <w:tabs>
          <w:tab w:leader="none" w:pos="1459" w:val="left"/>
        </w:tabs>
        <w:numPr>
          <w:ilvl w:val="1"/>
          <w:numId w:val="7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to the Borrower or the Administrative Agent, to the address, telecopier number, electronic mail address or telephone number specified for such Person on </w:t>
      </w:r>
      <w:r>
        <w:rPr>
          <w:rFonts w:ascii="Times New Roman" w:cs="Times New Roman" w:eastAsia="Times New Roman" w:hAnsi="Times New Roman"/>
          <w:sz w:val="14"/>
          <w:szCs w:val="14"/>
          <w:u w:val="single" w:color="auto"/>
          <w:color w:val="auto"/>
        </w:rPr>
        <w:t>Schedule 11.02</w:t>
      </w:r>
      <w:r>
        <w:rPr>
          <w:rFonts w:ascii="Times New Roman" w:cs="Times New Roman" w:eastAsia="Times New Roman" w:hAnsi="Times New Roman"/>
          <w:sz w:val="14"/>
          <w:szCs w:val="14"/>
          <w:color w:val="auto"/>
        </w:rPr>
        <w:t>; and</w:t>
      </w:r>
    </w:p>
    <w:p>
      <w:pPr>
        <w:spacing w:after="0" w:line="40" w:lineRule="exact"/>
        <w:rPr>
          <w:rFonts w:ascii="Times New Roman" w:cs="Times New Roman" w:eastAsia="Times New Roman" w:hAnsi="Times New Roman"/>
          <w:sz w:val="14"/>
          <w:szCs w:val="14"/>
          <w:color w:val="auto"/>
        </w:rPr>
      </w:pPr>
    </w:p>
    <w:p>
      <w:pPr>
        <w:ind w:left="980" w:right="979" w:firstLine="319"/>
        <w:spacing w:after="0" w:line="283" w:lineRule="auto"/>
        <w:tabs>
          <w:tab w:leader="none" w:pos="1498" w:val="left"/>
        </w:tabs>
        <w:numPr>
          <w:ilvl w:val="1"/>
          <w:numId w:val="7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any other Lender, to the address, telecopier number, electronic mail address or telephone number specified in its Administrative Questionnaire.</w:t>
      </w:r>
    </w:p>
    <w:p>
      <w:pPr>
        <w:spacing w:after="0" w:line="41" w:lineRule="exact"/>
        <w:rPr>
          <w:sz w:val="20"/>
          <w:szCs w:val="20"/>
          <w:color w:val="auto"/>
        </w:rPr>
      </w:pPr>
    </w:p>
    <w:p>
      <w:pPr>
        <w:ind w:left="560" w:right="239" w:firstLine="329"/>
        <w:spacing w:after="0" w:line="258" w:lineRule="auto"/>
        <w:rPr>
          <w:sz w:val="20"/>
          <w:szCs w:val="20"/>
          <w:color w:val="auto"/>
        </w:rPr>
      </w:pPr>
      <w:r>
        <w:rPr>
          <w:rFonts w:ascii="Times New Roman" w:cs="Times New Roman" w:eastAsia="Times New Roman" w:hAnsi="Times New Roman"/>
          <w:sz w:val="14"/>
          <w:szCs w:val="14"/>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below, shall be effective as provided in such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9019"/>
          </w:cols>
          <w:pgMar w:left="1440" w:top="242" w:right="1440" w:bottom="1440" w:gutter="0" w:footer="0" w:header="0"/>
        </w:sectPr>
      </w:pPr>
    </w:p>
    <w:bookmarkStart w:id="684" w:name="page685"/>
    <w:bookmarkEnd w:id="684"/>
    <w:p>
      <w:pPr>
        <w:ind w:left="560" w:right="239" w:firstLine="327"/>
        <w:spacing w:after="0" w:line="255" w:lineRule="auto"/>
        <w:tabs>
          <w:tab w:leader="none" w:pos="1087" w:val="left"/>
        </w:tabs>
        <w:numPr>
          <w:ilvl w:val="0"/>
          <w:numId w:val="7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Electronic Communications</w:t>
      </w:r>
      <w:r>
        <w:rPr>
          <w:rFonts w:ascii="Times New Roman" w:cs="Times New Roman" w:eastAsia="Times New Roman" w:hAnsi="Times New Roman"/>
          <w:sz w:val="14"/>
          <w:szCs w:val="14"/>
          <w:color w:val="auto"/>
        </w:rPr>
        <w:t xml:space="preserve">. Notices and other communications to the Administrative Agent and the Lenders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not apply to notices to any Lender pursuant to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approval of such procedures may be limited to particular notices or communications;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notices of any Default or Event of Default shall not be effective if delivered by electronic communication, unless the same shall have been also delivered by facsimile or otherwise in accordance with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w:t>
      </w:r>
    </w:p>
    <w:p>
      <w:pPr>
        <w:spacing w:after="0" w:line="61" w:lineRule="exact"/>
        <w:rPr>
          <w:sz w:val="20"/>
          <w:szCs w:val="20"/>
          <w:color w:val="auto"/>
        </w:rPr>
      </w:pPr>
    </w:p>
    <w:p>
      <w:pPr>
        <w:ind w:left="560" w:right="359" w:firstLine="329"/>
        <w:spacing w:after="0" w:line="256" w:lineRule="auto"/>
        <w:rPr>
          <w:sz w:val="20"/>
          <w:szCs w:val="20"/>
          <w:color w:val="auto"/>
        </w:rPr>
      </w:pPr>
      <w:r>
        <w:rPr>
          <w:rFonts w:ascii="Times New Roman" w:cs="Times New Roman" w:eastAsia="Times New Roman" w:hAnsi="Times New Roman"/>
          <w:sz w:val="14"/>
          <w:szCs w:val="14"/>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of notification that such notice or communication is available and identifying the website address therefor.</w:t>
      </w:r>
    </w:p>
    <w:p>
      <w:pPr>
        <w:spacing w:after="0" w:line="59" w:lineRule="exact"/>
        <w:rPr>
          <w:sz w:val="20"/>
          <w:szCs w:val="20"/>
          <w:color w:val="auto"/>
        </w:rPr>
      </w:pPr>
    </w:p>
    <w:p>
      <w:pPr>
        <w:ind w:left="560" w:right="259" w:firstLine="327"/>
        <w:spacing w:after="0" w:line="253" w:lineRule="auto"/>
        <w:tabs>
          <w:tab w:leader="none" w:pos="1080" w:val="left"/>
        </w:tabs>
        <w:numPr>
          <w:ilvl w:val="0"/>
          <w:numId w:val="7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Platform</w:t>
      </w:r>
      <w:r>
        <w:rPr>
          <w:rFonts w:ascii="Times New Roman" w:cs="Times New Roman" w:eastAsia="Times New Roman" w:hAnsi="Times New Roman"/>
          <w:sz w:val="14"/>
          <w:szCs w:val="14"/>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4"/>
          <w:szCs w:val="14"/>
          <w:u w:val="single" w:color="auto"/>
          <w:color w:val="auto"/>
        </w:rPr>
        <w:t>Agent Parties</w:t>
      </w:r>
      <w:r>
        <w:rPr>
          <w:rFonts w:ascii="Times New Roman" w:cs="Times New Roman" w:eastAsia="Times New Roman" w:hAnsi="Times New Roman"/>
          <w:sz w:val="14"/>
          <w:szCs w:val="14"/>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no event shall any Agent Party have any liability to the Borrower, any Lender or any other Person for indirect, special, incidental, consequential or punitive damages (as opposed to direct or actual damages).</w:t>
      </w:r>
    </w:p>
    <w:p>
      <w:pPr>
        <w:spacing w:after="0" w:line="64" w:lineRule="exact"/>
        <w:rPr>
          <w:rFonts w:ascii="Times New Roman" w:cs="Times New Roman" w:eastAsia="Times New Roman" w:hAnsi="Times New Roman"/>
          <w:sz w:val="14"/>
          <w:szCs w:val="14"/>
          <w:color w:val="auto"/>
        </w:rPr>
      </w:pPr>
    </w:p>
    <w:p>
      <w:pPr>
        <w:ind w:left="560" w:right="279" w:firstLine="327"/>
        <w:spacing w:after="0" w:line="258" w:lineRule="auto"/>
        <w:tabs>
          <w:tab w:leader="none" w:pos="1087" w:val="left"/>
        </w:tabs>
        <w:numPr>
          <w:ilvl w:val="0"/>
          <w:numId w:val="7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of Address, Etc.</w:t>
      </w:r>
      <w:r>
        <w:rPr>
          <w:rFonts w:ascii="Times New Roman" w:cs="Times New Roman" w:eastAsia="Times New Roman" w:hAnsi="Times New Roman"/>
          <w:sz w:val="14"/>
          <w:szCs w:val="14"/>
          <w:color w:val="auto"/>
        </w:rPr>
        <w:t xml:space="preserve"> Each of the Borrower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9019"/>
          </w:cols>
          <w:pgMar w:left="1440" w:top="241" w:right="1440" w:bottom="1440" w:gutter="0" w:footer="0" w:header="0"/>
        </w:sectPr>
      </w:pPr>
    </w:p>
    <w:bookmarkStart w:id="685" w:name="page686"/>
    <w:bookmarkEnd w:id="685"/>
    <w:p>
      <w:pPr>
        <w:ind w:left="560" w:right="3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59" w:lineRule="exact"/>
        <w:rPr>
          <w:sz w:val="20"/>
          <w:szCs w:val="20"/>
          <w:color w:val="auto"/>
        </w:rPr>
      </w:pPr>
    </w:p>
    <w:p>
      <w:pPr>
        <w:ind w:left="560" w:right="259" w:firstLine="327"/>
        <w:spacing w:after="0" w:line="255" w:lineRule="auto"/>
        <w:tabs>
          <w:tab w:leader="none" w:pos="1080" w:val="left"/>
        </w:tabs>
        <w:numPr>
          <w:ilvl w:val="0"/>
          <w:numId w:val="7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 by Administrative Agent and Lenders</w:t>
      </w:r>
      <w:r>
        <w:rPr>
          <w:rFonts w:ascii="Times New Roman" w:cs="Times New Roman" w:eastAsia="Times New Roman" w:hAnsi="Times New Roman"/>
          <w:sz w:val="14"/>
          <w:szCs w:val="14"/>
          <w:color w:val="auto"/>
        </w:rPr>
        <w:t>. The Administrative Agent and the Lenders shall be entitled to rely and act upon any notices (including telephonic or electronic notices, Committed Loan Notices and Notices of Loan Prepayment)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43" w:lineRule="exact"/>
        <w:rPr>
          <w:sz w:val="20"/>
          <w:szCs w:val="20"/>
          <w:color w:val="auto"/>
        </w:rPr>
      </w:pPr>
    </w:p>
    <w:p>
      <w:pPr>
        <w:ind w:left="220" w:right="299" w:firstLine="343"/>
        <w:spacing w:after="0" w:line="259" w:lineRule="auto"/>
        <w:rPr>
          <w:sz w:val="20"/>
          <w:szCs w:val="20"/>
          <w:color w:val="auto"/>
        </w:rPr>
      </w:pPr>
      <w:r>
        <w:rPr>
          <w:rFonts w:ascii="Times New Roman" w:cs="Times New Roman" w:eastAsia="Times New Roman" w:hAnsi="Times New Roman"/>
          <w:sz w:val="14"/>
          <w:szCs w:val="14"/>
          <w:b w:val="1"/>
          <w:bCs w:val="1"/>
          <w:color w:val="auto"/>
        </w:rPr>
        <w:t>11.03 No Waiver; Cumulative Remedies; Enforcement</w:t>
      </w:r>
      <w:r>
        <w:rPr>
          <w:rFonts w:ascii="Times New Roman" w:cs="Times New Roman" w:eastAsia="Times New Roman" w:hAnsi="Times New Roman"/>
          <w:sz w:val="14"/>
          <w:szCs w:val="14"/>
          <w:color w:val="auto"/>
        </w:rPr>
        <w:t>. No failure by any Lender or the Administrative Agent to exercise, and no delay by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under each other Loan Document are cumulative and not exclusive of any rights, remedies, powers and privileges provided by Law.</w:t>
      </w:r>
    </w:p>
    <w:p>
      <w:pPr>
        <w:spacing w:after="0" w:line="143" w:lineRule="exact"/>
        <w:rPr>
          <w:sz w:val="20"/>
          <w:szCs w:val="20"/>
          <w:color w:val="auto"/>
        </w:rPr>
      </w:pPr>
    </w:p>
    <w:p>
      <w:pPr>
        <w:ind w:left="220" w:right="279" w:firstLine="343"/>
        <w:spacing w:after="0" w:line="254" w:lineRule="auto"/>
        <w:rPr>
          <w:sz w:val="20"/>
          <w:szCs w:val="20"/>
          <w:color w:val="auto"/>
        </w:rPr>
      </w:pPr>
      <w:r>
        <w:rPr>
          <w:rFonts w:ascii="Times New Roman" w:cs="Times New Roman" w:eastAsia="Times New Roman" w:hAnsi="Times New Roman"/>
          <w:sz w:val="14"/>
          <w:szCs w:val="14"/>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for the benefit of all the Lenders;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[reserved], (c) any Lender from exercising setoff rights in accordance with </w:t>
      </w:r>
      <w:r>
        <w:rPr>
          <w:rFonts w:ascii="Times New Roman" w:cs="Times New Roman" w:eastAsia="Times New Roman" w:hAnsi="Times New Roman"/>
          <w:sz w:val="14"/>
          <w:szCs w:val="14"/>
          <w:u w:val="single" w:color="auto"/>
          <w:color w:val="auto"/>
        </w:rPr>
        <w:t>Section 11.08</w:t>
      </w:r>
      <w:r>
        <w:rPr>
          <w:rFonts w:ascii="Times New Roman" w:cs="Times New Roman" w:eastAsia="Times New Roman" w:hAnsi="Times New Roman"/>
          <w:sz w:val="14"/>
          <w:szCs w:val="14"/>
          <w:color w:val="auto"/>
        </w:rPr>
        <w:t xml:space="preserve"> (subject to the terms of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or (d) any Lender from filing proofs of claim or appearing and filing pleadings on its own behalf during the pendency of a proceeding relative to any Loan Party under any Debtor Relief Law;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and (ii) in addition to the matters set forth in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of the preceding proviso and subject to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any Lender may, with the consent of the Required Lenders, enforce any rights and remedies available to it and as authorized by the Required Lenders.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9019"/>
          </w:cols>
          <w:pgMar w:left="1440" w:top="241" w:right="1440" w:bottom="1440" w:gutter="0" w:footer="0" w:header="0"/>
        </w:sectPr>
      </w:pPr>
    </w:p>
    <w:bookmarkStart w:id="686" w:name="page687"/>
    <w:bookmarkEnd w:id="686"/>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11.04 Expenses; Indemnity; Damage Waiver</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59" w:firstLine="327"/>
        <w:spacing w:after="0" w:line="254" w:lineRule="auto"/>
        <w:tabs>
          <w:tab w:leader="none" w:pos="1080" w:val="left"/>
        </w:tabs>
        <w:numPr>
          <w:ilvl w:val="0"/>
          <w:numId w:val="7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Costs and Expenses</w:t>
      </w:r>
      <w:r>
        <w:rPr>
          <w:rFonts w:ascii="Times New Roman" w:cs="Times New Roman" w:eastAsia="Times New Roman" w:hAnsi="Times New Roman"/>
          <w:sz w:val="14"/>
          <w:szCs w:val="14"/>
          <w:color w:val="auto"/>
        </w:rPr>
        <w:t>. The Borrower shall pay (i) all reasonable and documented out-of-pocket expenses incurred by the Administrative Agent and its Affiliates (including the reasonable and documented fees, charges and disbursements of (A) one primary counsel to the Administrative Agent, and (B) one local counsel to the Lenders retained by the Administrative Agent in each appropriate jurisdiction (which may be a single firm of counsel acting in multiple jurisdictions)), in connection with the syndication of the credit facility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[reserved] and (iii) all reasonable and documented out-of-pocket expenses incurred by the Administrative Agent or any Lender (including the reasonable fees, charges and disbursements of counsel for the Administrative Agent or any Lender), in connection with the enforcement or protection of its rights (A) in connection with this Agreement and the other Loan Documents, including its rights under this Section, or (B) in connection with the Loans made hereunder, including all such reasonable out-of-pocket expenses incurred during any workout, restructuring or negotiations in respect of such Loans.</w:t>
      </w:r>
    </w:p>
    <w:p>
      <w:pPr>
        <w:spacing w:after="0" w:line="60" w:lineRule="exact"/>
        <w:rPr>
          <w:rFonts w:ascii="Times New Roman" w:cs="Times New Roman" w:eastAsia="Times New Roman" w:hAnsi="Times New Roman"/>
          <w:sz w:val="14"/>
          <w:szCs w:val="14"/>
          <w:color w:val="auto"/>
        </w:rPr>
      </w:pPr>
    </w:p>
    <w:p>
      <w:pPr>
        <w:ind w:left="560" w:right="219" w:firstLine="327"/>
        <w:spacing w:after="0" w:line="252" w:lineRule="auto"/>
        <w:tabs>
          <w:tab w:leader="none" w:pos="1087" w:val="left"/>
        </w:tabs>
        <w:numPr>
          <w:ilvl w:val="0"/>
          <w:numId w:val="7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the Borrower</w:t>
      </w:r>
      <w:r>
        <w:rPr>
          <w:rFonts w:ascii="Times New Roman" w:cs="Times New Roman" w:eastAsia="Times New Roman" w:hAnsi="Times New Roman"/>
          <w:sz w:val="14"/>
          <w:szCs w:val="14"/>
          <w:color w:val="auto"/>
        </w:rPr>
        <w:t>. The Borrower shall indemnify the Administrative Agent (and any sub-agent thereof), each Arranger and each Lender, and each Related Party of any of the foregoing Persons (each such Person being called an “</w:t>
      </w:r>
      <w:r>
        <w:rPr>
          <w:rFonts w:ascii="Times New Roman" w:cs="Times New Roman" w:eastAsia="Times New Roman" w:hAnsi="Times New Roman"/>
          <w:sz w:val="14"/>
          <w:szCs w:val="14"/>
          <w:u w:val="single" w:color="auto"/>
          <w:color w:val="auto"/>
        </w:rPr>
        <w:t>Indemnitee</w:t>
      </w:r>
      <w:r>
        <w:rPr>
          <w:rFonts w:ascii="Times New Roman" w:cs="Times New Roman" w:eastAsia="Times New Roman" w:hAnsi="Times New Roman"/>
          <w:sz w:val="14"/>
          <w:szCs w:val="14"/>
          <w:color w:val="auto"/>
        </w:rPr>
        <w:t xml:space="preserve">”) against, and hold each Indemnitee harmless from, any and all losses, claims, penalties, damages, liabilities and related expenses (including the reasonable and documented fees, charges and disbursements of (i) one primary counsel to the Indemnitees, taken as a whole, (ii) one firm of local counsel to the Indemnitees, taken as a whole, in each appropriate jurisdiction (which may include a single firm of outside counsel acting in multiple jurisdictions), and (iii) in the case of any actual or perceived conflict of interest, one additional counsel to each group of similarly situated Indemnitees, taken as a whole) incurred by any Indemnitee or asserted against any Indemnitee by any third party or by the Borrower or any other Loan Party arising out of, in connection with, or as a result of (A) the execution or delivery of this Agreement, any other Loan Document or any agreement or instrument contemplated hereby or thereby, the performance by the parties hereto of their respective obligations hereunder or thereunder (including any Indemnitee’s reliance on any Communication executed using an Electronic Signature, or in the form of an Electronic Record, that such Indemnitee reasonably believes is made by any Responsible Officer of the applicable Loan Party), the consummation of the transactions contemplated hereby or thereby, or, in the case of the Administrative Agent (and any sub-agent thereof) and its Related Parties only, the administration of this Agreement and the other Loan Documents, (B) any Loan or the use or proposed use of the proceeds therefrom, (C) any actual or alleged presence or release of Hazardous Materials on or from any property owned or operated by any Loan Party or any Material Subsidiary, or any Environmental Liability related in any way to any Loan Party or any of its Material Subsidiaries, or (D)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indemnity shall not, as to any Indemnitee, be available to the extent that such losses, claims, damages, liabilities or related expenses (1) are determined by a court of competent jurisdiction by final and nonappealable judgment to have resulted from (x) the gross negligence or willful misconduct of such Indemnitee, or (y) a material breach of the obligations of such Indemnitee under the Loan Documents, or (2) arise out of disputes between and among Indemnitees not involving an act or omission by the Borrower or any of its Subsidiaries or Affiliates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9019"/>
          </w:cols>
          <w:pgMar w:left="1440" w:top="239" w:right="1440" w:bottom="1440" w:gutter="0" w:footer="0" w:header="0"/>
        </w:sectPr>
      </w:pPr>
    </w:p>
    <w:bookmarkStart w:id="687" w:name="page688"/>
    <w:bookmarkEnd w:id="687"/>
    <w:p>
      <w:pPr>
        <w:jc w:val="both"/>
        <w:ind w:left="560" w:right="31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(other than in connection with any proceeding brought against any such Indemnitee solely in its capacity as, or in the fulfillment of its role as, the Administrative Agent, an Arranger or other similar role under the Loan Documents). This </w:t>
      </w:r>
      <w:r>
        <w:rPr>
          <w:rFonts w:ascii="Times New Roman" w:cs="Times New Roman" w:eastAsia="Times New Roman" w:hAnsi="Times New Roman"/>
          <w:sz w:val="14"/>
          <w:szCs w:val="14"/>
          <w:u w:val="single" w:color="auto"/>
          <w:color w:val="auto"/>
        </w:rPr>
        <w:t>Section 11.04(b)</w:t>
      </w:r>
      <w:r>
        <w:rPr>
          <w:rFonts w:ascii="Times New Roman" w:cs="Times New Roman" w:eastAsia="Times New Roman" w:hAnsi="Times New Roman"/>
          <w:sz w:val="14"/>
          <w:szCs w:val="14"/>
          <w:color w:val="auto"/>
        </w:rPr>
        <w:t xml:space="preserve"> shall not apply with respect to Taxes other than any Taxes that represent losses, claims, damages, etc. arising from a non-Tax claim.</w:t>
      </w:r>
    </w:p>
    <w:p>
      <w:pPr>
        <w:spacing w:after="0" w:line="51" w:lineRule="exact"/>
        <w:rPr>
          <w:sz w:val="20"/>
          <w:szCs w:val="20"/>
          <w:color w:val="auto"/>
        </w:rPr>
      </w:pPr>
    </w:p>
    <w:p>
      <w:pPr>
        <w:ind w:left="560" w:right="379" w:firstLine="327"/>
        <w:spacing w:after="0" w:line="255" w:lineRule="auto"/>
        <w:tabs>
          <w:tab w:leader="none" w:pos="1080" w:val="left"/>
        </w:tabs>
        <w:numPr>
          <w:ilvl w:val="0"/>
          <w:numId w:val="7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Reimbursement by Lenders</w:t>
      </w:r>
      <w:r>
        <w:rPr>
          <w:rFonts w:ascii="Times New Roman" w:cs="Times New Roman" w:eastAsia="Times New Roman" w:hAnsi="Times New Roman"/>
          <w:sz w:val="14"/>
          <w:szCs w:val="14"/>
          <w:color w:val="auto"/>
        </w:rPr>
        <w:t xml:space="preserve">. To the extent that the Borrower for any reason fails to indefeasibly pay any amount required under </w:t>
      </w:r>
      <w:r>
        <w:rPr>
          <w:rFonts w:ascii="Times New Roman" w:cs="Times New Roman" w:eastAsia="Times New Roman" w:hAnsi="Times New Roman"/>
          <w:sz w:val="14"/>
          <w:szCs w:val="14"/>
          <w:u w:val="single" w:color="auto"/>
          <w:color w:val="auto"/>
        </w:rPr>
        <w:t>Section 11.04(a)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to be paid by it to the Administrative Agent (or any sub-agent thereof) or any Related Party of any of the foregoing,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are subject to the provisions of </w:t>
      </w:r>
      <w:r>
        <w:rPr>
          <w:rFonts w:ascii="Times New Roman" w:cs="Times New Roman" w:eastAsia="Times New Roman" w:hAnsi="Times New Roman"/>
          <w:sz w:val="14"/>
          <w:szCs w:val="14"/>
          <w:u w:val="single" w:color="auto"/>
          <w:color w:val="auto"/>
        </w:rPr>
        <w:t>Section 2.12(d)</w:t>
      </w:r>
      <w:r>
        <w:rPr>
          <w:rFonts w:ascii="Times New Roman" w:cs="Times New Roman" w:eastAsia="Times New Roman" w:hAnsi="Times New Roman"/>
          <w:sz w:val="14"/>
          <w:szCs w:val="14"/>
          <w:color w:val="auto"/>
        </w:rPr>
        <w:t>.</w:t>
      </w:r>
    </w:p>
    <w:p>
      <w:pPr>
        <w:spacing w:after="0" w:line="61" w:lineRule="exact"/>
        <w:rPr>
          <w:rFonts w:ascii="Times New Roman" w:cs="Times New Roman" w:eastAsia="Times New Roman" w:hAnsi="Times New Roman"/>
          <w:sz w:val="14"/>
          <w:szCs w:val="14"/>
          <w:color w:val="auto"/>
        </w:rPr>
      </w:pPr>
    </w:p>
    <w:p>
      <w:pPr>
        <w:ind w:left="560" w:right="299" w:firstLine="327"/>
        <w:spacing w:after="0" w:line="254" w:lineRule="auto"/>
        <w:tabs>
          <w:tab w:leader="none" w:pos="1087" w:val="left"/>
        </w:tabs>
        <w:numPr>
          <w:ilvl w:val="0"/>
          <w:numId w:val="7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Consequential Damages, Etc.</w:t>
      </w:r>
      <w:r>
        <w:rPr>
          <w:rFonts w:ascii="Times New Roman" w:cs="Times New Roman" w:eastAsia="Times New Roman" w:hAnsi="Times New Roman"/>
          <w:sz w:val="14"/>
          <w:szCs w:val="14"/>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64"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All amounts due under this Section shall be payable not later than ten Business Days after demand therefor.</w:t>
      </w:r>
    </w:p>
    <w:p>
      <w:pPr>
        <w:spacing w:after="0" w:line="91" w:lineRule="exact"/>
        <w:rPr>
          <w:rFonts w:ascii="Times New Roman" w:cs="Times New Roman" w:eastAsia="Times New Roman" w:hAnsi="Times New Roman"/>
          <w:sz w:val="14"/>
          <w:szCs w:val="14"/>
          <w:color w:val="auto"/>
        </w:rPr>
      </w:pPr>
    </w:p>
    <w:p>
      <w:pPr>
        <w:ind w:left="560" w:right="459" w:firstLine="327"/>
        <w:spacing w:after="0" w:line="283" w:lineRule="auto"/>
        <w:tabs>
          <w:tab w:leader="none" w:pos="1064" w:val="left"/>
        </w:tabs>
        <w:numPr>
          <w:ilvl w:val="0"/>
          <w:numId w:val="7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The agreements in this Section shall survive the resignation of the Administrative Agent, the replacement of any Lender, the termination of the Term Facility and the repayment, satisfaction or discharge of all the Obligations under the Loan Documents.</w:t>
      </w:r>
    </w:p>
    <w:p>
      <w:pPr>
        <w:spacing w:after="0" w:line="123"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b w:val="1"/>
          <w:bCs w:val="1"/>
          <w:color w:val="auto"/>
        </w:rPr>
        <w:t>11.05 Payments Set Aside</w:t>
      </w:r>
      <w:r>
        <w:rPr>
          <w:rFonts w:ascii="Times New Roman" w:cs="Times New Roman" w:eastAsia="Times New Roman" w:hAnsi="Times New Roman"/>
          <w:sz w:val="14"/>
          <w:szCs w:val="14"/>
          <w:color w:val="auto"/>
        </w:rPr>
        <w:t>. To the extent that any payment by or on behalf of the Borrower is made to the Administrative Agent or any Lender,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Dollars. The obligations of the Lenders under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the preceding sentence shall survive the payment in full of the Obligations under the Loan Documents and the termination of this Agreement.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9019"/>
          </w:cols>
          <w:pgMar w:left="1440" w:top="241" w:right="1440" w:bottom="1440" w:gutter="0" w:footer="0" w:header="0"/>
        </w:sectPr>
      </w:pPr>
    </w:p>
    <w:bookmarkStart w:id="688" w:name="page689"/>
    <w:bookmarkEnd w:id="688"/>
    <w:p>
      <w:pPr>
        <w:ind w:left="5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11.06 Successors and Assigns</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560" w:right="259" w:firstLine="327"/>
        <w:spacing w:after="0" w:line="254" w:lineRule="auto"/>
        <w:tabs>
          <w:tab w:leader="none" w:pos="1080" w:val="left"/>
        </w:tabs>
        <w:numPr>
          <w:ilvl w:val="0"/>
          <w:numId w:val="7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 and Assigns Generally</w:t>
      </w:r>
      <w:r>
        <w:rPr>
          <w:rFonts w:ascii="Times New Roman" w:cs="Times New Roman" w:eastAsia="Times New Roman" w:hAnsi="Times New Roman"/>
          <w:sz w:val="14"/>
          <w:szCs w:val="14"/>
          <w:color w:val="auto"/>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under any Loan Document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4"/>
          <w:szCs w:val="14"/>
          <w:u w:val="single" w:color="auto"/>
          <w:color w:val="auto"/>
        </w:rPr>
        <w:t>Section 11.06(b)</w:t>
      </w:r>
      <w:r>
        <w:rPr>
          <w:rFonts w:ascii="Times New Roman" w:cs="Times New Roman" w:eastAsia="Times New Roman" w:hAnsi="Times New Roman"/>
          <w:sz w:val="14"/>
          <w:szCs w:val="14"/>
          <w:color w:val="auto"/>
        </w:rPr>
        <w:t xml:space="preserve">, (ii) by way of participation in accordance with the provisions of </w:t>
      </w:r>
      <w:r>
        <w:rPr>
          <w:rFonts w:ascii="Times New Roman" w:cs="Times New Roman" w:eastAsia="Times New Roman" w:hAnsi="Times New Roman"/>
          <w:sz w:val="14"/>
          <w:szCs w:val="14"/>
          <w:u w:val="single" w:color="auto"/>
          <w:color w:val="auto"/>
        </w:rPr>
        <w:t>Section 11.06(d)</w:t>
      </w:r>
      <w:r>
        <w:rPr>
          <w:rFonts w:ascii="Times New Roman" w:cs="Times New Roman" w:eastAsia="Times New Roman" w:hAnsi="Times New Roman"/>
          <w:sz w:val="14"/>
          <w:szCs w:val="14"/>
          <w:color w:val="auto"/>
        </w:rPr>
        <w:t xml:space="preserve">, or (iii) by way of pledge or assignment of a security interest subject to the restrictions of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62" w:lineRule="exact"/>
        <w:rPr>
          <w:rFonts w:ascii="Times New Roman" w:cs="Times New Roman" w:eastAsia="Times New Roman" w:hAnsi="Times New Roman"/>
          <w:sz w:val="14"/>
          <w:szCs w:val="14"/>
          <w:color w:val="auto"/>
        </w:rPr>
      </w:pPr>
    </w:p>
    <w:p>
      <w:pPr>
        <w:ind w:left="560" w:right="279" w:firstLine="327"/>
        <w:spacing w:after="0" w:line="267" w:lineRule="auto"/>
        <w:tabs>
          <w:tab w:leader="none" w:pos="1087" w:val="left"/>
        </w:tabs>
        <w:numPr>
          <w:ilvl w:val="0"/>
          <w:numId w:val="7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Assignments by Lenders</w:t>
      </w:r>
      <w:r>
        <w:rPr>
          <w:rFonts w:ascii="Times New Roman" w:cs="Times New Roman" w:eastAsia="Times New Roman" w:hAnsi="Times New Roman"/>
          <w:sz w:val="14"/>
          <w:szCs w:val="14"/>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assignment shall be subject to the following conditions:</w:t>
      </w:r>
    </w:p>
    <w:p>
      <w:pPr>
        <w:spacing w:after="0" w:line="51" w:lineRule="exact"/>
        <w:rPr>
          <w:rFonts w:ascii="Times New Roman" w:cs="Times New Roman" w:eastAsia="Times New Roman" w:hAnsi="Times New Roman"/>
          <w:sz w:val="14"/>
          <w:szCs w:val="14"/>
          <w:color w:val="auto"/>
        </w:rPr>
      </w:pPr>
    </w:p>
    <w:p>
      <w:pPr>
        <w:ind w:left="1460" w:hanging="161"/>
        <w:spacing w:after="0"/>
        <w:tabs>
          <w:tab w:leader="none" w:pos="1460" w:val="left"/>
        </w:tabs>
        <w:numPr>
          <w:ilvl w:val="1"/>
          <w:numId w:val="7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Minimum Amounts</w:t>
      </w:r>
      <w:r>
        <w:rPr>
          <w:rFonts w:ascii="Times New Roman" w:cs="Times New Roman" w:eastAsia="Times New Roman" w:hAnsi="Times New Roman"/>
          <w:sz w:val="14"/>
          <w:szCs w:val="14"/>
          <w:color w:val="auto"/>
        </w:rPr>
        <w:t>.</w:t>
      </w:r>
    </w:p>
    <w:p>
      <w:pPr>
        <w:spacing w:after="0" w:line="91" w:lineRule="exact"/>
        <w:rPr>
          <w:rFonts w:ascii="Times New Roman" w:cs="Times New Roman" w:eastAsia="Times New Roman" w:hAnsi="Times New Roman"/>
          <w:sz w:val="14"/>
          <w:szCs w:val="14"/>
          <w:color w:val="auto"/>
        </w:rPr>
      </w:pPr>
    </w:p>
    <w:p>
      <w:pPr>
        <w:ind w:left="1340" w:right="259" w:firstLine="289"/>
        <w:spacing w:after="0" w:line="267" w:lineRule="auto"/>
        <w:tabs>
          <w:tab w:leader="none" w:pos="1868" w:val="left"/>
        </w:tabs>
        <w:numPr>
          <w:ilvl w:val="2"/>
          <w:numId w:val="7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 assignment of the entire remaining amount of the assigning Lender’s Commitment and the Loans at the time owing to it under such Term Facility or in the case of an assignment to a Lender, an Affiliate of a Lender or an Approved Fund, no minimum amount need be assigned.</w:t>
      </w:r>
    </w:p>
    <w:p>
      <w:pPr>
        <w:spacing w:after="0" w:line="51" w:lineRule="exact"/>
        <w:rPr>
          <w:rFonts w:ascii="Times New Roman" w:cs="Times New Roman" w:eastAsia="Times New Roman" w:hAnsi="Times New Roman"/>
          <w:sz w:val="14"/>
          <w:szCs w:val="14"/>
          <w:color w:val="auto"/>
        </w:rPr>
      </w:pPr>
    </w:p>
    <w:p>
      <w:pPr>
        <w:ind w:left="1340" w:right="319" w:firstLine="289"/>
        <w:spacing w:after="0" w:line="256" w:lineRule="auto"/>
        <w:tabs>
          <w:tab w:leader="none" w:pos="1860" w:val="left"/>
        </w:tabs>
        <w:numPr>
          <w:ilvl w:val="2"/>
          <w:numId w:val="7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any case not described in </w:t>
      </w:r>
      <w:r>
        <w:rPr>
          <w:rFonts w:ascii="Times New Roman" w:cs="Times New Roman" w:eastAsia="Times New Roman" w:hAnsi="Times New Roman"/>
          <w:sz w:val="14"/>
          <w:szCs w:val="14"/>
          <w:u w:val="single" w:color="auto"/>
          <w:color w:val="auto"/>
        </w:rPr>
        <w:t>clause (b)(i)(A)</w:t>
      </w:r>
      <w:r>
        <w:rPr>
          <w:rFonts w:ascii="Times New Roman" w:cs="Times New Roman" w:eastAsia="Times New Roman" w:hAnsi="Times New Roman"/>
          <w:sz w:val="14"/>
          <w:szCs w:val="14"/>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59" w:lineRule="exact"/>
        <w:rPr>
          <w:rFonts w:ascii="Times New Roman" w:cs="Times New Roman" w:eastAsia="Times New Roman" w:hAnsi="Times New Roman"/>
          <w:sz w:val="14"/>
          <w:szCs w:val="14"/>
          <w:color w:val="auto"/>
        </w:rPr>
      </w:pPr>
    </w:p>
    <w:p>
      <w:pPr>
        <w:ind w:left="980" w:right="619" w:firstLine="319"/>
        <w:spacing w:after="0" w:line="283" w:lineRule="auto"/>
        <w:tabs>
          <w:tab w:leader="none" w:pos="1498" w:val="left"/>
        </w:tabs>
        <w:numPr>
          <w:ilvl w:val="1"/>
          <w:numId w:val="7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Proportionate Amounts</w:t>
      </w:r>
      <w:r>
        <w:rPr>
          <w:rFonts w:ascii="Times New Roman" w:cs="Times New Roman" w:eastAsia="Times New Roman" w:hAnsi="Times New Roman"/>
          <w:sz w:val="14"/>
          <w:szCs w:val="14"/>
          <w:color w:val="auto"/>
        </w:rPr>
        <w:t>. Each partial assignment shall be made as an assignment of a proportionate part of all the assigning Lender’s rights and obligations under this Agreement with respect to the Loans or the Commitment assigned.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9019"/>
          </w:cols>
          <w:pgMar w:left="1440" w:top="239" w:right="1440" w:bottom="1440" w:gutter="0" w:footer="0" w:header="0"/>
        </w:sectPr>
      </w:pPr>
    </w:p>
    <w:bookmarkStart w:id="689" w:name="page690"/>
    <w:bookmarkEnd w:id="689"/>
    <w:p>
      <w:pPr>
        <w:ind w:left="980" w:right="539" w:firstLine="319"/>
        <w:spacing w:after="0" w:line="283" w:lineRule="auto"/>
        <w:tabs>
          <w:tab w:leader="none" w:pos="1537" w:val="left"/>
        </w:tabs>
        <w:numPr>
          <w:ilvl w:val="0"/>
          <w:numId w:val="7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Required Consents</w:t>
      </w:r>
      <w:r>
        <w:rPr>
          <w:rFonts w:ascii="Times New Roman" w:cs="Times New Roman" w:eastAsia="Times New Roman" w:hAnsi="Times New Roman"/>
          <w:sz w:val="14"/>
          <w:szCs w:val="14"/>
          <w:color w:val="auto"/>
        </w:rPr>
        <w:t xml:space="preserve">. No consent shall be required for any assignment except to the extent required by </w:t>
      </w:r>
      <w:r>
        <w:rPr>
          <w:rFonts w:ascii="Times New Roman" w:cs="Times New Roman" w:eastAsia="Times New Roman" w:hAnsi="Times New Roman"/>
          <w:sz w:val="14"/>
          <w:szCs w:val="14"/>
          <w:u w:val="single" w:color="auto"/>
          <w:color w:val="auto"/>
        </w:rPr>
        <w:t>clause (b)(i)(B)</w:t>
      </w:r>
      <w:r>
        <w:rPr>
          <w:rFonts w:ascii="Times New Roman" w:cs="Times New Roman" w:eastAsia="Times New Roman" w:hAnsi="Times New Roman"/>
          <w:sz w:val="14"/>
          <w:szCs w:val="14"/>
          <w:color w:val="auto"/>
        </w:rPr>
        <w:t xml:space="preserve"> of this Section and, in addition:</w:t>
      </w:r>
    </w:p>
    <w:p>
      <w:pPr>
        <w:spacing w:after="0" w:line="40" w:lineRule="exact"/>
        <w:rPr>
          <w:rFonts w:ascii="Times New Roman" w:cs="Times New Roman" w:eastAsia="Times New Roman" w:hAnsi="Times New Roman"/>
          <w:sz w:val="14"/>
          <w:szCs w:val="14"/>
          <w:color w:val="auto"/>
        </w:rPr>
      </w:pPr>
    </w:p>
    <w:p>
      <w:pPr>
        <w:ind w:left="1340" w:right="259" w:firstLine="289"/>
        <w:spacing w:after="0" w:line="287" w:lineRule="auto"/>
        <w:tabs>
          <w:tab w:leader="none" w:pos="1868" w:val="left"/>
        </w:tabs>
        <w:numPr>
          <w:ilvl w:val="1"/>
          <w:numId w:val="7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Borrower shall be deemed to have consented to any such assignment unless it shall object thereto by written notice to the Administrative Agent within five (5) Business Days after having received notice thereof; and</w:t>
      </w:r>
    </w:p>
    <w:p>
      <w:pPr>
        <w:spacing w:after="0" w:line="41" w:lineRule="exact"/>
        <w:rPr>
          <w:rFonts w:ascii="Times New Roman" w:cs="Times New Roman" w:eastAsia="Times New Roman" w:hAnsi="Times New Roman"/>
          <w:sz w:val="13"/>
          <w:szCs w:val="13"/>
          <w:color w:val="auto"/>
        </w:rPr>
      </w:pPr>
    </w:p>
    <w:p>
      <w:pPr>
        <w:ind w:left="1340" w:right="459" w:firstLine="289"/>
        <w:spacing w:after="0" w:line="283" w:lineRule="auto"/>
        <w:tabs>
          <w:tab w:leader="none" w:pos="1860" w:val="left"/>
        </w:tabs>
        <w:numPr>
          <w:ilvl w:val="1"/>
          <w:numId w:val="7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Administrative Agent (such consent not to be unreasonably withheld or delayed) shall be required for assignments if such assignment is to a Person that is not a Lender, an Affiliate of such Lender or an Approved Fund.</w:t>
      </w:r>
    </w:p>
    <w:p>
      <w:pPr>
        <w:spacing w:after="0" w:line="40" w:lineRule="exact"/>
        <w:rPr>
          <w:rFonts w:ascii="Times New Roman" w:cs="Times New Roman" w:eastAsia="Times New Roman" w:hAnsi="Times New Roman"/>
          <w:sz w:val="14"/>
          <w:szCs w:val="14"/>
          <w:color w:val="auto"/>
        </w:rPr>
      </w:pPr>
    </w:p>
    <w:p>
      <w:pPr>
        <w:ind w:left="980" w:right="239" w:firstLine="319"/>
        <w:spacing w:after="0" w:line="261" w:lineRule="auto"/>
        <w:tabs>
          <w:tab w:leader="none" w:pos="1529" w:val="left"/>
        </w:tabs>
        <w:numPr>
          <w:ilvl w:val="0"/>
          <w:numId w:val="7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 and Assumption</w:t>
      </w:r>
      <w:r>
        <w:rPr>
          <w:rFonts w:ascii="Times New Roman" w:cs="Times New Roman" w:eastAsia="Times New Roman" w:hAnsi="Times New Roman"/>
          <w:sz w:val="14"/>
          <w:szCs w:val="14"/>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56" w:lineRule="exact"/>
        <w:rPr>
          <w:rFonts w:ascii="Times New Roman" w:cs="Times New Roman" w:eastAsia="Times New Roman" w:hAnsi="Times New Roman"/>
          <w:sz w:val="14"/>
          <w:szCs w:val="14"/>
          <w:color w:val="auto"/>
        </w:rPr>
      </w:pPr>
    </w:p>
    <w:p>
      <w:pPr>
        <w:ind w:left="980" w:right="379" w:firstLine="319"/>
        <w:spacing w:after="0" w:line="261" w:lineRule="auto"/>
        <w:tabs>
          <w:tab w:leader="none" w:pos="1490" w:val="left"/>
        </w:tabs>
        <w:numPr>
          <w:ilvl w:val="0"/>
          <w:numId w:val="7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Assignment to Certain Persons</w:t>
      </w:r>
      <w:r>
        <w:rPr>
          <w:rFonts w:ascii="Times New Roman" w:cs="Times New Roman" w:eastAsia="Times New Roman" w:hAnsi="Times New Roman"/>
          <w:sz w:val="14"/>
          <w:szCs w:val="14"/>
          <w:color w:val="auto"/>
        </w:rPr>
        <w:t xml:space="preserve">. No such assignment shall be made (A) to the Borrower or the Borrower’s Affiliates or Subsidiaries, or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or (C) to a natural person (or a holding company, investment vehicle or trust for, or owned and operated for the primary benefit of one or more natural persons).</w:t>
      </w:r>
    </w:p>
    <w:p>
      <w:pPr>
        <w:spacing w:after="0" w:line="56" w:lineRule="exact"/>
        <w:rPr>
          <w:rFonts w:ascii="Times New Roman" w:cs="Times New Roman" w:eastAsia="Times New Roman" w:hAnsi="Times New Roman"/>
          <w:sz w:val="14"/>
          <w:szCs w:val="14"/>
          <w:color w:val="auto"/>
        </w:rPr>
      </w:pPr>
    </w:p>
    <w:p>
      <w:pPr>
        <w:ind w:left="980" w:right="239" w:firstLine="319"/>
        <w:spacing w:after="0" w:line="254" w:lineRule="auto"/>
        <w:tabs>
          <w:tab w:leader="none" w:pos="1529" w:val="left"/>
        </w:tabs>
        <w:numPr>
          <w:ilvl w:val="0"/>
          <w:numId w:val="7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Additional Payments</w:t>
      </w:r>
      <w:r>
        <w:rPr>
          <w:rFonts w:ascii="Times New Roman" w:cs="Times New Roman" w:eastAsia="Times New Roman" w:hAnsi="Times New Roman"/>
          <w:sz w:val="14"/>
          <w:szCs w:val="14"/>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60" w:lineRule="exact"/>
        <w:rPr>
          <w:sz w:val="20"/>
          <w:szCs w:val="20"/>
          <w:color w:val="auto"/>
        </w:rPr>
      </w:pPr>
    </w:p>
    <w:p>
      <w:pPr>
        <w:ind w:left="560" w:right="239"/>
        <w:spacing w:after="0" w:line="261" w:lineRule="auto"/>
        <w:rPr>
          <w:sz w:val="20"/>
          <w:szCs w:val="20"/>
          <w:color w:val="auto"/>
        </w:rPr>
      </w:pPr>
      <w:r>
        <w:rPr>
          <w:rFonts w:ascii="Times New Roman" w:cs="Times New Roman" w:eastAsia="Times New Roman" w:hAnsi="Times New Roman"/>
          <w:sz w:val="14"/>
          <w:szCs w:val="14"/>
          <w:color w:val="auto"/>
        </w:rPr>
        <w:t xml:space="preserve">Subject to acceptance and recording thereof by the Administrative Agent pursuant to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9019"/>
          </w:cols>
          <w:pgMar w:left="1440" w:top="241" w:right="1440" w:bottom="1440" w:gutter="0" w:footer="0" w:header="0"/>
        </w:sectPr>
      </w:pPr>
    </w:p>
    <w:bookmarkStart w:id="690" w:name="page691"/>
    <w:bookmarkEnd w:id="690"/>
    <w:p>
      <w:pPr>
        <w:ind w:left="560" w:right="339"/>
        <w:spacing w:after="0" w:line="27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3"/>
          <w:szCs w:val="13"/>
          <w:u w:val="single" w:color="auto"/>
          <w:color w:val="auto"/>
        </w:rPr>
        <w:t>Sections 3.01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3.04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3.05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11.04</w:t>
      </w:r>
      <w:r>
        <w:rPr>
          <w:rFonts w:ascii="Times New Roman" w:cs="Times New Roman" w:eastAsia="Times New Roman" w:hAnsi="Times New Roman"/>
          <w:sz w:val="13"/>
          <w:szCs w:val="13"/>
          <w:color w:val="auto"/>
        </w:rPr>
        <w:t xml:space="preserve"> with respect to facts and circumstances occurring prior to the effective date of such assignment);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Times New Roman" w:cs="Times New Roman" w:eastAsia="Times New Roman" w:hAnsi="Times New Roman"/>
          <w:sz w:val="13"/>
          <w:szCs w:val="13"/>
          <w:u w:val="single" w:color="auto"/>
          <w:color w:val="auto"/>
        </w:rPr>
        <w:t>Section 11.06(d)</w:t>
      </w:r>
      <w:r>
        <w:rPr>
          <w:rFonts w:ascii="Times New Roman" w:cs="Times New Roman" w:eastAsia="Times New Roman" w:hAnsi="Times New Roman"/>
          <w:sz w:val="13"/>
          <w:szCs w:val="13"/>
          <w:color w:val="auto"/>
        </w:rPr>
        <w:t>.</w:t>
      </w:r>
    </w:p>
    <w:p>
      <w:pPr>
        <w:spacing w:after="0" w:line="49" w:lineRule="exact"/>
        <w:rPr>
          <w:sz w:val="20"/>
          <w:szCs w:val="20"/>
          <w:color w:val="auto"/>
        </w:rPr>
      </w:pPr>
    </w:p>
    <w:p>
      <w:pPr>
        <w:ind w:left="560" w:right="419" w:firstLine="327"/>
        <w:spacing w:after="0" w:line="254" w:lineRule="auto"/>
        <w:tabs>
          <w:tab w:leader="none" w:pos="1080" w:val="left"/>
        </w:tabs>
        <w:numPr>
          <w:ilvl w:val="0"/>
          <w:numId w:val="7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 of, and principal amounts (and stated interest) of the Loans owing to, each Lender pursuant to the terms hereof from time to time (the “</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64" w:lineRule="exact"/>
        <w:rPr>
          <w:rFonts w:ascii="Times New Roman" w:cs="Times New Roman" w:eastAsia="Times New Roman" w:hAnsi="Times New Roman"/>
          <w:sz w:val="14"/>
          <w:szCs w:val="14"/>
          <w:color w:val="auto"/>
        </w:rPr>
      </w:pPr>
    </w:p>
    <w:p>
      <w:pPr>
        <w:ind w:left="560" w:right="279" w:firstLine="327"/>
        <w:spacing w:after="0" w:line="254" w:lineRule="auto"/>
        <w:tabs>
          <w:tab w:leader="none" w:pos="1087" w:val="left"/>
        </w:tabs>
        <w:numPr>
          <w:ilvl w:val="0"/>
          <w:numId w:val="7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Participations</w:t>
      </w:r>
      <w:r>
        <w:rPr>
          <w:rFonts w:ascii="Times New Roman" w:cs="Times New Roman" w:eastAsia="Times New Roman" w:hAnsi="Times New Roman"/>
          <w:sz w:val="14"/>
          <w:szCs w:val="14"/>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4"/>
          <w:szCs w:val="14"/>
          <w:u w:val="single" w:color="auto"/>
          <w:color w:val="auto"/>
        </w:rPr>
        <w:t>Section 11.04(c)</w:t>
      </w:r>
      <w:r>
        <w:rPr>
          <w:rFonts w:ascii="Times New Roman" w:cs="Times New Roman" w:eastAsia="Times New Roman" w:hAnsi="Times New Roman"/>
          <w:sz w:val="14"/>
          <w:szCs w:val="14"/>
          <w:color w:val="auto"/>
        </w:rPr>
        <w:t xml:space="preserve"> without regard to the existence of any participations.</w:t>
      </w:r>
    </w:p>
    <w:p>
      <w:pPr>
        <w:spacing w:after="0" w:line="64" w:lineRule="exact"/>
        <w:rPr>
          <w:sz w:val="20"/>
          <w:szCs w:val="20"/>
          <w:color w:val="auto"/>
        </w:rPr>
      </w:pPr>
    </w:p>
    <w:p>
      <w:pPr>
        <w:ind w:left="560" w:right="359" w:firstLine="329"/>
        <w:spacing w:after="0" w:line="255" w:lineRule="auto"/>
        <w:rPr>
          <w:sz w:val="20"/>
          <w:szCs w:val="20"/>
          <w:color w:val="auto"/>
        </w:rPr>
      </w:pPr>
      <w:r>
        <w:rPr>
          <w:rFonts w:ascii="Times New Roman" w:cs="Times New Roman" w:eastAsia="Times New Roman" w:hAnsi="Times New Roman"/>
          <w:sz w:val="14"/>
          <w:szCs w:val="14"/>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4"/>
          <w:szCs w:val="14"/>
          <w:u w:val="single" w:color="auto"/>
          <w:color w:val="auto"/>
        </w:rPr>
        <w:t>Section 11.01</w:t>
      </w:r>
      <w:r>
        <w:rPr>
          <w:rFonts w:ascii="Times New Roman" w:cs="Times New Roman" w:eastAsia="Times New Roman" w:hAnsi="Times New Roman"/>
          <w:sz w:val="14"/>
          <w:szCs w:val="14"/>
          <w:color w:val="auto"/>
        </w:rPr>
        <w:t xml:space="preserve"> that affects such Participant. The Borrower agrees that each Participant shall be entitled to the benefits of </w:t>
      </w:r>
      <w:r>
        <w:rPr>
          <w:rFonts w:ascii="Times New Roman" w:cs="Times New Roman" w:eastAsia="Times New Roman" w:hAnsi="Times New Roman"/>
          <w:sz w:val="14"/>
          <w:szCs w:val="14"/>
          <w:u w:val="single" w:color="auto"/>
          <w:color w:val="auto"/>
        </w:rPr>
        <w:t>Sections 3.01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3.05</w:t>
      </w:r>
      <w:r>
        <w:rPr>
          <w:rFonts w:ascii="Times New Roman" w:cs="Times New Roman" w:eastAsia="Times New Roman" w:hAnsi="Times New Roman"/>
          <w:sz w:val="14"/>
          <w:szCs w:val="14"/>
          <w:color w:val="auto"/>
        </w:rPr>
        <w:t xml:space="preserve"> (subject to the requirements and limitations therein, including the requirements under </w:t>
      </w:r>
      <w:r>
        <w:rPr>
          <w:rFonts w:ascii="Times New Roman" w:cs="Times New Roman" w:eastAsia="Times New Roman" w:hAnsi="Times New Roman"/>
          <w:sz w:val="14"/>
          <w:szCs w:val="14"/>
          <w:u w:val="single" w:color="auto"/>
          <w:color w:val="auto"/>
        </w:rPr>
        <w:t>Section 3.01(e)</w:t>
      </w:r>
      <w:r>
        <w:rPr>
          <w:rFonts w:ascii="Times New Roman" w:cs="Times New Roman" w:eastAsia="Times New Roman" w:hAnsi="Times New Roman"/>
          <w:sz w:val="14"/>
          <w:szCs w:val="14"/>
          <w:color w:val="auto"/>
        </w:rPr>
        <w:t xml:space="preserve"> (it being understood that the documentation required under </w:t>
      </w:r>
      <w:r>
        <w:rPr>
          <w:rFonts w:ascii="Times New Roman" w:cs="Times New Roman" w:eastAsia="Times New Roman" w:hAnsi="Times New Roman"/>
          <w:sz w:val="14"/>
          <w:szCs w:val="14"/>
          <w:u w:val="single" w:color="auto"/>
          <w:color w:val="auto"/>
        </w:rPr>
        <w:t>Section 3.01(e)</w:t>
      </w:r>
      <w:r>
        <w:rPr>
          <w:rFonts w:ascii="Times New Roman" w:cs="Times New Roman" w:eastAsia="Times New Roman" w:hAnsi="Times New Roman"/>
          <w:sz w:val="14"/>
          <w:szCs w:val="14"/>
          <w:color w:val="auto"/>
        </w:rPr>
        <w:t xml:space="preserve"> shall be delivered to the Lender that sells the participation)) to the same extent as if it were a Lender and had acquired its interest by assignment pursuant to paragraph (b) of this Section;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Participant (A) agrees to be subject to</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9019"/>
          </w:cols>
          <w:pgMar w:left="1440" w:top="242" w:right="1440" w:bottom="1440" w:gutter="0" w:footer="0" w:header="0"/>
        </w:sectPr>
      </w:pPr>
    </w:p>
    <w:bookmarkStart w:id="691" w:name="page692"/>
    <w:bookmarkEnd w:id="691"/>
    <w:p>
      <w:pPr>
        <w:ind w:left="560" w:right="2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the provisions of </w:t>
      </w:r>
      <w:r>
        <w:rPr>
          <w:rFonts w:ascii="Times New Roman" w:cs="Times New Roman" w:eastAsia="Times New Roman" w:hAnsi="Times New Roman"/>
          <w:sz w:val="14"/>
          <w:szCs w:val="14"/>
          <w:u w:val="single" w:color="auto"/>
          <w:color w:val="auto"/>
        </w:rPr>
        <w:t>Sections 3.06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11.13</w:t>
      </w:r>
      <w:r>
        <w:rPr>
          <w:rFonts w:ascii="Times New Roman" w:cs="Times New Roman" w:eastAsia="Times New Roman" w:hAnsi="Times New Roman"/>
          <w:sz w:val="14"/>
          <w:szCs w:val="14"/>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4"/>
          <w:szCs w:val="14"/>
          <w:u w:val="single" w:color="auto"/>
          <w:color w:val="auto"/>
        </w:rPr>
        <w:t>Sections 3.01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3.04</w:t>
      </w:r>
      <w:r>
        <w:rPr>
          <w:rFonts w:ascii="Times New Roman" w:cs="Times New Roman" w:eastAsia="Times New Roman" w:hAnsi="Times New Roman"/>
          <w:sz w:val="14"/>
          <w:szCs w:val="14"/>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4"/>
          <w:szCs w:val="14"/>
          <w:u w:val="single" w:color="auto"/>
          <w:color w:val="auto"/>
        </w:rPr>
        <w:t>Section 11.08</w:t>
      </w:r>
      <w:r>
        <w:rPr>
          <w:rFonts w:ascii="Times New Roman" w:cs="Times New Roman" w:eastAsia="Times New Roman" w:hAnsi="Times New Roman"/>
          <w:sz w:val="14"/>
          <w:szCs w:val="14"/>
          <w:color w:val="auto"/>
        </w:rPr>
        <w:t xml:space="preserve"> as though it were a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Participant agrees to be subject to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4"/>
          <w:szCs w:val="14"/>
          <w:u w:val="single" w:color="auto"/>
          <w:color w:val="auto"/>
        </w:rPr>
        <w:t>Participant Register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71" w:lineRule="exact"/>
        <w:rPr>
          <w:sz w:val="20"/>
          <w:szCs w:val="20"/>
          <w:color w:val="auto"/>
        </w:rPr>
      </w:pPr>
    </w:p>
    <w:p>
      <w:pPr>
        <w:ind w:left="560" w:right="339" w:firstLine="327"/>
        <w:spacing w:after="0" w:line="261" w:lineRule="auto"/>
        <w:tabs>
          <w:tab w:leader="none" w:pos="1080" w:val="left"/>
        </w:tabs>
        <w:numPr>
          <w:ilvl w:val="0"/>
          <w:numId w:val="7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Pledges</w:t>
      </w:r>
      <w:r>
        <w:rPr>
          <w:rFonts w:ascii="Times New Roman" w:cs="Times New Roman" w:eastAsia="Times New Roman" w:hAnsi="Times New Roman"/>
          <w:sz w:val="14"/>
          <w:szCs w:val="14"/>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pledge or assignment shall release such Lender from any of its obligations hereunder or substitute any such pledgee or assignee for such Lender as a party hereto.</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11.07 Treatment of Certain Information; Confidentiality</w:t>
      </w:r>
      <w:r>
        <w:rPr>
          <w:rFonts w:ascii="Times New Roman" w:cs="Times New Roman" w:eastAsia="Times New Roman" w:hAnsi="Times New Roman"/>
          <w:sz w:val="14"/>
          <w:szCs w:val="14"/>
          <w:color w:val="auto"/>
        </w:rPr>
        <w:t>. Each of the Administrative Agent and each Lender agrees to maintain the</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confidentiality of the Information (as defined below), except that Information may be disclosed (a) to its Affiliates, its auditors and to its and its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Affiliates’ respective partners, directors, officers, employees, agents, trustees, advisors and representatives (it being understood that the Persons to whom</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such disclosure is made will be informed of the confidential nature of such Information and instructed to keep such Information confidential), (b) to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extent requested by any regulatory authority purporting to have jurisdiction over it (including any self-regulatory authority, such as the National</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Association of Insurance Commissioners), (c) to the extent required by applicable laws or regulations or by any subpoena or similar legal process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disclosing party shall use commercially reasonable efforts to notify the Borrower prior to the disclosure thereof unless prohibited by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applicable Law), (d) to any other party hereto, (e) in connection with the exercise of any remedies hereunder or under any other Loan Document or any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action or proceeding relating to this Agreement or any other Loan Document or the enforcement of rights hereunder or thereunder, (f) subject to an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agreement containing provisions substantially the same as those of this Section, to (i) any assignee of or Participant in, or any prospective assignee of or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Participant in, any of its rights or obligations under this or (ii) any actual or prospective counterparty (or its advisors) to any swap or derivative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transaction relating to the Borrower and its obligations, (g) with the consent of the Borrower, (h) to the extent such Information (i) becomes publicly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available other than as a result of a breach of this Section, (ii) becomes available to the Administrative Agent, any Lender or any of their respective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Affiliates on a nonconfidential basis from a source other than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9019"/>
          </w:cols>
          <w:pgMar w:left="1440" w:top="241" w:right="1440" w:bottom="1440" w:gutter="0" w:footer="0" w:header="0"/>
        </w:sectPr>
      </w:pPr>
    </w:p>
    <w:bookmarkStart w:id="692" w:name="page693"/>
    <w:bookmarkEnd w:id="692"/>
    <w:p>
      <w:pPr>
        <w:ind w:left="220" w:right="2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 xml:space="preserve">the Borrower, or (iii) is independently discovered or developed by a party hereto without utilizing any Information received from the Borrower or violating the terms of this Section, and (i) on a confidential basis to (i) any rating agency in connection with rating the Borrower or the credit facility provided hereunder, or (ii) the CUSIP Service Bureau or any similar agency in connection with the application, issuance, publishing and monitoring of CUSIP numbers or other market identifiers with respect to the credit facility provided hereunder. In addition, the Administrative Agent and the Lenders may disclose the existence of this Agreement and information about this Agreement to (A) market data collectors and similar service providers to the lending industry to the extent customary for purposes of inclusion in league table measurements or other similar reporting, and (B) service providers to the Administrative Agent and the Lenders in connection with the administration of this Agreement, the other Loan Documents and the Commitments;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the foregoing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to the extent any Information is disclosed to such service providers, such service providers will be informed of the confidential nature of such Information and instructed to keep such Information confidential.</w:t>
      </w:r>
    </w:p>
    <w:p>
      <w:pPr>
        <w:spacing w:after="0" w:line="149" w:lineRule="exact"/>
        <w:rPr>
          <w:sz w:val="20"/>
          <w:szCs w:val="20"/>
          <w:color w:val="auto"/>
        </w:rPr>
      </w:pPr>
    </w:p>
    <w:p>
      <w:pPr>
        <w:ind w:left="220" w:right="379" w:firstLine="343"/>
        <w:spacing w:after="0" w:line="258" w:lineRule="auto"/>
        <w:rPr>
          <w:sz w:val="20"/>
          <w:szCs w:val="20"/>
          <w:color w:val="auto"/>
        </w:rPr>
      </w:pPr>
      <w:r>
        <w:rPr>
          <w:rFonts w:ascii="Times New Roman" w:cs="Times New Roman" w:eastAsia="Times New Roman" w:hAnsi="Times New Roman"/>
          <w:sz w:val="14"/>
          <w:szCs w:val="14"/>
          <w:color w:val="auto"/>
        </w:rPr>
        <w:t>For purposes of this Section,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means all information received from any Loan Party or any Subsidiary relating to any Loan Party or any Subsidiary or any of their respective businesses, other than any such information that is available to the Administrative Agent or any Lender on a nonconfidential basis prior to disclosure by any Loan Party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4" w:lineRule="exact"/>
        <w:rPr>
          <w:sz w:val="20"/>
          <w:szCs w:val="20"/>
          <w:color w:val="auto"/>
        </w:rPr>
      </w:pPr>
    </w:p>
    <w:p>
      <w:pPr>
        <w:ind w:left="220" w:right="259" w:firstLine="343"/>
        <w:spacing w:after="0" w:line="296" w:lineRule="auto"/>
        <w:rPr>
          <w:sz w:val="20"/>
          <w:szCs w:val="20"/>
          <w:color w:val="auto"/>
        </w:rPr>
      </w:pPr>
      <w:r>
        <w:rPr>
          <w:rFonts w:ascii="Times New Roman" w:cs="Times New Roman" w:eastAsia="Times New Roman" w:hAnsi="Times New Roman"/>
          <w:sz w:val="13"/>
          <w:szCs w:val="13"/>
          <w:color w:val="auto"/>
        </w:rPr>
        <w:t>Each of the Administrative Agent and the Lenders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20" w:lineRule="exact"/>
        <w:rPr>
          <w:sz w:val="20"/>
          <w:szCs w:val="20"/>
          <w:color w:val="auto"/>
        </w:rPr>
      </w:pPr>
    </w:p>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23" w:lineRule="exact"/>
        <w:rPr>
          <w:sz w:val="20"/>
          <w:szCs w:val="20"/>
          <w:color w:val="auto"/>
        </w:rPr>
      </w:pPr>
    </w:p>
    <w:p>
      <w:pPr>
        <w:ind w:left="220" w:right="23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t>11.08 Right of Setoff</w:t>
      </w:r>
      <w:r>
        <w:rPr>
          <w:rFonts w:ascii="Times New Roman" w:cs="Times New Roman" w:eastAsia="Times New Roman" w:hAnsi="Times New Roman"/>
          <w:sz w:val="14"/>
          <w:szCs w:val="14"/>
          <w:color w:val="auto"/>
        </w:rPr>
        <w:t>. If an Event of Default shall have occurred and be continuing, each Lender and each of their respective Affiliates is hereby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of such Lender different from the branch or office holding such deposit or obligated on such indebtedness;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14"/>
          <w:szCs w:val="14"/>
          <w:u w:val="single" w:color="auto"/>
          <w:color w:val="auto"/>
        </w:rPr>
        <w:t>Section 2.16</w:t>
      </w:r>
      <w:r>
        <w:rPr>
          <w:rFonts w:ascii="Times New Roman" w:cs="Times New Roman" w:eastAsia="Times New Roman" w:hAnsi="Times New Roman"/>
          <w:sz w:val="14"/>
          <w:szCs w:val="14"/>
          <w:color w:val="auto"/>
        </w:rPr>
        <w:t xml:space="preserve"> and, pending such payment, shall be segregated by such Defaulting Lender from its other funds and deemed held in trust for the benefit of the Administrative Agent and the Lenders, and (b)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failure to give such notice shall not affect the validity of such setoff and application.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9019"/>
          </w:cols>
          <w:pgMar w:left="1440" w:top="241" w:right="1440" w:bottom="1440" w:gutter="0" w:footer="0" w:header="0"/>
        </w:sectPr>
      </w:pPr>
    </w:p>
    <w:bookmarkStart w:id="693" w:name="page694"/>
    <w:bookmarkEnd w:id="693"/>
    <w:p>
      <w:pPr>
        <w:ind w:left="220" w:right="27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11.09 Interest Rate Limitation</w:t>
      </w:r>
      <w:r>
        <w:rPr>
          <w:rFonts w:ascii="Times New Roman" w:cs="Times New Roman" w:eastAsia="Times New Roman" w:hAnsi="Times New Roman"/>
          <w:sz w:val="14"/>
          <w:szCs w:val="14"/>
          <w:color w:val="auto"/>
        </w:rPr>
        <w:t>. Notwithstanding anything to the contrary contained in any Loan Document, the interest paid or agreed to be paid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under the Loan Documents shall not exceed the maximum rate of non-usurious interest permitted by applicable Law (the “</w:t>
      </w:r>
      <w:r>
        <w:rPr>
          <w:rFonts w:ascii="Times New Roman" w:cs="Times New Roman" w:eastAsia="Times New Roman" w:hAnsi="Times New Roman"/>
          <w:sz w:val="14"/>
          <w:szCs w:val="14"/>
          <w:u w:val="single" w:color="auto"/>
          <w:color w:val="auto"/>
        </w:rPr>
        <w:t>Maximum Rate</w:t>
      </w:r>
      <w:r>
        <w:rPr>
          <w:rFonts w:ascii="Times New Roman" w:cs="Times New Roman" w:eastAsia="Times New Roman" w:hAnsi="Times New Roman"/>
          <w:sz w:val="14"/>
          <w:szCs w:val="14"/>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w:t>
      </w:r>
    </w:p>
    <w:p>
      <w:pPr>
        <w:spacing w:after="0" w:line="2" w:lineRule="exact"/>
        <w:rPr>
          <w:sz w:val="20"/>
          <w:szCs w:val="20"/>
          <w:color w:val="auto"/>
        </w:rPr>
      </w:pPr>
    </w:p>
    <w:p>
      <w:pPr>
        <w:ind w:left="220" w:right="319" w:hanging="5"/>
        <w:spacing w:after="0" w:line="256" w:lineRule="auto"/>
        <w:tabs>
          <w:tab w:leader="none" w:pos="410" w:val="left"/>
        </w:tabs>
        <w:numPr>
          <w:ilvl w:val="0"/>
          <w:numId w:val="7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41" w:lineRule="exact"/>
        <w:rPr>
          <w:sz w:val="20"/>
          <w:szCs w:val="20"/>
          <w:color w:val="auto"/>
        </w:rPr>
      </w:pPr>
    </w:p>
    <w:p>
      <w:pPr>
        <w:ind w:left="220" w:right="25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11.10 Integration; Effectiveness</w:t>
      </w:r>
      <w:r>
        <w:rPr>
          <w:rFonts w:ascii="Times New Roman" w:cs="Times New Roman" w:eastAsia="Times New Roman" w:hAnsi="Times New Roman"/>
          <w:sz w:val="14"/>
          <w:szCs w:val="14"/>
          <w:color w:val="auto"/>
        </w:rPr>
        <w:t>. This Agreement, the other Loan Documents, and any separate letter agreements with respect to fees payable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43" w:lineRule="exact"/>
        <w:rPr>
          <w:sz w:val="20"/>
          <w:szCs w:val="20"/>
          <w:color w:val="auto"/>
        </w:rPr>
      </w:pPr>
    </w:p>
    <w:p>
      <w:pPr>
        <w:ind w:left="220" w:right="23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11.11 Survival of Representations and Warranties</w:t>
      </w:r>
      <w:r>
        <w:rPr>
          <w:rFonts w:ascii="Times New Roman" w:cs="Times New Roman" w:eastAsia="Times New Roman" w:hAnsi="Times New Roman"/>
          <w:sz w:val="14"/>
          <w:szCs w:val="14"/>
          <w:color w:val="auto"/>
        </w:rPr>
        <w:t>. All representations and warranties made hereunder and in any other Loan Document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43" w:lineRule="exact"/>
        <w:rPr>
          <w:sz w:val="20"/>
          <w:szCs w:val="20"/>
          <w:color w:val="auto"/>
        </w:rPr>
      </w:pPr>
    </w:p>
    <w:p>
      <w:pPr>
        <w:ind w:left="220" w:right="259" w:firstLine="343"/>
        <w:spacing w:after="0" w:line="283" w:lineRule="auto"/>
        <w:rPr>
          <w:sz w:val="20"/>
          <w:szCs w:val="20"/>
          <w:color w:val="auto"/>
        </w:rPr>
      </w:pPr>
      <w:r>
        <w:rPr>
          <w:rFonts w:ascii="Times New Roman" w:cs="Times New Roman" w:eastAsia="Times New Roman" w:hAnsi="Times New Roman"/>
          <w:sz w:val="13"/>
          <w:szCs w:val="13"/>
          <w:b w:val="1"/>
          <w:bCs w:val="1"/>
          <w:color w:val="auto"/>
        </w:rPr>
        <w:t>11.12 Severability</w:t>
      </w:r>
      <w:r>
        <w:rPr>
          <w:rFonts w:ascii="Times New Roman" w:cs="Times New Roman" w:eastAsia="Times New Roman" w:hAnsi="Times New Roman"/>
          <w:sz w:val="13"/>
          <w:szCs w:val="13"/>
          <w:color w:val="auto"/>
        </w:rPr>
        <w:t>. If any provision of this Agreement or the other Loan Documents is held to be illegal, invalid or unenforceable, (a) the legality,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validity and enforceability of the remaining provisions of this Agreement and the other Loan Documents shall not be affected or impaired thereby and</w:t>
      </w:r>
    </w:p>
    <w:p>
      <w:pPr>
        <w:spacing w:after="0" w:line="1" w:lineRule="exact"/>
        <w:rPr>
          <w:sz w:val="20"/>
          <w:szCs w:val="20"/>
          <w:color w:val="auto"/>
        </w:rPr>
      </w:pPr>
    </w:p>
    <w:p>
      <w:pPr>
        <w:ind w:left="220" w:right="379" w:hanging="5"/>
        <w:spacing w:after="0" w:line="252" w:lineRule="auto"/>
        <w:tabs>
          <w:tab w:leader="none" w:pos="418" w:val="left"/>
        </w:tabs>
        <w:numPr>
          <w:ilvl w:val="0"/>
          <w:numId w:val="7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4"/>
          <w:szCs w:val="14"/>
          <w:u w:val="single" w:color="auto"/>
          <w:color w:val="auto"/>
        </w:rPr>
        <w:t>Section 11.12</w:t>
      </w:r>
      <w:r>
        <w:rPr>
          <w:rFonts w:ascii="Times New Roman" w:cs="Times New Roman" w:eastAsia="Times New Roman" w:hAnsi="Times New Roman"/>
          <w:sz w:val="14"/>
          <w:szCs w:val="14"/>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47" w:lineRule="exact"/>
        <w:rPr>
          <w:sz w:val="20"/>
          <w:szCs w:val="20"/>
          <w:color w:val="auto"/>
        </w:rPr>
      </w:pPr>
    </w:p>
    <w:p>
      <w:pPr>
        <w:ind w:left="220" w:right="27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11.13 Replacement of Lenders</w:t>
      </w:r>
      <w:r>
        <w:rPr>
          <w:rFonts w:ascii="Times New Roman" w:cs="Times New Roman" w:eastAsia="Times New Roman" w:hAnsi="Times New Roman"/>
          <w:sz w:val="14"/>
          <w:szCs w:val="14"/>
          <w:color w:val="auto"/>
        </w:rPr>
        <w:t>. If the Borrower is entitled to replace a Lender pursuant to the provisions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3.06(b)</w:t>
      </w:r>
      <w:r>
        <w:rPr>
          <w:rFonts w:ascii="Times New Roman" w:cs="Times New Roman" w:eastAsia="Times New Roman" w:hAnsi="Times New Roman"/>
          <w:sz w:val="14"/>
          <w:szCs w:val="14"/>
          <w:color w:val="auto"/>
        </w:rPr>
        <w:t>, or if any Lender is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4"/>
          <w:szCs w:val="14"/>
          <w:u w:val="single" w:color="auto"/>
          <w:color w:val="auto"/>
        </w:rPr>
        <w:t>Section 11.06</w:t>
      </w:r>
      <w:r>
        <w:rPr>
          <w:rFonts w:ascii="Times New Roman" w:cs="Times New Roman" w:eastAsia="Times New Roman" w:hAnsi="Times New Roman"/>
          <w:sz w:val="14"/>
          <w:szCs w:val="14"/>
          <w:color w:val="auto"/>
        </w:rPr>
        <w:t xml:space="preserve">), all of its interests, rights (other than its rights to payments pursuant to </w:t>
      </w:r>
      <w:r>
        <w:rPr>
          <w:rFonts w:ascii="Times New Roman" w:cs="Times New Roman" w:eastAsia="Times New Roman" w:hAnsi="Times New Roman"/>
          <w:sz w:val="14"/>
          <w:szCs w:val="14"/>
          <w:u w:val="single" w:color="auto"/>
          <w:color w:val="auto"/>
        </w:rPr>
        <w:t>Sections 3.01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3.04</w:t>
      </w:r>
      <w:r>
        <w:rPr>
          <w:rFonts w:ascii="Times New Roman" w:cs="Times New Roman" w:eastAsia="Times New Roman" w:hAnsi="Times New Roman"/>
          <w:sz w:val="14"/>
          <w:szCs w:val="14"/>
          <w:color w:val="auto"/>
        </w:rPr>
        <w:t xml:space="preserve"> immediately prior to such assignment)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61" w:lineRule="exact"/>
        <w:rPr>
          <w:sz w:val="20"/>
          <w:szCs w:val="20"/>
          <w:color w:val="auto"/>
        </w:rPr>
      </w:pPr>
    </w:p>
    <w:p>
      <w:pPr>
        <w:ind w:left="4400" w:right="1499" w:hanging="3513"/>
        <w:spacing w:after="0" w:line="455" w:lineRule="auto"/>
        <w:tabs>
          <w:tab w:leader="none" w:pos="1076" w:val="left"/>
        </w:tabs>
        <w:numPr>
          <w:ilvl w:val="0"/>
          <w:numId w:val="7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shall have paid to the Administrative Agent the assignment fee (if any) specified in </w:t>
      </w:r>
      <w:r>
        <w:rPr>
          <w:rFonts w:ascii="Times New Roman" w:cs="Times New Roman" w:eastAsia="Times New Roman" w:hAnsi="Times New Roman"/>
          <w:sz w:val="14"/>
          <w:szCs w:val="14"/>
          <w:u w:val="single" w:color="auto"/>
          <w:color w:val="auto"/>
        </w:rPr>
        <w:t>Section 11.06(b)</w:t>
      </w:r>
      <w:r>
        <w:rPr>
          <w:rFonts w:ascii="Times New Roman" w:cs="Times New Roman" w:eastAsia="Times New Roman" w:hAnsi="Times New Roman"/>
          <w:sz w:val="14"/>
          <w:szCs w:val="14"/>
          <w:color w:val="auto"/>
        </w:rPr>
        <w:t>; 113</w:t>
      </w:r>
    </w:p>
    <w:p>
      <w:pPr>
        <w:sectPr>
          <w:pgSz w:w="11900" w:h="16838" w:orient="portrait"/>
          <w:cols w:equalWidth="0" w:num="1">
            <w:col w:w="9019"/>
          </w:cols>
          <w:pgMar w:left="1440" w:top="239" w:right="1440" w:bottom="1440" w:gutter="0" w:footer="0" w:header="0"/>
        </w:sectPr>
      </w:pPr>
    </w:p>
    <w:bookmarkStart w:id="694" w:name="page695"/>
    <w:bookmarkEnd w:id="694"/>
    <w:p>
      <w:pPr>
        <w:jc w:val="both"/>
        <w:ind w:left="560" w:right="279" w:firstLine="327"/>
        <w:spacing w:after="0" w:line="267" w:lineRule="auto"/>
        <w:tabs>
          <w:tab w:leader="none" w:pos="1088" w:val="left"/>
        </w:tabs>
        <w:numPr>
          <w:ilvl w:val="0"/>
          <w:numId w:val="7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 xml:space="preserve">such Lender shall have received payment of an amount equal to 100% of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from the assignee (to the extent of such outstanding principal and accrued interest and fees) or the Borrower (in the case of all other amounts);</w:t>
      </w:r>
    </w:p>
    <w:p>
      <w:pPr>
        <w:spacing w:after="0" w:line="51" w:lineRule="exact"/>
        <w:rPr>
          <w:rFonts w:ascii="Times New Roman" w:cs="Times New Roman" w:eastAsia="Times New Roman" w:hAnsi="Times New Roman"/>
          <w:sz w:val="14"/>
          <w:szCs w:val="14"/>
          <w:color w:val="auto"/>
        </w:rPr>
      </w:pPr>
    </w:p>
    <w:p>
      <w:pPr>
        <w:ind w:left="560" w:right="239" w:firstLine="327"/>
        <w:spacing w:after="0" w:line="283" w:lineRule="auto"/>
        <w:tabs>
          <w:tab w:leader="none" w:pos="1080" w:val="left"/>
        </w:tabs>
        <w:numPr>
          <w:ilvl w:val="0"/>
          <w:numId w:val="7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any such assignment resulting from a claim for compensation under </w:t>
      </w:r>
      <w:r>
        <w:rPr>
          <w:rFonts w:ascii="Times New Roman" w:cs="Times New Roman" w:eastAsia="Times New Roman" w:hAnsi="Times New Roman"/>
          <w:sz w:val="14"/>
          <w:szCs w:val="14"/>
          <w:u w:val="single" w:color="auto"/>
          <w:color w:val="auto"/>
        </w:rPr>
        <w:t>Section 3.04</w:t>
      </w:r>
      <w:r>
        <w:rPr>
          <w:rFonts w:ascii="Times New Roman" w:cs="Times New Roman" w:eastAsia="Times New Roman" w:hAnsi="Times New Roman"/>
          <w:sz w:val="14"/>
          <w:szCs w:val="14"/>
          <w:color w:val="auto"/>
        </w:rPr>
        <w:t xml:space="preserve"> or payments required to be made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such assignment will result in a reduction in such compensation or payments thereafter;</w:t>
      </w:r>
    </w:p>
    <w:p>
      <w:pPr>
        <w:spacing w:after="0" w:line="40" w:lineRule="exact"/>
        <w:rPr>
          <w:rFonts w:ascii="Times New Roman" w:cs="Times New Roman" w:eastAsia="Times New Roman" w:hAnsi="Times New Roman"/>
          <w:sz w:val="14"/>
          <w:szCs w:val="14"/>
          <w:color w:val="auto"/>
        </w:rPr>
      </w:pPr>
    </w:p>
    <w:p>
      <w:pPr>
        <w:ind w:left="1080" w:hanging="193"/>
        <w:spacing w:after="0"/>
        <w:tabs>
          <w:tab w:leader="none" w:pos="1080" w:val="left"/>
        </w:tabs>
        <w:numPr>
          <w:ilvl w:val="0"/>
          <w:numId w:val="7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assignment does not conflict with applicable Laws; and</w:t>
      </w:r>
    </w:p>
    <w:p>
      <w:pPr>
        <w:spacing w:after="0" w:line="91" w:lineRule="exact"/>
        <w:rPr>
          <w:rFonts w:ascii="Times New Roman" w:cs="Times New Roman" w:eastAsia="Times New Roman" w:hAnsi="Times New Roman"/>
          <w:sz w:val="14"/>
          <w:szCs w:val="14"/>
          <w:color w:val="auto"/>
        </w:rPr>
      </w:pPr>
    </w:p>
    <w:p>
      <w:pPr>
        <w:ind w:left="560" w:right="299" w:firstLine="327"/>
        <w:spacing w:after="0" w:line="267" w:lineRule="auto"/>
        <w:tabs>
          <w:tab w:leader="none" w:pos="1080" w:val="left"/>
        </w:tabs>
        <w:numPr>
          <w:ilvl w:val="0"/>
          <w:numId w:val="7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36"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25" w:lineRule="exact"/>
        <w:rPr>
          <w:sz w:val="20"/>
          <w:szCs w:val="20"/>
          <w:color w:val="auto"/>
        </w:rPr>
      </w:pPr>
    </w:p>
    <w:p>
      <w:pPr>
        <w:ind w:left="220" w:right="319" w:firstLine="343"/>
        <w:spacing w:after="0" w:line="257" w:lineRule="auto"/>
        <w:rPr>
          <w:sz w:val="20"/>
          <w:szCs w:val="20"/>
          <w:color w:val="auto"/>
        </w:rPr>
      </w:pPr>
      <w:r>
        <w:rPr>
          <w:rFonts w:ascii="Times New Roman" w:cs="Times New Roman" w:eastAsia="Times New Roman" w:hAnsi="Times New Roman"/>
          <w:sz w:val="14"/>
          <w:szCs w:val="14"/>
          <w:color w:val="auto"/>
        </w:rPr>
        <w:t xml:space="preserve">Each party hereto agrees that (i) an assignment required pursuant to this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 xml:space="preserve"> may be effected pursuant to an Assignment and Assumption executed by the Borrower, the Administrative Agent and the applicable Eligible Assignee,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any such documents shall be without recourse to or warranty by the parties thereto.</w:t>
      </w:r>
    </w:p>
    <w:p>
      <w:pPr>
        <w:spacing w:after="0" w:line="143" w:lineRule="exact"/>
        <w:rPr>
          <w:sz w:val="20"/>
          <w:szCs w:val="20"/>
          <w:color w:val="auto"/>
        </w:rPr>
      </w:pPr>
    </w:p>
    <w:p>
      <w:pPr>
        <w:ind w:left="220" w:right="439" w:firstLine="343"/>
        <w:spacing w:after="0" w:line="283" w:lineRule="auto"/>
        <w:rPr>
          <w:sz w:val="20"/>
          <w:szCs w:val="20"/>
          <w:color w:val="auto"/>
        </w:rPr>
      </w:pPr>
      <w:r>
        <w:rPr>
          <w:rFonts w:ascii="Times New Roman" w:cs="Times New Roman" w:eastAsia="Times New Roman" w:hAnsi="Times New Roman"/>
          <w:sz w:val="14"/>
          <w:szCs w:val="14"/>
          <w:color w:val="auto"/>
        </w:rPr>
        <w:t xml:space="preserve">Notwithstanding anything in this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 xml:space="preserve"> to the contrary, the Lender that acts as the Administrative Agent may not be replaced hereunder except in accordance with the terms of </w:t>
      </w:r>
      <w:r>
        <w:rPr>
          <w:rFonts w:ascii="Times New Roman" w:cs="Times New Roman" w:eastAsia="Times New Roman" w:hAnsi="Times New Roman"/>
          <w:sz w:val="14"/>
          <w:szCs w:val="14"/>
          <w:u w:val="single" w:color="auto"/>
          <w:color w:val="auto"/>
        </w:rPr>
        <w:t>Section 9.06</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11.14 Governing Law; Jurisdiction; Etc.</w:t>
      </w:r>
    </w:p>
    <w:p>
      <w:pPr>
        <w:spacing w:after="0" w:line="93" w:lineRule="exact"/>
        <w:rPr>
          <w:sz w:val="20"/>
          <w:szCs w:val="20"/>
          <w:color w:val="auto"/>
        </w:rPr>
      </w:pPr>
    </w:p>
    <w:p>
      <w:pPr>
        <w:ind w:left="560" w:right="299" w:firstLine="327"/>
        <w:spacing w:after="0" w:line="257" w:lineRule="auto"/>
        <w:tabs>
          <w:tab w:leader="none" w:pos="1080" w:val="left"/>
        </w:tabs>
        <w:numPr>
          <w:ilvl w:val="0"/>
          <w:numId w:val="7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9019"/>
          </w:cols>
          <w:pgMar w:left="1440" w:top="241" w:right="1440" w:bottom="1440" w:gutter="0" w:footer="0" w:header="0"/>
        </w:sectPr>
      </w:pPr>
    </w:p>
    <w:bookmarkStart w:id="695" w:name="page696"/>
    <w:bookmarkEnd w:id="695"/>
    <w:p>
      <w:pPr>
        <w:ind w:left="560" w:right="279" w:firstLine="327"/>
        <w:spacing w:after="0" w:line="252" w:lineRule="auto"/>
        <w:tabs>
          <w:tab w:leader="none" w:pos="1087" w:val="left"/>
        </w:tabs>
        <w:numPr>
          <w:ilvl w:val="0"/>
          <w:numId w:val="7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SUBMISSION TO JURISDICTION</w:t>
      </w:r>
      <w:r>
        <w:rPr>
          <w:rFonts w:ascii="Times New Roman" w:cs="Times New Roman" w:eastAsia="Times New Roman" w:hAnsi="Times New Roman"/>
          <w:sz w:val="14"/>
          <w:szCs w:val="14"/>
          <w:color w:val="auto"/>
        </w:rPr>
        <w:t>. THE BORROWER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70" w:lineRule="exact"/>
        <w:rPr>
          <w:rFonts w:ascii="Times New Roman" w:cs="Times New Roman" w:eastAsia="Times New Roman" w:hAnsi="Times New Roman"/>
          <w:sz w:val="14"/>
          <w:szCs w:val="14"/>
          <w:color w:val="auto"/>
        </w:rPr>
      </w:pPr>
    </w:p>
    <w:p>
      <w:pPr>
        <w:ind w:left="560" w:right="279" w:firstLine="327"/>
        <w:spacing w:after="0" w:line="257" w:lineRule="auto"/>
        <w:tabs>
          <w:tab w:leader="none" w:pos="1080" w:val="left"/>
        </w:tabs>
        <w:numPr>
          <w:ilvl w:val="0"/>
          <w:numId w:val="7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VENUE</w:t>
      </w:r>
      <w:r>
        <w:rPr>
          <w:rFonts w:ascii="Times New Roman" w:cs="Times New Roman" w:eastAsia="Times New Roman" w:hAnsi="Times New Roman"/>
          <w:sz w:val="14"/>
          <w:szCs w:val="14"/>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58" w:lineRule="exact"/>
        <w:rPr>
          <w:rFonts w:ascii="Times New Roman" w:cs="Times New Roman" w:eastAsia="Times New Roman" w:hAnsi="Times New Roman"/>
          <w:sz w:val="14"/>
          <w:szCs w:val="14"/>
          <w:color w:val="auto"/>
        </w:rPr>
      </w:pPr>
    </w:p>
    <w:p>
      <w:pPr>
        <w:ind w:left="560" w:right="399" w:firstLine="327"/>
        <w:spacing w:after="0" w:line="267" w:lineRule="auto"/>
        <w:tabs>
          <w:tab w:leader="none" w:pos="1087" w:val="left"/>
        </w:tabs>
        <w:numPr>
          <w:ilvl w:val="0"/>
          <w:numId w:val="7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SERVICE OF PROCESS</w:t>
      </w:r>
      <w:r>
        <w:rPr>
          <w:rFonts w:ascii="Times New Roman" w:cs="Times New Roman" w:eastAsia="Times New Roman" w:hAnsi="Times New Roman"/>
          <w:sz w:val="14"/>
          <w:szCs w:val="14"/>
          <w:color w:val="auto"/>
        </w:rPr>
        <w:t xml:space="preserve">. EACH PARTY HERETO IRREVOCABLY CONSENTS TO SERVICE OF PROCESS IN THE MANNER PROVIDED FOR NOTICES IN </w:t>
      </w:r>
      <w:r>
        <w:rPr>
          <w:rFonts w:ascii="Times New Roman" w:cs="Times New Roman" w:eastAsia="Times New Roman" w:hAnsi="Times New Roman"/>
          <w:sz w:val="14"/>
          <w:szCs w:val="14"/>
          <w:u w:val="single" w:color="auto"/>
          <w:color w:val="auto"/>
        </w:rPr>
        <w:t>SECTION 11.02</w:t>
      </w:r>
      <w:r>
        <w:rPr>
          <w:rFonts w:ascii="Times New Roman" w:cs="Times New Roman" w:eastAsia="Times New Roman" w:hAnsi="Times New Roman"/>
          <w:sz w:val="14"/>
          <w:szCs w:val="14"/>
          <w:color w:val="auto"/>
        </w:rPr>
        <w:t>. NOTHING IN THIS AGREEMENT WILL AFFECT THE RIGHT OF ANY PARTY HERETO TO SERVE PROCESS IN ANY OTHER MANNER PERMITTED BY APPLICABLE LAW.</w:t>
      </w:r>
    </w:p>
    <w:p>
      <w:pPr>
        <w:spacing w:after="0" w:line="134" w:lineRule="exact"/>
        <w:rPr>
          <w:sz w:val="20"/>
          <w:szCs w:val="20"/>
          <w:color w:val="auto"/>
        </w:rPr>
      </w:pPr>
    </w:p>
    <w:p>
      <w:pPr>
        <w:ind w:left="220" w:right="259" w:firstLine="343"/>
        <w:spacing w:after="0" w:line="276" w:lineRule="auto"/>
        <w:rPr>
          <w:sz w:val="20"/>
          <w:szCs w:val="20"/>
          <w:color w:val="auto"/>
        </w:rPr>
      </w:pPr>
      <w:r>
        <w:rPr>
          <w:rFonts w:ascii="Times New Roman" w:cs="Times New Roman" w:eastAsia="Times New Roman" w:hAnsi="Times New Roman"/>
          <w:sz w:val="13"/>
          <w:szCs w:val="13"/>
          <w:b w:val="1"/>
          <w:bCs w:val="1"/>
          <w:color w:val="auto"/>
        </w:rPr>
        <w:t>11.15 Waiver of Jury Trial</w:t>
      </w:r>
      <w:r>
        <w:rPr>
          <w:rFonts w:ascii="Times New Roman" w:cs="Times New Roman" w:eastAsia="Times New Roman" w:hAnsi="Times New Roman"/>
          <w:sz w:val="13"/>
          <w:szCs w:val="13"/>
          <w:color w:val="auto"/>
        </w:rPr>
        <w:t>. EACH PARTY HERETO HEREBY IRREVOCABLY WAIVES, TO THE FULLEST EXTENT PERMITTED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220" w:right="299" w:hanging="5"/>
        <w:spacing w:after="0" w:line="253" w:lineRule="auto"/>
        <w:tabs>
          <w:tab w:leader="none" w:pos="449" w:val="left"/>
        </w:tabs>
        <w:numPr>
          <w:ilvl w:val="0"/>
          <w:numId w:val="7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9019"/>
          </w:cols>
          <w:pgMar w:left="1440" w:top="242" w:right="1440" w:bottom="1440" w:gutter="0" w:footer="0" w:header="0"/>
        </w:sectPr>
      </w:pPr>
    </w:p>
    <w:bookmarkStart w:id="696" w:name="page697"/>
    <w:bookmarkEnd w:id="696"/>
    <w:p>
      <w:pPr>
        <w:ind w:left="220" w:right="219" w:firstLine="343"/>
        <w:spacing w:after="0" w:line="253"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11.16 No Advisory or Fiduciary Responsibility</w:t>
      </w:r>
      <w:r>
        <w:rPr>
          <w:rFonts w:ascii="Times New Roman" w:cs="Times New Roman" w:eastAsia="Times New Roman" w:hAnsi="Times New Roman"/>
          <w:sz w:val="14"/>
          <w:szCs w:val="14"/>
          <w:color w:val="auto"/>
        </w:rPr>
        <w:t>. In connection with all aspects of each transaction contemplated hereby (including in connection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any amendment, waiver or other modification hereof or of any other Loan Document), the Borrower acknowledges and agrees, and acknowledges its Affiliates’ understanding, that: (a)(i)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(b)(i) the Administrative Agent, each Arranger and each Lender is and has been acting solely as a principal and, except as expressly agreed in writing by the relevant parties, has not been, is not, and will not be acting as an advisor, agent or fiduciary for the Borrower or any of its Affiliates, or any other Person and (ii) none of the Administrative Agent, any Arranger or any Lender has any obligation to the Borrower or any of its Affiliates with respect to the transactions contemplated hereby except those obligations expressly set forth herein and in the other Loan Documents; and (c) the Administrative Agent, each Arranger, each Lender and their respective Affiliates may be engaged in a broad range of transactions that involve interests that differ from those of the Borrower and its Affiliates, and none of the Administrative Agent, any Arranger or any Lender has any obligation to disclose any of such interests to the Borrower or their respective Affiliates. To the fullest extent permitted by Law, the Borrower hereby agrees not to assert any claims that it may have against the Administrative Agent, any Arranger or any Lender with respect to any breach or alleged breach of agency or fiduciary duty in connection with any aspect of any transaction contemplated hereby.</w:t>
      </w:r>
    </w:p>
    <w:p>
      <w:pPr>
        <w:spacing w:after="0" w:line="146" w:lineRule="exact"/>
        <w:rPr>
          <w:sz w:val="20"/>
          <w:szCs w:val="20"/>
          <w:color w:val="auto"/>
        </w:rPr>
      </w:pPr>
    </w:p>
    <w:p>
      <w:pPr>
        <w:ind w:left="220" w:right="279" w:firstLine="343"/>
        <w:spacing w:after="0" w:line="252" w:lineRule="auto"/>
        <w:rPr>
          <w:sz w:val="20"/>
          <w:szCs w:val="20"/>
          <w:color w:val="auto"/>
        </w:rPr>
      </w:pPr>
      <w:r>
        <w:rPr>
          <w:rFonts w:ascii="Times New Roman" w:cs="Times New Roman" w:eastAsia="Times New Roman" w:hAnsi="Times New Roman"/>
          <w:sz w:val="14"/>
          <w:szCs w:val="14"/>
          <w:b w:val="1"/>
          <w:bCs w:val="1"/>
          <w:color w:val="auto"/>
        </w:rPr>
        <w:t>11.17 Electronic Execution; Electronic Records; Counterparts</w:t>
      </w:r>
      <w:r>
        <w:rPr>
          <w:rFonts w:ascii="Times New Roman" w:cs="Times New Roman" w:eastAsia="Times New Roman" w:hAnsi="Times New Roman"/>
          <w:sz w:val="14"/>
          <w:szCs w:val="14"/>
          <w:color w:val="auto"/>
        </w:rPr>
        <w:t>. This Agreement, any other Loan Document and any other Communication,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including Communications required to be in writing, may be in the form of an Electronic Record and may be executed using Electronic Signatures. The Borrower, the Administrative Agent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cs="Times New Roman" w:eastAsia="Times New Roman" w:hAnsi="Times New Roman"/>
          <w:sz w:val="14"/>
          <w:szCs w:val="14"/>
          <w:u w:val="single" w:color="auto"/>
          <w:color w:val="auto"/>
        </w:rPr>
        <w:t>Section 11.17</w:t>
      </w:r>
      <w:r>
        <w:rPr>
          <w:rFonts w:ascii="Times New Roman" w:cs="Times New Roman" w:eastAsia="Times New Roman" w:hAnsi="Times New Roman"/>
          <w:sz w:val="14"/>
          <w:szCs w:val="14"/>
          <w:color w:val="auto"/>
        </w:rPr>
        <w:t xml:space="preserve"> may include use or acceptance of a manually signed paper Communication which has been converted into electronic form (such as scanned into.pdf),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(each, an “</w:t>
      </w:r>
      <w:r>
        <w:rPr>
          <w:rFonts w:ascii="Times New Roman" w:cs="Times New Roman" w:eastAsia="Times New Roman" w:hAnsi="Times New Roman"/>
          <w:sz w:val="14"/>
          <w:szCs w:val="14"/>
          <w:u w:val="single" w:color="auto"/>
          <w:color w:val="auto"/>
        </w:rPr>
        <w:t>Electronic Copy</w:t>
      </w:r>
      <w:r>
        <w:rPr>
          <w:rFonts w:ascii="Times New Roman" w:cs="Times New Roman" w:eastAsia="Times New Roman" w:hAnsi="Times New Roman"/>
          <w:sz w:val="14"/>
          <w:szCs w:val="14"/>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not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without limiting the foregoing, (a) to the extent the Administrative Agent has agreed to accept such Electronic Signature, the Administrative Agent and each of the Lender Parties shall be entitled to rely on any such Electronic Signature purportedly given by or on behalf of the Borrower and/or any Lender without further verification, and (b) upon the request of the Administrative Agent or any Lender, any Electronic Signature shall be promptly followed by such manually executed counterpart.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9019"/>
          </w:cols>
          <w:pgMar w:left="1440" w:top="239" w:right="1440" w:bottom="1440" w:gutter="0" w:footer="0" w:header="0"/>
        </w:sectPr>
      </w:pPr>
    </w:p>
    <w:bookmarkStart w:id="697" w:name="page698"/>
    <w:bookmarkEnd w:id="697"/>
    <w:p>
      <w:pPr>
        <w:ind w:left="220" w:right="279" w:firstLine="343"/>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emailed.pdf or any other electronic means). The Administrative Agent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44" w:lineRule="exact"/>
        <w:rPr>
          <w:sz w:val="20"/>
          <w:szCs w:val="20"/>
          <w:color w:val="auto"/>
        </w:rPr>
      </w:pPr>
    </w:p>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t>The Borrower and each Lender hereby waives (a) any argument, defense or right to contest the legal effect, validity or enforceability of this Agreement or any other Loan Document based solely on the lack of paper original copies of this Agreement or such other Loan Document, and (b) any claim against the Administrative Agent and each Lender for any liabilities arising solely from the Administrative Agent’s and/or any Lender’s reliance on or use of Electronic Signatures, including any liabilities arising as a result of the failure of the Borrower to use any available security measures in connection with the execution, delivery or transmission of any Electronic Signature.</w:t>
      </w:r>
    </w:p>
    <w:p>
      <w:pPr>
        <w:spacing w:after="0" w:line="142" w:lineRule="exact"/>
        <w:rPr>
          <w:sz w:val="20"/>
          <w:szCs w:val="20"/>
          <w:color w:val="auto"/>
        </w:rPr>
      </w:pPr>
    </w:p>
    <w:p>
      <w:pPr>
        <w:ind w:left="220" w:right="23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11.18 USA PATRIOT Act</w:t>
      </w:r>
      <w:r>
        <w:rPr>
          <w:rFonts w:ascii="Times New Roman" w:cs="Times New Roman" w:eastAsia="Times New Roman" w:hAnsi="Times New Roman"/>
          <w:sz w:val="14"/>
          <w:szCs w:val="14"/>
          <w:color w:val="auto"/>
        </w:rPr>
        <w:t>. Each Lender that is subject to the Act (as hereinafter defined) and the Administrative Agent (for itself and not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it is required to obtain, verify and record information that identifies each Loan Party, which information includes the name and address of each Loan Party, information concerning each such Loan Party’s direct and indirect holders of Equity Interests and other Persons exercising Control over such Loan Party, and other information that will allow such Lender 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11.19 [Reserved]</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220" w:right="23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11.20 Entire Agreement</w:t>
      </w:r>
      <w:r>
        <w:rPr>
          <w:rFonts w:ascii="Times New Roman" w:cs="Times New Roman" w:eastAsia="Times New Roman" w:hAnsi="Times New Roman"/>
          <w:sz w:val="14"/>
          <w:szCs w:val="14"/>
          <w:color w:val="auto"/>
        </w:rPr>
        <w:t>. THIS AGREEMENT AND THE OTHER LOAN DOCUMENTS REPRESENT THE FINAL AGREEMENT AMONG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AND MAY NOT BE CONTRADICTED BY EVIDENCE OF PRIOR, CONTEMPORANEOUS, OR SUBSEQUENT ORAL AGREEMENTS OF THE PARTIES. THERE ARE NO UNWRITTEN ORAL AGREEMENTS AMONG THE PARTIES.</w:t>
      </w:r>
    </w:p>
    <w:p>
      <w:pPr>
        <w:spacing w:after="0" w:line="133" w:lineRule="exact"/>
        <w:rPr>
          <w:sz w:val="20"/>
          <w:szCs w:val="20"/>
          <w:color w:val="auto"/>
        </w:rPr>
      </w:pPr>
    </w:p>
    <w:p>
      <w:pPr>
        <w:ind w:left="220" w:right="339" w:firstLine="343"/>
        <w:spacing w:after="0" w:line="257" w:lineRule="auto"/>
        <w:rPr>
          <w:sz w:val="20"/>
          <w:szCs w:val="20"/>
          <w:color w:val="auto"/>
        </w:rPr>
      </w:pPr>
      <w:r>
        <w:rPr>
          <w:rFonts w:ascii="Times New Roman" w:cs="Times New Roman" w:eastAsia="Times New Roman" w:hAnsi="Times New Roman"/>
          <w:sz w:val="14"/>
          <w:szCs w:val="14"/>
          <w:b w:val="1"/>
          <w:bCs w:val="1"/>
          <w:color w:val="auto"/>
        </w:rPr>
        <w:t>11.21 Acknowledgement and Consent to Bail-In of Affected Financial Institutions</w:t>
      </w:r>
      <w:r>
        <w:rPr>
          <w:rFonts w:ascii="Times New Roman" w:cs="Times New Roman" w:eastAsia="Times New Roman" w:hAnsi="Times New Roman"/>
          <w:sz w:val="14"/>
          <w:szCs w:val="14"/>
          <w:color w:val="auto"/>
        </w:rPr>
        <w:t>. Solely to the extent any Lender that is an Affected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Institution is a party to this Agreement and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an the applicable Resolution Authority and agrees and consents to, and acknowledges and agrees to be bound by: (a) the application of any Write-Down and Conversion Powers by the applicable Resolution Authority to any such liabilities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9019"/>
          </w:cols>
          <w:pgMar w:left="1440" w:top="240" w:right="1440" w:bottom="1440" w:gutter="0" w:footer="0" w:header="0"/>
        </w:sectPr>
      </w:pPr>
    </w:p>
    <w:bookmarkStart w:id="698" w:name="page699"/>
    <w:bookmarkEnd w:id="698"/>
    <w:p>
      <w:pPr>
        <w:ind w:left="220" w:right="2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arising hereunder which may be payable to it by any Lender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11.22 Acknowledgement Regarding Any Supported QFCs</w:t>
      </w:r>
      <w:r>
        <w:rPr>
          <w:rFonts w:ascii="Times New Roman" w:cs="Times New Roman" w:eastAsia="Times New Roman" w:hAnsi="Times New Roman"/>
          <w:sz w:val="14"/>
          <w:szCs w:val="14"/>
          <w:color w:val="auto"/>
        </w:rPr>
        <w:t>. To the extent that the Loan Documents provide support, through a guarantee or</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otherwise, for any Swap Contract or any other agreement or instrument that is a QFC (such support, “</w:t>
      </w:r>
      <w:r>
        <w:rPr>
          <w:rFonts w:ascii="Times New Roman" w:cs="Times New Roman" w:eastAsia="Times New Roman" w:hAnsi="Times New Roman"/>
          <w:sz w:val="14"/>
          <w:szCs w:val="14"/>
          <w:u w:val="single" w:color="auto"/>
          <w:color w:val="auto"/>
        </w:rPr>
        <w:t>QFC Credit Support</w:t>
      </w:r>
      <w:r>
        <w:rPr>
          <w:rFonts w:ascii="Times New Roman" w:cs="Times New Roman" w:eastAsia="Times New Roman" w:hAnsi="Times New Roman"/>
          <w:sz w:val="14"/>
          <w:szCs w:val="14"/>
          <w:color w:val="auto"/>
        </w:rPr>
        <w:t>”, and each such QFC, a</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Supported QFC</w:t>
      </w:r>
      <w:r>
        <w:rPr>
          <w:rFonts w:ascii="Times New Roman" w:cs="Times New Roman" w:eastAsia="Times New Roman" w:hAnsi="Times New Roman"/>
          <w:sz w:val="14"/>
          <w:szCs w:val="14"/>
          <w:color w:val="auto"/>
        </w:rPr>
        <w:t>”), the parties acknowledge and agree that with respect to the resolution power of the Federal Deposit Insurance Corporation under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Federal Deposit Insurance Act and Title II of the Dodd-Frank Wall Street Reform and Consumer Protection Act (together with the regulations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promulgated thereunder, the “</w:t>
      </w:r>
      <w:r>
        <w:rPr>
          <w:rFonts w:ascii="Times New Roman" w:cs="Times New Roman" w:eastAsia="Times New Roman" w:hAnsi="Times New Roman"/>
          <w:sz w:val="14"/>
          <w:szCs w:val="14"/>
          <w:u w:val="single" w:color="auto"/>
          <w:color w:val="auto"/>
        </w:rPr>
        <w:t>U.S. Special Resolution Regimes</w:t>
      </w:r>
      <w:r>
        <w:rPr>
          <w:rFonts w:ascii="Times New Roman" w:cs="Times New Roman" w:eastAsia="Times New Roman" w:hAnsi="Times New Roman"/>
          <w:sz w:val="14"/>
          <w:szCs w:val="14"/>
          <w:color w:val="auto"/>
        </w:rPr>
        <w:t>”) in respect of such Supported QFC and QFC Credit Support (with the provisions below</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applicable notwithstanding that the Loan Documents and any Supported QFC may in fact be stated to be governed by the laws of the State of New York</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and/or of the United States or any other state of the United States), in the event a Covered Entity that is party to a Supported QFC (each, a “</w:t>
      </w:r>
      <w:r>
        <w:rPr>
          <w:rFonts w:ascii="Times New Roman" w:cs="Times New Roman" w:eastAsia="Times New Roman" w:hAnsi="Times New Roman"/>
          <w:sz w:val="14"/>
          <w:szCs w:val="14"/>
          <w:u w:val="single" w:color="auto"/>
          <w:color w:val="auto"/>
        </w:rPr>
        <w:t>Covered</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 becomes subject to a proceeding under a U.S. Special Resolution Regime, the transfer of such Supported QFC and the benefit of such QFC</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Credit Support (and any interest and obligation in or under such Supported QFC and such QFC Credit Support, and any rights in property securing such</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Supported QFC or such QFC Credit Support) from such Covered Party will be effective to the same extent as the transfer would be effective under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U.S. Special Resolution Regime if the Supported QFC and such QFC Credit Support (and any such interest, obligation and rights in property) were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governed by the laws of the United States or a state of the United States. In the event a Covered Party or a BHC Act Affiliate of a Covered Party</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becomes subject to a proceeding under a U.S. Special Resolution Regime, Default Rights under the Loan Documents that might otherwise apply to such</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Supported QFC or any QFC Credit Support that may be exercised against such Covered Party are permitted to be exercised to no greater extent than</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such Default Rights could be exercised under the U.S. Special Resolution Regime if the Supported QFC and the Loan Documents were governed by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laws of the United States or a state of the United States. Without limitation of the foregoing, it is understood and agreed that rights and remedies of the</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parties with respect to a Defaulting Lender shall in no event affect the rights of any Covered Party with respect to a Supported QFC or any QFC Credit</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Support.</w:t>
      </w:r>
    </w:p>
    <w:p>
      <w:pPr>
        <w:spacing w:after="0" w:line="159"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b w:val="1"/>
          <w:bCs w:val="1"/>
          <w:color w:val="auto"/>
        </w:rPr>
        <w:t>11.23 Assumption by the Company of the Borrower’s Obligations</w:t>
      </w:r>
      <w:r>
        <w:rPr>
          <w:rFonts w:ascii="Times New Roman" w:cs="Times New Roman" w:eastAsia="Times New Roman" w:hAnsi="Times New Roman"/>
          <w:sz w:val="14"/>
          <w:szCs w:val="14"/>
          <w:color w:val="auto"/>
        </w:rPr>
        <w:t>. At any time after the consummation of the Mirror Transactions,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Company may expressly assume all of the obligations of the Borrower under this Agreement and the other Loan Documents by delivering to the Administrative Agent (i) the Company Debt Assumption Supplement executed by the Company and the Borrower (and which shall be acknowledged by the Administrative Agent) together with (ii) to the extent reasonably requested by the Administrative Agent, documents with respect to the Company of the types referred to in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(f)</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all in form and substance reasonably satisfactory to the Administrative Agent whereupon (x) the Company will assume and become obligated to perform all obligations of the Borrower and have all of the rights of the Borrower pursuant to this Agreement and the other Loan Documents, and (y) Platinum Spinco Inc. (or its successor by merger) shall no longer constitute or have any rights or obligations as the Borrower under this Agreement (but, for the avoidance of doubt, shall continue to be a Parent Guarantor).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9019"/>
          </w:cols>
          <w:pgMar w:left="1440" w:top="241" w:right="1440" w:bottom="1440" w:gutter="0" w:footer="0" w:header="0"/>
        </w:sectPr>
      </w:pPr>
    </w:p>
    <w:bookmarkStart w:id="699" w:name="page700"/>
    <w:bookmarkEnd w:id="699"/>
    <w:p>
      <w:pPr>
        <w:ind w:left="5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 WITNESS WHEREOF, the parties hereto have executed and delivered this Agreement as of the date first above written.</w:t>
      </w:r>
    </w:p>
    <w:p>
      <w:pPr>
        <w:spacing w:after="0" w:line="19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 the Borrower</w:t>
      </w:r>
    </w:p>
    <w:p>
      <w:pPr>
        <w:spacing w:after="0" w:line="171"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Michael B. Lucareli</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Michael B. Lucareli</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Executive Vice President, Chief Financial Officer</w:t>
            </w:r>
          </w:p>
        </w:tc>
      </w:tr>
      <w:tr>
        <w:trPr>
          <w:trHeight w:val="269"/>
        </w:trPr>
        <w:tc>
          <w:tcPr>
            <w:tcW w:w="420" w:type="dxa"/>
            <w:vAlign w:val="bottom"/>
          </w:tcPr>
          <w:p>
            <w:pPr>
              <w:spacing w:after="0"/>
              <w:rPr>
                <w:sz w:val="23"/>
                <w:szCs w:val="23"/>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PLATINUM SPINCO INC.</w:t>
            </w:r>
          </w:p>
        </w:tc>
      </w:tr>
      <w:tr>
        <w:trPr>
          <w:trHeight w:val="183"/>
        </w:trPr>
        <w:tc>
          <w:tcPr>
            <w:tcW w:w="420" w:type="dxa"/>
            <w:vAlign w:val="bottom"/>
          </w:tcPr>
          <w:p>
            <w:pPr>
              <w:spacing w:after="0"/>
              <w:rPr>
                <w:sz w:val="15"/>
                <w:szCs w:val="15"/>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CREDIT AGREEMENT</w:t>
            </w:r>
          </w:p>
        </w:tc>
      </w:tr>
    </w:tbl>
    <w:p>
      <w:pPr>
        <w:sectPr>
          <w:pgSz w:w="11900" w:h="16838" w:orient="portrait"/>
          <w:cols w:equalWidth="0" w:num="1">
            <w:col w:w="9019"/>
          </w:cols>
          <w:pgMar w:left="1440" w:top="241" w:right="1440" w:bottom="1440" w:gutter="0" w:footer="0" w:header="0"/>
        </w:sectPr>
      </w:pPr>
    </w:p>
    <w:bookmarkStart w:id="700" w:name="page701"/>
    <w:bookmarkEnd w:id="700"/>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BANK OF AMERICA, N.A.,</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 Administrative Agent</w:t>
      </w:r>
    </w:p>
    <w:p>
      <w:pPr>
        <w:spacing w:after="0" w:line="171"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Felicia Brinson</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Felicia Brinson</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Assistant Vice President</w:t>
            </w:r>
          </w:p>
        </w:tc>
      </w:tr>
    </w:tbl>
    <w:p>
      <w:pPr>
        <w:spacing w:after="0" w:line="10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CREDIT AGREEMENT</w:t>
      </w:r>
    </w:p>
    <w:p>
      <w:pPr>
        <w:sectPr>
          <w:pgSz w:w="11900" w:h="16838" w:orient="portrait"/>
          <w:cols w:equalWidth="0" w:num="1">
            <w:col w:w="9019"/>
          </w:cols>
          <w:pgMar w:left="1440" w:top="241" w:right="1440" w:bottom="1440" w:gutter="0" w:footer="0" w:header="0"/>
        </w:sectPr>
      </w:pPr>
    </w:p>
    <w:bookmarkStart w:id="701" w:name="page702"/>
    <w:bookmarkEnd w:id="701"/>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BANK OF AMERICA, N.A.,</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 a Lender,</w:t>
      </w:r>
    </w:p>
    <w:p>
      <w:pPr>
        <w:spacing w:after="0" w:line="171"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David Komrska</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David Komrska</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Senior Vice President</w:t>
            </w:r>
          </w:p>
        </w:tc>
      </w:tr>
    </w:tbl>
    <w:p>
      <w:pPr>
        <w:spacing w:after="0" w:line="10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CREDIT AGREEMENT</w:t>
      </w:r>
    </w:p>
    <w:p>
      <w:pPr>
        <w:sectPr>
          <w:pgSz w:w="11900" w:h="16838" w:orient="portrait"/>
          <w:cols w:equalWidth="0" w:num="1">
            <w:col w:w="9019"/>
          </w:cols>
          <w:pgMar w:left="1440" w:top="241" w:right="1440" w:bottom="1440" w:gutter="0" w:footer="0" w:header="0"/>
        </w:sectPr>
      </w:pPr>
    </w:p>
    <w:bookmarkStart w:id="702" w:name="page703"/>
    <w:bookmarkEnd w:id="702"/>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JPMORGAN CHASE BANK, N.A.,</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 a Lender</w:t>
      </w:r>
    </w:p>
    <w:p>
      <w:pPr>
        <w:spacing w:after="0" w:line="171"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Robert P. Kellas</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Robert P. Kellas</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Executive Director</w:t>
            </w:r>
          </w:p>
        </w:tc>
      </w:tr>
    </w:tbl>
    <w:p>
      <w:pPr>
        <w:spacing w:after="0" w:line="10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CREDIT AGREEMENT</w:t>
      </w:r>
    </w:p>
    <w:p>
      <w:pPr>
        <w:sectPr>
          <w:pgSz w:w="11900" w:h="16838" w:orient="portrait"/>
          <w:cols w:equalWidth="0" w:num="1">
            <w:col w:w="9019"/>
          </w:cols>
          <w:pgMar w:left="1440" w:top="242" w:right="1440" w:bottom="1440" w:gutter="0" w:footer="0" w:header="0"/>
        </w:sectPr>
      </w:pPr>
    </w:p>
    <w:bookmarkStart w:id="703" w:name="page704"/>
    <w:bookmarkEnd w:id="703"/>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HSBC BANK USA, N.A.,</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 a Lender</w:t>
      </w:r>
    </w:p>
    <w:p>
      <w:pPr>
        <w:spacing w:after="0" w:line="171"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Casey Klepsch</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Casey Klepsch</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Senior Vice President</w:t>
            </w:r>
          </w:p>
        </w:tc>
      </w:tr>
    </w:tbl>
    <w:p>
      <w:pPr>
        <w:spacing w:after="0" w:line="10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CREDIT AGREEMENT</w:t>
      </w:r>
    </w:p>
    <w:p>
      <w:pPr>
        <w:sectPr>
          <w:pgSz w:w="11900" w:h="16838" w:orient="portrait"/>
          <w:cols w:equalWidth="0" w:num="1">
            <w:col w:w="9019"/>
          </w:cols>
          <w:pgMar w:left="1440" w:top="241" w:right="1440" w:bottom="1440" w:gutter="0" w:footer="0" w:header="0"/>
        </w:sectPr>
      </w:pPr>
    </w:p>
    <w:bookmarkStart w:id="704" w:name="page705"/>
    <w:bookmarkEnd w:id="704"/>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PNC BANK, NATIONAL ASSOCIATION</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 a Lender</w:t>
      </w:r>
    </w:p>
    <w:p>
      <w:pPr>
        <w:spacing w:after="0" w:line="171"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Scott Neiderheide</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Scott Neiderheide</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Senior Vice President</w:t>
            </w:r>
          </w:p>
        </w:tc>
      </w:tr>
    </w:tbl>
    <w:p>
      <w:pPr>
        <w:spacing w:after="0" w:line="290"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CREDIT AGREEMENT</w:t>
      </w:r>
    </w:p>
    <w:p>
      <w:pPr>
        <w:sectPr>
          <w:pgSz w:w="11900" w:h="16838" w:orient="portrait"/>
          <w:cols w:equalWidth="0" w:num="1">
            <w:col w:w="9019"/>
          </w:cols>
          <w:pgMar w:left="1440" w:top="240" w:right="1440" w:bottom="1440" w:gutter="0" w:footer="0" w:header="0"/>
        </w:sectPr>
      </w:pPr>
    </w:p>
    <w:bookmarkStart w:id="705" w:name="page706"/>
    <w:bookmarkEnd w:id="705"/>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90170</wp:posOffset>
            </wp:positionV>
            <wp:extent cx="7201535" cy="323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WELLS FARGO BANK, N.A.,</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 a Lender</w:t>
      </w:r>
    </w:p>
    <w:p>
      <w:pPr>
        <w:spacing w:after="0" w:line="171"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Megan Pridmore</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Megan Pridmore</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Executive Director</w:t>
            </w:r>
          </w:p>
        </w:tc>
      </w:tr>
    </w:tbl>
    <w:p>
      <w:pPr>
        <w:spacing w:after="0" w:line="10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CREDIT AGREEMENT</w:t>
      </w:r>
    </w:p>
    <w:p>
      <w:pPr>
        <w:sectPr>
          <w:pgSz w:w="11900" w:h="16838" w:orient="portrait"/>
          <w:cols w:equalWidth="0" w:num="1">
            <w:col w:w="9019"/>
          </w:cols>
          <w:pgMar w:left="1440" w:top="242" w:right="1440" w:bottom="1440" w:gutter="0" w:footer="0" w:header="0"/>
        </w:sectPr>
      </w:pPr>
    </w:p>
    <w:bookmarkStart w:id="706" w:name="page707"/>
    <w:bookmarkEnd w:id="706"/>
    <w:p>
      <w:pPr>
        <w:ind w:left="5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FIFTH THIRD BANK, N.A.,</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as a Lender</w:t>
      </w:r>
    </w:p>
    <w:p>
      <w:pPr>
        <w:spacing w:after="0" w:line="171" w:lineRule="exact"/>
        <w:rPr>
          <w:sz w:val="20"/>
          <w:szCs w:val="20"/>
          <w:color w:val="auto"/>
        </w:rPr>
      </w:pPr>
    </w:p>
    <w:tbl>
      <w:tblPr>
        <w:tblLayout w:type="fixed"/>
        <w:tblInd w:w="5360" w:type="dxa"/>
        <w:tblCellMar>
          <w:top w:w="0" w:type="dxa"/>
          <w:left w:w="0" w:type="dxa"/>
          <w:bottom w:w="0" w:type="dxa"/>
          <w:right w:w="0" w:type="dxa"/>
        </w:tblCellMar>
      </w:tblP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Will Batchelor</w:t>
            </w:r>
          </w:p>
        </w:tc>
      </w:tr>
      <w:tr>
        <w:trPr>
          <w:trHeight w:val="144"/>
        </w:trPr>
        <w:tc>
          <w:tcPr>
            <w:tcW w:w="4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30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Will Batchelor</w:t>
            </w:r>
          </w:p>
        </w:tc>
      </w:tr>
      <w:tr>
        <w:trPr>
          <w:trHeight w:val="183"/>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Managing Director</w:t>
            </w:r>
          </w:p>
        </w:tc>
      </w:tr>
    </w:tbl>
    <w:p>
      <w:pPr>
        <w:spacing w:after="0" w:line="10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PLATINUM SPINCO INC.</w:t>
      </w:r>
    </w:p>
    <w:p>
      <w:pPr>
        <w:spacing w:after="0" w:line="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CREDIT AGREEMENT</w:t>
      </w:r>
    </w:p>
    <w:p>
      <w:pPr>
        <w:sectPr>
          <w:pgSz w:w="11900" w:h="16838" w:orient="portrait"/>
          <w:cols w:equalWidth="0" w:num="1">
            <w:col w:w="9019"/>
          </w:cols>
          <w:pgMar w:left="1440" w:top="241" w:right="1440" w:bottom="1440" w:gutter="0" w:footer="0" w:header="0"/>
        </w:sectPr>
      </w:pPr>
    </w:p>
    <w:bookmarkStart w:id="707" w:name="page708"/>
    <w:bookmarkEnd w:id="707"/>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5" w:lineRule="exact"/>
        <w:rPr>
          <w:sz w:val="20"/>
          <w:szCs w:val="20"/>
          <w:color w:val="auto"/>
        </w:rPr>
      </w:pPr>
    </w:p>
    <w:p>
      <w:pPr>
        <w:ind w:left="220" w:right="359"/>
        <w:spacing w:after="0" w:line="287" w:lineRule="auto"/>
        <w:rPr>
          <w:sz w:val="20"/>
          <w:szCs w:val="20"/>
          <w:color w:val="auto"/>
        </w:rPr>
      </w:pPr>
      <w:r>
        <w:rPr>
          <w:rFonts w:ascii="Times New Roman" w:cs="Times New Roman" w:eastAsia="Times New Roman" w:hAnsi="Times New Roman"/>
          <w:sz w:val="13"/>
          <w:szCs w:val="13"/>
          <w:color w:val="auto"/>
        </w:rPr>
        <w:t>We consent to the reference to our firm under the caption “Experts” in the Registration Statement (Form S-4) and related Prospectus of Gentherm Incorporated for the registration of its common stock and to the incorporation by reference therein of our reports dated February 19, 2026, with respect to the consolidated financial statements of Gentherm Incorporated, and the effectiveness of internal control over financial reporting of Gentherm Incorporated, included in its Annual Report (Form 10-K) for the year ended December 31, 2025, filed with the Securities and Exchange Commission.</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3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Detroit, Michigan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July 2, 2026</w:t>
      </w:r>
    </w:p>
    <w:p>
      <w:pPr>
        <w:sectPr>
          <w:pgSz w:w="11900" w:h="16838" w:orient="portrait"/>
          <w:cols w:equalWidth="0" w:num="1">
            <w:col w:w="9019"/>
          </w:cols>
          <w:pgMar w:left="1440" w:top="124" w:right="1440" w:bottom="1440" w:gutter="0" w:footer="0" w:header="0"/>
        </w:sectPr>
      </w:pPr>
    </w:p>
    <w:bookmarkStart w:id="708" w:name="page709"/>
    <w:bookmarkEnd w:id="708"/>
    <w:p>
      <w:pPr>
        <w:jc w:val="right"/>
        <w:ind w:right="219"/>
        <w:spacing w:after="0"/>
        <w:rPr>
          <w:sz w:val="20"/>
          <w:szCs w:val="20"/>
          <w:color w:val="auto"/>
        </w:rPr>
      </w:pPr>
      <w:r>
        <w:rPr>
          <w:rFonts w:ascii="Times New Roman" w:cs="Times New Roman" w:eastAsia="Times New Roman" w:hAnsi="Times New Roman"/>
          <w:sz w:val="14"/>
          <w:szCs w:val="14"/>
          <w:color w:val="auto"/>
        </w:rPr>
        <w:t>Exhibit 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133350</wp:posOffset>
            </wp:positionV>
            <wp:extent cx="661035" cy="2736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9">
                      <a:extLst>
                        <a:ext uri="{28A0092B-C50C-407E-A947-70E740481C1C}"/>
                      </a:extLst>
                    </a:blip>
                    <a:srcRect/>
                    <a:stretch>
                      <a:fillRect/>
                    </a:stretch>
                  </pic:blipFill>
                  <pic:spPr bwMode="auto">
                    <a:xfrm>
                      <a:off x="0" y="0"/>
                      <a:ext cx="661035" cy="27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KPMG LLP</w:t>
      </w: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Suite 1050</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833 East Michigan Street</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Milwaukee, WI 53202-5337</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7" w:lineRule="exact"/>
        <w:rPr>
          <w:sz w:val="20"/>
          <w:szCs w:val="20"/>
          <w:color w:val="auto"/>
        </w:rPr>
      </w:pPr>
    </w:p>
    <w:p>
      <w:pPr>
        <w:ind w:left="220" w:right="279"/>
        <w:spacing w:after="0" w:line="283" w:lineRule="auto"/>
        <w:rPr>
          <w:sz w:val="20"/>
          <w:szCs w:val="20"/>
          <w:color w:val="auto"/>
        </w:rPr>
      </w:pPr>
      <w:r>
        <w:rPr>
          <w:rFonts w:ascii="Times New Roman" w:cs="Times New Roman" w:eastAsia="Times New Roman" w:hAnsi="Times New Roman"/>
          <w:sz w:val="14"/>
          <w:szCs w:val="14"/>
          <w:color w:val="auto"/>
        </w:rPr>
        <w:t>We consent to the use of our report dated June 25, 2026, with respect to the combined financial statements of the Performance Technologies Business of Modine Manufacturing Company included herein and to the reference to our firm under the heading “Experts” in the prospectus.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 KPMG LLP</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Milwaukee, Wisconsin</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July 2, 2026</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1"/>
          <w:szCs w:val="11"/>
          <w:color w:val="auto"/>
        </w:rPr>
        <w:t>KPMG LLP, a Delaware limited liability partnership, and its subsidiaries are part of</w:t>
      </w:r>
    </w:p>
    <w:p>
      <w:pPr>
        <w:ind w:left="220"/>
        <w:spacing w:after="0" w:line="221" w:lineRule="auto"/>
        <w:rPr>
          <w:sz w:val="20"/>
          <w:szCs w:val="20"/>
          <w:color w:val="auto"/>
        </w:rPr>
      </w:pPr>
      <w:r>
        <w:rPr>
          <w:rFonts w:ascii="Times New Roman" w:cs="Times New Roman" w:eastAsia="Times New Roman" w:hAnsi="Times New Roman"/>
          <w:sz w:val="11"/>
          <w:szCs w:val="11"/>
          <w:color w:val="auto"/>
        </w:rPr>
        <w:t>the KPMG global organization of independent member firms affiliated with KPMG</w:t>
      </w:r>
    </w:p>
    <w:p>
      <w:pPr>
        <w:ind w:left="220"/>
        <w:spacing w:after="0"/>
        <w:rPr>
          <w:sz w:val="20"/>
          <w:szCs w:val="20"/>
          <w:color w:val="auto"/>
        </w:rPr>
      </w:pPr>
      <w:r>
        <w:rPr>
          <w:rFonts w:ascii="Times New Roman" w:cs="Times New Roman" w:eastAsia="Times New Roman" w:hAnsi="Times New Roman"/>
          <w:sz w:val="11"/>
          <w:szCs w:val="11"/>
          <w:color w:val="auto"/>
        </w:rPr>
        <w:t>International Limited, a private English company limited by guarantee.</w:t>
      </w:r>
    </w:p>
    <w:p>
      <w:pPr>
        <w:sectPr>
          <w:pgSz w:w="11900" w:h="16838" w:orient="portrait"/>
          <w:cols w:equalWidth="0" w:num="1">
            <w:col w:w="9019"/>
          </w:cols>
          <w:pgMar w:left="1440" w:top="125" w:right="1440" w:bottom="1440" w:gutter="0" w:footer="0" w:header="0"/>
        </w:sectPr>
      </w:pPr>
    </w:p>
    <w:bookmarkStart w:id="709" w:name="page710"/>
    <w:bookmarkEnd w:id="709"/>
    <w:p>
      <w:pPr>
        <w:ind w:left="8100"/>
        <w:spacing w:after="0"/>
        <w:rPr>
          <w:sz w:val="20"/>
          <w:szCs w:val="20"/>
          <w:color w:val="auto"/>
        </w:rPr>
      </w:pPr>
      <w:r>
        <w:rPr>
          <w:rFonts w:ascii="Times New Roman" w:cs="Times New Roman" w:eastAsia="Times New Roman" w:hAnsi="Times New Roman"/>
          <w:sz w:val="14"/>
          <w:szCs w:val="14"/>
          <w:color w:val="auto"/>
        </w:rPr>
        <w:t>Exhibit 99.1</w:t>
      </w:r>
    </w:p>
    <w:p>
      <w:pPr>
        <w:spacing w:after="0" w:line="194"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745 Seventh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-90805</wp:posOffset>
            </wp:positionV>
            <wp:extent cx="1155065" cy="24003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0">
                      <a:extLst>
                        <a:ext uri="{28A0092B-C50C-407E-A947-70E740481C1C}"/>
                      </a:extLst>
                    </a:blip>
                    <a:srcRect/>
                    <a:stretch>
                      <a:fillRect/>
                    </a:stretch>
                  </pic:blipFill>
                  <pic:spPr bwMode="auto">
                    <a:xfrm>
                      <a:off x="0" y="0"/>
                      <a:ext cx="1155065" cy="240030"/>
                    </a:xfrm>
                    <a:prstGeom prst="rect">
                      <a:avLst/>
                    </a:prstGeom>
                    <a:noFill/>
                  </pic:spPr>
                </pic:pic>
              </a:graphicData>
            </a:graphic>
          </wp:anchor>
        </w:drawing>
      </w:r>
    </w:p>
    <w:p>
      <w:pPr>
        <w:spacing w:after="0" w:line="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3"/>
          <w:szCs w:val="13"/>
          <w:b w:val="1"/>
          <w:bCs w:val="1"/>
          <w:color w:val="auto"/>
        </w:rPr>
        <w:t>New York, NY 10019</w:t>
      </w:r>
    </w:p>
    <w:p>
      <w:pPr>
        <w:spacing w:after="0" w:line="1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 xml:space="preserve">United States          </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i w:val="1"/>
          <w:iCs w:val="1"/>
          <w:color w:val="auto"/>
        </w:rPr>
        <w:t>July 2, 2026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BARCLAYS CAPITAL INC.</w:t>
      </w:r>
    </w:p>
    <w:p>
      <w:pPr>
        <w:spacing w:after="0" w:line="177" w:lineRule="exact"/>
        <w:rPr>
          <w:sz w:val="20"/>
          <w:szCs w:val="20"/>
          <w:color w:val="auto"/>
        </w:rPr>
      </w:pPr>
    </w:p>
    <w:p>
      <w:pPr>
        <w:ind w:left="220" w:right="279"/>
        <w:spacing w:after="0" w:line="256" w:lineRule="auto"/>
        <w:rPr>
          <w:sz w:val="20"/>
          <w:szCs w:val="20"/>
          <w:color w:val="auto"/>
        </w:rPr>
      </w:pPr>
      <w:r>
        <w:rPr>
          <w:rFonts w:ascii="Times New Roman" w:cs="Times New Roman" w:eastAsia="Times New Roman" w:hAnsi="Times New Roman"/>
          <w:sz w:val="14"/>
          <w:szCs w:val="14"/>
          <w:color w:val="auto"/>
        </w:rPr>
        <w:t>We hereby consent to (i) the inclusion of our opinion letter, dated January 29, 2026, to the Board of Directors of Gentherm Incorporated (“Gentherm”), as Annex C to the proxy statement/prospectus that forms a part of the Registration Statement on Form S-4 of Gentherm, as filed by Gentherm on July 2, 2026 (the “Registration Statement”), relating to the Merger (as defined in the Registration Statement) and (ii) the references in the Registration Statement to such opinion and our firm in the Registration Statement under the headings “Summary—Opinion of Gentherm’s Financial Advisors”, “Risk Factors—Risks Related to the Transactions”, “The Transactions—Background of the Transactions”, “The Transactions—Gentherm’s Reasons for the Merger; Recommendation of Gentherm’s Board of Directors”, “The Transactions—Certain Financial Forecasts”, “The Transactions—Opinion of Barclays” and “Annex C—Opinion of Barclays Capital Inc.”.</w:t>
      </w:r>
    </w:p>
    <w:p>
      <w:pPr>
        <w:spacing w:after="0" w:line="144" w:lineRule="exact"/>
        <w:rPr>
          <w:sz w:val="20"/>
          <w:szCs w:val="20"/>
          <w:color w:val="auto"/>
        </w:rPr>
      </w:pPr>
    </w:p>
    <w:p>
      <w:pPr>
        <w:ind w:left="220" w:right="259"/>
        <w:spacing w:after="0" w:line="261" w:lineRule="auto"/>
        <w:rPr>
          <w:sz w:val="20"/>
          <w:szCs w:val="20"/>
          <w:color w:val="auto"/>
        </w:rPr>
      </w:pPr>
      <w:r>
        <w:rPr>
          <w:rFonts w:ascii="Times New Roman" w:cs="Times New Roman" w:eastAsia="Times New Roman" w:hAnsi="Times New Roman"/>
          <w:sz w:val="14"/>
          <w:szCs w:val="14"/>
          <w:color w:val="auto"/>
        </w:rPr>
        <w:t>In giving such consent, we do not admit that we come within the category of persons whose consent is required under Section 7 of the U.S. Securities Act of 1933, as amended, or the rules and regulations adopted by the U.S. Securities and Exchange Commission thereunder, nor do we admit that we are experts with respect to any part of the Registration Statement within the meaning of the term “experts” as used in the U.S. Securities Act of 1933, as amended, or the rules and regulations of the U.S. Securities and Exchange Commission thereunder.</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BARCLAYS CAPITAL INC.</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Rory Elliot</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 Rory Elliot</w:t>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Managing Director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Restricted - External</w:t>
      </w:r>
    </w:p>
    <w:p>
      <w:pPr>
        <w:sectPr>
          <w:pgSz w:w="11900" w:h="16838" w:orient="portrait"/>
          <w:cols w:equalWidth="0" w:num="1">
            <w:col w:w="9019"/>
          </w:cols>
          <w:pgMar w:left="1440" w:top="125" w:right="1440" w:bottom="1440" w:gutter="0" w:footer="0" w:header="0"/>
        </w:sectPr>
      </w:pPr>
    </w:p>
    <w:bookmarkStart w:id="710" w:name="page711"/>
    <w:bookmarkEnd w:id="710"/>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S-4</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Gentherm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68"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20,665,617</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$ 67,186.33</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no par</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9"/>
              </w:rPr>
              <w:t>486,504,949.00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$ 67,186.33</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486,504,949.00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$ 67,186.33</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90" w:lineRule="exact"/>
        <w:rPr>
          <w:sz w:val="20"/>
          <w:szCs w:val="20"/>
          <w:color w:val="auto"/>
        </w:rPr>
      </w:pPr>
    </w:p>
    <w:p>
      <w:pPr>
        <w:ind w:left="220" w:hanging="184"/>
        <w:spacing w:after="0"/>
        <w:tabs>
          <w:tab w:leader="none" w:pos="220" w:val="left"/>
        </w:tabs>
        <w:numPr>
          <w:ilvl w:val="0"/>
          <w:numId w:val="783"/>
        </w:numPr>
        <w:rPr>
          <w:rFonts w:ascii="Arial" w:cs="Arial" w:eastAsia="Arial" w:hAnsi="Arial"/>
          <w:sz w:val="21"/>
          <w:szCs w:val="21"/>
          <w:color w:val="auto"/>
          <w:vertAlign w:val="superscript"/>
        </w:rPr>
      </w:pPr>
      <w:r>
        <w:rPr>
          <w:rFonts w:ascii="Arial" w:cs="Arial" w:eastAsia="Arial" w:hAnsi="Arial"/>
          <w:sz w:val="17"/>
          <w:szCs w:val="17"/>
          <w:color w:val="auto"/>
        </w:rPr>
        <w:t>Rule 457(f) Fee Calculation Details</w:t>
      </w:r>
    </w:p>
    <w:p>
      <w:pPr>
        <w:spacing w:after="0" w:line="156" w:lineRule="exact"/>
        <w:rPr>
          <w:rFonts w:ascii="Arial" w:cs="Arial" w:eastAsia="Arial" w:hAnsi="Arial"/>
          <w:sz w:val="21"/>
          <w:szCs w:val="21"/>
          <w:color w:val="auto"/>
          <w:vertAlign w:val="superscript"/>
        </w:rPr>
      </w:pPr>
    </w:p>
    <w:p>
      <w:pPr>
        <w:ind w:left="220" w:right="120"/>
        <w:spacing w:after="0" w:line="237" w:lineRule="auto"/>
        <w:rPr>
          <w:rFonts w:ascii="Arial" w:cs="Arial" w:eastAsia="Arial" w:hAnsi="Arial"/>
          <w:sz w:val="21"/>
          <w:szCs w:val="21"/>
          <w:color w:val="auto"/>
          <w:vertAlign w:val="superscript"/>
        </w:rPr>
      </w:pPr>
      <w:r>
        <w:rPr>
          <w:rFonts w:ascii="Arial" w:cs="Arial" w:eastAsia="Arial" w:hAnsi="Arial"/>
          <w:sz w:val="17"/>
          <w:szCs w:val="17"/>
          <w:color w:val="auto"/>
        </w:rPr>
        <w:t>The registration statement relates to 20,665,617 shares of common stock, no par value, of Gentherm Incorporated ("Gentherm" and such stock, "Gentherm Common Stock"), issuable to holders of common stock, par value $0.01 per share, of Platinum SpinCo Inc. ("SpinCo" and such stock, "SpinCo Common Stock") pursuant to the proposed merger (the "Merger") of Platinum Gold Merger Sub Inc., a Delaware corporation and a wholly owned subsidiary of Gentherm ("Merger Sub"), with and into SpinCo. Solely for the purpose of calculating the registration fee required by Section 6(b) of the Securities Act of 1933, as amended (the "Securities Act"), the proposed maximum aggregate offering price with respect to the shares of Gentherm Common Stock issuable to holders of SpinCo Common Stock pursuant to the Merger is estimated at $486,504,949, which has been calculated pursuant to Rule 457(f)(2) of the Securities Act based upon the book value of all shares of SpinCo Common Stock to be exchanged in the Merger as of March 31, 2026, the latest practicable date for which such information is available.</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020" w:type="dxa"/>
            <w:vAlign w:val="bottom"/>
            <w:gridSpan w:val="7"/>
          </w:tcPr>
          <w:p>
            <w:pPr>
              <w:jc w:val="center"/>
              <w:ind w:left="116"/>
              <w:spacing w:after="0"/>
              <w:rPr>
                <w:sz w:val="20"/>
                <w:szCs w:val="20"/>
                <w:color w:val="auto"/>
              </w:rPr>
            </w:pPr>
            <w:r>
              <w:rPr>
                <w:rFonts w:ascii="Arial" w:cs="Arial" w:eastAsia="Arial" w:hAnsi="Arial"/>
                <w:sz w:val="17"/>
                <w:szCs w:val="17"/>
                <w:b w:val="1"/>
                <w:bCs w:val="1"/>
                <w:color w:val="auto"/>
                <w:w w:val="99"/>
              </w:rPr>
              <w:t>Amount of Securities</w:t>
            </w:r>
          </w:p>
        </w:tc>
        <w:tc>
          <w:tcPr>
            <w:tcW w:w="20" w:type="dxa"/>
            <w:vAlign w:val="bottom"/>
          </w:tcPr>
          <w:p>
            <w:pPr>
              <w:spacing w:after="0"/>
              <w:rPr>
                <w:sz w:val="16"/>
                <w:szCs w:val="16"/>
                <w:color w:val="auto"/>
              </w:rPr>
            </w:pPr>
          </w:p>
        </w:tc>
        <w:tc>
          <w:tcPr>
            <w:tcW w:w="1880" w:type="dxa"/>
            <w:vAlign w:val="bottom"/>
            <w:gridSpan w:val="3"/>
          </w:tcPr>
          <w:p>
            <w:pPr>
              <w:jc w:val="center"/>
              <w:ind w:left="336"/>
              <w:spacing w:after="0"/>
              <w:rPr>
                <w:sz w:val="20"/>
                <w:szCs w:val="20"/>
                <w:color w:val="auto"/>
              </w:rPr>
            </w:pPr>
            <w:r>
              <w:rPr>
                <w:rFonts w:ascii="Arial" w:cs="Arial" w:eastAsia="Arial" w:hAnsi="Arial"/>
                <w:sz w:val="17"/>
                <w:szCs w:val="17"/>
                <w:b w:val="1"/>
                <w:bCs w:val="1"/>
                <w:color w:val="auto"/>
                <w:w w:val="97"/>
              </w:rPr>
              <w:t>Value per Share of</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00" w:type="dxa"/>
            <w:vAlign w:val="bottom"/>
            <w:gridSpan w:val="25"/>
          </w:tcPr>
          <w:p>
            <w:pPr>
              <w:ind w:left="60"/>
              <w:spacing w:after="0"/>
              <w:rPr>
                <w:sz w:val="20"/>
                <w:szCs w:val="20"/>
                <w:color w:val="auto"/>
              </w:rPr>
            </w:pPr>
            <w:r>
              <w:rPr>
                <w:rFonts w:ascii="Arial" w:cs="Arial" w:eastAsia="Arial" w:hAnsi="Arial"/>
                <w:sz w:val="17"/>
                <w:szCs w:val="17"/>
                <w:b w:val="1"/>
                <w:bCs w:val="1"/>
                <w:color w:val="auto"/>
              </w:rPr>
              <w:t>Total Value of Securities  Cash Consideration  Cash Consideration</w:t>
            </w:r>
          </w:p>
        </w:tc>
        <w:tc>
          <w:tcPr>
            <w:tcW w:w="1460" w:type="dxa"/>
            <w:vAlign w:val="bottom"/>
            <w:gridSpan w:val="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020" w:type="dxa"/>
            <w:vAlign w:val="bottom"/>
            <w:gridSpan w:val="7"/>
          </w:tcPr>
          <w:p>
            <w:pPr>
              <w:jc w:val="center"/>
              <w:ind w:left="136"/>
              <w:spacing w:after="0" w:line="189" w:lineRule="exact"/>
              <w:rPr>
                <w:sz w:val="20"/>
                <w:szCs w:val="20"/>
                <w:color w:val="auto"/>
              </w:rPr>
            </w:pPr>
            <w:r>
              <w:rPr>
                <w:rFonts w:ascii="Arial" w:cs="Arial" w:eastAsia="Arial" w:hAnsi="Arial"/>
                <w:sz w:val="17"/>
                <w:szCs w:val="17"/>
                <w:b w:val="1"/>
                <w:bCs w:val="1"/>
                <w:color w:val="auto"/>
                <w:w w:val="98"/>
              </w:rPr>
              <w:t>to be Received or</w:t>
            </w:r>
          </w:p>
        </w:tc>
        <w:tc>
          <w:tcPr>
            <w:tcW w:w="20" w:type="dxa"/>
            <w:vAlign w:val="bottom"/>
          </w:tcPr>
          <w:p>
            <w:pPr>
              <w:spacing w:after="0"/>
              <w:rPr>
                <w:sz w:val="16"/>
                <w:szCs w:val="16"/>
                <w:color w:val="auto"/>
              </w:rPr>
            </w:pPr>
          </w:p>
        </w:tc>
        <w:tc>
          <w:tcPr>
            <w:tcW w:w="2240" w:type="dxa"/>
            <w:vAlign w:val="bottom"/>
            <w:gridSpan w:val="5"/>
          </w:tcPr>
          <w:p>
            <w:pPr>
              <w:jc w:val="center"/>
              <w:spacing w:after="0" w:line="189" w:lineRule="exact"/>
              <w:rPr>
                <w:sz w:val="20"/>
                <w:szCs w:val="20"/>
                <w:color w:val="auto"/>
              </w:rPr>
            </w:pPr>
            <w:r>
              <w:rPr>
                <w:rFonts w:ascii="Arial" w:cs="Arial" w:eastAsia="Arial" w:hAnsi="Arial"/>
                <w:sz w:val="17"/>
                <w:szCs w:val="17"/>
                <w:b w:val="1"/>
                <w:bCs w:val="1"/>
                <w:color w:val="auto"/>
                <w:w w:val="99"/>
              </w:rPr>
              <w:t>Securities to be Received</w:t>
            </w:r>
          </w:p>
        </w:tc>
        <w:tc>
          <w:tcPr>
            <w:tcW w:w="1800" w:type="dxa"/>
            <w:vAlign w:val="bottom"/>
            <w:gridSpan w:val="9"/>
          </w:tcPr>
          <w:p>
            <w:pPr>
              <w:jc w:val="center"/>
              <w:ind w:left="196"/>
              <w:spacing w:after="0" w:line="189" w:lineRule="exact"/>
              <w:rPr>
                <w:sz w:val="20"/>
                <w:szCs w:val="20"/>
                <w:color w:val="auto"/>
              </w:rPr>
            </w:pPr>
            <w:r>
              <w:rPr>
                <w:rFonts w:ascii="Arial" w:cs="Arial" w:eastAsia="Arial" w:hAnsi="Arial"/>
                <w:sz w:val="17"/>
                <w:szCs w:val="17"/>
                <w:b w:val="1"/>
                <w:bCs w:val="1"/>
                <w:color w:val="auto"/>
                <w:w w:val="98"/>
              </w:rPr>
              <w:t>to be Received or</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jc w:val="center"/>
              <w:ind w:right="496"/>
              <w:spacing w:after="0" w:line="189" w:lineRule="exact"/>
              <w:rPr>
                <w:sz w:val="20"/>
                <w:szCs w:val="20"/>
                <w:color w:val="auto"/>
              </w:rPr>
            </w:pPr>
            <w:r>
              <w:rPr>
                <w:rFonts w:ascii="Arial" w:cs="Arial" w:eastAsia="Arial" w:hAnsi="Arial"/>
                <w:sz w:val="17"/>
                <w:szCs w:val="17"/>
                <w:b w:val="1"/>
                <w:bCs w:val="1"/>
                <w:color w:val="auto"/>
                <w:w w:val="98"/>
              </w:rPr>
              <w:t>Received by the</w:t>
            </w:r>
          </w:p>
        </w:tc>
        <w:tc>
          <w:tcPr>
            <w:tcW w:w="20" w:type="dxa"/>
            <w:vAlign w:val="bottom"/>
          </w:tcPr>
          <w:p>
            <w:pPr>
              <w:spacing w:after="0"/>
              <w:rPr>
                <w:sz w:val="16"/>
                <w:szCs w:val="16"/>
                <w:color w:val="auto"/>
              </w:rPr>
            </w:pPr>
          </w:p>
        </w:tc>
        <w:tc>
          <w:tcPr>
            <w:tcW w:w="1040" w:type="dxa"/>
            <w:vAlign w:val="bottom"/>
            <w:gridSpan w:val="5"/>
          </w:tcPr>
          <w:p>
            <w:pPr>
              <w:spacing w:after="0" w:line="189" w:lineRule="exact"/>
              <w:rPr>
                <w:sz w:val="20"/>
                <w:szCs w:val="20"/>
                <w:color w:val="auto"/>
              </w:rPr>
            </w:pPr>
            <w:r>
              <w:rPr>
                <w:rFonts w:ascii="Arial" w:cs="Arial" w:eastAsia="Arial" w:hAnsi="Arial"/>
                <w:sz w:val="17"/>
                <w:szCs w:val="17"/>
                <w:b w:val="1"/>
                <w:bCs w:val="1"/>
                <w:color w:val="auto"/>
                <w:w w:val="99"/>
              </w:rPr>
              <w:t>(Paid) by the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5"/>
          </w:tcPr>
          <w:p>
            <w:pPr>
              <w:jc w:val="center"/>
              <w:ind w:right="156"/>
              <w:spacing w:after="0"/>
              <w:rPr>
                <w:sz w:val="20"/>
                <w:szCs w:val="20"/>
                <w:color w:val="auto"/>
              </w:rPr>
            </w:pPr>
            <w:r>
              <w:rPr>
                <w:rFonts w:ascii="Arial" w:cs="Arial" w:eastAsia="Arial" w:hAnsi="Arial"/>
                <w:sz w:val="17"/>
                <w:szCs w:val="17"/>
                <w:b w:val="1"/>
                <w:bCs w:val="1"/>
                <w:color w:val="auto"/>
                <w:w w:val="99"/>
              </w:rPr>
              <w:t>Cancelled</w:t>
            </w:r>
          </w:p>
        </w:tc>
        <w:tc>
          <w:tcPr>
            <w:tcW w:w="20" w:type="dxa"/>
            <w:vAlign w:val="bottom"/>
          </w:tcPr>
          <w:p>
            <w:pPr>
              <w:spacing w:after="0"/>
              <w:rPr>
                <w:sz w:val="20"/>
                <w:szCs w:val="20"/>
                <w:color w:val="auto"/>
              </w:rPr>
            </w:pPr>
          </w:p>
        </w:tc>
        <w:tc>
          <w:tcPr>
            <w:tcW w:w="1880" w:type="dxa"/>
            <w:vAlign w:val="bottom"/>
            <w:gridSpan w:val="3"/>
          </w:tcPr>
          <w:p>
            <w:pPr>
              <w:jc w:val="center"/>
              <w:ind w:left="336"/>
              <w:spacing w:after="0"/>
              <w:rPr>
                <w:sz w:val="20"/>
                <w:szCs w:val="20"/>
                <w:color w:val="auto"/>
              </w:rPr>
            </w:pPr>
            <w:r>
              <w:rPr>
                <w:rFonts w:ascii="Arial" w:cs="Arial" w:eastAsia="Arial" w:hAnsi="Arial"/>
                <w:sz w:val="17"/>
                <w:szCs w:val="17"/>
                <w:b w:val="1"/>
                <w:bCs w:val="1"/>
                <w:color w:val="auto"/>
                <w:w w:val="99"/>
              </w:rPr>
              <w:t>or Cancelled</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jc w:val="center"/>
              <w:ind w:right="116"/>
              <w:spacing w:after="0"/>
              <w:rPr>
                <w:sz w:val="20"/>
                <w:szCs w:val="20"/>
                <w:color w:val="auto"/>
              </w:rPr>
            </w:pPr>
            <w:r>
              <w:rPr>
                <w:rFonts w:ascii="Arial" w:cs="Arial" w:eastAsia="Arial" w:hAnsi="Arial"/>
                <w:sz w:val="17"/>
                <w:szCs w:val="17"/>
                <w:b w:val="1"/>
                <w:bCs w:val="1"/>
                <w:color w:val="auto"/>
                <w:w w:val="99"/>
              </w:rPr>
              <w:t>Cancelled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ind w:left="76"/>
              <w:spacing w:after="0"/>
              <w:rPr>
                <w:sz w:val="20"/>
                <w:szCs w:val="20"/>
                <w:color w:val="auto"/>
              </w:rPr>
            </w:pPr>
            <w:r>
              <w:rPr>
                <w:rFonts w:ascii="Arial" w:cs="Arial" w:eastAsia="Arial" w:hAnsi="Arial"/>
                <w:sz w:val="17"/>
                <w:szCs w:val="17"/>
                <w:b w:val="1"/>
                <w:bCs w:val="1"/>
                <w:color w:val="auto"/>
                <w:w w:val="96"/>
              </w:rPr>
              <w:t>registrant</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rPr>
              <w:t>registrant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6"/>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0" w:type="dxa"/>
            <w:vAlign w:val="bottom"/>
          </w:tcPr>
          <w:p>
            <w:pPr>
              <w:spacing w:after="0"/>
              <w:rPr>
                <w:sz w:val="1"/>
                <w:szCs w:val="1"/>
                <w:color w:val="auto"/>
              </w:rPr>
            </w:pPr>
          </w:p>
        </w:tc>
      </w:tr>
      <w:tr>
        <w:trPr>
          <w:trHeight w:val="223"/>
        </w:trPr>
        <w:tc>
          <w:tcPr>
            <w:tcW w:w="1740" w:type="dxa"/>
            <w:vAlign w:val="bottom"/>
            <w:gridSpan w:val="6"/>
          </w:tcPr>
          <w:p>
            <w:pPr>
              <w:jc w:val="center"/>
              <w:ind w:left="476"/>
              <w:spacing w:after="0"/>
              <w:rPr>
                <w:sz w:val="20"/>
                <w:szCs w:val="20"/>
                <w:color w:val="auto"/>
              </w:rPr>
            </w:pPr>
            <w:r>
              <w:rPr>
                <w:rFonts w:ascii="Arial" w:cs="Arial" w:eastAsia="Arial" w:hAnsi="Arial"/>
                <w:sz w:val="17"/>
                <w:szCs w:val="17"/>
                <w:color w:val="auto"/>
                <w:w w:val="98"/>
              </w:rPr>
              <w:t>5,000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4"/>
          </w:tcPr>
          <w:p>
            <w:pPr>
              <w:jc w:val="center"/>
              <w:ind w:left="336"/>
              <w:spacing w:after="0"/>
              <w:rPr>
                <w:sz w:val="20"/>
                <w:szCs w:val="20"/>
                <w:color w:val="auto"/>
              </w:rPr>
            </w:pPr>
            <w:r>
              <w:rPr>
                <w:rFonts w:ascii="Arial" w:cs="Arial" w:eastAsia="Arial" w:hAnsi="Arial"/>
                <w:sz w:val="17"/>
                <w:szCs w:val="17"/>
                <w:color w:val="auto"/>
                <w:w w:val="99"/>
              </w:rPr>
              <w:t>$ 97,300.9898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6"/>
          </w:tcPr>
          <w:p>
            <w:pPr>
              <w:jc w:val="center"/>
              <w:spacing w:after="0"/>
              <w:rPr>
                <w:sz w:val="20"/>
                <w:szCs w:val="20"/>
                <w:color w:val="auto"/>
              </w:rPr>
            </w:pPr>
            <w:r>
              <w:rPr>
                <w:rFonts w:ascii="Arial" w:cs="Arial" w:eastAsia="Arial" w:hAnsi="Arial"/>
                <w:sz w:val="17"/>
                <w:szCs w:val="17"/>
                <w:color w:val="auto"/>
                <w:w w:val="95"/>
              </w:rPr>
              <w:t>$ 486,504,949.00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5"/>
          </w:tcPr>
          <w:p>
            <w:pPr>
              <w:jc w:val="center"/>
              <w:spacing w:after="0"/>
              <w:rPr>
                <w:sz w:val="20"/>
                <w:szCs w:val="20"/>
                <w:color w:val="auto"/>
              </w:rPr>
            </w:pPr>
            <w:r>
              <w:rPr>
                <w:rFonts w:ascii="Arial" w:cs="Arial" w:eastAsia="Arial" w:hAnsi="Arial"/>
                <w:sz w:val="17"/>
                <w:szCs w:val="17"/>
                <w:color w:val="auto"/>
                <w:w w:val="99"/>
              </w:rPr>
              <w:t>$ 486,504,949.00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gridSpan w:val="2"/>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gridSpan w:val="2"/>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84"/>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4"/>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tcBorders>
              <w:right w:val="single" w:sz="8" w:color="9ADAF6"/>
            </w:tcBorders>
            <w:gridSpan w:val="2"/>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4"/>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right w:val="single" w:sz="8" w:color="9ADAF6"/>
            </w:tcBorders>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40" w:type="dxa"/>
            <w:vAlign w:val="bottom"/>
            <w:shd w:val="clear" w:color="auto" w:fill="9ADAF6"/>
          </w:tcPr>
          <w:p>
            <w:pPr>
              <w:jc w:val="center"/>
              <w:ind w:right="216"/>
              <w:spacing w:after="0" w:line="16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60" w:type="dxa"/>
            <w:vAlign w:val="bottom"/>
            <w:tcBorders>
              <w:right w:val="single" w:sz="8" w:color="9ADAF6"/>
            </w:tcBorders>
            <w:gridSpan w:val="2"/>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2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820" w:type="dxa"/>
            <w:vAlign w:val="bottom"/>
            <w:shd w:val="clear" w:color="auto" w:fill="9ADAF6"/>
          </w:tcPr>
          <w:p>
            <w:pPr>
              <w:jc w:val="center"/>
              <w:ind w:left="36"/>
              <w:spacing w:after="0" w:line="16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80" w:type="dxa"/>
            <w:vAlign w:val="bottom"/>
            <w:gridSpan w:val="4"/>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Offset</w:t>
            </w: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42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vMerge w:val="continue"/>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2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740" w:type="dxa"/>
            <w:vAlign w:val="bottom"/>
            <w:gridSpan w:val="3"/>
            <w:shd w:val="clear" w:color="auto" w:fill="9ADAF6"/>
          </w:tcPr>
          <w:p>
            <w:pPr>
              <w:jc w:val="center"/>
              <w:ind w:right="156"/>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42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4"/>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0" w:type="dxa"/>
            <w:vAlign w:val="bottom"/>
            <w:gridSpan w:val="13"/>
          </w:tcPr>
          <w:p>
            <w:pPr>
              <w:ind w:left="26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2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2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2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42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ind w:left="1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2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860" w:type="dxa"/>
            <w:vAlign w:val="bottom"/>
            <w:gridSpan w:val="5"/>
            <w:shd w:val="clear" w:color="auto" w:fill="9ADAF6"/>
          </w:tcPr>
          <w:p>
            <w:pPr>
              <w:jc w:val="center"/>
              <w:ind w:right="76"/>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2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24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42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gridSpan w:val="5"/>
            <w:vMerge w:val="continue"/>
            <w:shd w:val="clear" w:color="auto" w:fill="9ADAF6"/>
          </w:tcPr>
          <w:p>
            <w:pPr>
              <w:spacing w:after="0"/>
              <w:rPr>
                <w:sz w:val="8"/>
                <w:szCs w:val="8"/>
                <w:color w:val="auto"/>
              </w:rPr>
            </w:pPr>
          </w:p>
        </w:tc>
        <w:tc>
          <w:tcPr>
            <w:tcW w:w="42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2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42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6"/>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5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2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-3639820</wp:posOffset>
            </wp:positionV>
            <wp:extent cx="3238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-3639820</wp:posOffset>
            </wp:positionV>
            <wp:extent cx="3238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bookmarkStart w:id="711" w:name="page712"/>
    <w:bookmarkEnd w:id="7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DF53B"/>
    <w:multiLevelType w:val="hybridMultilevel"/>
    <w:lvl w:ilvl="0">
      <w:lvlJc w:val="left"/>
      <w:lvlText w:val="•"/>
      <w:numFmt w:val="bullet"/>
      <w:start w:val="1"/>
    </w:lvl>
  </w:abstractNum>
  <w:abstractNum w:abstractNumId="1">
    <w:nsid w:val="ACDFAC0"/>
    <w:multiLevelType w:val="hybridMultilevel"/>
    <w:lvl w:ilvl="0">
      <w:lvlJc w:val="left"/>
      <w:lvlText w:val="•"/>
      <w:numFmt w:val="bullet"/>
      <w:start w:val="1"/>
    </w:lvl>
  </w:abstractNum>
  <w:abstractNum w:abstractNumId="2">
    <w:nsid w:val="1F578454"/>
    <w:multiLevelType w:val="hybridMultilevel"/>
    <w:lvl w:ilvl="0">
      <w:lvlJc w:val="left"/>
      <w:lvlText w:val="%1."/>
      <w:numFmt w:val="decimal"/>
      <w:start w:val="1"/>
    </w:lvl>
  </w:abstractNum>
  <w:abstractNum w:abstractNumId="3">
    <w:nsid w:val="5B0DAD2A"/>
    <w:multiLevelType w:val="hybridMultilevel"/>
    <w:lvl w:ilvl="0">
      <w:lvlJc w:val="left"/>
      <w:lvlText w:val="%1:"/>
      <w:numFmt w:val="upperLetter"/>
      <w:start w:val="17"/>
    </w:lvl>
  </w:abstractNum>
  <w:abstractNum w:abstractNumId="4">
    <w:nsid w:val="4E3D26AB"/>
    <w:multiLevelType w:val="hybridMultilevel"/>
    <w:lvl w:ilvl="0">
      <w:lvlJc w:val="left"/>
      <w:lvlText w:val="%1:"/>
      <w:numFmt w:val="upperLetter"/>
      <w:start w:val="1"/>
    </w:lvl>
  </w:abstractNum>
  <w:abstractNum w:abstractNumId="5">
    <w:nsid w:val="BE2C8BA"/>
    <w:multiLevelType w:val="hybridMultilevel"/>
    <w:lvl w:ilvl="0">
      <w:lvlJc w:val="left"/>
      <w:lvlText w:val="%1:"/>
      <w:numFmt w:val="upperLetter"/>
      <w:start w:val="17"/>
    </w:lvl>
  </w:abstractNum>
  <w:abstractNum w:abstractNumId="6">
    <w:nsid w:val="7B14914E"/>
    <w:multiLevelType w:val="hybridMultilevel"/>
    <w:lvl w:ilvl="0">
      <w:lvlJc w:val="left"/>
      <w:lvlText w:val="%1:"/>
      <w:numFmt w:val="upperLetter"/>
      <w:start w:val="1"/>
    </w:lvl>
  </w:abstractNum>
  <w:abstractNum w:abstractNumId="7">
    <w:nsid w:val="6F0939F8"/>
    <w:multiLevelType w:val="hybridMultilevel"/>
    <w:lvl w:ilvl="0">
      <w:lvlJc w:val="left"/>
      <w:lvlText w:val="%1:"/>
      <w:numFmt w:val="upperLetter"/>
      <w:start w:val="17"/>
    </w:lvl>
  </w:abstractNum>
  <w:abstractNum w:abstractNumId="8">
    <w:nsid w:val="154291F6"/>
    <w:multiLevelType w:val="hybridMultilevel"/>
    <w:lvl w:ilvl="0">
      <w:lvlJc w:val="left"/>
      <w:lvlText w:val="%1:"/>
      <w:numFmt w:val="upperLetter"/>
      <w:start w:val="17"/>
    </w:lvl>
  </w:abstractNum>
  <w:abstractNum w:abstractNumId="9">
    <w:nsid w:val="3CEBD7C7"/>
    <w:multiLevelType w:val="hybridMultilevel"/>
    <w:lvl w:ilvl="0">
      <w:lvlJc w:val="left"/>
      <w:lvlText w:val="%1:"/>
      <w:numFmt w:val="upperLetter"/>
      <w:start w:val="1"/>
    </w:lvl>
  </w:abstractNum>
  <w:abstractNum w:abstractNumId="10">
    <w:nsid w:val="60EE9C16"/>
    <w:multiLevelType w:val="hybridMultilevel"/>
    <w:lvl w:ilvl="0">
      <w:lvlJc w:val="left"/>
      <w:lvlText w:val="%1:"/>
      <w:numFmt w:val="upperLetter"/>
      <w:start w:val="17"/>
    </w:lvl>
  </w:abstractNum>
  <w:abstractNum w:abstractNumId="11">
    <w:nsid w:val="6385489E"/>
    <w:multiLevelType w:val="hybridMultilevel"/>
    <w:lvl w:ilvl="0">
      <w:lvlJc w:val="left"/>
      <w:lvlText w:val="%1:"/>
      <w:numFmt w:val="upperLetter"/>
      <w:start w:val="17"/>
    </w:lvl>
  </w:abstractNum>
  <w:abstractNum w:abstractNumId="12">
    <w:nsid w:val="E4B973"/>
    <w:multiLevelType w:val="hybridMultilevel"/>
    <w:lvl w:ilvl="0">
      <w:lvlJc w:val="left"/>
      <w:lvlText w:val="%1:"/>
      <w:numFmt w:val="upperLetter"/>
      <w:start w:val="1"/>
    </w:lvl>
  </w:abstractNum>
  <w:abstractNum w:abstractNumId="13">
    <w:nsid w:val="4A0FFA11"/>
    <w:multiLevelType w:val="hybridMultilevel"/>
    <w:lvl w:ilvl="0">
      <w:lvlJc w:val="left"/>
      <w:lvlText w:val="%1:"/>
      <w:numFmt w:val="upperLetter"/>
      <w:start w:val="17"/>
    </w:lvl>
  </w:abstractNum>
  <w:abstractNum w:abstractNumId="14">
    <w:nsid w:val="5E446208"/>
    <w:multiLevelType w:val="hybridMultilevel"/>
    <w:lvl w:ilvl="0">
      <w:lvlJc w:val="left"/>
      <w:lvlText w:val="%1:"/>
      <w:numFmt w:val="upperLetter"/>
      <w:start w:val="1"/>
    </w:lvl>
  </w:abstractNum>
  <w:abstractNum w:abstractNumId="15">
    <w:nsid w:val="5F3272DB"/>
    <w:multiLevelType w:val="hybridMultilevel"/>
    <w:lvl w:ilvl="0">
      <w:lvlJc w:val="left"/>
      <w:lvlText w:val="%1:"/>
      <w:numFmt w:val="upperLetter"/>
      <w:start w:val="17"/>
    </w:lvl>
  </w:abstractNum>
  <w:abstractNum w:abstractNumId="16">
    <w:nsid w:val="7616D704"/>
    <w:multiLevelType w:val="hybridMultilevel"/>
    <w:lvl w:ilvl="0">
      <w:lvlJc w:val="left"/>
      <w:lvlText w:val="%1:"/>
      <w:numFmt w:val="upperLetter"/>
      <w:start w:val="1"/>
    </w:lvl>
  </w:abstractNum>
  <w:abstractNum w:abstractNumId="17">
    <w:nsid w:val="C56F860"/>
    <w:multiLevelType w:val="hybridMultilevel"/>
    <w:lvl w:ilvl="0">
      <w:lvlJc w:val="left"/>
      <w:lvlText w:val="%1:"/>
      <w:numFmt w:val="upperLetter"/>
      <w:start w:val="17"/>
    </w:lvl>
  </w:abstractNum>
  <w:abstractNum w:abstractNumId="18">
    <w:nsid w:val="64D17722"/>
    <w:multiLevelType w:val="hybridMultilevel"/>
    <w:lvl w:ilvl="0">
      <w:lvlJc w:val="left"/>
      <w:lvlText w:val="%1:"/>
      <w:numFmt w:val="upperLetter"/>
      <w:start w:val="1"/>
    </w:lvl>
  </w:abstractNum>
  <w:abstractNum w:abstractNumId="19">
    <w:nsid w:val="7924CA0A"/>
    <w:multiLevelType w:val="hybridMultilevel"/>
    <w:lvl w:ilvl="0">
      <w:lvlJc w:val="left"/>
      <w:lvlText w:val="%1:"/>
      <w:numFmt w:val="upperLetter"/>
      <w:start w:val="17"/>
    </w:lvl>
  </w:abstractNum>
  <w:abstractNum w:abstractNumId="20">
    <w:nsid w:val="CFD4EA7"/>
    <w:multiLevelType w:val="hybridMultilevel"/>
    <w:lvl w:ilvl="0">
      <w:lvlJc w:val="left"/>
      <w:lvlText w:val="%1:"/>
      <w:numFmt w:val="upperLetter"/>
      <w:start w:val="1"/>
    </w:lvl>
  </w:abstractNum>
  <w:abstractNum w:abstractNumId="21">
    <w:nsid w:val="232FCF4D"/>
    <w:multiLevelType w:val="hybridMultilevel"/>
    <w:lvl w:ilvl="0">
      <w:lvlJc w:val="left"/>
      <w:lvlText w:val="•"/>
      <w:numFmt w:val="bullet"/>
      <w:start w:val="1"/>
    </w:lvl>
  </w:abstractNum>
  <w:abstractNum w:abstractNumId="22">
    <w:nsid w:val="1EA21031"/>
    <w:multiLevelType w:val="hybridMultilevel"/>
    <w:lvl w:ilvl="0">
      <w:lvlJc w:val="left"/>
      <w:lvlText w:val="•"/>
      <w:numFmt w:val="bullet"/>
      <w:start w:val="1"/>
    </w:lvl>
  </w:abstractNum>
  <w:abstractNum w:abstractNumId="23">
    <w:nsid w:val="67A5A6B5"/>
    <w:multiLevelType w:val="hybridMultilevel"/>
    <w:lvl w:ilvl="0">
      <w:lvlJc w:val="left"/>
      <w:lvlText w:val="%1:"/>
      <w:numFmt w:val="upperLetter"/>
      <w:start w:val="17"/>
    </w:lvl>
  </w:abstractNum>
  <w:abstractNum w:abstractNumId="24">
    <w:nsid w:val="C2A5C5B"/>
    <w:multiLevelType w:val="hybridMultilevel"/>
    <w:lvl w:ilvl="0">
      <w:lvlJc w:val="left"/>
      <w:lvlText w:val="%1:"/>
      <w:numFmt w:val="upperLetter"/>
      <w:start w:val="1"/>
    </w:lvl>
  </w:abstractNum>
  <w:abstractNum w:abstractNumId="25">
    <w:nsid w:val="5F94DC03"/>
    <w:multiLevelType w:val="hybridMultilevel"/>
    <w:lvl w:ilvl="0">
      <w:lvlJc w:val="left"/>
      <w:lvlText w:val="%1:"/>
      <w:numFmt w:val="upperLetter"/>
      <w:start w:val="17"/>
    </w:lvl>
  </w:abstractNum>
  <w:abstractNum w:abstractNumId="26">
    <w:nsid w:val="237BBCA0"/>
    <w:multiLevelType w:val="hybridMultilevel"/>
    <w:lvl w:ilvl="0">
      <w:lvlJc w:val="left"/>
      <w:lvlText w:val="%1:"/>
      <w:numFmt w:val="upperLetter"/>
      <w:start w:val="1"/>
    </w:lvl>
  </w:abstractNum>
  <w:abstractNum w:abstractNumId="27">
    <w:nsid w:val="162EB70D"/>
    <w:multiLevelType w:val="hybridMultilevel"/>
    <w:lvl w:ilvl="0">
      <w:lvlJc w:val="left"/>
      <w:lvlText w:val="%1:"/>
      <w:numFmt w:val="upperLetter"/>
      <w:start w:val="17"/>
    </w:lvl>
  </w:abstractNum>
  <w:abstractNum w:abstractNumId="28">
    <w:nsid w:val="78070222"/>
    <w:multiLevelType w:val="hybridMultilevel"/>
    <w:lvl w:ilvl="0">
      <w:lvlJc w:val="left"/>
      <w:lvlText w:val="%1:"/>
      <w:numFmt w:val="upperLetter"/>
      <w:start w:val="1"/>
    </w:lvl>
  </w:abstractNum>
  <w:abstractNum w:abstractNumId="29">
    <w:nsid w:val="6163ED0D"/>
    <w:multiLevelType w:val="hybridMultilevel"/>
    <w:lvl w:ilvl="0">
      <w:lvlJc w:val="left"/>
      <w:lvlText w:val="%1:"/>
      <w:numFmt w:val="upperLetter"/>
      <w:start w:val="17"/>
    </w:lvl>
  </w:abstractNum>
  <w:abstractNum w:abstractNumId="30">
    <w:nsid w:val="C600E47"/>
    <w:multiLevelType w:val="hybridMultilevel"/>
    <w:lvl w:ilvl="0">
      <w:lvlJc w:val="left"/>
      <w:lvlText w:val="%1:"/>
      <w:numFmt w:val="upperLetter"/>
      <w:start w:val="1"/>
    </w:lvl>
  </w:abstractNum>
  <w:abstractNum w:abstractNumId="31">
    <w:nsid w:val="7D94F75D"/>
    <w:multiLevelType w:val="hybridMultilevel"/>
    <w:lvl w:ilvl="0">
      <w:lvlJc w:val="left"/>
      <w:lvlText w:val="%1:"/>
      <w:numFmt w:val="upperLetter"/>
      <w:start w:val="17"/>
    </w:lvl>
  </w:abstractNum>
  <w:abstractNum w:abstractNumId="32">
    <w:nsid w:val="6C31E7CD"/>
    <w:multiLevelType w:val="hybridMultilevel"/>
    <w:lvl w:ilvl="0">
      <w:lvlJc w:val="left"/>
      <w:lvlText w:val="%1:"/>
      <w:numFmt w:val="upperLetter"/>
      <w:start w:val="1"/>
    </w:lvl>
  </w:abstractNum>
  <w:abstractNum w:abstractNumId="33">
    <w:nsid w:val="2BB7929B"/>
    <w:multiLevelType w:val="hybridMultilevel"/>
    <w:lvl w:ilvl="0">
      <w:lvlJc w:val="left"/>
      <w:lvlText w:val="%1:"/>
      <w:numFmt w:val="upperLetter"/>
      <w:start w:val="17"/>
    </w:lvl>
  </w:abstractNum>
  <w:abstractNum w:abstractNumId="34">
    <w:nsid w:val="58A2A487"/>
    <w:multiLevelType w:val="hybridMultilevel"/>
    <w:lvl w:ilvl="0">
      <w:lvlJc w:val="left"/>
      <w:lvlText w:val="%1:"/>
      <w:numFmt w:val="upperLetter"/>
      <w:start w:val="1"/>
    </w:lvl>
  </w:abstractNum>
  <w:abstractNum w:abstractNumId="35">
    <w:nsid w:val="3A6F0E78"/>
    <w:multiLevelType w:val="hybridMultilevel"/>
    <w:lvl w:ilvl="0">
      <w:lvlJc w:val="left"/>
      <w:lvlText w:val="%1:"/>
      <w:numFmt w:val="upperLetter"/>
      <w:start w:val="17"/>
    </w:lvl>
  </w:abstractNum>
  <w:abstractNum w:abstractNumId="36">
    <w:nsid w:val="379A5B56"/>
    <w:multiLevelType w:val="hybridMultilevel"/>
    <w:lvl w:ilvl="0">
      <w:lvlJc w:val="left"/>
      <w:lvlText w:val="%1:"/>
      <w:numFmt w:val="upperLetter"/>
      <w:start w:val="1"/>
    </w:lvl>
  </w:abstractNum>
  <w:abstractNum w:abstractNumId="37">
    <w:nsid w:val="53B735D5"/>
    <w:multiLevelType w:val="hybridMultilevel"/>
    <w:lvl w:ilvl="0">
      <w:lvlJc w:val="left"/>
      <w:lvlText w:val="%1:"/>
      <w:numFmt w:val="upperLetter"/>
      <w:start w:val="17"/>
    </w:lvl>
  </w:abstractNum>
  <w:abstractNum w:abstractNumId="38">
    <w:nsid w:val="29784870"/>
    <w:multiLevelType w:val="hybridMultilevel"/>
    <w:lvl w:ilvl="0">
      <w:lvlJc w:val="left"/>
      <w:lvlText w:val="%1:"/>
      <w:numFmt w:val="upperLetter"/>
      <w:start w:val="1"/>
    </w:lvl>
  </w:abstractNum>
  <w:abstractNum w:abstractNumId="39">
    <w:nsid w:val="4CDCED4C"/>
    <w:multiLevelType w:val="hybridMultilevel"/>
    <w:lvl w:ilvl="0">
      <w:lvlJc w:val="left"/>
      <w:lvlText w:val="%1:"/>
      <w:numFmt w:val="upperLetter"/>
      <w:start w:val="17"/>
    </w:lvl>
  </w:abstractNum>
  <w:abstractNum w:abstractNumId="40">
    <w:nsid w:val="10A30D9C"/>
    <w:multiLevelType w:val="hybridMultilevel"/>
    <w:lvl w:ilvl="0">
      <w:lvlJc w:val="left"/>
      <w:lvlText w:val="%1:"/>
      <w:numFmt w:val="upperLetter"/>
      <w:start w:val="1"/>
    </w:lvl>
  </w:abstractNum>
  <w:abstractNum w:abstractNumId="41">
    <w:nsid w:val="A66E486"/>
    <w:multiLevelType w:val="hybridMultilevel"/>
    <w:lvl w:ilvl="0">
      <w:lvlJc w:val="left"/>
      <w:lvlText w:val="%1:"/>
      <w:numFmt w:val="upperLetter"/>
      <w:start w:val="17"/>
    </w:lvl>
  </w:abstractNum>
  <w:abstractNum w:abstractNumId="42">
    <w:nsid w:val="306235EA"/>
    <w:multiLevelType w:val="hybridMultilevel"/>
    <w:lvl w:ilvl="0">
      <w:lvlJc w:val="left"/>
      <w:lvlText w:val="%1:"/>
      <w:numFmt w:val="upperLetter"/>
      <w:start w:val="1"/>
    </w:lvl>
  </w:abstractNum>
  <w:abstractNum w:abstractNumId="43">
    <w:nsid w:val="1187C70F"/>
    <w:multiLevelType w:val="hybridMultilevel"/>
    <w:lvl w:ilvl="0">
      <w:lvlJc w:val="left"/>
      <w:lvlText w:val="%1:"/>
      <w:numFmt w:val="upperLetter"/>
      <w:start w:val="17"/>
    </w:lvl>
  </w:abstractNum>
  <w:abstractNum w:abstractNumId="44">
    <w:nsid w:val="5476DE98"/>
    <w:multiLevelType w:val="hybridMultilevel"/>
    <w:lvl w:ilvl="0">
      <w:lvlJc w:val="left"/>
      <w:lvlText w:val="%1:"/>
      <w:numFmt w:val="upperLetter"/>
      <w:start w:val="1"/>
    </w:lvl>
  </w:abstractNum>
  <w:abstractNum w:abstractNumId="45">
    <w:nsid w:val="EA697F2"/>
    <w:multiLevelType w:val="hybridMultilevel"/>
    <w:lvl w:ilvl="0">
      <w:lvlJc w:val="left"/>
      <w:lvlText w:val="%1:"/>
      <w:numFmt w:val="upperLetter"/>
      <w:start w:val="17"/>
    </w:lvl>
  </w:abstractNum>
  <w:abstractNum w:abstractNumId="46">
    <w:nsid w:val="70BA39EB"/>
    <w:multiLevelType w:val="hybridMultilevel"/>
    <w:lvl w:ilvl="0">
      <w:lvlJc w:val="left"/>
      <w:lvlText w:val="%1:"/>
      <w:numFmt w:val="upperLetter"/>
      <w:start w:val="1"/>
    </w:lvl>
  </w:abstractNum>
  <w:abstractNum w:abstractNumId="47">
    <w:nsid w:val="4A8DB59C"/>
    <w:multiLevelType w:val="hybridMultilevel"/>
    <w:lvl w:ilvl="0">
      <w:lvlJc w:val="left"/>
      <w:lvlText w:val="%1:"/>
      <w:numFmt w:val="upperLetter"/>
      <w:start w:val="17"/>
    </w:lvl>
  </w:abstractNum>
  <w:abstractNum w:abstractNumId="48">
    <w:nsid w:val="1AFD9053"/>
    <w:multiLevelType w:val="hybridMultilevel"/>
    <w:lvl w:ilvl="0">
      <w:lvlJc w:val="left"/>
      <w:lvlText w:val="%1:"/>
      <w:numFmt w:val="upperLetter"/>
      <w:start w:val="1"/>
    </w:lvl>
  </w:abstractNum>
  <w:abstractNum w:abstractNumId="49">
    <w:nsid w:val="558BB10D"/>
    <w:multiLevelType w:val="hybridMultilevel"/>
    <w:lvl w:ilvl="0">
      <w:lvlJc w:val="left"/>
      <w:lvlText w:val="%1:"/>
      <w:numFmt w:val="upperLetter"/>
      <w:start w:val="17"/>
    </w:lvl>
  </w:abstractNum>
  <w:abstractNum w:abstractNumId="50">
    <w:nsid w:val="43B27FA7"/>
    <w:multiLevelType w:val="hybridMultilevel"/>
    <w:lvl w:ilvl="0">
      <w:lvlJc w:val="left"/>
      <w:lvlText w:val="%1:"/>
      <w:numFmt w:val="upperLetter"/>
      <w:start w:val="1"/>
    </w:lvl>
  </w:abstractNum>
  <w:abstractNum w:abstractNumId="51">
    <w:nsid w:val="27FADEFA"/>
    <w:multiLevelType w:val="hybridMultilevel"/>
    <w:lvl w:ilvl="0">
      <w:lvlJc w:val="left"/>
      <w:lvlText w:val="%1:"/>
      <w:numFmt w:val="upperLetter"/>
      <w:start w:val="17"/>
    </w:lvl>
  </w:abstractNum>
  <w:abstractNum w:abstractNumId="52">
    <w:nsid w:val="78BB805A"/>
    <w:multiLevelType w:val="hybridMultilevel"/>
    <w:lvl w:ilvl="0">
      <w:lvlJc w:val="left"/>
      <w:lvlText w:val="%1:"/>
      <w:numFmt w:val="upperLetter"/>
      <w:start w:val="1"/>
    </w:lvl>
  </w:abstractNum>
  <w:abstractNum w:abstractNumId="53">
    <w:nsid w:val="62548FD8"/>
    <w:multiLevelType w:val="hybridMultilevel"/>
    <w:lvl w:ilvl="0">
      <w:lvlJc w:val="left"/>
      <w:lvlText w:val="%1:"/>
      <w:numFmt w:val="upperLetter"/>
      <w:start w:val="17"/>
    </w:lvl>
  </w:abstractNum>
  <w:abstractNum w:abstractNumId="54">
    <w:nsid w:val="FA085B0"/>
    <w:multiLevelType w:val="hybridMultilevel"/>
    <w:lvl w:ilvl="0">
      <w:lvlJc w:val="left"/>
      <w:lvlText w:val="%1:"/>
      <w:numFmt w:val="upperLetter"/>
      <w:start w:val="1"/>
    </w:lvl>
  </w:abstractNum>
  <w:abstractNum w:abstractNumId="55">
    <w:nsid w:val="4E5DCB5"/>
    <w:multiLevelType w:val="hybridMultilevel"/>
    <w:lvl w:ilvl="0">
      <w:lvlJc w:val="left"/>
      <w:lvlText w:val="%1:"/>
      <w:numFmt w:val="upperLetter"/>
      <w:start w:val="17"/>
    </w:lvl>
  </w:abstractNum>
  <w:abstractNum w:abstractNumId="56">
    <w:nsid w:val="41E96BDB"/>
    <w:multiLevelType w:val="hybridMultilevel"/>
    <w:lvl w:ilvl="0">
      <w:lvlJc w:val="left"/>
      <w:lvlText w:val="%1:"/>
      <w:numFmt w:val="upperLetter"/>
      <w:start w:val="1"/>
    </w:lvl>
  </w:abstractNum>
  <w:abstractNum w:abstractNumId="57">
    <w:nsid w:val="331C4250"/>
    <w:multiLevelType w:val="hybridMultilevel"/>
    <w:lvl w:ilvl="0">
      <w:lvlJc w:val="left"/>
      <w:lvlText w:val="%1:"/>
      <w:numFmt w:val="upperLetter"/>
      <w:start w:val="17"/>
    </w:lvl>
  </w:abstractNum>
  <w:abstractNum w:abstractNumId="58">
    <w:nsid w:val="1B1493C2"/>
    <w:multiLevelType w:val="hybridMultilevel"/>
    <w:lvl w:ilvl="0">
      <w:lvlJc w:val="left"/>
      <w:lvlText w:val="%1:"/>
      <w:numFmt w:val="upperLetter"/>
      <w:start w:val="1"/>
    </w:lvl>
  </w:abstractNum>
  <w:abstractNum w:abstractNumId="59">
    <w:nsid w:val="39F06DFD"/>
    <w:multiLevelType w:val="hybridMultilevel"/>
    <w:lvl w:ilvl="0">
      <w:lvlJc w:val="left"/>
      <w:lvlText w:val="%1:"/>
      <w:numFmt w:val="upperLetter"/>
      <w:start w:val="17"/>
    </w:lvl>
  </w:abstractNum>
  <w:abstractNum w:abstractNumId="60">
    <w:nsid w:val="14802F5D"/>
    <w:multiLevelType w:val="hybridMultilevel"/>
    <w:lvl w:ilvl="0">
      <w:lvlJc w:val="left"/>
      <w:lvlText w:val="%1:"/>
      <w:numFmt w:val="upperLetter"/>
      <w:start w:val="1"/>
    </w:lvl>
  </w:abstractNum>
  <w:abstractNum w:abstractNumId="61">
    <w:nsid w:val="2774A209"/>
    <w:multiLevelType w:val="hybridMultilevel"/>
    <w:lvl w:ilvl="0">
      <w:lvlJc w:val="left"/>
      <w:lvlText w:val="%1:"/>
      <w:numFmt w:val="upperLetter"/>
      <w:start w:val="17"/>
    </w:lvl>
  </w:abstractNum>
  <w:abstractNum w:abstractNumId="62">
    <w:nsid w:val="3785655A"/>
    <w:multiLevelType w:val="hybridMultilevel"/>
    <w:lvl w:ilvl="0">
      <w:lvlJc w:val="left"/>
      <w:lvlText w:val="%1:"/>
      <w:numFmt w:val="upperLetter"/>
      <w:start w:val="1"/>
    </w:lvl>
  </w:abstractNum>
  <w:abstractNum w:abstractNumId="63">
    <w:nsid w:val="B2172A"/>
    <w:multiLevelType w:val="hybridMultilevel"/>
    <w:lvl w:ilvl="0">
      <w:lvlJc w:val="left"/>
      <w:lvlText w:val="%1:"/>
      <w:numFmt w:val="upperLetter"/>
      <w:start w:val="17"/>
    </w:lvl>
  </w:abstractNum>
  <w:abstractNum w:abstractNumId="64">
    <w:nsid w:val="532C34A5"/>
    <w:multiLevelType w:val="hybridMultilevel"/>
    <w:lvl w:ilvl="0">
      <w:lvlJc w:val="left"/>
      <w:lvlText w:val="%1:"/>
      <w:numFmt w:val="upperLetter"/>
      <w:start w:val="1"/>
    </w:lvl>
  </w:abstractNum>
  <w:abstractNum w:abstractNumId="65">
    <w:nsid w:val="102809E2"/>
    <w:multiLevelType w:val="hybridMultilevel"/>
    <w:lvl w:ilvl="0">
      <w:lvlJc w:val="left"/>
      <w:lvlText w:val="•"/>
      <w:numFmt w:val="bullet"/>
      <w:start w:val="1"/>
    </w:lvl>
  </w:abstractNum>
  <w:abstractNum w:abstractNumId="66">
    <w:nsid w:val="3B2125A3"/>
    <w:multiLevelType w:val="hybridMultilevel"/>
    <w:lvl w:ilvl="0">
      <w:lvlJc w:val="left"/>
      <w:lvlText w:val="•"/>
      <w:numFmt w:val="bullet"/>
      <w:start w:val="1"/>
    </w:lvl>
  </w:abstractNum>
  <w:abstractNum w:abstractNumId="67">
    <w:nsid w:val="AC68FFB"/>
    <w:multiLevelType w:val="hybridMultilevel"/>
    <w:lvl w:ilvl="0">
      <w:lvlJc w:val="left"/>
      <w:lvlText w:val="%1:"/>
      <w:numFmt w:val="upperLetter"/>
      <w:start w:val="17"/>
    </w:lvl>
  </w:abstractNum>
  <w:abstractNum w:abstractNumId="68">
    <w:nsid w:val="63DF3FB7"/>
    <w:multiLevelType w:val="hybridMultilevel"/>
    <w:lvl w:ilvl="0">
      <w:lvlJc w:val="left"/>
      <w:lvlText w:val="%1:"/>
      <w:numFmt w:val="upperLetter"/>
      <w:start w:val="1"/>
    </w:lvl>
  </w:abstractNum>
  <w:abstractNum w:abstractNumId="69">
    <w:nsid w:val="64996E13"/>
    <w:multiLevelType w:val="hybridMultilevel"/>
    <w:lvl w:ilvl="0">
      <w:lvlJc w:val="left"/>
      <w:lvlText w:val="%1:"/>
      <w:numFmt w:val="upperLetter"/>
      <w:start w:val="17"/>
    </w:lvl>
  </w:abstractNum>
  <w:abstractNum w:abstractNumId="70">
    <w:nsid w:val="57A37D47"/>
    <w:multiLevelType w:val="hybridMultilevel"/>
    <w:lvl w:ilvl="0">
      <w:lvlJc w:val="left"/>
      <w:lvlText w:val="%1:"/>
      <w:numFmt w:val="upperLetter"/>
      <w:start w:val="1"/>
    </w:lvl>
  </w:abstractNum>
  <w:abstractNum w:abstractNumId="71">
    <w:nsid w:val="74824D54"/>
    <w:multiLevelType w:val="hybridMultilevel"/>
    <w:lvl w:ilvl="0">
      <w:lvlJc w:val="left"/>
      <w:lvlText w:val="%1:"/>
      <w:numFmt w:val="upperLetter"/>
      <w:start w:val="17"/>
    </w:lvl>
  </w:abstractNum>
  <w:abstractNum w:abstractNumId="72">
    <w:nsid w:val="6F00529A"/>
    <w:multiLevelType w:val="hybridMultilevel"/>
    <w:lvl w:ilvl="0">
      <w:lvlJc w:val="left"/>
      <w:lvlText w:val="%1:"/>
      <w:numFmt w:val="upperLetter"/>
      <w:start w:val="1"/>
    </w:lvl>
  </w:abstractNum>
  <w:abstractNum w:abstractNumId="73">
    <w:nsid w:val="805B331"/>
    <w:multiLevelType w:val="hybridMultilevel"/>
    <w:lvl w:ilvl="0">
      <w:lvlJc w:val="left"/>
      <w:lvlText w:val="%1:"/>
      <w:numFmt w:val="upperLetter"/>
      <w:start w:val="17"/>
    </w:lvl>
  </w:abstractNum>
  <w:abstractNum w:abstractNumId="74">
    <w:nsid w:val="60A1463"/>
    <w:multiLevelType w:val="hybridMultilevel"/>
    <w:lvl w:ilvl="0">
      <w:lvlJc w:val="left"/>
      <w:lvlText w:val="%1:"/>
      <w:numFmt w:val="upperLetter"/>
      <w:start w:val="1"/>
    </w:lvl>
  </w:abstractNum>
  <w:abstractNum w:abstractNumId="75">
    <w:nsid w:val="43773132"/>
    <w:multiLevelType w:val="hybridMultilevel"/>
    <w:lvl w:ilvl="0">
      <w:lvlJc w:val="left"/>
      <w:lvlText w:val="%1:"/>
      <w:numFmt w:val="upperLetter"/>
      <w:start w:val="17"/>
    </w:lvl>
  </w:abstractNum>
  <w:abstractNum w:abstractNumId="76">
    <w:nsid w:val="16AC4B23"/>
    <w:multiLevelType w:val="hybridMultilevel"/>
    <w:lvl w:ilvl="0">
      <w:lvlJc w:val="left"/>
      <w:lvlText w:val="%1:"/>
      <w:numFmt w:val="upperLetter"/>
      <w:start w:val="1"/>
    </w:lvl>
  </w:abstractNum>
  <w:abstractNum w:abstractNumId="77">
    <w:nsid w:val="76C44E4E"/>
    <w:multiLevelType w:val="hybridMultilevel"/>
    <w:lvl w:ilvl="0">
      <w:lvlJc w:val="left"/>
      <w:lvlText w:val="%1:"/>
      <w:numFmt w:val="upperLetter"/>
      <w:start w:val="17"/>
    </w:lvl>
  </w:abstractNum>
  <w:abstractNum w:abstractNumId="78">
    <w:nsid w:val="E04E6CE"/>
    <w:multiLevelType w:val="hybridMultilevel"/>
    <w:lvl w:ilvl="0">
      <w:lvlJc w:val="left"/>
      <w:lvlText w:val="%1:"/>
      <w:numFmt w:val="upperLetter"/>
      <w:start w:val="1"/>
    </w:lvl>
  </w:abstractNum>
  <w:abstractNum w:abstractNumId="79">
    <w:nsid w:val="31A9DB76"/>
    <w:multiLevelType w:val="hybridMultilevel"/>
    <w:lvl w:ilvl="0">
      <w:lvlJc w:val="left"/>
      <w:lvlText w:val="%1:"/>
      <w:numFmt w:val="upperLetter"/>
      <w:start w:val="17"/>
    </w:lvl>
  </w:abstractNum>
  <w:abstractNum w:abstractNumId="80">
    <w:nsid w:val="4C4FFF5B"/>
    <w:multiLevelType w:val="hybridMultilevel"/>
    <w:lvl w:ilvl="0">
      <w:lvlJc w:val="left"/>
      <w:lvlText w:val="%1:"/>
      <w:numFmt w:val="upperLetter"/>
      <w:start w:val="1"/>
    </w:lvl>
  </w:abstractNum>
  <w:abstractNum w:abstractNumId="81">
    <w:nsid w:val="51B76675"/>
    <w:multiLevelType w:val="hybridMultilevel"/>
    <w:lvl w:ilvl="0">
      <w:lvlJc w:val="left"/>
      <w:lvlText w:val="%1:"/>
      <w:numFmt w:val="upperLetter"/>
      <w:start w:val="17"/>
    </w:lvl>
  </w:abstractNum>
  <w:abstractNum w:abstractNumId="82">
    <w:nsid w:val="59A4BA71"/>
    <w:multiLevelType w:val="hybridMultilevel"/>
    <w:lvl w:ilvl="0">
      <w:lvlJc w:val="left"/>
      <w:lvlText w:val="%1:"/>
      <w:numFmt w:val="upperLetter"/>
      <w:start w:val="1"/>
    </w:lvl>
  </w:abstractNum>
  <w:abstractNum w:abstractNumId="83">
    <w:nsid w:val="450B7FB6"/>
    <w:multiLevelType w:val="hybridMultilevel"/>
    <w:lvl w:ilvl="0">
      <w:lvlJc w:val="left"/>
      <w:lvlText w:val="%1:"/>
      <w:numFmt w:val="upperLetter"/>
      <w:start w:val="17"/>
    </w:lvl>
  </w:abstractNum>
  <w:abstractNum w:abstractNumId="84">
    <w:nsid w:val="340BF64D"/>
    <w:multiLevelType w:val="hybridMultilevel"/>
    <w:lvl w:ilvl="0">
      <w:lvlJc w:val="left"/>
      <w:lvlText w:val="%1:"/>
      <w:numFmt w:val="upperLetter"/>
      <w:start w:val="1"/>
    </w:lvl>
  </w:abstractNum>
  <w:abstractNum w:abstractNumId="85">
    <w:nsid w:val="69454021"/>
    <w:multiLevelType w:val="hybridMultilevel"/>
    <w:lvl w:ilvl="0">
      <w:lvlJc w:val="left"/>
      <w:lvlText w:val="%1:"/>
      <w:numFmt w:val="upperLetter"/>
      <w:start w:val="17"/>
    </w:lvl>
  </w:abstractNum>
  <w:abstractNum w:abstractNumId="86">
    <w:nsid w:val="49F15C6B"/>
    <w:multiLevelType w:val="hybridMultilevel"/>
    <w:lvl w:ilvl="0">
      <w:lvlJc w:val="left"/>
      <w:lvlText w:val="%1:"/>
      <w:numFmt w:val="upperLetter"/>
      <w:start w:val="1"/>
    </w:lvl>
  </w:abstractNum>
  <w:abstractNum w:abstractNumId="87">
    <w:nsid w:val="75F56228"/>
    <w:multiLevelType w:val="hybridMultilevel"/>
    <w:lvl w:ilvl="0">
      <w:lvlJc w:val="left"/>
      <w:lvlText w:val="%1:"/>
      <w:numFmt w:val="upperLetter"/>
      <w:start w:val="17"/>
    </w:lvl>
  </w:abstractNum>
  <w:abstractNum w:abstractNumId="88">
    <w:nsid w:val="1C618271"/>
    <w:multiLevelType w:val="hybridMultilevel"/>
    <w:lvl w:ilvl="0">
      <w:lvlJc w:val="left"/>
      <w:lvlText w:val="%1:"/>
      <w:numFmt w:val="upperLetter"/>
      <w:start w:val="1"/>
    </w:lvl>
  </w:abstractNum>
  <w:abstractNum w:abstractNumId="89">
    <w:nsid w:val="6505F02E"/>
    <w:multiLevelType w:val="hybridMultilevel"/>
    <w:lvl w:ilvl="0">
      <w:lvlJc w:val="left"/>
      <w:lvlText w:val="%1:"/>
      <w:numFmt w:val="upperLetter"/>
      <w:start w:val="17"/>
    </w:lvl>
  </w:abstractNum>
  <w:abstractNum w:abstractNumId="90">
    <w:nsid w:val="2FE5D025"/>
    <w:multiLevelType w:val="hybridMultilevel"/>
    <w:lvl w:ilvl="0">
      <w:lvlJc w:val="left"/>
      <w:lvlText w:val="%1:"/>
      <w:numFmt w:val="upperLetter"/>
      <w:start w:val="1"/>
    </w:lvl>
  </w:abstractNum>
  <w:abstractNum w:abstractNumId="91">
    <w:nsid w:val="30E1B1CF"/>
    <w:multiLevelType w:val="hybridMultilevel"/>
    <w:lvl w:ilvl="0">
      <w:lvlJc w:val="left"/>
      <w:lvlText w:val="%1:"/>
      <w:numFmt w:val="upperLetter"/>
      <w:start w:val="17"/>
    </w:lvl>
  </w:abstractNum>
  <w:abstractNum w:abstractNumId="92">
    <w:nsid w:val="C7A9237"/>
    <w:multiLevelType w:val="hybridMultilevel"/>
    <w:lvl w:ilvl="0">
      <w:lvlJc w:val="left"/>
      <w:lvlText w:val="%1:"/>
      <w:numFmt w:val="upperLetter"/>
      <w:start w:val="1"/>
    </w:lvl>
  </w:abstractNum>
  <w:abstractNum w:abstractNumId="93">
    <w:nsid w:val="676B3580"/>
    <w:multiLevelType w:val="hybridMultilevel"/>
    <w:lvl w:ilvl="0">
      <w:lvlJc w:val="left"/>
      <w:lvlText w:val="•"/>
      <w:numFmt w:val="bullet"/>
      <w:start w:val="1"/>
    </w:lvl>
  </w:abstractNum>
  <w:abstractNum w:abstractNumId="94">
    <w:nsid w:val="3193C8F9"/>
    <w:multiLevelType w:val="hybridMultilevel"/>
    <w:lvl w:ilvl="0">
      <w:lvlJc w:val="left"/>
      <w:lvlText w:val="•"/>
      <w:numFmt w:val="bullet"/>
      <w:start w:val="1"/>
    </w:lvl>
  </w:abstractNum>
  <w:abstractNum w:abstractNumId="95">
    <w:nsid w:val="5FA6C6DC"/>
    <w:multiLevelType w:val="hybridMultilevel"/>
    <w:lvl w:ilvl="0">
      <w:lvlJc w:val="left"/>
      <w:lvlText w:val="•"/>
      <w:numFmt w:val="bullet"/>
      <w:start w:val="1"/>
    </w:lvl>
  </w:abstractNum>
  <w:abstractNum w:abstractNumId="96">
    <w:nsid w:val="77933F62"/>
    <w:multiLevelType w:val="hybridMultilevel"/>
    <w:lvl w:ilvl="0">
      <w:lvlJc w:val="left"/>
      <w:lvlText w:val="•"/>
      <w:numFmt w:val="bullet"/>
      <w:start w:val="1"/>
    </w:lvl>
  </w:abstractNum>
  <w:abstractNum w:abstractNumId="97">
    <w:nsid w:val="6CB4EE9C"/>
    <w:multiLevelType w:val="hybridMultilevel"/>
    <w:lvl w:ilvl="0">
      <w:lvlJc w:val="left"/>
      <w:lvlText w:val="•"/>
      <w:numFmt w:val="bullet"/>
      <w:start w:val="1"/>
    </w:lvl>
  </w:abstractNum>
  <w:abstractNum w:abstractNumId="98">
    <w:nsid w:val="6A6D56D7"/>
    <w:multiLevelType w:val="hybridMultilevel"/>
    <w:lvl w:ilvl="0">
      <w:lvlJc w:val="left"/>
      <w:lvlText w:val="•"/>
      <w:numFmt w:val="bullet"/>
      <w:start w:val="1"/>
    </w:lvl>
  </w:abstractNum>
  <w:abstractNum w:abstractNumId="99">
    <w:nsid w:val="5B727F19"/>
    <w:multiLevelType w:val="hybridMultilevel"/>
    <w:lvl w:ilvl="0">
      <w:lvlJc w:val="left"/>
      <w:lvlText w:val="•"/>
      <w:numFmt w:val="bullet"/>
      <w:start w:val="1"/>
    </w:lvl>
  </w:abstractNum>
  <w:abstractNum w:abstractNumId="100">
    <w:nsid w:val="514E5CB0"/>
    <w:multiLevelType w:val="hybridMultilevel"/>
    <w:lvl w:ilvl="0">
      <w:lvlJc w:val="left"/>
      <w:lvlText w:val="•"/>
      <w:numFmt w:val="bullet"/>
      <w:start w:val="1"/>
    </w:lvl>
  </w:abstractNum>
  <w:abstractNum w:abstractNumId="101">
    <w:nsid w:val="4210D41E"/>
    <w:multiLevelType w:val="hybridMultilevel"/>
    <w:lvl w:ilvl="0">
      <w:lvlJc w:val="left"/>
      <w:lvlText w:val="•"/>
      <w:numFmt w:val="bullet"/>
      <w:start w:val="1"/>
    </w:lvl>
  </w:abstractNum>
  <w:abstractNum w:abstractNumId="102">
    <w:nsid w:val="4FF4CC6D"/>
    <w:multiLevelType w:val="hybridMultilevel"/>
    <w:lvl w:ilvl="0">
      <w:lvlJc w:val="left"/>
      <w:lvlText w:val="%1."/>
      <w:numFmt w:val="decimal"/>
      <w:start w:val="1"/>
    </w:lvl>
  </w:abstractNum>
  <w:abstractNum w:abstractNumId="103">
    <w:nsid w:val="404EAF4A"/>
    <w:multiLevelType w:val="hybridMultilevel"/>
    <w:lvl w:ilvl="0">
      <w:lvlJc w:val="left"/>
      <w:lvlText w:val="%1."/>
      <w:numFmt w:val="decimal"/>
      <w:start w:val="1"/>
    </w:lvl>
  </w:abstractNum>
  <w:abstractNum w:abstractNumId="104">
    <w:nsid w:val="4A16874F"/>
    <w:multiLevelType w:val="hybridMultilevel"/>
    <w:lvl w:ilvl="0">
      <w:lvlJc w:val="left"/>
      <w:lvlText w:val="%1."/>
      <w:numFmt w:val="decimal"/>
      <w:start w:val="2"/>
    </w:lvl>
  </w:abstractNum>
  <w:abstractNum w:abstractNumId="105">
    <w:nsid w:val="55FEE0D1"/>
    <w:multiLevelType w:val="hybridMultilevel"/>
    <w:lvl w:ilvl="0">
      <w:lvlJc w:val="left"/>
      <w:lvlText w:val="•"/>
      <w:numFmt w:val="bullet"/>
      <w:start w:val="1"/>
    </w:lvl>
  </w:abstractNum>
  <w:abstractNum w:abstractNumId="106">
    <w:nsid w:val="3C5E07C"/>
    <w:multiLevelType w:val="hybridMultilevel"/>
    <w:lvl w:ilvl="0">
      <w:lvlJc w:val="left"/>
      <w:lvlText w:val="•"/>
      <w:numFmt w:val="bullet"/>
      <w:start w:val="1"/>
    </w:lvl>
  </w:abstractNum>
  <w:abstractNum w:abstractNumId="107">
    <w:nsid w:val="60C2D273"/>
    <w:multiLevelType w:val="hybridMultilevel"/>
    <w:lvl w:ilvl="0">
      <w:lvlJc w:val="left"/>
      <w:lvlText w:val="•"/>
      <w:numFmt w:val="bullet"/>
      <w:start w:val="1"/>
    </w:lvl>
  </w:abstractNum>
  <w:abstractNum w:abstractNumId="108">
    <w:nsid w:val="4CC32F1F"/>
    <w:multiLevelType w:val="hybridMultilevel"/>
    <w:lvl w:ilvl="0">
      <w:lvlJc w:val="left"/>
      <w:lvlText w:val="•"/>
      <w:numFmt w:val="bullet"/>
      <w:start w:val="1"/>
    </w:lvl>
  </w:abstractNum>
  <w:abstractNum w:abstractNumId="109">
    <w:nsid w:val="11CAC74A"/>
    <w:multiLevelType w:val="hybridMultilevel"/>
    <w:lvl w:ilvl="0">
      <w:lvlJc w:val="left"/>
      <w:lvlText w:val="•"/>
      <w:numFmt w:val="bullet"/>
      <w:start w:val="1"/>
    </w:lvl>
  </w:abstractNum>
  <w:abstractNum w:abstractNumId="110">
    <w:nsid w:val="126CADE9"/>
    <w:multiLevelType w:val="hybridMultilevel"/>
    <w:lvl w:ilvl="0">
      <w:lvlJc w:val="left"/>
      <w:lvlText w:val="•"/>
      <w:numFmt w:val="bullet"/>
      <w:start w:val="1"/>
    </w:lvl>
  </w:abstractNum>
  <w:abstractNum w:abstractNumId="111">
    <w:nsid w:val="19132E7B"/>
    <w:multiLevelType w:val="hybridMultilevel"/>
    <w:lvl w:ilvl="0">
      <w:lvlJc w:val="left"/>
      <w:lvlText w:val="•"/>
      <w:numFmt w:val="bullet"/>
      <w:start w:val="1"/>
    </w:lvl>
  </w:abstractNum>
  <w:abstractNum w:abstractNumId="112">
    <w:nsid w:val="63822DC0"/>
    <w:multiLevelType w:val="hybridMultilevel"/>
    <w:lvl w:ilvl="0">
      <w:lvlJc w:val="left"/>
      <w:lvlText w:val="•"/>
      <w:numFmt w:val="bullet"/>
      <w:start w:val="1"/>
    </w:lvl>
  </w:abstractNum>
  <w:abstractNum w:abstractNumId="113">
    <w:nsid w:val="6C11685A"/>
    <w:multiLevelType w:val="hybridMultilevel"/>
    <w:lvl w:ilvl="0">
      <w:lvlJc w:val="left"/>
      <w:lvlText w:val="(%1)"/>
      <w:numFmt w:val="decimal"/>
      <w:start w:val="11"/>
    </w:lvl>
  </w:abstractNum>
  <w:abstractNum w:abstractNumId="114">
    <w:nsid w:val="5E1EAE31"/>
    <w:multiLevelType w:val="hybridMultilevel"/>
    <w:lvl w:ilvl="0">
      <w:lvlJc w:val="left"/>
      <w:lvlText w:val="(%1)"/>
      <w:numFmt w:val="decimal"/>
      <w:start w:val="14"/>
    </w:lvl>
  </w:abstractNum>
  <w:abstractNum w:abstractNumId="115">
    <w:nsid w:val="178E240D"/>
    <w:multiLevelType w:val="hybridMultilevel"/>
    <w:lvl w:ilvl="0">
      <w:lvlJc w:val="left"/>
      <w:lvlText w:val="%1."/>
      <w:numFmt w:val="decimal"/>
      <w:start w:val="1"/>
    </w:lvl>
  </w:abstractNum>
  <w:abstractNum w:abstractNumId="116">
    <w:nsid w:val="5556A87B"/>
    <w:multiLevelType w:val="hybridMultilevel"/>
    <w:lvl w:ilvl="0">
      <w:lvlJc w:val="left"/>
      <w:lvlText w:val="%1."/>
      <w:numFmt w:val="decimal"/>
      <w:start w:val="2"/>
    </w:lvl>
  </w:abstractNum>
  <w:abstractNum w:abstractNumId="117">
    <w:nsid w:val="28100A9C"/>
    <w:multiLevelType w:val="hybridMultilevel"/>
    <w:lvl w:ilvl="0">
      <w:lvlJc w:val="left"/>
      <w:lvlText w:val="•"/>
      <w:numFmt w:val="bullet"/>
      <w:start w:val="1"/>
    </w:lvl>
  </w:abstractNum>
  <w:abstractNum w:abstractNumId="118">
    <w:nsid w:val="D838636"/>
    <w:multiLevelType w:val="hybridMultilevel"/>
    <w:lvl w:ilvl="0">
      <w:lvlJc w:val="left"/>
      <w:lvlText w:val="•"/>
      <w:numFmt w:val="bullet"/>
      <w:start w:val="1"/>
    </w:lvl>
  </w:abstractNum>
  <w:abstractNum w:abstractNumId="119">
    <w:nsid w:val="71B82AED"/>
    <w:multiLevelType w:val="hybridMultilevel"/>
    <w:lvl w:ilvl="0">
      <w:lvlJc w:val="left"/>
      <w:lvlText w:val="•"/>
      <w:numFmt w:val="bullet"/>
      <w:start w:val="1"/>
    </w:lvl>
  </w:abstractNum>
  <w:abstractNum w:abstractNumId="120">
    <w:nsid w:val="D15FACA"/>
    <w:multiLevelType w:val="hybridMultilevel"/>
    <w:lvl w:ilvl="0">
      <w:lvlJc w:val="left"/>
      <w:lvlText w:val="(%1)"/>
      <w:numFmt w:val="lowerRoman"/>
      <w:start w:val="5"/>
    </w:lvl>
  </w:abstractNum>
  <w:abstractNum w:abstractNumId="121">
    <w:nsid w:val="3D69565B"/>
    <w:multiLevelType w:val="hybridMultilevel"/>
    <w:lvl w:ilvl="0">
      <w:lvlJc w:val="left"/>
      <w:lvlText w:val="(%1)"/>
      <w:numFmt w:val="lowerRoman"/>
      <w:start w:val="4"/>
    </w:lvl>
  </w:abstractNum>
  <w:abstractNum w:abstractNumId="122">
    <w:nsid w:val="2299DCBC"/>
    <w:multiLevelType w:val="hybridMultilevel"/>
    <w:lvl w:ilvl="0">
      <w:lvlJc w:val="left"/>
      <w:lvlText w:val="(%1)"/>
      <w:numFmt w:val="lowerLetter"/>
      <w:start w:val="2"/>
    </w:lvl>
  </w:abstractNum>
  <w:abstractNum w:abstractNumId="123">
    <w:nsid w:val="19908D02"/>
    <w:multiLevelType w:val="hybridMultilevel"/>
    <w:lvl w:ilvl="0">
      <w:lvlJc w:val="left"/>
      <w:lvlText w:val="•"/>
      <w:numFmt w:val="bullet"/>
      <w:start w:val="1"/>
    </w:lvl>
  </w:abstractNum>
  <w:abstractNum w:abstractNumId="124">
    <w:nsid w:val="24D48BDB"/>
    <w:multiLevelType w:val="hybridMultilevel"/>
    <w:lvl w:ilvl="0">
      <w:lvlJc w:val="left"/>
      <w:lvlText w:val="•"/>
      <w:numFmt w:val="bullet"/>
      <w:start w:val="1"/>
    </w:lvl>
  </w:abstractNum>
  <w:abstractNum w:abstractNumId="125">
    <w:nsid w:val="542DA5B5"/>
    <w:multiLevelType w:val="hybridMultilevel"/>
    <w:lvl w:ilvl="0">
      <w:lvlJc w:val="left"/>
      <w:lvlText w:val="•"/>
      <w:numFmt w:val="bullet"/>
      <w:start w:val="1"/>
    </w:lvl>
  </w:abstractNum>
  <w:abstractNum w:abstractNumId="126">
    <w:nsid w:val="793753DE"/>
    <w:multiLevelType w:val="hybridMultilevel"/>
    <w:lvl w:ilvl="0">
      <w:lvlJc w:val="left"/>
      <w:lvlText w:val="•"/>
      <w:numFmt w:val="bullet"/>
      <w:start w:val="1"/>
    </w:lvl>
  </w:abstractNum>
  <w:abstractNum w:abstractNumId="127">
    <w:nsid w:val="1C67CB3D"/>
    <w:multiLevelType w:val="hybridMultilevel"/>
    <w:lvl w:ilvl="0">
      <w:lvlJc w:val="left"/>
      <w:lvlText w:val="•"/>
      <w:numFmt w:val="bullet"/>
      <w:start w:val="1"/>
    </w:lvl>
  </w:abstractNum>
  <w:abstractNum w:abstractNumId="128">
    <w:nsid w:val="40E29452"/>
    <w:multiLevelType w:val="hybridMultilevel"/>
    <w:lvl w:ilvl="0">
      <w:lvlJc w:val="left"/>
      <w:lvlText w:val="•"/>
      <w:numFmt w:val="bullet"/>
      <w:start w:val="1"/>
    </w:lvl>
    <w:lvl w:ilvl="1">
      <w:lvlJc w:val="left"/>
      <w:lvlText w:val="•"/>
      <w:numFmt w:val="bullet"/>
      <w:start w:val="1"/>
    </w:lvl>
  </w:abstractNum>
  <w:abstractNum w:abstractNumId="129">
    <w:nsid w:val="63A4AAB6"/>
    <w:multiLevelType w:val="hybridMultilevel"/>
    <w:lvl w:ilvl="0">
      <w:lvlJc w:val="left"/>
      <w:lvlText w:val="•"/>
      <w:numFmt w:val="bullet"/>
      <w:start w:val="1"/>
    </w:lvl>
    <w:lvl w:ilvl="1">
      <w:lvlJc w:val="left"/>
      <w:lvlText w:val="•"/>
      <w:numFmt w:val="bullet"/>
      <w:start w:val="1"/>
    </w:lvl>
  </w:abstractNum>
  <w:abstractNum w:abstractNumId="130">
    <w:nsid w:val="77DA4A57"/>
    <w:multiLevelType w:val="hybridMultilevel"/>
    <w:lvl w:ilvl="0">
      <w:lvlJc w:val="left"/>
      <w:lvlText w:val="•"/>
      <w:numFmt w:val="bullet"/>
      <w:start w:val="1"/>
    </w:lvl>
  </w:abstractNum>
  <w:abstractNum w:abstractNumId="131">
    <w:nsid w:val="1230F102"/>
    <w:multiLevelType w:val="hybridMultilevel"/>
    <w:lvl w:ilvl="0">
      <w:lvlJc w:val="left"/>
      <w:lvlText w:val="(%1)"/>
      <w:numFmt w:val="lowerRoman"/>
      <w:start w:val="1"/>
    </w:lvl>
  </w:abstractNum>
  <w:abstractNum w:abstractNumId="132">
    <w:nsid w:val="25B57ED4"/>
    <w:multiLevelType w:val="hybridMultilevel"/>
    <w:lvl w:ilvl="0">
      <w:lvlJc w:val="left"/>
      <w:lvlText w:val="(%1)"/>
      <w:numFmt w:val="decimal"/>
      <w:start w:val="1"/>
    </w:lvl>
  </w:abstractNum>
  <w:abstractNum w:abstractNumId="133">
    <w:nsid w:val="47CF16C4"/>
    <w:multiLevelType w:val="hybridMultilevel"/>
    <w:lvl w:ilvl="0">
      <w:lvlJc w:val="left"/>
      <w:lvlText w:val="(%1)"/>
      <w:numFmt w:val="lowerRoman"/>
      <w:start w:val="3"/>
    </w:lvl>
  </w:abstractNum>
  <w:abstractNum w:abstractNumId="134">
    <w:nsid w:val="527FA04C"/>
    <w:multiLevelType w:val="hybridMultilevel"/>
    <w:lvl w:ilvl="0">
      <w:lvlJc w:val="left"/>
      <w:lvlText w:val="(%1)"/>
      <w:numFmt w:val="decimal"/>
      <w:start w:val="1"/>
    </w:lvl>
  </w:abstractNum>
  <w:abstractNum w:abstractNumId="135">
    <w:nsid w:val="6FCC0624"/>
    <w:multiLevelType w:val="hybridMultilevel"/>
    <w:lvl w:ilvl="0">
      <w:lvlJc w:val="left"/>
      <w:lvlText w:val="(%1)"/>
      <w:numFmt w:val="decimal"/>
      <w:start w:val="1"/>
    </w:lvl>
  </w:abstractNum>
  <w:abstractNum w:abstractNumId="136">
    <w:nsid w:val="1DCDF795"/>
    <w:multiLevelType w:val="hybridMultilevel"/>
    <w:lvl w:ilvl="0">
      <w:lvlJc w:val="left"/>
      <w:lvlText w:val="(%1)"/>
      <w:numFmt w:val="decimal"/>
      <w:start w:val="2"/>
    </w:lvl>
  </w:abstractNum>
  <w:abstractNum w:abstractNumId="137">
    <w:nsid w:val="564580C8"/>
    <w:multiLevelType w:val="hybridMultilevel"/>
    <w:lvl w:ilvl="0">
      <w:lvlJc w:val="left"/>
      <w:lvlText w:val="•"/>
      <w:numFmt w:val="bullet"/>
      <w:start w:val="1"/>
    </w:lvl>
  </w:abstractNum>
  <w:abstractNum w:abstractNumId="138">
    <w:nsid w:val="508ED897"/>
    <w:multiLevelType w:val="hybridMultilevel"/>
    <w:lvl w:ilvl="0">
      <w:lvlJc w:val="left"/>
      <w:lvlText w:val="•"/>
      <w:numFmt w:val="bullet"/>
      <w:start w:val="1"/>
    </w:lvl>
  </w:abstractNum>
  <w:abstractNum w:abstractNumId="139">
    <w:nsid w:val="6A9126B5"/>
    <w:multiLevelType w:val="hybridMultilevel"/>
    <w:lvl w:ilvl="0">
      <w:lvlJc w:val="left"/>
      <w:lvlText w:val="(%1)"/>
      <w:numFmt w:val="decimal"/>
      <w:start w:val="1"/>
    </w:lvl>
  </w:abstractNum>
  <w:abstractNum w:abstractNumId="140">
    <w:nsid w:val="68104812"/>
    <w:multiLevelType w:val="hybridMultilevel"/>
    <w:lvl w:ilvl="0">
      <w:lvlJc w:val="left"/>
      <w:lvlText w:val="1"/>
      <w:numFmt w:val="bullet"/>
      <w:start w:val="1"/>
    </w:lvl>
  </w:abstractNum>
  <w:abstractNum w:abstractNumId="141">
    <w:nsid w:val="62FB8680"/>
    <w:multiLevelType w:val="hybridMultilevel"/>
    <w:lvl w:ilvl="0">
      <w:lvlJc w:val="left"/>
      <w:lvlText w:val="2"/>
      <w:numFmt w:val="bullet"/>
      <w:start w:val="1"/>
    </w:lvl>
  </w:abstractNum>
  <w:abstractNum w:abstractNumId="142">
    <w:nsid w:val="3A45530"/>
    <w:multiLevelType w:val="hybridMultilevel"/>
    <w:lvl w:ilvl="0">
      <w:lvlJc w:val="left"/>
      <w:lvlText w:val="3"/>
      <w:numFmt w:val="bullet"/>
      <w:start w:val="1"/>
    </w:lvl>
  </w:abstractNum>
  <w:abstractNum w:abstractNumId="143">
    <w:nsid w:val="4B9275D2"/>
    <w:multiLevelType w:val="hybridMultilevel"/>
    <w:lvl w:ilvl="0">
      <w:lvlJc w:val="left"/>
      <w:lvlText w:val="4"/>
      <w:numFmt w:val="bullet"/>
      <w:start w:val="1"/>
    </w:lvl>
  </w:abstractNum>
  <w:abstractNum w:abstractNumId="144">
    <w:nsid w:val="4F0CEEDB"/>
    <w:multiLevelType w:val="hybridMultilevel"/>
    <w:lvl w:ilvl="0">
      <w:lvlJc w:val="left"/>
      <w:lvlText w:val="5"/>
      <w:numFmt w:val="bullet"/>
      <w:start w:val="1"/>
    </w:lvl>
  </w:abstractNum>
  <w:abstractNum w:abstractNumId="145">
    <w:nsid w:val="61C30361"/>
    <w:multiLevelType w:val="hybridMultilevel"/>
    <w:lvl w:ilvl="0">
      <w:lvlJc w:val="left"/>
      <w:lvlText w:val="(%1)"/>
      <w:numFmt w:val="lowerLetter"/>
      <w:start w:val="1"/>
    </w:lvl>
  </w:abstractNum>
  <w:abstractNum w:abstractNumId="146">
    <w:nsid w:val="632099E0"/>
    <w:multiLevelType w:val="hybridMultilevel"/>
    <w:lvl w:ilvl="0">
      <w:lvlJc w:val="left"/>
      <w:lvlText w:val="•"/>
      <w:numFmt w:val="bullet"/>
      <w:start w:val="1"/>
    </w:lvl>
  </w:abstractNum>
  <w:abstractNum w:abstractNumId="147">
    <w:nsid w:val="24639756"/>
    <w:multiLevelType w:val="hybridMultilevel"/>
    <w:lvl w:ilvl="0">
      <w:lvlJc w:val="left"/>
      <w:lvlText w:val="•"/>
      <w:numFmt w:val="bullet"/>
      <w:start w:val="1"/>
    </w:lvl>
  </w:abstractNum>
  <w:abstractNum w:abstractNumId="148">
    <w:nsid w:val="9D30DFD"/>
    <w:multiLevelType w:val="hybridMultilevel"/>
    <w:lvl w:ilvl="0">
      <w:lvlJc w:val="left"/>
      <w:lvlText w:val="(%1)"/>
      <w:numFmt w:val="lowerRoman"/>
      <w:start w:val="2"/>
    </w:lvl>
  </w:abstractNum>
  <w:abstractNum w:abstractNumId="149">
    <w:nsid w:val="70A42016"/>
    <w:multiLevelType w:val="hybridMultilevel"/>
    <w:lvl w:ilvl="0">
      <w:lvlJc w:val="left"/>
      <w:lvlText w:val="(%1)"/>
      <w:numFmt w:val="lowerRoman"/>
      <w:start w:val="1"/>
    </w:lvl>
  </w:abstractNum>
  <w:abstractNum w:abstractNumId="150">
    <w:nsid w:val="161BC243"/>
    <w:multiLevelType w:val="hybridMultilevel"/>
    <w:lvl w:ilvl="0">
      <w:lvlJc w:val="left"/>
      <w:lvlText w:val="•"/>
      <w:numFmt w:val="bullet"/>
      <w:start w:val="1"/>
    </w:lvl>
  </w:abstractNum>
  <w:abstractNum w:abstractNumId="151">
    <w:nsid w:val="16E908C8"/>
    <w:multiLevelType w:val="hybridMultilevel"/>
    <w:lvl w:ilvl="0">
      <w:lvlJc w:val="left"/>
      <w:lvlText w:val="•"/>
      <w:numFmt w:val="bullet"/>
      <w:start w:val="1"/>
    </w:lvl>
  </w:abstractNum>
  <w:abstractNum w:abstractNumId="152">
    <w:nsid w:val="2E0D7671"/>
    <w:multiLevelType w:val="hybridMultilevel"/>
    <w:lvl w:ilvl="0">
      <w:lvlJc w:val="left"/>
      <w:lvlText w:val="•"/>
      <w:numFmt w:val="bullet"/>
      <w:start w:val="1"/>
    </w:lvl>
  </w:abstractNum>
  <w:abstractNum w:abstractNumId="153">
    <w:nsid w:val="38B59EFF"/>
    <w:multiLevelType w:val="hybridMultilevel"/>
    <w:lvl w:ilvl="0">
      <w:lvlJc w:val="left"/>
      <w:lvlText w:val="•"/>
      <w:numFmt w:val="bullet"/>
      <w:start w:val="1"/>
    </w:lvl>
  </w:abstractNum>
  <w:abstractNum w:abstractNumId="154">
    <w:nsid w:val="307995CA"/>
    <w:multiLevelType w:val="hybridMultilevel"/>
    <w:lvl w:ilvl="0">
      <w:lvlJc w:val="left"/>
      <w:lvlText w:val="•"/>
      <w:numFmt w:val="bullet"/>
      <w:start w:val="1"/>
    </w:lvl>
  </w:abstractNum>
  <w:abstractNum w:abstractNumId="155">
    <w:nsid w:val="52E2024D"/>
    <w:multiLevelType w:val="hybridMultilevel"/>
    <w:lvl w:ilvl="0">
      <w:lvlJc w:val="left"/>
      <w:lvlText w:val="•"/>
      <w:numFmt w:val="bullet"/>
      <w:start w:val="1"/>
    </w:lvl>
  </w:abstractNum>
  <w:abstractNum w:abstractNumId="156">
    <w:nsid w:val="CE344B5"/>
    <w:multiLevelType w:val="hybridMultilevel"/>
    <w:lvl w:ilvl="0">
      <w:lvlJc w:val="left"/>
      <w:lvlText w:val="•"/>
      <w:numFmt w:val="bullet"/>
      <w:start w:val="1"/>
    </w:lvl>
  </w:abstractNum>
  <w:abstractNum w:abstractNumId="157">
    <w:nsid w:val="29B0E9A8"/>
    <w:multiLevelType w:val="hybridMultilevel"/>
    <w:lvl w:ilvl="0">
      <w:lvlJc w:val="left"/>
      <w:lvlText w:val="•"/>
      <w:numFmt w:val="bullet"/>
      <w:start w:val="1"/>
    </w:lvl>
  </w:abstractNum>
  <w:abstractNum w:abstractNumId="158">
    <w:nsid w:val="6F49CD8A"/>
    <w:multiLevelType w:val="hybridMultilevel"/>
    <w:lvl w:ilvl="0">
      <w:lvlJc w:val="left"/>
      <w:lvlText w:val="•"/>
      <w:numFmt w:val="bullet"/>
      <w:start w:val="1"/>
    </w:lvl>
  </w:abstractNum>
  <w:abstractNum w:abstractNumId="159">
    <w:nsid w:val="4DC5D907"/>
    <w:multiLevelType w:val="hybridMultilevel"/>
    <w:lvl w:ilvl="0">
      <w:lvlJc w:val="left"/>
      <w:lvlText w:val="•"/>
      <w:numFmt w:val="bullet"/>
      <w:start w:val="1"/>
    </w:lvl>
  </w:abstractNum>
  <w:abstractNum w:abstractNumId="160">
    <w:nsid w:val="D55945E"/>
    <w:multiLevelType w:val="hybridMultilevel"/>
    <w:lvl w:ilvl="0">
      <w:lvlJc w:val="left"/>
      <w:lvlText w:val="•"/>
      <w:numFmt w:val="bullet"/>
      <w:start w:val="1"/>
    </w:lvl>
  </w:abstractNum>
  <w:abstractNum w:abstractNumId="161">
    <w:nsid w:val="672417E1"/>
    <w:multiLevelType w:val="hybridMultilevel"/>
    <w:lvl w:ilvl="0">
      <w:lvlJc w:val="left"/>
      <w:lvlText w:val="•"/>
      <w:numFmt w:val="bullet"/>
      <w:start w:val="1"/>
    </w:lvl>
  </w:abstractNum>
  <w:abstractNum w:abstractNumId="162">
    <w:nsid w:val="5FF6CA09"/>
    <w:multiLevelType w:val="hybridMultilevel"/>
    <w:lvl w:ilvl="0">
      <w:lvlJc w:val="left"/>
      <w:lvlText w:val="•"/>
      <w:numFmt w:val="bullet"/>
      <w:start w:val="1"/>
    </w:lvl>
  </w:abstractNum>
  <w:abstractNum w:abstractNumId="163">
    <w:nsid w:val="330B1333"/>
    <w:multiLevelType w:val="hybridMultilevel"/>
    <w:lvl w:ilvl="0">
      <w:lvlJc w:val="left"/>
      <w:lvlText w:val="•"/>
      <w:numFmt w:val="bullet"/>
      <w:start w:val="1"/>
    </w:lvl>
  </w:abstractNum>
  <w:abstractNum w:abstractNumId="164">
    <w:nsid w:val="2EF32EA6"/>
    <w:multiLevelType w:val="hybridMultilevel"/>
    <w:lvl w:ilvl="0">
      <w:lvlJc w:val="left"/>
      <w:lvlText w:val="•"/>
      <w:numFmt w:val="bullet"/>
      <w:start w:val="1"/>
    </w:lvl>
  </w:abstractNum>
  <w:abstractNum w:abstractNumId="165">
    <w:nsid w:val="32766A55"/>
    <w:multiLevelType w:val="hybridMultilevel"/>
    <w:lvl w:ilvl="0">
      <w:lvlJc w:val="left"/>
      <w:lvlText w:val="•"/>
      <w:numFmt w:val="bullet"/>
      <w:start w:val="1"/>
    </w:lvl>
    <w:lvl w:ilvl="1">
      <w:lvlJc w:val="left"/>
      <w:lvlText w:val="•"/>
      <w:numFmt w:val="bullet"/>
      <w:start w:val="1"/>
    </w:lvl>
  </w:abstractNum>
  <w:abstractNum w:abstractNumId="166">
    <w:nsid w:val="22D71957"/>
    <w:multiLevelType w:val="hybridMultilevel"/>
    <w:lvl w:ilvl="0">
      <w:lvlJc w:val="left"/>
      <w:lvlText w:val="•"/>
      <w:numFmt w:val="bullet"/>
      <w:start w:val="1"/>
    </w:lvl>
  </w:abstractNum>
  <w:abstractNum w:abstractNumId="167">
    <w:nsid w:val="4CC1263B"/>
    <w:multiLevelType w:val="hybridMultilevel"/>
    <w:lvl w:ilvl="0">
      <w:lvlJc w:val="left"/>
      <w:lvlText w:val="•"/>
      <w:numFmt w:val="bullet"/>
      <w:start w:val="1"/>
    </w:lvl>
  </w:abstractNum>
  <w:abstractNum w:abstractNumId="168">
    <w:nsid w:val="8BBEB1D"/>
    <w:multiLevelType w:val="hybridMultilevel"/>
    <w:lvl w:ilvl="0">
      <w:lvlJc w:val="left"/>
      <w:lvlText w:val="(%1)"/>
      <w:numFmt w:val="upperLetter"/>
      <w:start w:val="1"/>
    </w:lvl>
  </w:abstractNum>
  <w:abstractNum w:abstractNumId="169">
    <w:nsid w:val="7365F1EE"/>
    <w:multiLevelType w:val="hybridMultilevel"/>
    <w:lvl w:ilvl="0">
      <w:lvlJc w:val="left"/>
      <w:lvlText w:val="•"/>
      <w:numFmt w:val="bullet"/>
      <w:start w:val="1"/>
    </w:lvl>
  </w:abstractNum>
  <w:abstractNum w:abstractNumId="170">
    <w:nsid w:val="37524CF0"/>
    <w:multiLevelType w:val="hybridMultilevel"/>
    <w:lvl w:ilvl="0">
      <w:lvlJc w:val="left"/>
      <w:lvlText w:val="(%1)"/>
      <w:numFmt w:val="lowerRoman"/>
      <w:start w:val="2"/>
    </w:lvl>
  </w:abstractNum>
  <w:abstractNum w:abstractNumId="171">
    <w:nsid w:val="70CC332F"/>
    <w:multiLevelType w:val="hybridMultilevel"/>
    <w:lvl w:ilvl="0">
      <w:lvlJc w:val="left"/>
      <w:lvlText w:val="•"/>
      <w:numFmt w:val="bullet"/>
      <w:start w:val="1"/>
    </w:lvl>
  </w:abstractNum>
  <w:abstractNum w:abstractNumId="172">
    <w:nsid w:val="5661786E"/>
    <w:multiLevelType w:val="hybridMultilevel"/>
    <w:lvl w:ilvl="0">
      <w:lvlJc w:val="left"/>
      <w:lvlText w:val="•"/>
      <w:numFmt w:val="bullet"/>
      <w:start w:val="1"/>
    </w:lvl>
  </w:abstractNum>
  <w:abstractNum w:abstractNumId="173">
    <w:nsid w:val="3AF6A220"/>
    <w:multiLevelType w:val="hybridMultilevel"/>
    <w:lvl w:ilvl="0">
      <w:lvlJc w:val="left"/>
      <w:lvlText w:val="•"/>
      <w:numFmt w:val="bullet"/>
      <w:start w:val="1"/>
    </w:lvl>
  </w:abstractNum>
  <w:abstractNum w:abstractNumId="174">
    <w:nsid w:val="3C5EA902"/>
    <w:multiLevelType w:val="hybridMultilevel"/>
    <w:lvl w:ilvl="0">
      <w:lvlJc w:val="left"/>
      <w:lvlText w:val="•"/>
      <w:numFmt w:val="bullet"/>
      <w:start w:val="1"/>
    </w:lvl>
  </w:abstractNum>
  <w:abstractNum w:abstractNumId="175">
    <w:nsid w:val="256E6749"/>
    <w:multiLevelType w:val="hybridMultilevel"/>
    <w:lvl w:ilvl="0">
      <w:lvlJc w:val="left"/>
      <w:lvlText w:val="•"/>
      <w:numFmt w:val="bullet"/>
      <w:start w:val="1"/>
    </w:lvl>
  </w:abstractNum>
  <w:abstractNum w:abstractNumId="176">
    <w:nsid w:val="1CB9A581"/>
    <w:multiLevelType w:val="hybridMultilevel"/>
    <w:lvl w:ilvl="0">
      <w:lvlJc w:val="left"/>
      <w:lvlText w:val="•"/>
      <w:numFmt w:val="bullet"/>
      <w:start w:val="1"/>
    </w:lvl>
  </w:abstractNum>
  <w:abstractNum w:abstractNumId="177">
    <w:nsid w:val="1F7F42E2"/>
    <w:multiLevelType w:val="hybridMultilevel"/>
    <w:lvl w:ilvl="0">
      <w:lvlJc w:val="left"/>
      <w:lvlText w:val="•"/>
      <w:numFmt w:val="bullet"/>
      <w:start w:val="1"/>
    </w:lvl>
  </w:abstractNum>
  <w:abstractNum w:abstractNumId="178">
    <w:nsid w:val="49D1FEA0"/>
    <w:multiLevelType w:val="hybridMultilevel"/>
    <w:lvl w:ilvl="0">
      <w:lvlJc w:val="left"/>
      <w:lvlText w:val="•"/>
      <w:numFmt w:val="bullet"/>
      <w:start w:val="1"/>
    </w:lvl>
  </w:abstractNum>
  <w:abstractNum w:abstractNumId="179">
    <w:nsid w:val="268CB37F"/>
    <w:multiLevelType w:val="hybridMultilevel"/>
    <w:lvl w:ilvl="0">
      <w:lvlJc w:val="left"/>
      <w:lvlText w:val="•"/>
      <w:numFmt w:val="bullet"/>
      <w:start w:val="1"/>
    </w:lvl>
  </w:abstractNum>
  <w:abstractNum w:abstractNumId="180">
    <w:nsid w:val="102362F8"/>
    <w:multiLevelType w:val="hybridMultilevel"/>
    <w:lvl w:ilvl="0">
      <w:lvlJc w:val="left"/>
      <w:lvlText w:val="•"/>
      <w:numFmt w:val="bullet"/>
      <w:start w:val="1"/>
    </w:lvl>
  </w:abstractNum>
  <w:abstractNum w:abstractNumId="181">
    <w:nsid w:val="5FEDC0E3"/>
    <w:multiLevelType w:val="hybridMultilevel"/>
    <w:lvl w:ilvl="0">
      <w:lvlJc w:val="left"/>
      <w:lvlText w:val="•"/>
      <w:numFmt w:val="bullet"/>
      <w:start w:val="1"/>
    </w:lvl>
  </w:abstractNum>
  <w:abstractNum w:abstractNumId="182">
    <w:nsid w:val="3D75BC47"/>
    <w:multiLevelType w:val="hybridMultilevel"/>
    <w:lvl w:ilvl="0">
      <w:lvlJc w:val="left"/>
      <w:lvlText w:val="•"/>
      <w:numFmt w:val="bullet"/>
      <w:start w:val="1"/>
    </w:lvl>
  </w:abstractNum>
  <w:abstractNum w:abstractNumId="183">
    <w:nsid w:val="3E30D969"/>
    <w:multiLevelType w:val="hybridMultilevel"/>
    <w:lvl w:ilvl="0">
      <w:lvlJc w:val="left"/>
      <w:lvlText w:val="•"/>
      <w:numFmt w:val="bullet"/>
      <w:start w:val="1"/>
    </w:lvl>
  </w:abstractNum>
  <w:abstractNum w:abstractNumId="184">
    <w:nsid w:val="18A35FE3"/>
    <w:multiLevelType w:val="hybridMultilevel"/>
    <w:lvl w:ilvl="0">
      <w:lvlJc w:val="left"/>
      <w:lvlText w:val="•"/>
      <w:numFmt w:val="bullet"/>
      <w:start w:val="1"/>
    </w:lvl>
  </w:abstractNum>
  <w:abstractNum w:abstractNumId="185">
    <w:nsid w:val="6DEF5211"/>
    <w:multiLevelType w:val="hybridMultilevel"/>
    <w:lvl w:ilvl="0">
      <w:lvlJc w:val="left"/>
      <w:lvlText w:val="•"/>
      <w:numFmt w:val="bullet"/>
      <w:start w:val="1"/>
    </w:lvl>
  </w:abstractNum>
  <w:abstractNum w:abstractNumId="186">
    <w:nsid w:val="1112DBB6"/>
    <w:multiLevelType w:val="hybridMultilevel"/>
    <w:lvl w:ilvl="0">
      <w:lvlJc w:val="left"/>
      <w:lvlText w:val="•"/>
      <w:numFmt w:val="bullet"/>
      <w:start w:val="1"/>
    </w:lvl>
  </w:abstractNum>
  <w:abstractNum w:abstractNumId="187">
    <w:nsid w:val="2586A498"/>
    <w:multiLevelType w:val="hybridMultilevel"/>
    <w:lvl w:ilvl="0">
      <w:lvlJc w:val="left"/>
      <w:lvlText w:val="•"/>
      <w:numFmt w:val="bullet"/>
      <w:start w:val="1"/>
    </w:lvl>
  </w:abstractNum>
  <w:abstractNum w:abstractNumId="188">
    <w:nsid w:val="17A03BB9"/>
    <w:multiLevelType w:val="hybridMultilevel"/>
    <w:lvl w:ilvl="0">
      <w:lvlJc w:val="left"/>
      <w:lvlText w:val="•"/>
      <w:numFmt w:val="bullet"/>
      <w:start w:val="1"/>
    </w:lvl>
  </w:abstractNum>
  <w:abstractNum w:abstractNumId="189">
    <w:nsid w:val="5CA941"/>
    <w:multiLevelType w:val="hybridMultilevel"/>
    <w:lvl w:ilvl="0">
      <w:lvlJc w:val="left"/>
      <w:lvlText w:val="•"/>
      <w:numFmt w:val="bullet"/>
      <w:start w:val="1"/>
    </w:lvl>
  </w:abstractNum>
  <w:abstractNum w:abstractNumId="190">
    <w:nsid w:val="734C7D9F"/>
    <w:multiLevelType w:val="hybridMultilevel"/>
    <w:lvl w:ilvl="0">
      <w:lvlJc w:val="left"/>
      <w:lvlText w:val="•"/>
      <w:numFmt w:val="bullet"/>
      <w:start w:val="1"/>
    </w:lvl>
  </w:abstractNum>
  <w:abstractNum w:abstractNumId="191">
    <w:nsid w:val="24F5D018"/>
    <w:multiLevelType w:val="hybridMultilevel"/>
    <w:lvl w:ilvl="0">
      <w:lvlJc w:val="left"/>
      <w:lvlText w:val="•"/>
      <w:numFmt w:val="bullet"/>
      <w:start w:val="1"/>
    </w:lvl>
  </w:abstractNum>
  <w:abstractNum w:abstractNumId="192">
    <w:nsid w:val="6780C122"/>
    <w:multiLevelType w:val="hybridMultilevel"/>
    <w:lvl w:ilvl="0">
      <w:lvlJc w:val="left"/>
      <w:lvlText w:val="•"/>
      <w:numFmt w:val="bullet"/>
      <w:start w:val="1"/>
    </w:lvl>
  </w:abstractNum>
  <w:abstractNum w:abstractNumId="193">
    <w:nsid w:val="534347A8"/>
    <w:multiLevelType w:val="hybridMultilevel"/>
    <w:lvl w:ilvl="0">
      <w:lvlJc w:val="left"/>
      <w:lvlText w:val="•"/>
      <w:numFmt w:val="bullet"/>
      <w:start w:val="1"/>
    </w:lvl>
  </w:abstractNum>
  <w:abstractNum w:abstractNumId="194">
    <w:nsid w:val="5800E34B"/>
    <w:multiLevelType w:val="hybridMultilevel"/>
    <w:lvl w:ilvl="0">
      <w:lvlJc w:val="left"/>
      <w:lvlText w:val="•"/>
      <w:numFmt w:val="bullet"/>
      <w:start w:val="1"/>
    </w:lvl>
  </w:abstractNum>
  <w:abstractNum w:abstractNumId="195">
    <w:nsid w:val="1673EFC8"/>
    <w:multiLevelType w:val="hybridMultilevel"/>
    <w:lvl w:ilvl="0">
      <w:lvlJc w:val="left"/>
      <w:lvlText w:val="•"/>
      <w:numFmt w:val="bullet"/>
      <w:start w:val="1"/>
    </w:lvl>
  </w:abstractNum>
  <w:abstractNum w:abstractNumId="196">
    <w:nsid w:val="5B9B1FD"/>
    <w:multiLevelType w:val="hybridMultilevel"/>
    <w:lvl w:ilvl="0">
      <w:lvlJc w:val="left"/>
      <w:lvlText w:val="•"/>
      <w:numFmt w:val="bullet"/>
      <w:start w:val="1"/>
    </w:lvl>
  </w:abstractNum>
  <w:abstractNum w:abstractNumId="197">
    <w:nsid w:val="7AD7FCA2"/>
    <w:multiLevelType w:val="hybridMultilevel"/>
    <w:lvl w:ilvl="0">
      <w:lvlJc w:val="left"/>
      <w:lvlText w:val="•"/>
      <w:numFmt w:val="bullet"/>
      <w:start w:val="1"/>
    </w:lvl>
  </w:abstractNum>
  <w:abstractNum w:abstractNumId="198">
    <w:nsid w:val="63351604"/>
    <w:multiLevelType w:val="hybridMultilevel"/>
    <w:lvl w:ilvl="0">
      <w:lvlJc w:val="left"/>
      <w:lvlText w:val="•"/>
      <w:numFmt w:val="bullet"/>
      <w:start w:val="1"/>
    </w:lvl>
  </w:abstractNum>
  <w:abstractNum w:abstractNumId="199">
    <w:nsid w:val="E759D1A"/>
    <w:multiLevelType w:val="hybridMultilevel"/>
    <w:lvl w:ilvl="0">
      <w:lvlJc w:val="left"/>
      <w:lvlText w:val="•"/>
      <w:numFmt w:val="bullet"/>
      <w:start w:val="1"/>
    </w:lvl>
  </w:abstractNum>
  <w:abstractNum w:abstractNumId="200">
    <w:nsid w:val="6E3DEE90"/>
    <w:multiLevelType w:val="hybridMultilevel"/>
    <w:lvl w:ilvl="0">
      <w:lvlJc w:val="left"/>
      <w:lvlText w:val="•"/>
      <w:numFmt w:val="bullet"/>
      <w:start w:val="1"/>
    </w:lvl>
  </w:abstractNum>
  <w:abstractNum w:abstractNumId="201">
    <w:nsid w:val="1A8762F4"/>
    <w:multiLevelType w:val="hybridMultilevel"/>
    <w:lvl w:ilvl="0">
      <w:lvlJc w:val="left"/>
      <w:lvlText w:val="•"/>
      <w:numFmt w:val="bullet"/>
      <w:start w:val="1"/>
    </w:lvl>
  </w:abstractNum>
  <w:abstractNum w:abstractNumId="202">
    <w:nsid w:val="7F41D049"/>
    <w:multiLevelType w:val="hybridMultilevel"/>
    <w:lvl w:ilvl="0">
      <w:lvlJc w:val="left"/>
      <w:lvlText w:val="•"/>
      <w:numFmt w:val="bullet"/>
      <w:start w:val="1"/>
    </w:lvl>
  </w:abstractNum>
  <w:abstractNum w:abstractNumId="203">
    <w:nsid w:val="449F66FE"/>
    <w:multiLevelType w:val="hybridMultilevel"/>
    <w:lvl w:ilvl="0">
      <w:lvlJc w:val="left"/>
      <w:lvlText w:val="%1."/>
      <w:numFmt w:val="lowerLetter"/>
      <w:start w:val="1"/>
    </w:lvl>
  </w:abstractNum>
  <w:abstractNum w:abstractNumId="204">
    <w:nsid w:val="557E0515"/>
    <w:multiLevelType w:val="hybridMultilevel"/>
    <w:lvl w:ilvl="0">
      <w:lvlJc w:val="left"/>
      <w:lvlText w:val="%1."/>
      <w:numFmt w:val="lowerLetter"/>
      <w:start w:val="5"/>
    </w:lvl>
  </w:abstractNum>
  <w:abstractNum w:abstractNumId="205">
    <w:nsid w:val="3BA0794B"/>
    <w:multiLevelType w:val="hybridMultilevel"/>
    <w:lvl w:ilvl="0">
      <w:lvlJc w:val="left"/>
      <w:lvlText w:val="%1."/>
      <w:numFmt w:val="lowerLetter"/>
      <w:start w:val="7"/>
    </w:lvl>
  </w:abstractNum>
  <w:abstractNum w:abstractNumId="206">
    <w:nsid w:val="6A0DCE48"/>
    <w:multiLevelType w:val="hybridMultilevel"/>
    <w:lvl w:ilvl="0">
      <w:lvlJc w:val="left"/>
      <w:lvlText w:val="%1."/>
      <w:numFmt w:val="lowerLetter"/>
      <w:start w:val="9"/>
    </w:lvl>
  </w:abstractNum>
  <w:abstractNum w:abstractNumId="207">
    <w:nsid w:val="7237AA96"/>
    <w:multiLevelType w:val="hybridMultilevel"/>
    <w:lvl w:ilvl="0">
      <w:lvlJc w:val="left"/>
      <w:lvlText w:val="%1."/>
      <w:numFmt w:val="lowerLetter"/>
      <w:start w:val="11"/>
    </w:lvl>
  </w:abstractNum>
  <w:abstractNum w:abstractNumId="208">
    <w:nsid w:val="5B1FBC2D"/>
    <w:multiLevelType w:val="hybridMultilevel"/>
    <w:lvl w:ilvl="0">
      <w:lvlJc w:val="left"/>
      <w:lvlText w:val="%1."/>
      <w:numFmt w:val="lowerLetter"/>
      <w:start w:val="13"/>
    </w:lvl>
  </w:abstractNum>
  <w:abstractNum w:abstractNumId="209">
    <w:nsid w:val="33DFCCE8"/>
    <w:multiLevelType w:val="hybridMultilevel"/>
    <w:lvl w:ilvl="0">
      <w:lvlJc w:val="left"/>
      <w:lvlText w:val="%1."/>
      <w:numFmt w:val="lowerLetter"/>
      <w:start w:val="1"/>
    </w:lvl>
  </w:abstractNum>
  <w:abstractNum w:abstractNumId="210">
    <w:nsid w:val="18C45E15"/>
    <w:multiLevelType w:val="hybridMultilevel"/>
    <w:lvl w:ilvl="0">
      <w:lvlJc w:val="left"/>
      <w:lvlText w:val="%1."/>
      <w:numFmt w:val="lowerLetter"/>
      <w:start w:val="2"/>
    </w:lvl>
  </w:abstractNum>
  <w:abstractNum w:abstractNumId="211">
    <w:nsid w:val="6B431F25"/>
    <w:multiLevelType w:val="hybridMultilevel"/>
    <w:lvl w:ilvl="0">
      <w:lvlJc w:val="left"/>
      <w:lvlText w:val="%1."/>
      <w:numFmt w:val="lowerLetter"/>
      <w:start w:val="3"/>
    </w:lvl>
  </w:abstractNum>
  <w:abstractNum w:abstractNumId="212">
    <w:nsid w:val="13CD8DCB"/>
    <w:multiLevelType w:val="hybridMultilevel"/>
    <w:lvl w:ilvl="0">
      <w:lvlJc w:val="left"/>
      <w:lvlText w:val="%1."/>
      <w:numFmt w:val="lowerLetter"/>
      <w:start w:val="4"/>
    </w:lvl>
  </w:abstractNum>
  <w:abstractNum w:abstractNumId="213">
    <w:nsid w:val="563A1A5C"/>
    <w:multiLevelType w:val="hybridMultilevel"/>
    <w:lvl w:ilvl="0">
      <w:lvlJc w:val="left"/>
      <w:lvlText w:val="%1."/>
      <w:numFmt w:val="lowerLetter"/>
      <w:start w:val="5"/>
    </w:lvl>
  </w:abstractNum>
  <w:abstractNum w:abstractNumId="214">
    <w:nsid w:val="2973F88F"/>
    <w:multiLevelType w:val="hybridMultilevel"/>
    <w:lvl w:ilvl="0">
      <w:lvlJc w:val="left"/>
      <w:lvlText w:val="%1."/>
      <w:numFmt w:val="lowerLetter"/>
      <w:start w:val="8"/>
    </w:lvl>
  </w:abstractNum>
  <w:abstractNum w:abstractNumId="215">
    <w:nsid w:val="2C70EDAE"/>
    <w:multiLevelType w:val="hybridMultilevel"/>
    <w:lvl w:ilvl="0">
      <w:lvlJc w:val="left"/>
      <w:lvlText w:val="%1."/>
      <w:numFmt w:val="lowerLetter"/>
      <w:start w:val="11"/>
    </w:lvl>
  </w:abstractNum>
  <w:abstractNum w:abstractNumId="216">
    <w:nsid w:val="44296C6D"/>
    <w:multiLevelType w:val="hybridMultilevel"/>
    <w:lvl w:ilvl="0">
      <w:lvlJc w:val="left"/>
      <w:lvlText w:val="%1."/>
      <w:numFmt w:val="lowerLetter"/>
      <w:start w:val="14"/>
    </w:lvl>
  </w:abstractNum>
  <w:abstractNum w:abstractNumId="217">
    <w:nsid w:val="3A86D445"/>
    <w:multiLevelType w:val="hybridMultilevel"/>
    <w:lvl w:ilvl="0">
      <w:lvlJc w:val="left"/>
      <w:lvlText w:val="%1."/>
      <w:numFmt w:val="lowerLetter"/>
      <w:start w:val="15"/>
    </w:lvl>
  </w:abstractNum>
  <w:abstractNum w:abstractNumId="218">
    <w:nsid w:val="51F79246"/>
    <w:multiLevelType w:val="hybridMultilevel"/>
    <w:lvl w:ilvl="0">
      <w:lvlJc w:val="left"/>
      <w:lvlText w:val="%1."/>
      <w:numFmt w:val="lowerLetter"/>
      <w:start w:val="16"/>
    </w:lvl>
  </w:abstractNum>
  <w:abstractNum w:abstractNumId="219">
    <w:nsid w:val="5BC9A827"/>
    <w:multiLevelType w:val="hybridMultilevel"/>
    <w:lvl w:ilvl="0">
      <w:lvlJc w:val="left"/>
      <w:lvlText w:val="%1."/>
      <w:numFmt w:val="lowerLetter"/>
      <w:start w:val="17"/>
    </w:lvl>
  </w:abstractNum>
  <w:abstractNum w:abstractNumId="220">
    <w:nsid w:val="3AE37D86"/>
    <w:multiLevelType w:val="hybridMultilevel"/>
    <w:lvl w:ilvl="0">
      <w:lvlJc w:val="left"/>
      <w:lvlText w:val="•"/>
      <w:numFmt w:val="bullet"/>
      <w:start w:val="1"/>
    </w:lvl>
  </w:abstractNum>
  <w:abstractNum w:abstractNumId="221">
    <w:nsid w:val="45440FE5"/>
    <w:multiLevelType w:val="hybridMultilevel"/>
    <w:lvl w:ilvl="0">
      <w:lvlJc w:val="left"/>
      <w:lvlText w:val="•"/>
      <w:numFmt w:val="bullet"/>
      <w:start w:val="1"/>
    </w:lvl>
  </w:abstractNum>
  <w:abstractNum w:abstractNumId="222">
    <w:nsid w:val="BF783F"/>
    <w:multiLevelType w:val="hybridMultilevel"/>
    <w:lvl w:ilvl="0">
      <w:lvlJc w:val="left"/>
      <w:lvlText w:val="•"/>
      <w:numFmt w:val="bullet"/>
      <w:start w:val="1"/>
    </w:lvl>
  </w:abstractNum>
  <w:abstractNum w:abstractNumId="223">
    <w:nsid w:val="22643EA9"/>
    <w:multiLevelType w:val="hybridMultilevel"/>
    <w:lvl w:ilvl="0">
      <w:lvlJc w:val="left"/>
      <w:lvlText w:val="(%1)"/>
      <w:numFmt w:val="upperLetter"/>
      <w:start w:val="4"/>
    </w:lvl>
    <w:lvl w:ilvl="1">
      <w:lvlJc w:val="left"/>
      <w:lvlText w:val="•"/>
      <w:numFmt w:val="bullet"/>
      <w:start w:val="1"/>
    </w:lvl>
  </w:abstractNum>
  <w:abstractNum w:abstractNumId="224">
    <w:nsid w:val="1887578D"/>
    <w:multiLevelType w:val="hybridMultilevel"/>
    <w:lvl w:ilvl="0">
      <w:lvlJc w:val="left"/>
      <w:lvlText w:val="•"/>
      <w:numFmt w:val="bullet"/>
      <w:start w:val="1"/>
    </w:lvl>
  </w:abstractNum>
  <w:abstractNum w:abstractNumId="225">
    <w:nsid w:val="58C05B8A"/>
    <w:multiLevelType w:val="hybridMultilevel"/>
    <w:lvl w:ilvl="0">
      <w:lvlJc w:val="left"/>
      <w:lvlText w:val="•"/>
      <w:numFmt w:val="bullet"/>
      <w:start w:val="1"/>
    </w:lvl>
  </w:abstractNum>
  <w:abstractNum w:abstractNumId="226">
    <w:nsid w:val="38D82E71"/>
    <w:multiLevelType w:val="hybridMultilevel"/>
    <w:lvl w:ilvl="0">
      <w:lvlJc w:val="left"/>
      <w:lvlText w:val="•"/>
      <w:numFmt w:val="bullet"/>
      <w:start w:val="1"/>
    </w:lvl>
  </w:abstractNum>
  <w:abstractNum w:abstractNumId="227">
    <w:nsid w:val="1E41098A"/>
    <w:multiLevelType w:val="hybridMultilevel"/>
    <w:lvl w:ilvl="0">
      <w:lvlJc w:val="left"/>
      <w:lvlText w:val="•"/>
      <w:numFmt w:val="bullet"/>
      <w:start w:val="1"/>
    </w:lvl>
  </w:abstractNum>
  <w:abstractNum w:abstractNumId="228">
    <w:nsid w:val="5398582C"/>
    <w:multiLevelType w:val="hybridMultilevel"/>
    <w:lvl w:ilvl="0">
      <w:lvlJc w:val="left"/>
      <w:lvlText w:val="•"/>
      <w:numFmt w:val="bullet"/>
      <w:start w:val="1"/>
    </w:lvl>
  </w:abstractNum>
  <w:abstractNum w:abstractNumId="229">
    <w:nsid w:val="1C0D4475"/>
    <w:multiLevelType w:val="hybridMultilevel"/>
    <w:lvl w:ilvl="0">
      <w:lvlJc w:val="left"/>
      <w:lvlText w:val="*"/>
      <w:numFmt w:val="bullet"/>
      <w:start w:val="1"/>
    </w:lvl>
  </w:abstractNum>
  <w:abstractNum w:abstractNumId="230">
    <w:nsid w:val="2CB6A6A4"/>
    <w:multiLevelType w:val="hybridMultilevel"/>
    <w:lvl w:ilvl="0">
      <w:lvlJc w:val="left"/>
      <w:lvlText w:val="(%1)"/>
      <w:numFmt w:val="decimal"/>
      <w:start w:val="1"/>
    </w:lvl>
  </w:abstractNum>
  <w:abstractNum w:abstractNumId="231">
    <w:nsid w:val="41D646BC"/>
    <w:multiLevelType w:val="hybridMultilevel"/>
    <w:lvl w:ilvl="0">
      <w:lvlJc w:val="left"/>
      <w:lvlText w:val="•"/>
      <w:numFmt w:val="bullet"/>
      <w:start w:val="1"/>
    </w:lvl>
  </w:abstractNum>
  <w:abstractNum w:abstractNumId="232">
    <w:nsid w:val="3694A76A"/>
    <w:multiLevelType w:val="hybridMultilevel"/>
    <w:lvl w:ilvl="0">
      <w:lvlJc w:val="left"/>
      <w:lvlText w:val="•"/>
      <w:numFmt w:val="bullet"/>
      <w:start w:val="1"/>
    </w:lvl>
  </w:abstractNum>
  <w:abstractNum w:abstractNumId="233">
    <w:nsid w:val="2BF876EE"/>
    <w:multiLevelType w:val="hybridMultilevel"/>
    <w:lvl w:ilvl="0">
      <w:lvlJc w:val="left"/>
      <w:lvlText w:val="(%1)"/>
      <w:numFmt w:val="lowerLetter"/>
      <w:start w:val="1"/>
    </w:lvl>
  </w:abstractNum>
  <w:abstractNum w:abstractNumId="234">
    <w:nsid w:val="675ADBA"/>
    <w:multiLevelType w:val="hybridMultilevel"/>
    <w:lvl w:ilvl="0">
      <w:lvlJc w:val="left"/>
      <w:lvlText w:val="(%1)"/>
      <w:numFmt w:val="lowerLetter"/>
      <w:start w:val="1"/>
    </w:lvl>
  </w:abstractNum>
  <w:abstractNum w:abstractNumId="235">
    <w:nsid w:val="C12AC7F"/>
    <w:multiLevelType w:val="hybridMultilevel"/>
    <w:lvl w:ilvl="0">
      <w:lvlJc w:val="left"/>
      <w:lvlText w:val="(%1)"/>
      <w:numFmt w:val="lowerLetter"/>
      <w:start w:val="1"/>
    </w:lvl>
  </w:abstractNum>
  <w:abstractNum w:abstractNumId="236">
    <w:nsid w:val="6798F039"/>
    <w:multiLevelType w:val="hybridMultilevel"/>
    <w:lvl w:ilvl="0">
      <w:lvlJc w:val="left"/>
      <w:lvlText w:val="(%1)"/>
      <w:numFmt w:val="lowerLetter"/>
      <w:start w:val="4"/>
    </w:lvl>
  </w:abstractNum>
  <w:abstractNum w:abstractNumId="237">
    <w:nsid w:val="70837C02"/>
    <w:multiLevelType w:val="hybridMultilevel"/>
    <w:lvl w:ilvl="0">
      <w:lvlJc w:val="left"/>
      <w:lvlText w:val="(%1)"/>
      <w:numFmt w:val="lowerLetter"/>
      <w:start w:val="1"/>
    </w:lvl>
  </w:abstractNum>
  <w:abstractNum w:abstractNumId="238">
    <w:nsid w:val="7E4A5715"/>
    <w:multiLevelType w:val="hybridMultilevel"/>
    <w:lvl w:ilvl="0">
      <w:lvlJc w:val="left"/>
      <w:lvlText w:val="(%1)"/>
      <w:numFmt w:val="lowerLetter"/>
      <w:start w:val="1"/>
    </w:lvl>
  </w:abstractNum>
  <w:abstractNum w:abstractNumId="239">
    <w:nsid w:val="42B8AC67"/>
    <w:multiLevelType w:val="hybridMultilevel"/>
    <w:lvl w:ilvl="0">
      <w:lvlJc w:val="left"/>
      <w:lvlText w:val="(%1)"/>
      <w:numFmt w:val="lowerLetter"/>
      <w:start w:val="1"/>
    </w:lvl>
  </w:abstractNum>
  <w:abstractNum w:abstractNumId="240">
    <w:nsid w:val="246348EA"/>
    <w:multiLevelType w:val="hybridMultilevel"/>
    <w:lvl w:ilvl="0">
      <w:lvlJc w:val="left"/>
      <w:lvlText w:val="(%1)"/>
      <w:numFmt w:val="lowerLetter"/>
      <w:start w:val="1"/>
    </w:lvl>
  </w:abstractNum>
  <w:abstractNum w:abstractNumId="241">
    <w:nsid w:val="170EB52B"/>
    <w:multiLevelType w:val="hybridMultilevel"/>
    <w:lvl w:ilvl="0">
      <w:lvlJc w:val="left"/>
      <w:lvlText w:val="(%1)"/>
      <w:numFmt w:val="lowerLetter"/>
      <w:start w:val="1"/>
    </w:lvl>
  </w:abstractNum>
  <w:abstractNum w:abstractNumId="242">
    <w:nsid w:val="2DFBCB8C"/>
    <w:multiLevelType w:val="hybridMultilevel"/>
    <w:lvl w:ilvl="0">
      <w:lvlJc w:val="left"/>
      <w:lvlText w:val="(%1)"/>
      <w:numFmt w:val="lowerLetter"/>
      <w:start w:val="1"/>
    </w:lvl>
  </w:abstractNum>
  <w:abstractNum w:abstractNumId="243">
    <w:nsid w:val="3830D6B6"/>
    <w:multiLevelType w:val="hybridMultilevel"/>
    <w:lvl w:ilvl="0">
      <w:lvlJc w:val="left"/>
      <w:lvlText w:val="(%1)"/>
      <w:numFmt w:val="lowerLetter"/>
      <w:start w:val="2"/>
    </w:lvl>
  </w:abstractNum>
  <w:abstractNum w:abstractNumId="244">
    <w:nsid w:val="6D48CF87"/>
    <w:multiLevelType w:val="hybridMultilevel"/>
    <w:lvl w:ilvl="0">
      <w:lvlJc w:val="left"/>
      <w:lvlText w:val="(%1)"/>
      <w:numFmt w:val="lowerLetter"/>
      <w:start w:val="2"/>
    </w:lvl>
  </w:abstractNum>
  <w:abstractNum w:abstractNumId="245">
    <w:nsid w:val="576FC41B"/>
    <w:multiLevelType w:val="hybridMultilevel"/>
    <w:lvl w:ilvl="0">
      <w:lvlJc w:val="left"/>
      <w:lvlText w:val="(%1)"/>
      <w:numFmt w:val="lowerLetter"/>
      <w:start w:val="10"/>
    </w:lvl>
  </w:abstractNum>
  <w:abstractNum w:abstractNumId="246">
    <w:nsid w:val="64A1C464"/>
    <w:multiLevelType w:val="hybridMultilevel"/>
    <w:lvl w:ilvl="0">
      <w:lvlJc w:val="left"/>
      <w:lvlText w:val="(%1)"/>
      <w:numFmt w:val="lowerLetter"/>
      <w:start w:val="1"/>
    </w:lvl>
  </w:abstractNum>
  <w:abstractNum w:abstractNumId="247">
    <w:nsid w:val="31723BF5"/>
    <w:multiLevelType w:val="hybridMultilevel"/>
    <w:lvl w:ilvl="0">
      <w:lvlJc w:val="left"/>
      <w:lvlText w:val="(%1)"/>
      <w:numFmt w:val="lowerLetter"/>
      <w:start w:val="35"/>
    </w:lvl>
  </w:abstractNum>
  <w:abstractNum w:abstractNumId="248">
    <w:nsid w:val="11F69861"/>
    <w:multiLevelType w:val="hybridMultilevel"/>
    <w:lvl w:ilvl="0">
      <w:lvlJc w:val="left"/>
      <w:lvlText w:val="(%1)"/>
      <w:numFmt w:val="lowerLetter"/>
      <w:start w:val="1"/>
    </w:lvl>
    <w:lvl w:ilvl="1">
      <w:lvlJc w:val="left"/>
      <w:lvlText w:val="(%2)"/>
      <w:numFmt w:val="lowerRoman"/>
      <w:start w:val="1"/>
    </w:lvl>
  </w:abstractNum>
  <w:abstractNum w:abstractNumId="249">
    <w:nsid w:val="369956AB"/>
    <w:multiLevelType w:val="hybridMultilevel"/>
    <w:lvl w:ilvl="0">
      <w:lvlJc w:val="left"/>
      <w:lvlText w:val="(%1)"/>
      <w:numFmt w:val="lowerLetter"/>
      <w:start w:val="6"/>
    </w:lvl>
  </w:abstractNum>
  <w:abstractNum w:abstractNumId="250">
    <w:nsid w:val="D3BE41C"/>
    <w:multiLevelType w:val="hybridMultilevel"/>
    <w:lvl w:ilvl="0">
      <w:lvlJc w:val="left"/>
      <w:lvlText w:val="(%1)"/>
      <w:numFmt w:val="lowerLetter"/>
      <w:start w:val="1"/>
    </w:lvl>
  </w:abstractNum>
  <w:abstractNum w:abstractNumId="251">
    <w:nsid w:val="4CDA15E7"/>
    <w:multiLevelType w:val="hybridMultilevel"/>
    <w:lvl w:ilvl="0">
      <w:lvlJc w:val="left"/>
      <w:lvlText w:val="(%1)"/>
      <w:numFmt w:val="lowerLetter"/>
      <w:start w:val="1"/>
    </w:lvl>
    <w:lvl w:ilvl="1">
      <w:lvlJc w:val="left"/>
      <w:lvlText w:val="(%2)"/>
      <w:numFmt w:val="lowerLetter"/>
      <w:start w:val="9"/>
    </w:lvl>
  </w:abstractNum>
  <w:abstractNum w:abstractNumId="252">
    <w:nsid w:val="7BDD6690"/>
    <w:multiLevelType w:val="hybridMultilevel"/>
    <w:lvl w:ilvl="0">
      <w:lvlJc w:val="left"/>
      <w:lvlText w:val="%1"/>
      <w:numFmt w:val="lowerLetter"/>
      <w:start w:val="1"/>
    </w:lvl>
    <w:lvl w:ilvl="1">
      <w:lvlJc w:val="left"/>
      <w:lvlText w:val="(%2)"/>
      <w:numFmt w:val="lowerRoman"/>
      <w:start w:val="2"/>
    </w:lvl>
  </w:abstractNum>
  <w:abstractNum w:abstractNumId="253">
    <w:nsid w:val="DFB5C5B"/>
    <w:multiLevelType w:val="hybridMultilevel"/>
    <w:lvl w:ilvl="0">
      <w:lvlJc w:val="left"/>
      <w:lvlText w:val="(%1)"/>
      <w:numFmt w:val="lowerLetter"/>
      <w:start w:val="2"/>
    </w:lvl>
    <w:lvl w:ilvl="1">
      <w:lvlJc w:val="left"/>
      <w:lvlText w:val="(%2)"/>
      <w:numFmt w:val="lowerRoman"/>
      <w:start w:val="1"/>
    </w:lvl>
  </w:abstractNum>
  <w:abstractNum w:abstractNumId="254">
    <w:nsid w:val="6F3E5490"/>
    <w:multiLevelType w:val="hybridMultilevel"/>
    <w:lvl w:ilvl="0">
      <w:lvlJc w:val="left"/>
      <w:lvlText w:val="(%1)"/>
      <w:numFmt w:val="upperLetter"/>
      <w:start w:val="1"/>
    </w:lvl>
  </w:abstractNum>
  <w:abstractNum w:abstractNumId="255">
    <w:nsid w:val="1464BE1E"/>
    <w:multiLevelType w:val="hybridMultilevel"/>
    <w:lvl w:ilvl="0">
      <w:lvlJc w:val="left"/>
      <w:lvlText w:val="%1"/>
      <w:numFmt w:val="lowerLetter"/>
      <w:start w:val="1"/>
    </w:lvl>
    <w:lvl w:ilvl="1">
      <w:lvlJc w:val="left"/>
      <w:lvlText w:val="(%2)"/>
      <w:numFmt w:val="upperLetter"/>
      <w:start w:val="1"/>
    </w:lvl>
  </w:abstractNum>
  <w:abstractNum w:abstractNumId="256">
    <w:nsid w:val="66BBB7E5"/>
    <w:multiLevelType w:val="hybridMultilevel"/>
    <w:lvl w:ilvl="0">
      <w:lvlJc w:val="left"/>
      <w:lvlText w:val="(%1)"/>
      <w:numFmt w:val="lowerLetter"/>
      <w:start w:val="25"/>
    </w:lvl>
    <w:lvl w:ilvl="1">
      <w:lvlJc w:val="left"/>
      <w:lvlText w:val="(%2)"/>
      <w:numFmt w:val="upperLetter"/>
      <w:start w:val="3"/>
    </w:lvl>
  </w:abstractNum>
  <w:abstractNum w:abstractNumId="257">
    <w:nsid w:val="28168302"/>
    <w:multiLevelType w:val="hybridMultilevel"/>
    <w:lvl w:ilvl="0">
      <w:lvlJc w:val="left"/>
      <w:lvlText w:val="(%1)"/>
      <w:numFmt w:val="upperLetter"/>
      <w:start w:val="4"/>
    </w:lvl>
  </w:abstractNum>
  <w:abstractNum w:abstractNumId="258">
    <w:nsid w:val="32A5C7A8"/>
    <w:multiLevelType w:val="hybridMultilevel"/>
    <w:lvl w:ilvl="0">
      <w:lvlJc w:val="left"/>
      <w:lvlText w:val="(%1)"/>
      <w:numFmt w:val="lowerRoman"/>
      <w:start w:val="4"/>
    </w:lvl>
  </w:abstractNum>
  <w:abstractNum w:abstractNumId="259">
    <w:nsid w:val="3A541011"/>
    <w:multiLevelType w:val="hybridMultilevel"/>
    <w:lvl w:ilvl="0">
      <w:lvlJc w:val="left"/>
      <w:lvlText w:val="(%1)"/>
      <w:numFmt w:val="lowerLetter"/>
      <w:start w:val="1"/>
    </w:lvl>
  </w:abstractNum>
  <w:abstractNum w:abstractNumId="260">
    <w:nsid w:val="4423C777"/>
    <w:multiLevelType w:val="hybridMultilevel"/>
    <w:lvl w:ilvl="0">
      <w:lvlJc w:val="left"/>
      <w:lvlText w:val="(%1)"/>
      <w:numFmt w:val="lowerLetter"/>
      <w:start w:val="3"/>
    </w:lvl>
  </w:abstractNum>
  <w:abstractNum w:abstractNumId="261">
    <w:nsid w:val="5F5C6E4D"/>
    <w:multiLevelType w:val="hybridMultilevel"/>
    <w:lvl w:ilvl="0">
      <w:lvlJc w:val="left"/>
      <w:lvlText w:val="(%1)"/>
      <w:numFmt w:val="lowerLetter"/>
      <w:start w:val="6"/>
    </w:lvl>
  </w:abstractNum>
  <w:abstractNum w:abstractNumId="262">
    <w:nsid w:val="7C2A56CD"/>
    <w:multiLevelType w:val="hybridMultilevel"/>
    <w:lvl w:ilvl="0">
      <w:lvlJc w:val="left"/>
      <w:lvlText w:val="(%1)"/>
      <w:numFmt w:val="lowerLetter"/>
      <w:start w:val="1"/>
    </w:lvl>
  </w:abstractNum>
  <w:abstractNum w:abstractNumId="263">
    <w:nsid w:val="7AB86EE1"/>
    <w:multiLevelType w:val="hybridMultilevel"/>
    <w:lvl w:ilvl="0">
      <w:lvlJc w:val="left"/>
      <w:lvlText w:val="(%1)"/>
      <w:numFmt w:val="lowerLetter"/>
      <w:start w:val="2"/>
    </w:lvl>
  </w:abstractNum>
  <w:abstractNum w:abstractNumId="264">
    <w:nsid w:val="B54E53B"/>
    <w:multiLevelType w:val="hybridMultilevel"/>
    <w:lvl w:ilvl="0">
      <w:lvlJc w:val="left"/>
      <w:lvlText w:val="(%1)"/>
      <w:numFmt w:val="lowerLetter"/>
      <w:start w:val="1"/>
    </w:lvl>
  </w:abstractNum>
  <w:abstractNum w:abstractNumId="265">
    <w:nsid w:val="2A00487"/>
    <w:multiLevelType w:val="hybridMultilevel"/>
    <w:lvl w:ilvl="0">
      <w:lvlJc w:val="left"/>
      <w:lvlText w:val="(%1)"/>
      <w:numFmt w:val="lowerLetter"/>
      <w:start w:val="1"/>
    </w:lvl>
  </w:abstractNum>
  <w:abstractNum w:abstractNumId="266">
    <w:nsid w:val="6CB1B60"/>
    <w:multiLevelType w:val="hybridMultilevel"/>
    <w:lvl w:ilvl="0">
      <w:lvlJc w:val="left"/>
      <w:lvlText w:val="%1"/>
      <w:numFmt w:val="lowerLetter"/>
      <w:start w:val="1"/>
    </w:lvl>
    <w:lvl w:ilvl="1">
      <w:lvlJc w:val="left"/>
      <w:lvlText w:val="(%2)"/>
      <w:numFmt w:val="lowerLetter"/>
      <w:start w:val="2"/>
    </w:lvl>
  </w:abstractNum>
  <w:abstractNum w:abstractNumId="267">
    <w:nsid w:val="72EDD574"/>
    <w:multiLevelType w:val="hybridMultilevel"/>
    <w:lvl w:ilvl="0">
      <w:lvlJc w:val="left"/>
      <w:lvlText w:val="(%1)"/>
      <w:numFmt w:val="lowerLetter"/>
      <w:start w:val="9"/>
    </w:lvl>
    <w:lvl w:ilvl="1">
      <w:lvlJc w:val="left"/>
      <w:lvlText w:val="(%2)"/>
      <w:numFmt w:val="lowerLetter"/>
      <w:start w:val="4"/>
    </w:lvl>
  </w:abstractNum>
  <w:abstractNum w:abstractNumId="268">
    <w:nsid w:val="7323808A"/>
    <w:multiLevelType w:val="hybridMultilevel"/>
    <w:lvl w:ilvl="0">
      <w:lvlJc w:val="left"/>
      <w:lvlText w:val="(%1)"/>
      <w:numFmt w:val="lowerLetter"/>
      <w:start w:val="1"/>
    </w:lvl>
  </w:abstractNum>
  <w:abstractNum w:abstractNumId="269">
    <w:nsid w:val="5157276"/>
    <w:multiLevelType w:val="hybridMultilevel"/>
    <w:lvl w:ilvl="0">
      <w:lvlJc w:val="left"/>
      <w:lvlText w:val="(%1)"/>
      <w:numFmt w:val="lowerLetter"/>
      <w:start w:val="2"/>
    </w:lvl>
  </w:abstractNum>
  <w:abstractNum w:abstractNumId="270">
    <w:nsid w:val="35A681DB"/>
    <w:multiLevelType w:val="hybridMultilevel"/>
    <w:lvl w:ilvl="0">
      <w:lvlJc w:val="left"/>
      <w:lvlText w:val="(%1)"/>
      <w:numFmt w:val="lowerLetter"/>
      <w:start w:val="1"/>
    </w:lvl>
  </w:abstractNum>
  <w:abstractNum w:abstractNumId="271">
    <w:nsid w:val="1786C974"/>
    <w:multiLevelType w:val="hybridMultilevel"/>
    <w:lvl w:ilvl="0">
      <w:lvlJc w:val="left"/>
      <w:lvlText w:val="(%1)"/>
      <w:numFmt w:val="lowerLetter"/>
      <w:start w:val="4"/>
    </w:lvl>
  </w:abstractNum>
  <w:abstractNum w:abstractNumId="272">
    <w:nsid w:val="1C2427A1"/>
    <w:multiLevelType w:val="hybridMultilevel"/>
    <w:lvl w:ilvl="0">
      <w:lvlJc w:val="left"/>
      <w:lvlText w:val="(%1)"/>
      <w:numFmt w:val="lowerLetter"/>
      <w:start w:val="1"/>
    </w:lvl>
  </w:abstractNum>
  <w:abstractNum w:abstractNumId="273">
    <w:nsid w:val="63A24D68"/>
    <w:multiLevelType w:val="hybridMultilevel"/>
    <w:lvl w:ilvl="0">
      <w:lvlJc w:val="left"/>
      <w:lvlText w:val="%1"/>
      <w:numFmt w:val="lowerLetter"/>
      <w:start w:val="1"/>
    </w:lvl>
    <w:lvl w:ilvl="1">
      <w:lvlJc w:val="left"/>
      <w:lvlText w:val="(%2)"/>
      <w:numFmt w:val="lowerLetter"/>
      <w:start w:val="2"/>
    </w:lvl>
  </w:abstractNum>
  <w:abstractNum w:abstractNumId="274">
    <w:nsid w:val="4FB7A02A"/>
    <w:multiLevelType w:val="hybridMultilevel"/>
    <w:lvl w:ilvl="0">
      <w:lvlJc w:val="left"/>
      <w:lvlText w:val="(%1)"/>
      <w:numFmt w:val="lowerLetter"/>
      <w:start w:val="35"/>
    </w:lvl>
    <w:lvl w:ilvl="1">
      <w:lvlJc w:val="left"/>
      <w:lvlText w:val="%2"/>
      <w:numFmt w:val="lowerLetter"/>
      <w:start w:val="1"/>
    </w:lvl>
  </w:abstractNum>
  <w:abstractNum w:abstractNumId="275">
    <w:nsid w:val="96CF728"/>
    <w:multiLevelType w:val="hybridMultilevel"/>
    <w:lvl w:ilvl="0">
      <w:lvlJc w:val="left"/>
      <w:lvlText w:val="(%1)"/>
      <w:numFmt w:val="lowerLetter"/>
      <w:start w:val="1"/>
    </w:lvl>
  </w:abstractNum>
  <w:abstractNum w:abstractNumId="276">
    <w:nsid w:val="3B121183"/>
    <w:multiLevelType w:val="hybridMultilevel"/>
    <w:lvl w:ilvl="0">
      <w:lvlJc w:val="left"/>
      <w:lvlText w:val="(%1)"/>
      <w:numFmt w:val="lowerLetter"/>
      <w:start w:val="3"/>
    </w:lvl>
  </w:abstractNum>
  <w:abstractNum w:abstractNumId="277">
    <w:nsid w:val="3459648F"/>
    <w:multiLevelType w:val="hybridMultilevel"/>
    <w:lvl w:ilvl="0">
      <w:lvlJc w:val="left"/>
      <w:lvlText w:val="(%1)"/>
      <w:numFmt w:val="lowerLetter"/>
      <w:start w:val="1"/>
    </w:lvl>
    <w:lvl w:ilvl="1">
      <w:lvlJc w:val="left"/>
      <w:lvlText w:val="(%2)"/>
      <w:numFmt w:val="lowerRoman"/>
      <w:start w:val="1"/>
    </w:lvl>
  </w:abstractNum>
  <w:abstractNum w:abstractNumId="278">
    <w:nsid w:val="3ADF331D"/>
    <w:multiLevelType w:val="hybridMultilevel"/>
    <w:lvl w:ilvl="0">
      <w:lvlJc w:val="left"/>
      <w:lvlText w:val="(%1)"/>
      <w:numFmt w:val="lowerRoman"/>
      <w:start w:val="8"/>
    </w:lvl>
  </w:abstractNum>
  <w:abstractNum w:abstractNumId="279">
    <w:nsid w:val="4D08A9E4"/>
    <w:multiLevelType w:val="hybridMultilevel"/>
    <w:lvl w:ilvl="0">
      <w:lvlJc w:val="left"/>
      <w:lvlText w:val="%1"/>
      <w:numFmt w:val="lowerLetter"/>
      <w:start w:val="1"/>
    </w:lvl>
    <w:lvl w:ilvl="1">
      <w:lvlJc w:val="left"/>
      <w:lvlText w:val="(%2)"/>
      <w:numFmt w:val="lowerLetter"/>
      <w:start w:val="2"/>
    </w:lvl>
  </w:abstractNum>
  <w:abstractNum w:abstractNumId="280">
    <w:nsid w:val="6AF2BB3A"/>
    <w:multiLevelType w:val="hybridMultilevel"/>
    <w:lvl w:ilvl="0">
      <w:lvlJc w:val="left"/>
      <w:lvlText w:val="(%1)"/>
      <w:numFmt w:val="lowerLetter"/>
      <w:start w:val="22"/>
    </w:lvl>
    <w:lvl w:ilvl="1">
      <w:lvlJc w:val="left"/>
      <w:lvlText w:val="%2"/>
      <w:numFmt w:val="lowerLetter"/>
      <w:start w:val="1"/>
    </w:lvl>
  </w:abstractNum>
  <w:abstractNum w:abstractNumId="281">
    <w:nsid w:val="481B1739"/>
    <w:multiLevelType w:val="hybridMultilevel"/>
    <w:lvl w:ilvl="0">
      <w:lvlJc w:val="left"/>
      <w:lvlText w:val="(%1)"/>
      <w:numFmt w:val="lowerLetter"/>
      <w:start w:val="1"/>
    </w:lvl>
    <w:lvl w:ilvl="1">
      <w:lvlJc w:val="left"/>
      <w:lvlText w:val="(%2)"/>
      <w:numFmt w:val="lowerRoman"/>
      <w:start w:val="1"/>
    </w:lvl>
  </w:abstractNum>
  <w:abstractNum w:abstractNumId="282">
    <w:nsid w:val="19E2BFCC"/>
    <w:multiLevelType w:val="hybridMultilevel"/>
    <w:lvl w:ilvl="0">
      <w:lvlJc w:val="left"/>
      <w:lvlText w:val="%1"/>
      <w:numFmt w:val="lowerLetter"/>
      <w:start w:val="1"/>
    </w:lvl>
    <w:lvl w:ilvl="1">
      <w:lvlJc w:val="left"/>
      <w:lvlText w:val="(%2)"/>
      <w:numFmt w:val="lowerRoman"/>
      <w:start w:val="7"/>
    </w:lvl>
  </w:abstractNum>
  <w:abstractNum w:abstractNumId="283">
    <w:nsid w:val="66D021CA"/>
    <w:multiLevelType w:val="hybridMultilevel"/>
    <w:lvl w:ilvl="0">
      <w:lvlJc w:val="left"/>
      <w:lvlText w:val="(%1)"/>
      <w:numFmt w:val="lowerLetter"/>
      <w:start w:val="2"/>
    </w:lvl>
    <w:lvl w:ilvl="1">
      <w:lvlJc w:val="left"/>
      <w:lvlText w:val="%2"/>
      <w:numFmt w:val="lowerRoman"/>
      <w:start w:val="1"/>
    </w:lvl>
  </w:abstractNum>
  <w:abstractNum w:abstractNumId="284">
    <w:nsid w:val="56167394"/>
    <w:multiLevelType w:val="hybridMultilevel"/>
    <w:lvl w:ilvl="0">
      <w:lvlJc w:val="left"/>
      <w:lvlText w:val="%1"/>
      <w:numFmt w:val="decimal"/>
      <w:start w:val="1"/>
    </w:lvl>
    <w:lvl w:ilvl="1">
      <w:lvlJc w:val="left"/>
      <w:lvlText w:val="(%2)"/>
      <w:numFmt w:val="lowerLetter"/>
      <w:start w:val="1"/>
    </w:lvl>
  </w:abstractNum>
  <w:abstractNum w:abstractNumId="285">
    <w:nsid w:val="921145C"/>
    <w:multiLevelType w:val="hybridMultilevel"/>
    <w:lvl w:ilvl="0">
      <w:lvlJc w:val="left"/>
      <w:lvlText w:val="(%1)"/>
      <w:numFmt w:val="decimal"/>
      <w:start w:val="2"/>
    </w:lvl>
    <w:lvl w:ilvl="1">
      <w:lvlJc w:val="left"/>
      <w:lvlText w:val="(%2)"/>
      <w:numFmt w:val="lowerLetter"/>
      <w:start w:val="4"/>
    </w:lvl>
  </w:abstractNum>
  <w:abstractNum w:abstractNumId="286">
    <w:nsid w:val="7B34DFE8"/>
    <w:multiLevelType w:val="hybridMultilevel"/>
    <w:lvl w:ilvl="0">
      <w:lvlJc w:val="left"/>
      <w:lvlText w:val="(%1)"/>
      <w:numFmt w:val="lowerLetter"/>
      <w:start w:val="1"/>
    </w:lvl>
  </w:abstractNum>
  <w:abstractNum w:abstractNumId="287">
    <w:nsid w:val="3CD22B79"/>
    <w:multiLevelType w:val="hybridMultilevel"/>
    <w:lvl w:ilvl="0">
      <w:lvlJc w:val="left"/>
      <w:lvlText w:val="(%1)"/>
      <w:numFmt w:val="lowerLetter"/>
      <w:start w:val="2"/>
    </w:lvl>
  </w:abstractNum>
  <w:abstractNum w:abstractNumId="288">
    <w:nsid w:val="3137975E"/>
    <w:multiLevelType w:val="hybridMultilevel"/>
    <w:lvl w:ilvl="0">
      <w:lvlJc w:val="left"/>
      <w:lvlText w:val="(%1)"/>
      <w:numFmt w:val="lowerLetter"/>
      <w:start w:val="1"/>
    </w:lvl>
  </w:abstractNum>
  <w:abstractNum w:abstractNumId="289">
    <w:nsid w:val="2DDAA791"/>
    <w:multiLevelType w:val="hybridMultilevel"/>
    <w:lvl w:ilvl="0">
      <w:lvlJc w:val="left"/>
      <w:lvlText w:val="(%1)"/>
      <w:numFmt w:val="lowerLetter"/>
      <w:start w:val="2"/>
    </w:lvl>
  </w:abstractNum>
  <w:abstractNum w:abstractNumId="290">
    <w:nsid w:val="77263B8A"/>
    <w:multiLevelType w:val="hybridMultilevel"/>
    <w:lvl w:ilvl="0">
      <w:lvlJc w:val="left"/>
      <w:lvlText w:val="%1"/>
      <w:numFmt w:val="lowerLetter"/>
      <w:start w:val="1"/>
    </w:lvl>
    <w:lvl w:ilvl="1">
      <w:lvlJc w:val="left"/>
      <w:lvlText w:val="(%2)"/>
      <w:numFmt w:val="lowerLetter"/>
      <w:start w:val="1"/>
    </w:lvl>
  </w:abstractNum>
  <w:abstractNum w:abstractNumId="291">
    <w:nsid w:val="755B5ED6"/>
    <w:multiLevelType w:val="hybridMultilevel"/>
    <w:lvl w:ilvl="0">
      <w:lvlJc w:val="left"/>
      <w:lvlText w:val="(%1)"/>
      <w:numFmt w:val="lowerLetter"/>
      <w:start w:val="25"/>
    </w:lvl>
    <w:lvl w:ilvl="1">
      <w:lvlJc w:val="left"/>
      <w:lvlText w:val="(%2)"/>
      <w:numFmt w:val="lowerLetter"/>
      <w:start w:val="2"/>
    </w:lvl>
  </w:abstractNum>
  <w:abstractNum w:abstractNumId="292">
    <w:nsid w:val="D3715DE"/>
    <w:multiLevelType w:val="hybridMultilevel"/>
    <w:lvl w:ilvl="0">
      <w:lvlJc w:val="left"/>
      <w:lvlText w:val="(%1)"/>
      <w:numFmt w:val="lowerLetter"/>
      <w:start w:val="5"/>
    </w:lvl>
  </w:abstractNum>
  <w:abstractNum w:abstractNumId="293">
    <w:nsid w:val="73509257"/>
    <w:multiLevelType w:val="hybridMultilevel"/>
    <w:lvl w:ilvl="0">
      <w:lvlJc w:val="left"/>
      <w:lvlText w:val="%1"/>
      <w:numFmt w:val="decimal"/>
      <w:start w:val="1"/>
    </w:lvl>
    <w:lvl w:ilvl="1">
      <w:lvlJc w:val="left"/>
      <w:lvlText w:val="(%2)"/>
      <w:numFmt w:val="lowerLetter"/>
      <w:start w:val="1"/>
    </w:lvl>
  </w:abstractNum>
  <w:abstractNum w:abstractNumId="294">
    <w:nsid w:val="7013CDB7"/>
    <w:multiLevelType w:val="hybridMultilevel"/>
    <w:lvl w:ilvl="0">
      <w:lvlJc w:val="left"/>
      <w:lvlText w:val="(%1)"/>
      <w:numFmt w:val="decimal"/>
      <w:start w:val="6"/>
    </w:lvl>
    <w:lvl w:ilvl="1">
      <w:lvlJc w:val="left"/>
      <w:lvlText w:val="(%2)"/>
      <w:numFmt w:val="lowerLetter"/>
      <w:start w:val="4"/>
    </w:lvl>
  </w:abstractNum>
  <w:abstractNum w:abstractNumId="295">
    <w:nsid w:val="188BFB19"/>
    <w:multiLevelType w:val="hybridMultilevel"/>
    <w:lvl w:ilvl="0">
      <w:lvlJc w:val="left"/>
      <w:lvlText w:val="%1"/>
      <w:numFmt w:val="decimal"/>
      <w:start w:val="1"/>
    </w:lvl>
    <w:lvl w:ilvl="1">
      <w:lvlJc w:val="left"/>
      <w:lvlText w:val="(%2)"/>
      <w:numFmt w:val="lowerLetter"/>
      <w:start w:val="7"/>
    </w:lvl>
  </w:abstractNum>
  <w:abstractNum w:abstractNumId="296">
    <w:nsid w:val="75F096DF"/>
    <w:multiLevelType w:val="hybridMultilevel"/>
    <w:lvl w:ilvl="0">
      <w:lvlJc w:val="left"/>
      <w:lvlText w:val="(%1)"/>
      <w:numFmt w:val="decimal"/>
      <w:start w:val="2"/>
    </w:lvl>
    <w:lvl w:ilvl="1">
      <w:lvlJc w:val="left"/>
      <w:lvlText w:val="(%2)"/>
      <w:numFmt w:val="lowerLetter"/>
      <w:start w:val="10"/>
    </w:lvl>
  </w:abstractNum>
  <w:abstractNum w:abstractNumId="297">
    <w:nsid w:val="76DEE918"/>
    <w:multiLevelType w:val="hybridMultilevel"/>
    <w:lvl w:ilvl="0">
      <w:lvlJc w:val="left"/>
      <w:lvlText w:val="(%1)"/>
      <w:numFmt w:val="lowerLetter"/>
      <w:start w:val="11"/>
    </w:lvl>
  </w:abstractNum>
  <w:abstractNum w:abstractNumId="298">
    <w:nsid w:val="B79D08D"/>
    <w:multiLevelType w:val="hybridMultilevel"/>
    <w:lvl w:ilvl="0">
      <w:lvlJc w:val="left"/>
      <w:lvlText w:val="%1"/>
      <w:numFmt w:val="decimal"/>
      <w:start w:val="1"/>
    </w:lvl>
    <w:lvl w:ilvl="1">
      <w:lvlJc w:val="left"/>
      <w:lvlText w:val="(%2)"/>
      <w:numFmt w:val="lowerLetter"/>
      <w:start w:val="1"/>
    </w:lvl>
  </w:abstractNum>
  <w:abstractNum w:abstractNumId="299">
    <w:nsid w:val="69141769"/>
    <w:multiLevelType w:val="hybridMultilevel"/>
    <w:lvl w:ilvl="0">
      <w:lvlJc w:val="left"/>
      <w:lvlText w:val="(%1)"/>
      <w:numFmt w:val="decimal"/>
      <w:start w:val="3"/>
    </w:lvl>
    <w:lvl w:ilvl="1">
      <w:lvlJc w:val="left"/>
      <w:lvlText w:val="(%2)"/>
      <w:numFmt w:val="lowerLetter"/>
      <w:start w:val="2"/>
    </w:lvl>
  </w:abstractNum>
  <w:abstractNum w:abstractNumId="300">
    <w:nsid w:val="7BF45B8E"/>
    <w:multiLevelType w:val="hybridMultilevel"/>
    <w:lvl w:ilvl="0">
      <w:lvlJc w:val="left"/>
      <w:lvlText w:val="(%1)"/>
      <w:numFmt w:val="lowerLetter"/>
      <w:start w:val="4"/>
    </w:lvl>
  </w:abstractNum>
  <w:abstractNum w:abstractNumId="301">
    <w:nsid w:val="41205269"/>
    <w:multiLevelType w:val="hybridMultilevel"/>
    <w:lvl w:ilvl="0">
      <w:lvlJc w:val="left"/>
      <w:lvlText w:val="(%1)"/>
      <w:numFmt w:val="lowerLetter"/>
      <w:start w:val="1"/>
    </w:lvl>
  </w:abstractNum>
  <w:abstractNum w:abstractNumId="302">
    <w:nsid w:val="9AE0DD"/>
    <w:multiLevelType w:val="hybridMultilevel"/>
    <w:lvl w:ilvl="0">
      <w:lvlJc w:val="left"/>
      <w:lvlText w:val="(%1)"/>
      <w:numFmt w:val="lowerLetter"/>
      <w:start w:val="1"/>
    </w:lvl>
  </w:abstractNum>
  <w:abstractNum w:abstractNumId="303">
    <w:nsid w:val="1818832F"/>
    <w:multiLevelType w:val="hybridMultilevel"/>
    <w:lvl w:ilvl="0">
      <w:lvlJc w:val="left"/>
      <w:lvlText w:val="(%1)"/>
      <w:numFmt w:val="lowerLetter"/>
      <w:start w:val="1"/>
    </w:lvl>
  </w:abstractNum>
  <w:abstractNum w:abstractNumId="304">
    <w:nsid w:val="24C29FD1"/>
    <w:multiLevelType w:val="hybridMultilevel"/>
    <w:lvl w:ilvl="0">
      <w:lvlJc w:val="left"/>
      <w:lvlText w:val="(%1)"/>
      <w:numFmt w:val="lowerLetter"/>
      <w:start w:val="2"/>
    </w:lvl>
  </w:abstractNum>
  <w:abstractNum w:abstractNumId="305">
    <w:nsid w:val="50528108"/>
    <w:multiLevelType w:val="hybridMultilevel"/>
    <w:lvl w:ilvl="0">
      <w:lvlJc w:val="left"/>
      <w:lvlText w:val="(%1)"/>
      <w:numFmt w:val="lowerLetter"/>
      <w:start w:val="1"/>
    </w:lvl>
  </w:abstractNum>
  <w:abstractNum w:abstractNumId="306">
    <w:nsid w:val="21857A57"/>
    <w:multiLevelType w:val="hybridMultilevel"/>
    <w:lvl w:ilvl="0">
      <w:lvlJc w:val="left"/>
      <w:lvlText w:val="(%1)"/>
      <w:numFmt w:val="lowerLetter"/>
      <w:start w:val="1"/>
    </w:lvl>
  </w:abstractNum>
  <w:abstractNum w:abstractNumId="307">
    <w:nsid w:val="5FD4B154"/>
    <w:multiLevelType w:val="hybridMultilevel"/>
    <w:lvl w:ilvl="0">
      <w:lvlJc w:val="left"/>
      <w:lvlText w:val="(%1)"/>
      <w:numFmt w:val="lowerLetter"/>
      <w:start w:val="2"/>
    </w:lvl>
  </w:abstractNum>
  <w:abstractNum w:abstractNumId="308">
    <w:nsid w:val="4ABE597"/>
    <w:multiLevelType w:val="hybridMultilevel"/>
    <w:lvl w:ilvl="0">
      <w:lvlJc w:val="left"/>
      <w:lvlText w:val="(%1)"/>
      <w:numFmt w:val="lowerLetter"/>
      <w:start w:val="1"/>
    </w:lvl>
  </w:abstractNum>
  <w:abstractNum w:abstractNumId="309">
    <w:nsid w:val="5C64AD75"/>
    <w:multiLevelType w:val="hybridMultilevel"/>
    <w:lvl w:ilvl="0">
      <w:lvlJc w:val="left"/>
      <w:lvlText w:val="(%1)"/>
      <w:numFmt w:val="lowerLetter"/>
      <w:start w:val="1"/>
    </w:lvl>
  </w:abstractNum>
  <w:abstractNum w:abstractNumId="310">
    <w:nsid w:val="2CDD5B39"/>
    <w:multiLevelType w:val="hybridMultilevel"/>
    <w:lvl w:ilvl="0">
      <w:lvlJc w:val="left"/>
      <w:lvlText w:val="(%1)"/>
      <w:numFmt w:val="lowerLetter"/>
      <w:start w:val="3"/>
    </w:lvl>
  </w:abstractNum>
  <w:abstractNum w:abstractNumId="311">
    <w:nsid w:val="6F9EA0D1"/>
    <w:multiLevelType w:val="hybridMultilevel"/>
    <w:lvl w:ilvl="0">
      <w:lvlJc w:val="left"/>
      <w:lvlText w:val="(%1)"/>
      <w:numFmt w:val="lowerLetter"/>
      <w:start w:val="1"/>
    </w:lvl>
    <w:lvl w:ilvl="1">
      <w:lvlJc w:val="left"/>
      <w:lvlText w:val="(%2)"/>
      <w:numFmt w:val="lowerRoman"/>
      <w:start w:val="1"/>
    </w:lvl>
  </w:abstractNum>
  <w:abstractNum w:abstractNumId="312">
    <w:nsid w:val="247FC4AE"/>
    <w:multiLevelType w:val="hybridMultilevel"/>
    <w:lvl w:ilvl="0">
      <w:lvlJc w:val="left"/>
      <w:lvlText w:val="%1"/>
      <w:numFmt w:val="lowerLetter"/>
      <w:start w:val="1"/>
    </w:lvl>
    <w:lvl w:ilvl="1">
      <w:lvlJc w:val="left"/>
      <w:lvlText w:val="(%2)"/>
      <w:numFmt w:val="lowerRoman"/>
      <w:start w:val="9"/>
    </w:lvl>
  </w:abstractNum>
  <w:abstractNum w:abstractNumId="313">
    <w:nsid w:val="46C01B05"/>
    <w:multiLevelType w:val="hybridMultilevel"/>
    <w:lvl w:ilvl="0">
      <w:lvlJc w:val="left"/>
      <w:lvlText w:val="(%1)"/>
      <w:numFmt w:val="lowerLetter"/>
      <w:start w:val="2"/>
    </w:lvl>
    <w:lvl w:ilvl="1">
      <w:lvlJc w:val="left"/>
      <w:lvlText w:val="%2"/>
      <w:numFmt w:val="lowerRoman"/>
      <w:start w:val="1"/>
    </w:lvl>
  </w:abstractNum>
  <w:abstractNum w:abstractNumId="314">
    <w:nsid w:val="566EC29B"/>
    <w:multiLevelType w:val="hybridMultilevel"/>
    <w:lvl w:ilvl="0">
      <w:lvlJc w:val="left"/>
      <w:lvlText w:val="(%1)"/>
      <w:numFmt w:val="lowerLetter"/>
      <w:start w:val="3"/>
    </w:lvl>
  </w:abstractNum>
  <w:abstractNum w:abstractNumId="315">
    <w:nsid w:val="7A963843"/>
    <w:multiLevelType w:val="hybridMultilevel"/>
    <w:lvl w:ilvl="0">
      <w:lvlJc w:val="left"/>
      <w:lvlText w:val="(%1)"/>
      <w:numFmt w:val="lowerLetter"/>
      <w:start w:val="1"/>
    </w:lvl>
    <w:lvl w:ilvl="1">
      <w:lvlJc w:val="left"/>
      <w:lvlText w:val="(%2)"/>
      <w:numFmt w:val="lowerRoman"/>
      <w:start w:val="1"/>
    </w:lvl>
  </w:abstractNum>
  <w:abstractNum w:abstractNumId="316">
    <w:nsid w:val="4FE12F61"/>
    <w:multiLevelType w:val="hybridMultilevel"/>
    <w:lvl w:ilvl="0">
      <w:lvlJc w:val="left"/>
      <w:lvlText w:val="%1"/>
      <w:numFmt w:val="upperLetter"/>
      <w:start w:val="1"/>
    </w:lvl>
    <w:lvl w:ilvl="1">
      <w:lvlJc w:val="left"/>
      <w:lvlText w:val="(%2)"/>
      <w:numFmt w:val="lowerRoman"/>
      <w:start w:val="7"/>
    </w:lvl>
  </w:abstractNum>
  <w:abstractNum w:abstractNumId="317">
    <w:nsid w:val="51A3A284"/>
    <w:multiLevelType w:val="hybridMultilevel"/>
    <w:lvl w:ilvl="0">
      <w:lvlJc w:val="left"/>
      <w:lvlText w:val="(%1)"/>
      <w:numFmt w:val="upperLetter"/>
      <w:start w:val="2"/>
    </w:lvl>
    <w:lvl w:ilvl="1">
      <w:lvlJc w:val="left"/>
      <w:lvlText w:val="(%2)"/>
      <w:numFmt w:val="lowerRoman"/>
      <w:start w:val="8"/>
    </w:lvl>
  </w:abstractNum>
  <w:abstractNum w:abstractNumId="318">
    <w:nsid w:val="376863BC"/>
    <w:multiLevelType w:val="hybridMultilevel"/>
    <w:lvl w:ilvl="0">
      <w:lvlJc w:val="left"/>
      <w:lvlText w:val="(%1)"/>
      <w:numFmt w:val="lowerLetter"/>
      <w:start w:val="2"/>
    </w:lvl>
  </w:abstractNum>
  <w:abstractNum w:abstractNumId="319">
    <w:nsid w:val="118C6C0"/>
    <w:multiLevelType w:val="hybridMultilevel"/>
    <w:lvl w:ilvl="0">
      <w:lvlJc w:val="left"/>
      <w:lvlText w:val="(%1)"/>
      <w:numFmt w:val="lowerLetter"/>
      <w:start w:val="1"/>
    </w:lvl>
  </w:abstractNum>
  <w:abstractNum w:abstractNumId="320">
    <w:nsid w:val="7F7E4A15"/>
    <w:multiLevelType w:val="hybridMultilevel"/>
    <w:lvl w:ilvl="0">
      <w:lvlJc w:val="left"/>
      <w:lvlText w:val="%1"/>
      <w:numFmt w:val="decimal"/>
      <w:start w:val="1"/>
    </w:lvl>
    <w:lvl w:ilvl="1">
      <w:lvlJc w:val="left"/>
      <w:lvlText w:val="(%2)"/>
      <w:numFmt w:val="lowerLetter"/>
      <w:start w:val="2"/>
    </w:lvl>
  </w:abstractNum>
  <w:abstractNum w:abstractNumId="321">
    <w:nsid w:val="2E8E9F47"/>
    <w:multiLevelType w:val="hybridMultilevel"/>
    <w:lvl w:ilvl="0">
      <w:lvlJc w:val="left"/>
      <w:lvlText w:val="(%1)"/>
      <w:numFmt w:val="decimal"/>
      <w:start w:val="2"/>
    </w:lvl>
    <w:lvl w:ilvl="1">
      <w:lvlJc w:val="left"/>
      <w:lvlText w:val="(%2)"/>
      <w:numFmt w:val="lowerLetter"/>
      <w:start w:val="4"/>
    </w:lvl>
  </w:abstractNum>
  <w:abstractNum w:abstractNumId="322">
    <w:nsid w:val="76742596"/>
    <w:multiLevelType w:val="hybridMultilevel"/>
    <w:lvl w:ilvl="0">
      <w:lvlJc w:val="left"/>
      <w:lvlText w:val="%1"/>
      <w:numFmt w:val="upperLetter"/>
      <w:start w:val="1"/>
    </w:lvl>
    <w:lvl w:ilvl="1">
      <w:lvlJc w:val="left"/>
      <w:lvlText w:val="(%2)"/>
      <w:numFmt w:val="lowerLetter"/>
      <w:start w:val="1"/>
    </w:lvl>
  </w:abstractNum>
  <w:abstractNum w:abstractNumId="323">
    <w:nsid w:val="CB55FF3"/>
    <w:multiLevelType w:val="hybridMultilevel"/>
    <w:lvl w:ilvl="0">
      <w:lvlJc w:val="left"/>
      <w:lvlText w:val="(%1)"/>
      <w:numFmt w:val="upperLetter"/>
      <w:start w:val="1"/>
    </w:lvl>
    <w:lvl w:ilvl="1">
      <w:lvlJc w:val="left"/>
      <w:lvlText w:val="(%2)"/>
      <w:numFmt w:val="lowerLetter"/>
      <w:start w:val="2"/>
    </w:lvl>
  </w:abstractNum>
  <w:abstractNum w:abstractNumId="324">
    <w:nsid w:val="21DF319E"/>
    <w:multiLevelType w:val="hybridMultilevel"/>
    <w:lvl w:ilvl="0">
      <w:lvlJc w:val="left"/>
      <w:lvlText w:val="(%1)"/>
      <w:numFmt w:val="lowerLetter"/>
      <w:start w:val="3"/>
    </w:lvl>
  </w:abstractNum>
  <w:abstractNum w:abstractNumId="325">
    <w:nsid w:val="6687F34D"/>
    <w:multiLevelType w:val="hybridMultilevel"/>
    <w:lvl w:ilvl="0">
      <w:lvlJc w:val="left"/>
      <w:lvlText w:val="(%1)"/>
      <w:numFmt w:val="lowerLetter"/>
      <w:start w:val="1"/>
    </w:lvl>
  </w:abstractNum>
  <w:abstractNum w:abstractNumId="326">
    <w:nsid w:val="25415B0C"/>
    <w:multiLevelType w:val="hybridMultilevel"/>
    <w:lvl w:ilvl="0">
      <w:lvlJc w:val="left"/>
      <w:lvlText w:val="(%1)"/>
      <w:numFmt w:val="lowerLetter"/>
      <w:start w:val="1"/>
    </w:lvl>
  </w:abstractNum>
  <w:abstractNum w:abstractNumId="327">
    <w:nsid w:val="17CFC87D"/>
    <w:multiLevelType w:val="hybridMultilevel"/>
    <w:lvl w:ilvl="0">
      <w:lvlJc w:val="left"/>
      <w:lvlText w:val="%1"/>
      <w:numFmt w:val="decimal"/>
      <w:start w:val="1"/>
    </w:lvl>
    <w:lvl w:ilvl="1">
      <w:lvlJc w:val="left"/>
      <w:lvlText w:val="(%2)"/>
      <w:numFmt w:val="lowerLetter"/>
      <w:start w:val="3"/>
    </w:lvl>
  </w:abstractNum>
  <w:abstractNum w:abstractNumId="328">
    <w:nsid w:val="5D66DC65"/>
    <w:multiLevelType w:val="hybridMultilevel"/>
    <w:lvl w:ilvl="0">
      <w:lvlJc w:val="left"/>
      <w:lvlText w:val="(%1)"/>
      <w:numFmt w:val="decimal"/>
      <w:start w:val="2"/>
    </w:lvl>
    <w:lvl w:ilvl="1">
      <w:lvlJc w:val="left"/>
      <w:lvlText w:val="(%2)"/>
      <w:numFmt w:val="lowerLetter"/>
      <w:start w:val="6"/>
    </w:lvl>
  </w:abstractNum>
  <w:abstractNum w:abstractNumId="329">
    <w:nsid w:val="30BB2B99"/>
    <w:multiLevelType w:val="hybridMultilevel"/>
    <w:lvl w:ilvl="0">
      <w:lvlJc w:val="left"/>
      <w:lvlText w:val="(%1)"/>
      <w:numFmt w:val="lowerLetter"/>
      <w:start w:val="8"/>
    </w:lvl>
  </w:abstractNum>
  <w:abstractNum w:abstractNumId="330">
    <w:nsid w:val="E3DFE6"/>
    <w:multiLevelType w:val="hybridMultilevel"/>
    <w:lvl w:ilvl="0">
      <w:lvlJc w:val="left"/>
      <w:lvlText w:val="%1"/>
      <w:numFmt w:val="lowerLetter"/>
      <w:start w:val="1"/>
    </w:lvl>
    <w:lvl w:ilvl="1">
      <w:lvlJc w:val="left"/>
      <w:lvlText w:val="(%2)"/>
      <w:numFmt w:val="lowerLetter"/>
      <w:start w:val="1"/>
    </w:lvl>
  </w:abstractNum>
  <w:abstractNum w:abstractNumId="331">
    <w:nsid w:val="595B37F3"/>
    <w:multiLevelType w:val="hybridMultilevel"/>
    <w:lvl w:ilvl="0">
      <w:lvlJc w:val="left"/>
      <w:lvlText w:val="(%1)"/>
      <w:numFmt w:val="lowerLetter"/>
      <w:start w:val="35"/>
    </w:lvl>
    <w:lvl w:ilvl="1">
      <w:lvlJc w:val="left"/>
      <w:lvlText w:val="(%2)"/>
      <w:numFmt w:val="lowerLetter"/>
      <w:start w:val="4"/>
    </w:lvl>
  </w:abstractNum>
  <w:abstractNum w:abstractNumId="332">
    <w:nsid w:val="71DB7E02"/>
    <w:multiLevelType w:val="hybridMultilevel"/>
    <w:lvl w:ilvl="0">
      <w:lvlJc w:val="left"/>
      <w:lvlText w:val="%1"/>
      <w:numFmt w:val="decimal"/>
      <w:start w:val="1"/>
    </w:lvl>
    <w:lvl w:ilvl="1">
      <w:lvlJc w:val="left"/>
      <w:lvlText w:val="(%2)"/>
      <w:numFmt w:val="lowerLetter"/>
      <w:start w:val="5"/>
    </w:lvl>
  </w:abstractNum>
  <w:abstractNum w:abstractNumId="333">
    <w:nsid w:val="17EC0C4"/>
    <w:multiLevelType w:val="hybridMultilevel"/>
    <w:lvl w:ilvl="0">
      <w:lvlJc w:val="left"/>
      <w:lvlText w:val="(%1)"/>
      <w:numFmt w:val="decimal"/>
      <w:start w:val="2"/>
    </w:lvl>
    <w:lvl w:ilvl="1">
      <w:lvlJc w:val="left"/>
      <w:lvlText w:val="%2"/>
      <w:numFmt w:val="lowerLetter"/>
      <w:start w:val="1"/>
    </w:lvl>
  </w:abstractNum>
  <w:abstractNum w:abstractNumId="334">
    <w:nsid w:val="7173BB22"/>
    <w:multiLevelType w:val="hybridMultilevel"/>
    <w:lvl w:ilvl="0">
      <w:lvlJc w:val="left"/>
      <w:lvlText w:val="(%1)"/>
      <w:numFmt w:val="lowerLetter"/>
      <w:start w:val="10"/>
    </w:lvl>
  </w:abstractNum>
  <w:abstractNum w:abstractNumId="335">
    <w:nsid w:val="169E1DD3"/>
    <w:multiLevelType w:val="hybridMultilevel"/>
    <w:lvl w:ilvl="0">
      <w:lvlJc w:val="left"/>
      <w:lvlText w:val="(%1)"/>
      <w:numFmt w:val="lowerLetter"/>
      <w:start w:val="1"/>
    </w:lvl>
  </w:abstractNum>
  <w:abstractNum w:abstractNumId="336">
    <w:nsid w:val="51D141CC"/>
    <w:multiLevelType w:val="hybridMultilevel"/>
    <w:lvl w:ilvl="0">
      <w:lvlJc w:val="left"/>
      <w:lvlText w:val="(%1)"/>
      <w:numFmt w:val="lowerLetter"/>
      <w:start w:val="3"/>
    </w:lvl>
  </w:abstractNum>
  <w:abstractNum w:abstractNumId="337">
    <w:nsid w:val="12F9357A"/>
    <w:multiLevelType w:val="hybridMultilevel"/>
    <w:lvl w:ilvl="0">
      <w:lvlJc w:val="left"/>
      <w:lvlText w:val="(%1)"/>
      <w:numFmt w:val="lowerLetter"/>
      <w:start w:val="1"/>
    </w:lvl>
  </w:abstractNum>
  <w:abstractNum w:abstractNumId="338">
    <w:nsid w:val="7672CF28"/>
    <w:multiLevelType w:val="hybridMultilevel"/>
    <w:lvl w:ilvl="0">
      <w:lvlJc w:val="left"/>
      <w:lvlText w:val="(%1)"/>
      <w:numFmt w:val="lowerRoman"/>
      <w:start w:val="3"/>
    </w:lvl>
    <w:lvl w:ilvl="1">
      <w:lvlJc w:val="left"/>
      <w:lvlText w:val="(%2)"/>
      <w:numFmt w:val="upperLetter"/>
      <w:start w:val="1"/>
    </w:lvl>
    <w:lvl w:ilvl="2">
      <w:lvlJc w:val="left"/>
      <w:lvlText w:val="(%3)"/>
      <w:numFmt w:val="lowerRoman"/>
      <w:start w:val="1"/>
    </w:lvl>
  </w:abstractNum>
  <w:abstractNum w:abstractNumId="339">
    <w:nsid w:val="567D2763"/>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3"/>
    </w:lvl>
  </w:abstractNum>
  <w:abstractNum w:abstractNumId="340">
    <w:nsid w:val="6F5DE2EF"/>
    <w:multiLevelType w:val="hybridMultilevel"/>
    <w:lvl w:ilvl="0">
      <w:lvlJc w:val="left"/>
      <w:lvlText w:val="%1"/>
      <w:numFmt w:val="lowerRoman"/>
      <w:start w:val="1"/>
    </w:lvl>
    <w:lvl w:ilvl="1">
      <w:lvlJc w:val="left"/>
      <w:lvlText w:val="(%2)"/>
      <w:numFmt w:val="upperLetter"/>
      <w:start w:val="3"/>
    </w:lvl>
    <w:lvl w:ilvl="2">
      <w:lvlJc w:val="left"/>
      <w:lvlText w:val="%3"/>
      <w:numFmt w:val="lowerRoman"/>
      <w:start w:val="1"/>
    </w:lvl>
  </w:abstractNum>
  <w:abstractNum w:abstractNumId="341">
    <w:nsid w:val="23502A61"/>
    <w:multiLevelType w:val="hybridMultilevel"/>
    <w:lvl w:ilvl="0">
      <w:lvlJc w:val="left"/>
      <w:lvlText w:val="%1"/>
      <w:numFmt w:val="lowerLetter"/>
      <w:start w:val="1"/>
    </w:lvl>
    <w:lvl w:ilvl="1">
      <w:lvlJc w:val="left"/>
      <w:lvlText w:val="(%2)"/>
      <w:numFmt w:val="lowerRoman"/>
      <w:start w:val="8"/>
    </w:lvl>
  </w:abstractNum>
  <w:abstractNum w:abstractNumId="342">
    <w:nsid w:val="461BC834"/>
    <w:multiLevelType w:val="hybridMultilevel"/>
    <w:lvl w:ilvl="0">
      <w:lvlJc w:val="left"/>
      <w:lvlText w:val="(%1)"/>
      <w:numFmt w:val="lowerLetter"/>
      <w:start w:val="25"/>
    </w:lvl>
    <w:lvl w:ilvl="1">
      <w:lvlJc w:val="left"/>
      <w:lvlText w:val="(%2)"/>
      <w:numFmt w:val="lowerRoman"/>
      <w:start w:val="9"/>
    </w:lvl>
  </w:abstractNum>
  <w:abstractNum w:abstractNumId="343">
    <w:nsid w:val="13DDA79D"/>
    <w:multiLevelType w:val="hybridMultilevel"/>
    <w:lvl w:ilvl="0">
      <w:lvlJc w:val="left"/>
      <w:lvlText w:val="%1"/>
      <w:numFmt w:val="lowerLetter"/>
      <w:start w:val="1"/>
    </w:lvl>
    <w:lvl w:ilvl="1">
      <w:lvlJc w:val="left"/>
      <w:lvlText w:val="(%2)"/>
      <w:numFmt w:val="lowerRoman"/>
      <w:start w:val="14"/>
    </w:lvl>
  </w:abstractNum>
  <w:abstractNum w:abstractNumId="344">
    <w:nsid w:val="6A104566"/>
    <w:multiLevelType w:val="hybridMultilevel"/>
    <w:lvl w:ilvl="0">
      <w:lvlJc w:val="left"/>
      <w:lvlText w:val="(%1)"/>
      <w:numFmt w:val="lowerLetter"/>
      <w:start w:val="25"/>
    </w:lvl>
    <w:lvl w:ilvl="1">
      <w:lvlJc w:val="left"/>
      <w:lvlText w:val="(%2)"/>
      <w:numFmt w:val="lowerRoman"/>
      <w:start w:val="15"/>
    </w:lvl>
  </w:abstractNum>
  <w:abstractNum w:abstractNumId="345">
    <w:nsid w:val="1C8A8AC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9"/>
    </w:lvl>
  </w:abstractNum>
  <w:abstractNum w:abstractNumId="346">
    <w:nsid w:val="E73DFE0"/>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47">
    <w:nsid w:val="39F174C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48">
    <w:nsid w:val="6E2E2D53"/>
    <w:multiLevelType w:val="hybridMultilevel"/>
    <w:lvl w:ilvl="0">
      <w:lvlJc w:val="left"/>
      <w:lvlText w:val="(%1)"/>
      <w:numFmt w:val="lowerRoman"/>
      <w:start w:val="5"/>
    </w:lvl>
  </w:abstractNum>
  <w:abstractNum w:abstractNumId="349">
    <w:nsid w:val="45DC439D"/>
    <w:multiLevelType w:val="hybridMultilevel"/>
    <w:lvl w:ilvl="0">
      <w:lvlJc w:val="left"/>
      <w:lvlText w:val="(%1)"/>
      <w:numFmt w:val="lowerRoman"/>
      <w:start w:val="17"/>
    </w:lvl>
    <w:lvl w:ilvl="1">
      <w:lvlJc w:val="left"/>
      <w:lvlText w:val="(%2)"/>
      <w:numFmt w:val="lowerRoman"/>
      <w:start w:val="11"/>
    </w:lvl>
  </w:abstractNum>
  <w:abstractNum w:abstractNumId="350">
    <w:nsid w:val="3B0A3B87"/>
    <w:multiLevelType w:val="hybridMultilevel"/>
    <w:lvl w:ilvl="0">
      <w:lvlJc w:val="left"/>
      <w:lvlText w:val="(%1)"/>
      <w:numFmt w:val="lowerLetter"/>
      <w:start w:val="5"/>
    </w:lvl>
  </w:abstractNum>
  <w:abstractNum w:abstractNumId="351">
    <w:nsid w:val="6DAC7768"/>
    <w:multiLevelType w:val="hybridMultilevel"/>
    <w:lvl w:ilvl="0">
      <w:lvlJc w:val="left"/>
      <w:lvlText w:val="(%1)"/>
      <w:numFmt w:val="lowerLetter"/>
      <w:start w:val="2"/>
    </w:lvl>
  </w:abstractNum>
  <w:abstractNum w:abstractNumId="352">
    <w:nsid w:val="746AE2E4"/>
    <w:multiLevelType w:val="hybridMultilevel"/>
    <w:lvl w:ilvl="0">
      <w:lvlJc w:val="left"/>
      <w:lvlText w:val="(%1)"/>
      <w:numFmt w:val="lowerLetter"/>
      <w:start w:val="6"/>
    </w:lvl>
    <w:lvl w:ilvl="1">
      <w:lvlJc w:val="left"/>
      <w:lvlText w:val="(%2)"/>
      <w:numFmt w:val="lowerRoman"/>
      <w:start w:val="1"/>
    </w:lvl>
  </w:abstractNum>
  <w:abstractNum w:abstractNumId="353">
    <w:nsid w:val="317E611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6"/>
    </w:lvl>
  </w:abstractNum>
  <w:abstractNum w:abstractNumId="354">
    <w:nsid w:val="7A61D75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355">
    <w:nsid w:val="164A1482"/>
    <w:multiLevelType w:val="hybridMultilevel"/>
    <w:lvl w:ilvl="0">
      <w:lvlJc w:val="left"/>
      <w:lvlText w:val="(%1)"/>
      <w:numFmt w:val="lowerRoman"/>
      <w:start w:val="2"/>
    </w:lvl>
    <w:lvl w:ilvl="1">
      <w:lvlJc w:val="left"/>
      <w:lvlText w:val="%2"/>
      <w:numFmt w:val="lowerRoman"/>
      <w:start w:val="1"/>
    </w:lvl>
    <w:lvl w:ilvl="2">
      <w:lvlJc w:val="left"/>
      <w:lvlText w:val="%3"/>
      <w:numFmt w:val="lowerRoman"/>
      <w:start w:val="1"/>
    </w:lvl>
  </w:abstractNum>
  <w:abstractNum w:abstractNumId="356">
    <w:nsid w:val="1806546B"/>
    <w:multiLevelType w:val="hybridMultilevel"/>
    <w:lvl w:ilvl="0">
      <w:lvlJc w:val="left"/>
      <w:lvlText w:val="(%1)"/>
      <w:numFmt w:val="lowerLetter"/>
      <w:start w:val="10"/>
    </w:lvl>
  </w:abstractNum>
  <w:abstractNum w:abstractNumId="357">
    <w:nsid w:val="1FA33267"/>
    <w:multiLevelType w:val="hybridMultilevel"/>
    <w:lvl w:ilvl="0">
      <w:lvlJc w:val="left"/>
      <w:lvlText w:val="%1"/>
      <w:numFmt w:val="lowerRoman"/>
      <w:start w:val="1"/>
    </w:lvl>
    <w:lvl w:ilvl="1">
      <w:lvlJc w:val="left"/>
      <w:lvlText w:val="(%2)"/>
      <w:numFmt w:val="lowerRoman"/>
      <w:start w:val="2"/>
    </w:lvl>
  </w:abstractNum>
  <w:abstractNum w:abstractNumId="358">
    <w:nsid w:val="2E19DD00"/>
    <w:multiLevelType w:val="hybridMultilevel"/>
    <w:lvl w:ilvl="0">
      <w:lvlJc w:val="left"/>
      <w:lvlText w:val="(%1)"/>
      <w:numFmt w:val="lowerRoman"/>
      <w:start w:val="3"/>
    </w:lvl>
    <w:lvl w:ilvl="1">
      <w:lvlJc w:val="left"/>
      <w:lvlText w:val="(%2)"/>
      <w:numFmt w:val="lowerRoman"/>
      <w:start w:val="3"/>
    </w:lvl>
  </w:abstractNum>
  <w:abstractNum w:abstractNumId="359">
    <w:nsid w:val="756D30D0"/>
    <w:multiLevelType w:val="hybridMultilevel"/>
    <w:lvl w:ilvl="0">
      <w:lvlJc w:val="left"/>
      <w:lvlText w:val="(%1)"/>
      <w:numFmt w:val="lowerLetter"/>
      <w:start w:val="1"/>
    </w:lvl>
  </w:abstractNum>
  <w:abstractNum w:abstractNumId="360">
    <w:nsid w:val="505E5E01"/>
    <w:multiLevelType w:val="hybridMultilevel"/>
    <w:lvl w:ilvl="0">
      <w:lvlJc w:val="left"/>
      <w:lvlText w:val="(%1)"/>
      <w:numFmt w:val="lowerLetter"/>
      <w:start w:val="4"/>
    </w:lvl>
    <w:lvl w:ilvl="1">
      <w:lvlJc w:val="left"/>
      <w:lvlText w:val="(%2)"/>
      <w:numFmt w:val="lowerRoman"/>
      <w:start w:val="1"/>
    </w:lvl>
  </w:abstractNum>
  <w:abstractNum w:abstractNumId="361">
    <w:nsid w:val="2EFDBCE6"/>
    <w:multiLevelType w:val="hybridMultilevel"/>
    <w:lvl w:ilvl="0">
      <w:lvlJc w:val="left"/>
      <w:lvlText w:val="(%1)"/>
      <w:numFmt w:val="lowerRoman"/>
      <w:start w:val="3"/>
    </w:lvl>
  </w:abstractNum>
  <w:abstractNum w:abstractNumId="362">
    <w:nsid w:val="4EC868C4"/>
    <w:multiLevelType w:val="hybridMultilevel"/>
    <w:lvl w:ilvl="0">
      <w:lvlJc w:val="left"/>
      <w:lvlText w:val="(%1)"/>
      <w:numFmt w:val="lowerLetter"/>
      <w:start w:val="1"/>
    </w:lvl>
  </w:abstractNum>
  <w:abstractNum w:abstractNumId="363">
    <w:nsid w:val="4239DC03"/>
    <w:multiLevelType w:val="hybridMultilevel"/>
    <w:lvl w:ilvl="0">
      <w:lvlJc w:val="left"/>
      <w:lvlText w:val="%1"/>
      <w:numFmt w:val="lowerLetter"/>
      <w:start w:val="1"/>
    </w:lvl>
    <w:lvl w:ilvl="1">
      <w:lvlJc w:val="left"/>
      <w:lvlText w:val="(%2)"/>
      <w:numFmt w:val="lowerLetter"/>
      <w:start w:val="3"/>
    </w:lvl>
  </w:abstractNum>
  <w:abstractNum w:abstractNumId="364">
    <w:nsid w:val="307C7DAA"/>
    <w:multiLevelType w:val="hybridMultilevel"/>
    <w:lvl w:ilvl="0">
      <w:lvlJc w:val="left"/>
      <w:lvlText w:val="(%1)"/>
      <w:numFmt w:val="lowerLetter"/>
      <w:start w:val="35"/>
    </w:lvl>
    <w:lvl w:ilvl="1">
      <w:lvlJc w:val="left"/>
      <w:lvlText w:val="(%2)"/>
      <w:numFmt w:val="lowerLetter"/>
      <w:start w:val="4"/>
    </w:lvl>
  </w:abstractNum>
  <w:abstractNum w:abstractNumId="365">
    <w:nsid w:val="403C23E6"/>
    <w:multiLevelType w:val="hybridMultilevel"/>
    <w:lvl w:ilvl="0">
      <w:lvlJc w:val="left"/>
      <w:lvlText w:val="%1"/>
      <w:numFmt w:val="lowerRoman"/>
      <w:start w:val="1"/>
    </w:lvl>
    <w:lvl w:ilvl="1">
      <w:lvlJc w:val="left"/>
      <w:lvlText w:val="(%2)"/>
      <w:numFmt w:val="lowerLetter"/>
      <w:start w:val="1"/>
    </w:lvl>
  </w:abstractNum>
  <w:abstractNum w:abstractNumId="366">
    <w:nsid w:val="58D7F9D7"/>
    <w:multiLevelType w:val="hybridMultilevel"/>
    <w:lvl w:ilvl="0">
      <w:lvlJc w:val="left"/>
      <w:lvlText w:val="(%1)"/>
      <w:numFmt w:val="lowerRoman"/>
      <w:start w:val="4"/>
    </w:lvl>
    <w:lvl w:ilvl="1">
      <w:lvlJc w:val="left"/>
      <w:lvlText w:val="(%2)"/>
      <w:numFmt w:val="lowerLetter"/>
      <w:start w:val="2"/>
    </w:lvl>
  </w:abstractNum>
  <w:abstractNum w:abstractNumId="367">
    <w:nsid w:val="24DBF76"/>
    <w:multiLevelType w:val="hybridMultilevel"/>
    <w:lvl w:ilvl="0">
      <w:lvlJc w:val="left"/>
      <w:lvlText w:val="(%1)"/>
      <w:numFmt w:val="lowerRoman"/>
      <w:start w:val="2"/>
    </w:lvl>
    <w:lvl w:ilvl="1">
      <w:lvlJc w:val="left"/>
      <w:lvlText w:val="%2"/>
      <w:numFmt w:val="lowerLetter"/>
      <w:start w:val="1"/>
    </w:lvl>
  </w:abstractNum>
  <w:abstractNum w:abstractNumId="368">
    <w:nsid w:val="53355960"/>
    <w:multiLevelType w:val="hybridMultilevel"/>
    <w:lvl w:ilvl="0">
      <w:lvlJc w:val="left"/>
      <w:lvlText w:val="%1"/>
      <w:numFmt w:val="lowerLetter"/>
      <w:start w:val="1"/>
    </w:lvl>
    <w:lvl w:ilvl="1">
      <w:lvlJc w:val="left"/>
      <w:lvlText w:val="(%2)"/>
      <w:numFmt w:val="lowerLetter"/>
      <w:start w:val="3"/>
    </w:lvl>
  </w:abstractNum>
  <w:abstractNum w:abstractNumId="369">
    <w:nsid w:val="4F4AC8FF"/>
    <w:multiLevelType w:val="hybridMultilevel"/>
    <w:lvl w:ilvl="0">
      <w:lvlJc w:val="left"/>
      <w:lvlText w:val="(%1)"/>
      <w:numFmt w:val="lowerLetter"/>
      <w:start w:val="35"/>
    </w:lvl>
    <w:lvl w:ilvl="1">
      <w:lvlJc w:val="left"/>
      <w:lvlText w:val="%2"/>
      <w:numFmt w:val="lowerLetter"/>
      <w:start w:val="1"/>
    </w:lvl>
  </w:abstractNum>
  <w:abstractNum w:abstractNumId="370">
    <w:nsid w:val="58CAE6D9"/>
    <w:multiLevelType w:val="hybridMultilevel"/>
    <w:lvl w:ilvl="0">
      <w:lvlJc w:val="left"/>
      <w:lvlText w:val="(%1)"/>
      <w:numFmt w:val="decimal"/>
      <w:start w:val="9"/>
    </w:lvl>
    <w:lvl w:ilvl="1">
      <w:lvlJc w:val="left"/>
      <w:lvlText w:val="(%2)"/>
      <w:numFmt w:val="lowerLetter"/>
      <w:start w:val="5"/>
    </w:lvl>
  </w:abstractNum>
  <w:abstractNum w:abstractNumId="371">
    <w:nsid w:val="42933C4F"/>
    <w:multiLevelType w:val="hybridMultilevel"/>
    <w:lvl w:ilvl="0">
      <w:lvlJc w:val="left"/>
      <w:lvlText w:val="(%1)"/>
      <w:numFmt w:val="lowerLetter"/>
      <w:start w:val="8"/>
    </w:lvl>
  </w:abstractNum>
  <w:abstractNum w:abstractNumId="372">
    <w:nsid w:val="729AF360"/>
    <w:multiLevelType w:val="hybridMultilevel"/>
    <w:lvl w:ilvl="0">
      <w:lvlJc w:val="left"/>
      <w:lvlText w:val="(%1)"/>
      <w:numFmt w:val="upperLetter"/>
      <w:start w:val="10"/>
    </w:lvl>
    <w:lvl w:ilvl="1">
      <w:lvlJc w:val="left"/>
      <w:lvlText w:val="(%2)"/>
      <w:numFmt w:val="lowerLetter"/>
      <w:start w:val="9"/>
    </w:lvl>
  </w:abstractNum>
  <w:abstractNum w:abstractNumId="373">
    <w:nsid w:val="1EE6AF0D"/>
    <w:multiLevelType w:val="hybridMultilevel"/>
    <w:lvl w:ilvl="0">
      <w:lvlJc w:val="left"/>
      <w:lvlText w:val="(%1)"/>
      <w:numFmt w:val="lowerLetter"/>
      <w:start w:val="11"/>
    </w:lvl>
    <w:lvl w:ilvl="1">
      <w:lvlJc w:val="left"/>
      <w:lvlText w:val="(%2)"/>
      <w:numFmt w:val="lowerRoman"/>
      <w:start w:val="1"/>
    </w:lvl>
  </w:abstractNum>
  <w:abstractNum w:abstractNumId="374">
    <w:nsid w:val="5670E3ED"/>
    <w:multiLevelType w:val="hybridMultilevel"/>
    <w:lvl w:ilvl="0">
      <w:lvlJc w:val="left"/>
      <w:lvlText w:val="(%1)"/>
      <w:numFmt w:val="lowerLetter"/>
      <w:start w:val="1"/>
    </w:lvl>
  </w:abstractNum>
  <w:abstractNum w:abstractNumId="375">
    <w:nsid w:val="5CAB38C6"/>
    <w:multiLevelType w:val="hybridMultilevel"/>
    <w:lvl w:ilvl="0">
      <w:lvlJc w:val="left"/>
      <w:lvlText w:val="%1"/>
      <w:numFmt w:val="upperLetter"/>
      <w:start w:val="1"/>
    </w:lvl>
    <w:lvl w:ilvl="1">
      <w:lvlJc w:val="left"/>
      <w:lvlText w:val="(%2)"/>
      <w:numFmt w:val="lowerLetter"/>
      <w:start w:val="2"/>
    </w:lvl>
  </w:abstractNum>
  <w:abstractNum w:abstractNumId="376">
    <w:nsid w:val="3B7139DD"/>
    <w:multiLevelType w:val="hybridMultilevel"/>
    <w:lvl w:ilvl="0">
      <w:lvlJc w:val="left"/>
      <w:lvlText w:val="(%1)"/>
      <w:numFmt w:val="upperLetter"/>
      <w:start w:val="3"/>
    </w:lvl>
    <w:lvl w:ilvl="1">
      <w:lvlJc w:val="left"/>
      <w:lvlText w:val="(%2)"/>
      <w:numFmt w:val="lowerLetter"/>
      <w:start w:val="3"/>
    </w:lvl>
  </w:abstractNum>
  <w:abstractNum w:abstractNumId="377">
    <w:nsid w:val="64E4C3CD"/>
    <w:multiLevelType w:val="hybridMultilevel"/>
    <w:lvl w:ilvl="0">
      <w:lvlJc w:val="left"/>
      <w:lvlText w:val="(%1)"/>
      <w:numFmt w:val="upperLetter"/>
      <w:start w:val="1"/>
    </w:lvl>
    <w:lvl w:ilvl="1">
      <w:lvlJc w:val="left"/>
      <w:lvlText w:val="(%2)"/>
      <w:numFmt w:val="lowerLetter"/>
      <w:start w:val="5"/>
    </w:lvl>
  </w:abstractNum>
  <w:abstractNum w:abstractNumId="378">
    <w:nsid w:val="169CAD8D"/>
    <w:multiLevelType w:val="hybridMultilevel"/>
    <w:lvl w:ilvl="0">
      <w:lvlJc w:val="left"/>
      <w:lvlText w:val="(%1)"/>
      <w:numFmt w:val="upperLetter"/>
      <w:start w:val="9"/>
    </w:lvl>
    <w:lvl w:ilvl="1">
      <w:lvlJc w:val="left"/>
      <w:lvlText w:val="(%2)"/>
      <w:numFmt w:val="lowerLetter"/>
      <w:start w:val="7"/>
    </w:lvl>
  </w:abstractNum>
  <w:abstractNum w:abstractNumId="379">
    <w:nsid w:val="299F6730"/>
    <w:multiLevelType w:val="hybridMultilevel"/>
    <w:lvl w:ilvl="0">
      <w:lvlJc w:val="left"/>
      <w:lvlText w:val="(%1)"/>
      <w:numFmt w:val="lowerLetter"/>
      <w:start w:val="1"/>
    </w:lvl>
  </w:abstractNum>
  <w:abstractNum w:abstractNumId="380">
    <w:nsid w:val="2AC1076A"/>
    <w:multiLevelType w:val="hybridMultilevel"/>
    <w:lvl w:ilvl="0">
      <w:lvlJc w:val="left"/>
      <w:lvlText w:val="(%1)"/>
      <w:numFmt w:val="lowerLetter"/>
      <w:start w:val="2"/>
    </w:lvl>
  </w:abstractNum>
  <w:abstractNum w:abstractNumId="381">
    <w:nsid w:val="51A6E915"/>
    <w:multiLevelType w:val="hybridMultilevel"/>
    <w:lvl w:ilvl="0">
      <w:lvlJc w:val="left"/>
      <w:lvlText w:val="(%1)"/>
      <w:numFmt w:val="lowerLetter"/>
      <w:start w:val="1"/>
    </w:lvl>
  </w:abstractNum>
  <w:abstractNum w:abstractNumId="382">
    <w:nsid w:val="174BDE99"/>
    <w:multiLevelType w:val="hybridMultilevel"/>
    <w:lvl w:ilvl="0">
      <w:lvlJc w:val="left"/>
      <w:lvlText w:val="(%1)"/>
      <w:numFmt w:val="lowerLetter"/>
      <w:start w:val="2"/>
    </w:lvl>
  </w:abstractNum>
  <w:abstractNum w:abstractNumId="383">
    <w:nsid w:val="1F2BEA4E"/>
    <w:multiLevelType w:val="hybridMultilevel"/>
    <w:lvl w:ilvl="0">
      <w:lvlJc w:val="left"/>
      <w:lvlText w:val="(%1)"/>
      <w:numFmt w:val="lowerLetter"/>
      <w:start w:val="1"/>
    </w:lvl>
  </w:abstractNum>
  <w:abstractNum w:abstractNumId="384">
    <w:nsid w:val="3254A32"/>
    <w:multiLevelType w:val="hybridMultilevel"/>
    <w:lvl w:ilvl="0">
      <w:lvlJc w:val="left"/>
      <w:lvlText w:val="(%1)"/>
      <w:numFmt w:val="lowerLetter"/>
      <w:start w:val="2"/>
    </w:lvl>
  </w:abstractNum>
  <w:abstractNum w:abstractNumId="385">
    <w:nsid w:val="11ADB5F4"/>
    <w:multiLevelType w:val="hybridMultilevel"/>
    <w:lvl w:ilvl="0">
      <w:lvlJc w:val="left"/>
      <w:lvlText w:val="(%1)"/>
      <w:numFmt w:val="decimal"/>
      <w:start w:val="2"/>
    </w:lvl>
    <w:lvl w:ilvl="1">
      <w:lvlJc w:val="left"/>
      <w:lvlText w:val="%2"/>
      <w:numFmt w:val="lowerLetter"/>
      <w:start w:val="1"/>
    </w:lvl>
  </w:abstractNum>
  <w:abstractNum w:abstractNumId="386">
    <w:nsid w:val="3575FED1"/>
    <w:multiLevelType w:val="hybridMultilevel"/>
    <w:lvl w:ilvl="0">
      <w:lvlJc w:val="left"/>
      <w:lvlText w:val="(%1)"/>
      <w:numFmt w:val="decimal"/>
      <w:start w:val="4"/>
    </w:lvl>
    <w:lvl w:ilvl="1">
      <w:lvlJc w:val="left"/>
      <w:lvlText w:val="(%2)"/>
      <w:numFmt w:val="lowerLetter"/>
      <w:start w:val="4"/>
    </w:lvl>
  </w:abstractNum>
  <w:abstractNum w:abstractNumId="387">
    <w:nsid w:val="1B2B9E9D"/>
    <w:multiLevelType w:val="hybridMultilevel"/>
    <w:lvl w:ilvl="0">
      <w:lvlJc w:val="left"/>
      <w:lvlText w:val="(%1)"/>
      <w:numFmt w:val="lowerLetter"/>
      <w:start w:val="5"/>
    </w:lvl>
    <w:lvl w:ilvl="1">
      <w:lvlJc w:val="left"/>
      <w:lvlText w:val="(%2)"/>
      <w:numFmt w:val="lowerRoman"/>
      <w:start w:val="1"/>
    </w:lvl>
  </w:abstractNum>
  <w:abstractNum w:abstractNumId="388">
    <w:nsid w:val="3150E85C"/>
    <w:multiLevelType w:val="hybridMultilevel"/>
    <w:lvl w:ilvl="0">
      <w:lvlJc w:val="left"/>
      <w:lvlText w:val="(%1)"/>
      <w:numFmt w:val="lowerRoman"/>
      <w:start w:val="10"/>
    </w:lvl>
  </w:abstractNum>
  <w:abstractNum w:abstractNumId="389">
    <w:nsid w:val="638FDBD1"/>
    <w:multiLevelType w:val="hybridMultilevel"/>
    <w:lvl w:ilvl="0">
      <w:lvlJc w:val="left"/>
      <w:lvlText w:val="(%1)"/>
      <w:numFmt w:val="lowerLetter"/>
      <w:start w:val="1"/>
    </w:lvl>
  </w:abstractNum>
  <w:abstractNum w:abstractNumId="390">
    <w:nsid w:val="1098CF6E"/>
    <w:multiLevelType w:val="hybridMultilevel"/>
    <w:lvl w:ilvl="0">
      <w:lvlJc w:val="left"/>
      <w:lvlText w:val="%1"/>
      <w:numFmt w:val="lowerLetter"/>
      <w:start w:val="1"/>
    </w:lvl>
    <w:lvl w:ilvl="1">
      <w:lvlJc w:val="left"/>
      <w:lvlText w:val="(%2)"/>
      <w:numFmt w:val="lowerLetter"/>
      <w:start w:val="3"/>
    </w:lvl>
  </w:abstractNum>
  <w:abstractNum w:abstractNumId="391">
    <w:nsid w:val="1AF465D"/>
    <w:multiLevelType w:val="hybridMultilevel"/>
    <w:lvl w:ilvl="0">
      <w:lvlJc w:val="left"/>
      <w:lvlText w:val="(%1)"/>
      <w:numFmt w:val="lowerLetter"/>
      <w:start w:val="25"/>
    </w:lvl>
    <w:lvl w:ilvl="1">
      <w:lvlJc w:val="left"/>
      <w:lvlText w:val="(%2)"/>
      <w:numFmt w:val="lowerLetter"/>
      <w:start w:val="4"/>
    </w:lvl>
  </w:abstractNum>
  <w:abstractNum w:abstractNumId="392">
    <w:nsid w:val="128D98B7"/>
    <w:multiLevelType w:val="hybridMultilevel"/>
    <w:lvl w:ilvl="0">
      <w:lvlJc w:val="left"/>
      <w:lvlText w:val="(%1)"/>
      <w:numFmt w:val="lowerLetter"/>
      <w:start w:val="1"/>
    </w:lvl>
  </w:abstractNum>
  <w:abstractNum w:abstractNumId="393">
    <w:nsid w:val="5F613832"/>
    <w:multiLevelType w:val="hybridMultilevel"/>
    <w:lvl w:ilvl="0">
      <w:lvlJc w:val="left"/>
      <w:lvlText w:val="%1"/>
      <w:numFmt w:val="lowerLetter"/>
      <w:start w:val="1"/>
    </w:lvl>
    <w:lvl w:ilvl="1">
      <w:lvlJc w:val="left"/>
      <w:lvlText w:val="(%2)"/>
      <w:numFmt w:val="lowerLetter"/>
      <w:start w:val="2"/>
    </w:lvl>
  </w:abstractNum>
  <w:abstractNum w:abstractNumId="394">
    <w:nsid w:val="43E92260"/>
    <w:multiLevelType w:val="hybridMultilevel"/>
    <w:lvl w:ilvl="0">
      <w:lvlJc w:val="left"/>
      <w:lvlText w:val="(%1)"/>
      <w:numFmt w:val="lowerLetter"/>
      <w:start w:val="9"/>
    </w:lvl>
    <w:lvl w:ilvl="1">
      <w:lvlJc w:val="left"/>
      <w:lvlText w:val="%2"/>
      <w:numFmt w:val="lowerLetter"/>
      <w:start w:val="1"/>
    </w:lvl>
  </w:abstractNum>
  <w:abstractNum w:abstractNumId="395">
    <w:nsid w:val="430A1662"/>
    <w:multiLevelType w:val="hybridMultilevel"/>
    <w:lvl w:ilvl="0">
      <w:lvlJc w:val="left"/>
      <w:lvlText w:val="(%1)"/>
      <w:numFmt w:val="lowerLetter"/>
      <w:start w:val="1"/>
    </w:lvl>
  </w:abstractNum>
  <w:abstractNum w:abstractNumId="396">
    <w:nsid w:val="1F9D5C18"/>
    <w:multiLevelType w:val="hybridMultilevel"/>
    <w:lvl w:ilvl="0">
      <w:lvlJc w:val="left"/>
      <w:lvlText w:val="(%1)"/>
      <w:numFmt w:val="lowerLetter"/>
      <w:start w:val="1"/>
    </w:lvl>
  </w:abstractNum>
  <w:abstractNum w:abstractNumId="397">
    <w:nsid w:val="1CC11C37"/>
    <w:multiLevelType w:val="hybridMultilevel"/>
    <w:lvl w:ilvl="0">
      <w:lvlJc w:val="left"/>
      <w:lvlText w:val="(%1)"/>
      <w:numFmt w:val="lowerLetter"/>
      <w:start w:val="2"/>
    </w:lvl>
  </w:abstractNum>
  <w:abstractNum w:abstractNumId="398">
    <w:nsid w:val="4557D5D8"/>
    <w:multiLevelType w:val="hybridMultilevel"/>
    <w:lvl w:ilvl="0">
      <w:lvlJc w:val="left"/>
      <w:lvlText w:val="(%1)"/>
      <w:numFmt w:val="lowerLetter"/>
      <w:start w:val="1"/>
    </w:lvl>
  </w:abstractNum>
  <w:abstractNum w:abstractNumId="399">
    <w:nsid w:val="72D2B579"/>
    <w:multiLevelType w:val="hybridMultilevel"/>
    <w:lvl w:ilvl="0">
      <w:lvlJc w:val="left"/>
      <w:lvlText w:val="(%1)"/>
      <w:numFmt w:val="lowerLetter"/>
      <w:start w:val="3"/>
    </w:lvl>
  </w:abstractNum>
  <w:abstractNum w:abstractNumId="400">
    <w:nsid w:val="6C0BE536"/>
    <w:multiLevelType w:val="hybridMultilevel"/>
    <w:lvl w:ilvl="0">
      <w:lvlJc w:val="left"/>
      <w:lvlText w:val="(%1)"/>
      <w:numFmt w:val="lowerLetter"/>
      <w:start w:val="1"/>
    </w:lvl>
  </w:abstractNum>
  <w:abstractNum w:abstractNumId="401">
    <w:nsid w:val="1E22BCB2"/>
    <w:multiLevelType w:val="hybridMultilevel"/>
    <w:lvl w:ilvl="0">
      <w:lvlJc w:val="left"/>
      <w:lvlText w:val="(%1)"/>
      <w:numFmt w:val="lowerLetter"/>
      <w:start w:val="5"/>
    </w:lvl>
  </w:abstractNum>
  <w:abstractNum w:abstractNumId="402">
    <w:nsid w:val="3565F1C8"/>
    <w:multiLevelType w:val="hybridMultilevel"/>
    <w:lvl w:ilvl="0">
      <w:lvlJc w:val="left"/>
      <w:lvlText w:val="(%1)"/>
      <w:numFmt w:val="lowerLetter"/>
      <w:start w:val="1"/>
    </w:lvl>
  </w:abstractNum>
  <w:abstractNum w:abstractNumId="403">
    <w:nsid w:val="5EA6D896"/>
    <w:multiLevelType w:val="hybridMultilevel"/>
    <w:lvl w:ilvl="0">
      <w:lvlJc w:val="left"/>
      <w:lvlText w:val="(%1)"/>
      <w:numFmt w:val="lowerLetter"/>
      <w:start w:val="3"/>
    </w:lvl>
  </w:abstractNum>
  <w:abstractNum w:abstractNumId="404">
    <w:nsid w:val="3D096BBF"/>
    <w:multiLevelType w:val="hybridMultilevel"/>
    <w:lvl w:ilvl="0">
      <w:lvlJc w:val="left"/>
      <w:lvlText w:val="(%1)"/>
      <w:numFmt w:val="lowerLetter"/>
      <w:start w:val="1"/>
    </w:lvl>
  </w:abstractNum>
  <w:abstractNum w:abstractNumId="405">
    <w:nsid w:val="BD6D5B5"/>
    <w:multiLevelType w:val="hybridMultilevel"/>
    <w:lvl w:ilvl="0">
      <w:lvlJc w:val="left"/>
      <w:lvlText w:val="(%1)"/>
      <w:numFmt w:val="lowerLetter"/>
      <w:start w:val="1"/>
    </w:lvl>
  </w:abstractNum>
  <w:abstractNum w:abstractNumId="406">
    <w:nsid w:val="3B52115C"/>
    <w:multiLevelType w:val="hybridMultilevel"/>
    <w:lvl w:ilvl="0">
      <w:lvlJc w:val="left"/>
      <w:lvlText w:val="(%1)"/>
      <w:numFmt w:val="lowerLetter"/>
      <w:start w:val="1"/>
    </w:lvl>
  </w:abstractNum>
  <w:abstractNum w:abstractNumId="407">
    <w:nsid w:val="787AA59C"/>
    <w:multiLevelType w:val="hybridMultilevel"/>
    <w:lvl w:ilvl="0">
      <w:lvlJc w:val="left"/>
      <w:lvlText w:val="(%1)"/>
      <w:numFmt w:val="lowerLetter"/>
      <w:start w:val="1"/>
    </w:lvl>
  </w:abstractNum>
  <w:abstractNum w:abstractNumId="408">
    <w:nsid w:val="70BB9983"/>
    <w:multiLevelType w:val="hybridMultilevel"/>
    <w:lvl w:ilvl="0">
      <w:lvlJc w:val="left"/>
      <w:lvlText w:val="%1"/>
      <w:numFmt w:val="lowerLetter"/>
      <w:start w:val="1"/>
    </w:lvl>
    <w:lvl w:ilvl="1">
      <w:lvlJc w:val="left"/>
      <w:lvlText w:val="(%2)"/>
      <w:numFmt w:val="lowerLetter"/>
      <w:start w:val="1"/>
    </w:lvl>
  </w:abstractNum>
  <w:abstractNum w:abstractNumId="409">
    <w:nsid w:val="51EEBEEA"/>
    <w:multiLevelType w:val="hybridMultilevel"/>
    <w:lvl w:ilvl="0">
      <w:lvlJc w:val="left"/>
      <w:lvlText w:val="(%1)"/>
      <w:numFmt w:val="lowerLetter"/>
      <w:start w:val="35"/>
    </w:lvl>
    <w:lvl w:ilvl="1">
      <w:lvlJc w:val="left"/>
      <w:lvlText w:val="%2"/>
      <w:numFmt w:val="lowerLetter"/>
      <w:start w:val="1"/>
    </w:lvl>
  </w:abstractNum>
  <w:abstractNum w:abstractNumId="410">
    <w:nsid w:val="221A0CCD"/>
    <w:multiLevelType w:val="hybridMultilevel"/>
    <w:lvl w:ilvl="0">
      <w:lvlJc w:val="left"/>
      <w:lvlText w:val="(%1)"/>
      <w:numFmt w:val="lowerLetter"/>
      <w:start w:val="1"/>
    </w:lvl>
  </w:abstractNum>
  <w:abstractNum w:abstractNumId="411">
    <w:nsid w:val="1B7CA0ED"/>
    <w:multiLevelType w:val="hybridMultilevel"/>
    <w:lvl w:ilvl="0">
      <w:lvlJc w:val="left"/>
      <w:lvlText w:val="(%1)"/>
      <w:numFmt w:val="lowerLetter"/>
      <w:start w:val="4"/>
    </w:lvl>
  </w:abstractNum>
  <w:abstractNum w:abstractNumId="412">
    <w:nsid w:val="2395A7FF"/>
    <w:multiLevelType w:val="hybridMultilevel"/>
    <w:lvl w:ilvl="0">
      <w:lvlJc w:val="left"/>
      <w:lvlText w:val="(%1)"/>
      <w:numFmt w:val="lowerLetter"/>
      <w:start w:val="2"/>
    </w:lvl>
  </w:abstractNum>
  <w:abstractNum w:abstractNumId="413">
    <w:nsid w:val="3965EB66"/>
    <w:multiLevelType w:val="hybridMultilevel"/>
    <w:lvl w:ilvl="0">
      <w:lvlJc w:val="left"/>
      <w:lvlText w:val="(%1)"/>
      <w:numFmt w:val="lowerLetter"/>
      <w:start w:val="2"/>
    </w:lvl>
  </w:abstractNum>
  <w:abstractNum w:abstractNumId="414">
    <w:nsid w:val="3AA88B3C"/>
    <w:multiLevelType w:val="hybridMultilevel"/>
    <w:lvl w:ilvl="0">
      <w:lvlJc w:val="left"/>
      <w:lvlText w:val="(%1)"/>
      <w:numFmt w:val="lowerLetter"/>
      <w:start w:val="3"/>
    </w:lvl>
  </w:abstractNum>
  <w:abstractNum w:abstractNumId="415">
    <w:nsid w:val="26BAF231"/>
    <w:multiLevelType w:val="hybridMultilevel"/>
    <w:lvl w:ilvl="0">
      <w:lvlJc w:val="left"/>
      <w:lvlText w:val="(%1)"/>
      <w:numFmt w:val="lowerLetter"/>
      <w:start w:val="1"/>
    </w:lvl>
  </w:abstractNum>
  <w:abstractNum w:abstractNumId="416">
    <w:nsid w:val="4B13A15A"/>
    <w:multiLevelType w:val="hybridMultilevel"/>
    <w:lvl w:ilvl="0">
      <w:lvlJc w:val="left"/>
      <w:lvlText w:val="(%1)"/>
      <w:numFmt w:val="lowerLetter"/>
      <w:start w:val="3"/>
    </w:lvl>
  </w:abstractNum>
  <w:abstractNum w:abstractNumId="417">
    <w:nsid w:val="701E8A0D"/>
    <w:multiLevelType w:val="hybridMultilevel"/>
    <w:lvl w:ilvl="0">
      <w:lvlJc w:val="left"/>
      <w:lvlText w:val="(%1)"/>
      <w:numFmt w:val="lowerLetter"/>
      <w:start w:val="1"/>
    </w:lvl>
  </w:abstractNum>
  <w:abstractNum w:abstractNumId="418">
    <w:nsid w:val="41E690CF"/>
    <w:multiLevelType w:val="hybridMultilevel"/>
    <w:lvl w:ilvl="0">
      <w:lvlJc w:val="left"/>
      <w:lvlText w:val="(%1)"/>
      <w:numFmt w:val="lowerLetter"/>
      <w:start w:val="3"/>
    </w:lvl>
  </w:abstractNum>
  <w:abstractNum w:abstractNumId="419">
    <w:nsid w:val="7C6489B6"/>
    <w:multiLevelType w:val="hybridMultilevel"/>
    <w:lvl w:ilvl="0">
      <w:lvlJc w:val="left"/>
      <w:lvlText w:val="(%1)"/>
      <w:numFmt w:val="lowerLetter"/>
      <w:start w:val="2"/>
    </w:lvl>
  </w:abstractNum>
  <w:abstractNum w:abstractNumId="420">
    <w:nsid w:val="53AE65DE"/>
    <w:multiLevelType w:val="hybridMultilevel"/>
    <w:lvl w:ilvl="0">
      <w:lvlJc w:val="left"/>
      <w:lvlText w:val="(%1)"/>
      <w:numFmt w:val="lowerRoman"/>
      <w:start w:val="3"/>
    </w:lvl>
  </w:abstractNum>
  <w:abstractNum w:abstractNumId="421">
    <w:nsid w:val="527F603D"/>
    <w:multiLevelType w:val="hybridMultilevel"/>
    <w:lvl w:ilvl="0">
      <w:lvlJc w:val="left"/>
      <w:lvlText w:val="(%1)"/>
      <w:numFmt w:val="lowerLetter"/>
      <w:start w:val="1"/>
    </w:lvl>
  </w:abstractNum>
  <w:abstractNum w:abstractNumId="422">
    <w:nsid w:val="7E13D013"/>
    <w:multiLevelType w:val="hybridMultilevel"/>
    <w:lvl w:ilvl="0">
      <w:lvlJc w:val="left"/>
      <w:lvlText w:val="(%1)"/>
      <w:numFmt w:val="lowerLetter"/>
      <w:start w:val="35"/>
    </w:lvl>
  </w:abstractNum>
  <w:abstractNum w:abstractNumId="423">
    <w:nsid w:val="663BFE95"/>
    <w:multiLevelType w:val="hybridMultilevel"/>
    <w:lvl w:ilvl="0">
      <w:lvlJc w:val="left"/>
      <w:lvlText w:val="(%1)"/>
      <w:numFmt w:val="lowerLetter"/>
      <w:start w:val="1"/>
    </w:lvl>
    <w:lvl w:ilvl="1">
      <w:lvlJc w:val="left"/>
      <w:lvlText w:val="(%2)"/>
      <w:numFmt w:val="lowerRoman"/>
      <w:start w:val="1"/>
    </w:lvl>
  </w:abstractNum>
  <w:abstractNum w:abstractNumId="424">
    <w:nsid w:val="31E0986F"/>
    <w:multiLevelType w:val="hybridMultilevel"/>
    <w:lvl w:ilvl="0">
      <w:lvlJc w:val="left"/>
      <w:lvlText w:val="(%1)"/>
      <w:numFmt w:val="lowerLetter"/>
      <w:start w:val="2"/>
    </w:lvl>
  </w:abstractNum>
  <w:abstractNum w:abstractNumId="425">
    <w:nsid w:val="41FCF274"/>
    <w:multiLevelType w:val="hybridMultilevel"/>
    <w:lvl w:ilvl="0">
      <w:lvlJc w:val="left"/>
      <w:lvlText w:val="(%1)"/>
      <w:numFmt w:val="lowerLetter"/>
      <w:start w:val="4"/>
    </w:lvl>
  </w:abstractNum>
  <w:abstractNum w:abstractNumId="426">
    <w:nsid w:val="294614F7"/>
    <w:multiLevelType w:val="hybridMultilevel"/>
    <w:lvl w:ilvl="0">
      <w:lvlJc w:val="left"/>
      <w:lvlText w:val="(%1)"/>
      <w:numFmt w:val="lowerLetter"/>
      <w:start w:val="1"/>
    </w:lvl>
    <w:lvl w:ilvl="1">
      <w:lvlJc w:val="left"/>
      <w:lvlText w:val="(%2)"/>
      <w:numFmt w:val="lowerRoman"/>
      <w:start w:val="1"/>
    </w:lvl>
  </w:abstractNum>
  <w:abstractNum w:abstractNumId="427">
    <w:nsid w:val="517DF487"/>
    <w:multiLevelType w:val="hybridMultilevel"/>
    <w:lvl w:ilvl="0">
      <w:lvlJc w:val="left"/>
      <w:lvlText w:val="(%1)"/>
      <w:numFmt w:val="lowerRoman"/>
      <w:start w:val="10"/>
    </w:lvl>
  </w:abstractNum>
  <w:abstractNum w:abstractNumId="428">
    <w:nsid w:val="5EBE0EA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29">
    <w:nsid w:val="6E9DEAD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0"/>
    </w:lvl>
  </w:abstractNum>
  <w:abstractNum w:abstractNumId="430">
    <w:nsid w:val="4450AA0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431">
    <w:nsid w:val="4AC9F3E2"/>
    <w:multiLevelType w:val="hybridMultilevel"/>
    <w:lvl w:ilvl="0">
      <w:lvlJc w:val="left"/>
      <w:lvlText w:val="(%1)"/>
      <w:numFmt w:val="lowerLetter"/>
      <w:start w:val="1"/>
    </w:lvl>
    <w:lvl w:ilvl="1">
      <w:lvlJc w:val="left"/>
      <w:lvlText w:val="(%2)"/>
      <w:numFmt w:val="lowerRoman"/>
      <w:start w:val="1"/>
    </w:lvl>
  </w:abstractNum>
  <w:abstractNum w:abstractNumId="432">
    <w:nsid w:val="CC0A782"/>
    <w:multiLevelType w:val="hybridMultilevel"/>
    <w:lvl w:ilvl="0">
      <w:lvlJc w:val="left"/>
      <w:lvlText w:val="%1"/>
      <w:numFmt w:val="lowerLetter"/>
      <w:start w:val="1"/>
    </w:lvl>
    <w:lvl w:ilvl="1">
      <w:lvlJc w:val="left"/>
      <w:lvlText w:val="(%2)"/>
      <w:numFmt w:val="lowerRoman"/>
      <w:start w:val="3"/>
    </w:lvl>
  </w:abstractNum>
  <w:abstractNum w:abstractNumId="433">
    <w:nsid w:val="79B69BC9"/>
    <w:multiLevelType w:val="hybridMultilevel"/>
    <w:lvl w:ilvl="0">
      <w:lvlJc w:val="left"/>
      <w:lvlText w:val="(%1)"/>
      <w:numFmt w:val="lowerLetter"/>
      <w:start w:val="3"/>
    </w:lvl>
    <w:lvl w:ilvl="1">
      <w:lvlJc w:val="left"/>
      <w:lvlText w:val="%2"/>
      <w:numFmt w:val="lowerRoman"/>
      <w:start w:val="1"/>
    </w:lvl>
  </w:abstractNum>
  <w:abstractNum w:abstractNumId="434">
    <w:nsid w:val="2970CC78"/>
    <w:multiLevelType w:val="hybridMultilevel"/>
    <w:lvl w:ilvl="0">
      <w:lvlJc w:val="left"/>
      <w:lvlText w:val="(%1)"/>
      <w:numFmt w:val="lowerLetter"/>
      <w:start w:val="1"/>
    </w:lvl>
  </w:abstractNum>
  <w:abstractNum w:abstractNumId="435">
    <w:nsid w:val="49CA1341"/>
    <w:multiLevelType w:val="hybridMultilevel"/>
    <w:lvl w:ilvl="0">
      <w:lvlJc w:val="left"/>
      <w:lvlText w:val="%1"/>
      <w:numFmt w:val="decimal"/>
      <w:start w:val="1"/>
    </w:lvl>
    <w:lvl w:ilvl="1">
      <w:lvlJc w:val="left"/>
      <w:lvlText w:val="(%2)"/>
      <w:numFmt w:val="lowerLetter"/>
      <w:start w:val="3"/>
    </w:lvl>
  </w:abstractNum>
  <w:abstractNum w:abstractNumId="436">
    <w:nsid w:val="58D717E"/>
    <w:multiLevelType w:val="hybridMultilevel"/>
    <w:lvl w:ilvl="0">
      <w:lvlJc w:val="left"/>
      <w:lvlText w:val="(%1)"/>
      <w:numFmt w:val="decimal"/>
      <w:start w:val="1"/>
    </w:lvl>
    <w:lvl w:ilvl="1">
      <w:lvlJc w:val="left"/>
      <w:lvlText w:val="(%2)"/>
      <w:numFmt w:val="lowerLetter"/>
      <w:start w:val="4"/>
    </w:lvl>
  </w:abstractNum>
  <w:abstractNum w:abstractNumId="437">
    <w:nsid w:val="64C2DDD5"/>
    <w:multiLevelType w:val="hybridMultilevel"/>
    <w:lvl w:ilvl="0">
      <w:lvlJc w:val="left"/>
      <w:lvlText w:val="%1"/>
      <w:numFmt w:val="lowerLetter"/>
      <w:start w:val="1"/>
    </w:lvl>
    <w:lvl w:ilvl="1">
      <w:lvlJc w:val="left"/>
      <w:lvlText w:val="(%2)"/>
      <w:numFmt w:val="lowerLetter"/>
      <w:start w:val="5"/>
    </w:lvl>
  </w:abstractNum>
  <w:abstractNum w:abstractNumId="438">
    <w:nsid w:val="4244B8DE"/>
    <w:multiLevelType w:val="hybridMultilevel"/>
    <w:lvl w:ilvl="0">
      <w:lvlJc w:val="left"/>
      <w:lvlText w:val="(%1)"/>
      <w:numFmt w:val="lowerLetter"/>
      <w:start w:val="61"/>
    </w:lvl>
    <w:lvl w:ilvl="1">
      <w:lvlJc w:val="left"/>
      <w:lvlText w:val="(%2)"/>
      <w:numFmt w:val="lowerLetter"/>
      <w:start w:val="7"/>
    </w:lvl>
  </w:abstractNum>
  <w:abstractNum w:abstractNumId="439">
    <w:nsid w:val="76490B01"/>
    <w:multiLevelType w:val="hybridMultilevel"/>
    <w:lvl w:ilvl="0">
      <w:lvlJc w:val="left"/>
      <w:lvlText w:val="(%1)"/>
      <w:numFmt w:val="lowerLetter"/>
      <w:start w:val="8"/>
    </w:lvl>
  </w:abstractNum>
  <w:abstractNum w:abstractNumId="440">
    <w:nsid w:val="36B19CBF"/>
    <w:multiLevelType w:val="hybridMultilevel"/>
    <w:lvl w:ilvl="0">
      <w:lvlJc w:val="left"/>
      <w:lvlText w:val="(%1)"/>
      <w:numFmt w:val="lowerLetter"/>
      <w:start w:val="10"/>
    </w:lvl>
  </w:abstractNum>
  <w:abstractNum w:abstractNumId="441">
    <w:nsid w:val="645EC5AB"/>
    <w:multiLevelType w:val="hybridMultilevel"/>
    <w:lvl w:ilvl="0">
      <w:lvlJc w:val="left"/>
      <w:lvlText w:val="(%1)"/>
      <w:numFmt w:val="lowerLetter"/>
      <w:start w:val="1"/>
    </w:lvl>
    <w:lvl w:ilvl="1">
      <w:lvlJc w:val="left"/>
      <w:lvlText w:val="(%2)"/>
      <w:numFmt w:val="lowerLetter"/>
      <w:start w:val="9"/>
    </w:lvl>
  </w:abstractNum>
  <w:abstractNum w:abstractNumId="442">
    <w:nsid w:val="11C5ABEF"/>
    <w:multiLevelType w:val="hybridMultilevel"/>
    <w:lvl w:ilvl="0">
      <w:lvlJc w:val="left"/>
      <w:lvlText w:val="%1"/>
      <w:numFmt w:val="lowerLetter"/>
      <w:start w:val="1"/>
    </w:lvl>
    <w:lvl w:ilvl="1">
      <w:lvlJc w:val="left"/>
      <w:lvlText w:val="(%2)"/>
      <w:numFmt w:val="lowerLetter"/>
      <w:start w:val="35"/>
    </w:lvl>
  </w:abstractNum>
  <w:abstractNum w:abstractNumId="443">
    <w:nsid w:val="5A4744BE"/>
    <w:multiLevelType w:val="hybridMultilevel"/>
    <w:lvl w:ilvl="0">
      <w:lvlJc w:val="left"/>
      <w:lvlText w:val="(%1)"/>
      <w:numFmt w:val="lowerLetter"/>
      <w:start w:val="2"/>
    </w:lvl>
    <w:lvl w:ilvl="1">
      <w:lvlJc w:val="left"/>
      <w:lvlText w:val="(%2)"/>
      <w:numFmt w:val="lowerLetter"/>
      <w:start w:val="9"/>
    </w:lvl>
  </w:abstractNum>
  <w:abstractNum w:abstractNumId="444">
    <w:nsid w:val="1DC4B111"/>
    <w:multiLevelType w:val="hybridMultilevel"/>
    <w:lvl w:ilvl="0">
      <w:lvlJc w:val="left"/>
      <w:lvlText w:val="(%1)"/>
      <w:numFmt w:val="lowerRoman"/>
      <w:start w:val="2"/>
    </w:lvl>
  </w:abstractNum>
  <w:abstractNum w:abstractNumId="445">
    <w:nsid w:val="4C6E372B"/>
    <w:multiLevelType w:val="hybridMultilevel"/>
    <w:lvl w:ilvl="0">
      <w:lvlJc w:val="left"/>
      <w:lvlText w:val="(%1)"/>
      <w:numFmt w:val="lowerLetter"/>
      <w:start w:val="1"/>
    </w:lvl>
    <w:lvl w:ilvl="1">
      <w:lvlJc w:val="left"/>
      <w:lvlText w:val="(%2)"/>
      <w:numFmt w:val="lowerRoman"/>
      <w:start w:val="1"/>
    </w:lvl>
  </w:abstractNum>
  <w:abstractNum w:abstractNumId="446">
    <w:nsid w:val="10236EF"/>
    <w:multiLevelType w:val="hybridMultilevel"/>
    <w:lvl w:ilvl="0">
      <w:lvlJc w:val="left"/>
      <w:lvlText w:val="%1"/>
      <w:numFmt w:val="lowerLetter"/>
      <w:start w:val="1"/>
    </w:lvl>
    <w:lvl w:ilvl="1">
      <w:lvlJc w:val="left"/>
      <w:lvlText w:val="(%2)"/>
      <w:numFmt w:val="lowerLetter"/>
      <w:start w:val="2"/>
    </w:lvl>
  </w:abstractNum>
  <w:abstractNum w:abstractNumId="447">
    <w:nsid w:val="68D8526B"/>
    <w:multiLevelType w:val="hybridMultilevel"/>
    <w:lvl w:ilvl="0">
      <w:lvlJc w:val="left"/>
      <w:lvlText w:val="(%1)"/>
      <w:numFmt w:val="lowerLetter"/>
      <w:start w:val="9"/>
    </w:lvl>
    <w:lvl w:ilvl="1">
      <w:lvlJc w:val="left"/>
      <w:lvlText w:val="%2"/>
      <w:numFmt w:val="lowerLetter"/>
      <w:start w:val="1"/>
    </w:lvl>
  </w:abstractNum>
  <w:abstractNum w:abstractNumId="448">
    <w:nsid w:val="3C8CC138"/>
    <w:multiLevelType w:val="hybridMultilevel"/>
    <w:lvl w:ilvl="0">
      <w:lvlJc w:val="left"/>
      <w:lvlText w:val="(%1)"/>
      <w:numFmt w:val="lowerLetter"/>
      <w:start w:val="1"/>
    </w:lvl>
  </w:abstractNum>
  <w:abstractNum w:abstractNumId="449">
    <w:nsid w:val="42E8C7BE"/>
    <w:multiLevelType w:val="hybridMultilevel"/>
    <w:lvl w:ilvl="0">
      <w:lvlJc w:val="left"/>
      <w:lvlText w:val="(%1)"/>
      <w:numFmt w:val="lowerLetter"/>
      <w:start w:val="1"/>
    </w:lvl>
  </w:abstractNum>
  <w:abstractNum w:abstractNumId="450">
    <w:nsid w:val="653CDC22"/>
    <w:multiLevelType w:val="hybridMultilevel"/>
    <w:lvl w:ilvl="0">
      <w:lvlJc w:val="left"/>
      <w:lvlText w:val="(%1)"/>
      <w:numFmt w:val="lowerLetter"/>
      <w:start w:val="2"/>
    </w:lvl>
  </w:abstractNum>
  <w:abstractNum w:abstractNumId="451">
    <w:nsid w:val="103B2716"/>
    <w:multiLevelType w:val="hybridMultilevel"/>
    <w:lvl w:ilvl="0">
      <w:lvlJc w:val="left"/>
      <w:lvlText w:val="(%1)"/>
      <w:numFmt w:val="lowerLetter"/>
      <w:start w:val="1"/>
    </w:lvl>
  </w:abstractNum>
  <w:abstractNum w:abstractNumId="452">
    <w:nsid w:val="156827FB"/>
    <w:multiLevelType w:val="hybridMultilevel"/>
    <w:lvl w:ilvl="0">
      <w:lvlJc w:val="left"/>
      <w:lvlText w:val="(%1)"/>
      <w:numFmt w:val="lowerLetter"/>
      <w:start w:val="2"/>
    </w:lvl>
  </w:abstractNum>
  <w:abstractNum w:abstractNumId="453">
    <w:nsid w:val="6350AC3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54">
    <w:nsid w:val="767725A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abstractNum>
  <w:abstractNum w:abstractNumId="455">
    <w:nsid w:val="4748C06A"/>
    <w:multiLevelType w:val="hybridMultilevel"/>
    <w:lvl w:ilvl="0">
      <w:lvlJc w:val="left"/>
      <w:lvlText w:val="(%1)"/>
      <w:numFmt w:val="lowerRoman"/>
      <w:start w:val="8"/>
    </w:lvl>
  </w:abstractNum>
  <w:abstractNum w:abstractNumId="456">
    <w:nsid w:val="254D9EA9"/>
    <w:multiLevelType w:val="hybridMultilevel"/>
    <w:lvl w:ilvl="0">
      <w:lvlJc w:val="left"/>
      <w:lvlText w:val="(%1)"/>
      <w:numFmt w:val="lowerLetter"/>
      <w:start w:val="11"/>
    </w:lvl>
    <w:lvl w:ilvl="1">
      <w:lvlJc w:val="left"/>
      <w:lvlText w:val="%2"/>
      <w:numFmt w:val="lowerLetter"/>
      <w:start w:val="1"/>
    </w:lvl>
    <w:lvl w:ilvl="2">
      <w:lvlJc w:val="left"/>
      <w:lvlText w:val="%3"/>
      <w:numFmt w:val="lowerRoman"/>
      <w:start w:val="1"/>
    </w:lvl>
  </w:abstractNum>
  <w:abstractNum w:abstractNumId="457">
    <w:nsid w:val="1FBD3AA3"/>
    <w:multiLevelType w:val="hybridMultilevel"/>
    <w:lvl w:ilvl="0">
      <w:lvlJc w:val="left"/>
      <w:lvlText w:val="(%1)"/>
      <w:numFmt w:val="lowerLetter"/>
      <w:start w:val="13"/>
    </w:lvl>
    <w:lvl w:ilvl="1">
      <w:lvlJc w:val="left"/>
      <w:lvlText w:val="(%2)"/>
      <w:numFmt w:val="lowerLetter"/>
      <w:start w:val="1"/>
    </w:lvl>
    <w:lvl w:ilvl="2">
      <w:lvlJc w:val="left"/>
      <w:lvlText w:val="(%3)"/>
      <w:numFmt w:val="lowerRoman"/>
      <w:start w:val="9"/>
    </w:lvl>
  </w:abstractNum>
  <w:abstractNum w:abstractNumId="458">
    <w:nsid w:val="18C6B4F2"/>
    <w:multiLevelType w:val="hybridMultilevel"/>
    <w:lvl w:ilvl="0">
      <w:lvlJc w:val="left"/>
      <w:lvlText w:val="(%1)"/>
      <w:numFmt w:val="lowerLetter"/>
      <w:start w:val="61"/>
    </w:lvl>
    <w:lvl w:ilvl="1">
      <w:lvlJc w:val="left"/>
      <w:lvlText w:val="(%2)"/>
      <w:numFmt w:val="lowerLetter"/>
      <w:start w:val="4"/>
    </w:lvl>
  </w:abstractNum>
  <w:abstractNum w:abstractNumId="459">
    <w:nsid w:val="40BAD55"/>
    <w:multiLevelType w:val="hybridMultilevel"/>
    <w:lvl w:ilvl="0">
      <w:lvlJc w:val="left"/>
      <w:lvlText w:val="(%1)"/>
      <w:numFmt w:val="lowerLetter"/>
      <w:start w:val="5"/>
    </w:lvl>
  </w:abstractNum>
  <w:abstractNum w:abstractNumId="460">
    <w:nsid w:val="E5B2573"/>
    <w:multiLevelType w:val="hybridMultilevel"/>
    <w:lvl w:ilvl="0">
      <w:lvlJc w:val="left"/>
      <w:lvlText w:val="(%1)"/>
      <w:numFmt w:val="lowerLetter"/>
      <w:start w:val="6"/>
    </w:lvl>
  </w:abstractNum>
  <w:abstractNum w:abstractNumId="461">
    <w:nsid w:val="5D175EF2"/>
    <w:multiLevelType w:val="hybridMultilevel"/>
    <w:lvl w:ilvl="0">
      <w:lvlJc w:val="left"/>
      <w:lvlText w:val="(%1)"/>
      <w:numFmt w:val="lowerLetter"/>
      <w:start w:val="12"/>
    </w:lvl>
  </w:abstractNum>
  <w:abstractNum w:abstractNumId="462">
    <w:nsid w:val="4ED5A137"/>
    <w:multiLevelType w:val="hybridMultilevel"/>
    <w:lvl w:ilvl="0">
      <w:lvlJc w:val="left"/>
      <w:lvlText w:val="(%1)"/>
      <w:numFmt w:val="lowerLetter"/>
      <w:start w:val="1"/>
    </w:lvl>
  </w:abstractNum>
  <w:abstractNum w:abstractNumId="463">
    <w:nsid w:val="1B1BCCF5"/>
    <w:multiLevelType w:val="hybridMultilevel"/>
    <w:lvl w:ilvl="0">
      <w:lvlJc w:val="left"/>
      <w:lvlText w:val="(%1)"/>
      <w:numFmt w:val="lowerLetter"/>
      <w:start w:val="1"/>
    </w:lvl>
    <w:lvl w:ilvl="1">
      <w:lvlJc w:val="left"/>
      <w:lvlText w:val="(%2)"/>
      <w:numFmt w:val="lowerRoman"/>
      <w:start w:val="1"/>
    </w:lvl>
  </w:abstractNum>
  <w:abstractNum w:abstractNumId="464">
    <w:nsid w:val="56CDFABB"/>
    <w:multiLevelType w:val="hybridMultilevel"/>
    <w:lvl w:ilvl="0">
      <w:lvlJc w:val="left"/>
      <w:lvlText w:val="(%1)"/>
      <w:numFmt w:val="lowerRoman"/>
      <w:start w:val="2"/>
    </w:lvl>
  </w:abstractNum>
  <w:abstractNum w:abstractNumId="465">
    <w:nsid w:val="78466DAF"/>
    <w:multiLevelType w:val="hybridMultilevel"/>
    <w:lvl w:ilvl="0">
      <w:lvlJc w:val="left"/>
      <w:lvlText w:val="(%1)"/>
      <w:numFmt w:val="lowerLetter"/>
      <w:start w:val="1"/>
    </w:lvl>
    <w:lvl w:ilvl="1">
      <w:lvlJc w:val="left"/>
      <w:lvlText w:val="(%2)"/>
      <w:numFmt w:val="lowerRoman"/>
      <w:start w:val="1"/>
    </w:lvl>
  </w:abstractNum>
  <w:abstractNum w:abstractNumId="466">
    <w:nsid w:val="64E5E036"/>
    <w:multiLevelType w:val="hybridMultilevel"/>
    <w:lvl w:ilvl="0">
      <w:lvlJc w:val="left"/>
      <w:lvlText w:val="%1"/>
      <w:numFmt w:val="lowerLetter"/>
      <w:start w:val="1"/>
    </w:lvl>
    <w:lvl w:ilvl="1">
      <w:lvlJc w:val="left"/>
      <w:lvlText w:val="(%2)"/>
      <w:numFmt w:val="lowerRoman"/>
      <w:start w:val="6"/>
    </w:lvl>
  </w:abstractNum>
  <w:abstractNum w:abstractNumId="467">
    <w:nsid w:val="5C5B6C3A"/>
    <w:multiLevelType w:val="hybridMultilevel"/>
    <w:lvl w:ilvl="0">
      <w:lvlJc w:val="left"/>
      <w:lvlText w:val="(%1)"/>
      <w:numFmt w:val="lowerLetter"/>
      <w:start w:val="2"/>
    </w:lvl>
    <w:lvl w:ilvl="1">
      <w:lvlJc w:val="left"/>
      <w:lvlText w:val="%2"/>
      <w:numFmt w:val="lowerRoman"/>
      <w:start w:val="1"/>
    </w:lvl>
  </w:abstractNum>
  <w:abstractNum w:abstractNumId="468">
    <w:nsid w:val="5D094B84"/>
    <w:multiLevelType w:val="hybridMultilevel"/>
    <w:lvl w:ilvl="0">
      <w:lvlJc w:val="left"/>
      <w:lvlText w:val="(%1)"/>
      <w:numFmt w:val="lowerLetter"/>
      <w:start w:val="1"/>
    </w:lvl>
  </w:abstractNum>
  <w:abstractNum w:abstractNumId="469">
    <w:nsid w:val="272A9914"/>
    <w:multiLevelType w:val="hybridMultilevel"/>
    <w:lvl w:ilvl="0">
      <w:lvlJc w:val="left"/>
      <w:lvlText w:val="(%1)"/>
      <w:numFmt w:val="lowerLetter"/>
      <w:start w:val="4"/>
    </w:lvl>
  </w:abstractNum>
  <w:abstractNum w:abstractNumId="470">
    <w:nsid w:val="52A4773B"/>
    <w:multiLevelType w:val="hybridMultilevel"/>
    <w:lvl w:ilvl="0">
      <w:lvlJc w:val="left"/>
      <w:lvlText w:val="(%1)"/>
      <w:numFmt w:val="lowerLetter"/>
      <w:start w:val="1"/>
    </w:lvl>
  </w:abstractNum>
  <w:abstractNum w:abstractNumId="471">
    <w:nsid w:val="13BAE843"/>
    <w:multiLevelType w:val="hybridMultilevel"/>
    <w:lvl w:ilvl="0">
      <w:lvlJc w:val="left"/>
      <w:lvlText w:val="(%1)"/>
      <w:numFmt w:val="lowerLetter"/>
      <w:start w:val="1"/>
    </w:lvl>
  </w:abstractNum>
  <w:abstractNum w:abstractNumId="472">
    <w:nsid w:val="B895EBF"/>
    <w:multiLevelType w:val="hybridMultilevel"/>
    <w:lvl w:ilvl="0">
      <w:lvlJc w:val="left"/>
      <w:lvlText w:val="(%1)"/>
      <w:numFmt w:val="lowerLetter"/>
      <w:start w:val="2"/>
    </w:lvl>
    <w:lvl w:ilvl="1">
      <w:lvlJc w:val="left"/>
      <w:lvlText w:val="(%2)"/>
      <w:numFmt w:val="lowerRoman"/>
      <w:start w:val="1"/>
    </w:lvl>
  </w:abstractNum>
  <w:abstractNum w:abstractNumId="473">
    <w:nsid w:val="646A232A"/>
    <w:multiLevelType w:val="hybridMultilevel"/>
    <w:lvl w:ilvl="0">
      <w:lvlJc w:val="left"/>
      <w:lvlText w:val="(%1)"/>
      <w:numFmt w:val="lowerRoman"/>
      <w:start w:val="5"/>
    </w:lvl>
  </w:abstractNum>
  <w:abstractNum w:abstractNumId="474">
    <w:nsid w:val="6E022D01"/>
    <w:multiLevelType w:val="hybridMultilevel"/>
    <w:lvl w:ilvl="0">
      <w:lvlJc w:val="left"/>
      <w:lvlText w:val="(%1)"/>
      <w:numFmt w:val="lowerLetter"/>
      <w:start w:val="4"/>
    </w:lvl>
  </w:abstractNum>
  <w:abstractNum w:abstractNumId="475">
    <w:nsid w:val="294E0FD0"/>
    <w:multiLevelType w:val="hybridMultilevel"/>
    <w:lvl w:ilvl="0">
      <w:lvlJc w:val="left"/>
      <w:lvlText w:val="(%1)"/>
      <w:numFmt w:val="lowerLetter"/>
      <w:start w:val="1"/>
    </w:lvl>
  </w:abstractNum>
  <w:abstractNum w:abstractNumId="476">
    <w:nsid w:val="30D85A55"/>
    <w:multiLevelType w:val="hybridMultilevel"/>
    <w:lvl w:ilvl="0">
      <w:lvlJc w:val="left"/>
      <w:lvlText w:val="(%1)"/>
      <w:numFmt w:val="lowerLetter"/>
      <w:start w:val="2"/>
    </w:lvl>
  </w:abstractNum>
  <w:abstractNum w:abstractNumId="477">
    <w:nsid w:val="6F0463F1"/>
    <w:multiLevelType w:val="hybridMultilevel"/>
    <w:lvl w:ilvl="0">
      <w:lvlJc w:val="left"/>
      <w:lvlText w:val="(%1)"/>
      <w:numFmt w:val="lowerLetter"/>
      <w:start w:val="1"/>
    </w:lvl>
  </w:abstractNum>
  <w:abstractNum w:abstractNumId="478">
    <w:nsid w:val="1226623C"/>
    <w:multiLevelType w:val="hybridMultilevel"/>
    <w:lvl w:ilvl="0">
      <w:lvlJc w:val="left"/>
      <w:lvlText w:val="(%1)"/>
      <w:numFmt w:val="lowerLetter"/>
      <w:start w:val="3"/>
    </w:lvl>
  </w:abstractNum>
  <w:abstractNum w:abstractNumId="479">
    <w:nsid w:val="6D651B8D"/>
    <w:multiLevelType w:val="hybridMultilevel"/>
    <w:lvl w:ilvl="0">
      <w:lvlJc w:val="left"/>
      <w:lvlText w:val="%1"/>
      <w:numFmt w:val="decimal"/>
      <w:start w:val="1"/>
    </w:lvl>
    <w:lvl w:ilvl="1">
      <w:lvlJc w:val="left"/>
      <w:lvlText w:val="(%2)"/>
      <w:numFmt w:val="lowerLetter"/>
      <w:start w:val="1"/>
    </w:lvl>
  </w:abstractNum>
  <w:abstractNum w:abstractNumId="480">
    <w:nsid w:val="31ED2BAF"/>
    <w:multiLevelType w:val="hybridMultilevel"/>
    <w:lvl w:ilvl="0">
      <w:lvlJc w:val="left"/>
      <w:lvlText w:val="(%1)"/>
      <w:numFmt w:val="decimal"/>
      <w:start w:val="30"/>
    </w:lvl>
    <w:lvl w:ilvl="1">
      <w:lvlJc w:val="left"/>
      <w:lvlText w:val="(%2)"/>
      <w:numFmt w:val="lowerLetter"/>
      <w:start w:val="2"/>
    </w:lvl>
  </w:abstractNum>
  <w:abstractNum w:abstractNumId="481">
    <w:nsid w:val="77633E5E"/>
    <w:multiLevelType w:val="hybridMultilevel"/>
    <w:lvl w:ilvl="0">
      <w:lvlJc w:val="left"/>
      <w:lvlText w:val="(%1)"/>
      <w:numFmt w:val="lowerLetter"/>
      <w:start w:val="4"/>
    </w:lvl>
  </w:abstractNum>
  <w:abstractNum w:abstractNumId="482">
    <w:nsid w:val="7DA042A3"/>
    <w:multiLevelType w:val="hybridMultilevel"/>
    <w:lvl w:ilvl="0">
      <w:lvlJc w:val="left"/>
      <w:lvlText w:val="(%1)"/>
      <w:numFmt w:val="lowerLetter"/>
      <w:start w:val="1"/>
    </w:lvl>
  </w:abstractNum>
  <w:abstractNum w:abstractNumId="483">
    <w:nsid w:val="475553AB"/>
    <w:multiLevelType w:val="hybridMultilevel"/>
    <w:lvl w:ilvl="0">
      <w:lvlJc w:val="left"/>
      <w:lvlText w:val="(%1)"/>
      <w:numFmt w:val="lowerLetter"/>
      <w:start w:val="3"/>
    </w:lvl>
  </w:abstractNum>
  <w:abstractNum w:abstractNumId="484">
    <w:nsid w:val="5AB3EA93"/>
    <w:multiLevelType w:val="hybridMultilevel"/>
    <w:lvl w:ilvl="0">
      <w:lvlJc w:val="left"/>
      <w:lvlText w:val="(%1)"/>
      <w:numFmt w:val="lowerLetter"/>
      <w:start w:val="1"/>
    </w:lvl>
  </w:abstractNum>
  <w:abstractNum w:abstractNumId="485">
    <w:nsid w:val="7417684F"/>
    <w:multiLevelType w:val="hybridMultilevel"/>
    <w:lvl w:ilvl="0">
      <w:lvlJc w:val="left"/>
      <w:lvlText w:val="(%1)"/>
      <w:numFmt w:val="lowerLetter"/>
      <w:start w:val="2"/>
    </w:lvl>
  </w:abstractNum>
  <w:abstractNum w:abstractNumId="486">
    <w:nsid w:val="E9E1415"/>
    <w:multiLevelType w:val="hybridMultilevel"/>
    <w:lvl w:ilvl="0">
      <w:lvlJc w:val="left"/>
      <w:lvlText w:val="(%1)"/>
      <w:numFmt w:val="lowerLetter"/>
      <w:start w:val="1"/>
    </w:lvl>
  </w:abstractNum>
  <w:abstractNum w:abstractNumId="487">
    <w:nsid w:val="1893D"/>
    <w:multiLevelType w:val="hybridMultilevel"/>
    <w:lvl w:ilvl="0">
      <w:lvlJc w:val="left"/>
      <w:lvlText w:val="(%1)"/>
      <w:numFmt w:val="lowerLetter"/>
      <w:start w:val="5"/>
    </w:lvl>
  </w:abstractNum>
  <w:abstractNum w:abstractNumId="488">
    <w:nsid w:val="13D4A2F2"/>
    <w:multiLevelType w:val="hybridMultilevel"/>
    <w:lvl w:ilvl="0">
      <w:lvlJc w:val="left"/>
      <w:lvlText w:val="(%1)"/>
      <w:numFmt w:val="lowerLetter"/>
      <w:start w:val="1"/>
    </w:lvl>
    <w:lvl w:ilvl="1">
      <w:lvlJc w:val="left"/>
      <w:lvlText w:val="(%2)"/>
      <w:numFmt w:val="lowerRoman"/>
      <w:start w:val="1"/>
    </w:lvl>
  </w:abstractNum>
  <w:abstractNum w:abstractNumId="489">
    <w:nsid w:val="2764C907"/>
    <w:multiLevelType w:val="hybridMultilevel"/>
    <w:lvl w:ilvl="0">
      <w:lvlJc w:val="left"/>
      <w:lvlText w:val="%1"/>
      <w:numFmt w:val="lowerLetter"/>
      <w:start w:val="1"/>
    </w:lvl>
    <w:lvl w:ilvl="1">
      <w:lvlJc w:val="left"/>
      <w:lvlText w:val="(%2)"/>
      <w:numFmt w:val="lowerLetter"/>
      <w:start w:val="61"/>
    </w:lvl>
  </w:abstractNum>
  <w:abstractNum w:abstractNumId="490">
    <w:nsid w:val="40D3692"/>
    <w:multiLevelType w:val="hybridMultilevel"/>
    <w:lvl w:ilvl="0">
      <w:lvlJc w:val="left"/>
      <w:lvlText w:val="(%1)"/>
      <w:numFmt w:val="lowerLetter"/>
      <w:start w:val="3"/>
    </w:lvl>
    <w:lvl w:ilvl="1">
      <w:lvlJc w:val="left"/>
      <w:lvlText w:val="%2"/>
      <w:numFmt w:val="lowerLetter"/>
      <w:start w:val="1"/>
    </w:lvl>
  </w:abstractNum>
  <w:abstractNum w:abstractNumId="491">
    <w:nsid w:val="222FC865"/>
    <w:multiLevelType w:val="hybridMultilevel"/>
    <w:lvl w:ilvl="0">
      <w:lvlJc w:val="left"/>
      <w:lvlText w:val="(%1)"/>
      <w:numFmt w:val="lowerLetter"/>
      <w:start w:val="6"/>
    </w:lvl>
  </w:abstractNum>
  <w:abstractNum w:abstractNumId="492">
    <w:nsid w:val="47C27FA"/>
    <w:multiLevelType w:val="hybridMultilevel"/>
    <w:lvl w:ilvl="0">
      <w:lvlJc w:val="left"/>
      <w:lvlText w:val="(%1)"/>
      <w:numFmt w:val="lowerLetter"/>
      <w:start w:val="1"/>
    </w:lvl>
  </w:abstractNum>
  <w:abstractNum w:abstractNumId="493">
    <w:nsid w:val="52E2D7C9"/>
    <w:multiLevelType w:val="hybridMultilevel"/>
    <w:lvl w:ilvl="0">
      <w:lvlJc w:val="left"/>
      <w:lvlText w:val="(%1)"/>
      <w:numFmt w:val="lowerLetter"/>
      <w:start w:val="3"/>
    </w:lvl>
  </w:abstractNum>
  <w:abstractNum w:abstractNumId="494">
    <w:nsid w:val="3D4B955A"/>
    <w:multiLevelType w:val="hybridMultilevel"/>
    <w:lvl w:ilvl="0">
      <w:lvlJc w:val="left"/>
      <w:lvlText w:val="(%1)"/>
      <w:numFmt w:val="lowerLetter"/>
      <w:start w:val="1"/>
    </w:lvl>
  </w:abstractNum>
  <w:abstractNum w:abstractNumId="495">
    <w:nsid w:val="5B4A22B5"/>
    <w:multiLevelType w:val="hybridMultilevel"/>
    <w:lvl w:ilvl="0">
      <w:lvlJc w:val="left"/>
      <w:lvlText w:val="(%1)"/>
      <w:numFmt w:val="lowerLetter"/>
      <w:start w:val="1"/>
    </w:lvl>
  </w:abstractNum>
  <w:abstractNum w:abstractNumId="496">
    <w:nsid w:val="4B294578"/>
    <w:multiLevelType w:val="hybridMultilevel"/>
    <w:lvl w:ilvl="0">
      <w:lvlJc w:val="left"/>
      <w:lvlText w:val="(%1)"/>
      <w:numFmt w:val="lowerLetter"/>
      <w:start w:val="5"/>
    </w:lvl>
  </w:abstractNum>
  <w:abstractNum w:abstractNumId="497">
    <w:nsid w:val="22317590"/>
    <w:multiLevelType w:val="hybridMultilevel"/>
    <w:lvl w:ilvl="0">
      <w:lvlJc w:val="left"/>
      <w:lvlText w:val="(%1)"/>
      <w:numFmt w:val="lowerLetter"/>
      <w:start w:val="1"/>
    </w:lvl>
    <w:lvl w:ilvl="1">
      <w:lvlJc w:val="left"/>
      <w:lvlText w:val="(%2)"/>
      <w:numFmt w:val="lowerRoman"/>
      <w:start w:val="1"/>
    </w:lvl>
  </w:abstractNum>
  <w:abstractNum w:abstractNumId="498">
    <w:nsid w:val="37A58EEF"/>
    <w:multiLevelType w:val="hybridMultilevel"/>
    <w:lvl w:ilvl="0">
      <w:lvlJc w:val="left"/>
      <w:lvlText w:val="(%1)"/>
      <w:numFmt w:val="lowerLetter"/>
      <w:start w:val="3"/>
    </w:lvl>
  </w:abstractNum>
  <w:abstractNum w:abstractNumId="499">
    <w:nsid w:val="283290FD"/>
    <w:multiLevelType w:val="hybridMultilevel"/>
    <w:lvl w:ilvl="0">
      <w:lvlJc w:val="left"/>
      <w:lvlText w:val="(%1)"/>
      <w:numFmt w:val="lowerLetter"/>
      <w:start w:val="1"/>
    </w:lvl>
  </w:abstractNum>
  <w:abstractNum w:abstractNumId="500">
    <w:nsid w:val="495C0EA5"/>
    <w:multiLevelType w:val="hybridMultilevel"/>
    <w:lvl w:ilvl="0">
      <w:lvlJc w:val="left"/>
      <w:lvlText w:val="(%1)"/>
      <w:numFmt w:val="lowerLetter"/>
      <w:start w:val="2"/>
    </w:lvl>
  </w:abstractNum>
  <w:abstractNum w:abstractNumId="501">
    <w:nsid w:val="A4A062B"/>
    <w:multiLevelType w:val="hybridMultilevel"/>
    <w:lvl w:ilvl="0">
      <w:lvlJc w:val="left"/>
      <w:lvlText w:val="(%1)"/>
      <w:numFmt w:val="lowerLetter"/>
      <w:start w:val="1"/>
    </w:lvl>
  </w:abstractNum>
  <w:abstractNum w:abstractNumId="502">
    <w:nsid w:val="3BED7940"/>
    <w:multiLevelType w:val="hybridMultilevel"/>
    <w:lvl w:ilvl="0">
      <w:lvlJc w:val="left"/>
      <w:lvlText w:val="(%1)"/>
      <w:numFmt w:val="lowerLetter"/>
      <w:start w:val="1"/>
    </w:lvl>
  </w:abstractNum>
  <w:abstractNum w:abstractNumId="503">
    <w:nsid w:val="54E56D64"/>
    <w:multiLevelType w:val="hybridMultilevel"/>
    <w:lvl w:ilvl="0">
      <w:lvlJc w:val="left"/>
      <w:lvlText w:val="(%1)"/>
      <w:numFmt w:val="lowerLetter"/>
      <w:start w:val="1"/>
    </w:lvl>
  </w:abstractNum>
  <w:abstractNum w:abstractNumId="504">
    <w:nsid w:val="6EB42955"/>
    <w:multiLevelType w:val="hybridMultilevel"/>
    <w:lvl w:ilvl="0">
      <w:lvlJc w:val="left"/>
      <w:lvlText w:val="(%1)"/>
      <w:numFmt w:val="lowerLetter"/>
      <w:start w:val="2"/>
    </w:lvl>
  </w:abstractNum>
  <w:abstractNum w:abstractNumId="505">
    <w:nsid w:val="29EFA642"/>
    <w:multiLevelType w:val="hybridMultilevel"/>
    <w:lvl w:ilvl="0">
      <w:lvlJc w:val="left"/>
      <w:lvlText w:val="(%1)"/>
      <w:numFmt w:val="lowerLetter"/>
      <w:start w:val="4"/>
    </w:lvl>
  </w:abstractNum>
  <w:abstractNum w:abstractNumId="506">
    <w:nsid w:val="7E337D35"/>
    <w:multiLevelType w:val="hybridMultilevel"/>
    <w:lvl w:ilvl="0">
      <w:lvlJc w:val="left"/>
      <w:lvlText w:val="(%1)"/>
      <w:numFmt w:val="lowerLetter"/>
      <w:start w:val="1"/>
    </w:lvl>
  </w:abstractNum>
  <w:abstractNum w:abstractNumId="507">
    <w:nsid w:val="1F8C83AB"/>
    <w:multiLevelType w:val="hybridMultilevel"/>
    <w:lvl w:ilvl="0">
      <w:lvlJc w:val="left"/>
      <w:lvlText w:val="(%1)"/>
      <w:numFmt w:val="lowerLetter"/>
      <w:start w:val="1"/>
    </w:lvl>
    <w:lvl w:ilvl="1">
      <w:lvlJc w:val="left"/>
      <w:lvlText w:val="(%2)"/>
      <w:numFmt w:val="lowerRoman"/>
      <w:start w:val="1"/>
    </w:lvl>
  </w:abstractNum>
  <w:abstractNum w:abstractNumId="508">
    <w:nsid w:val="18F40A33"/>
    <w:multiLevelType w:val="hybridMultilevel"/>
    <w:lvl w:ilvl="0">
      <w:lvlJc w:val="left"/>
      <w:lvlText w:val="%1"/>
      <w:numFmt w:val="lowerLetter"/>
      <w:start w:val="1"/>
    </w:lvl>
    <w:lvl w:ilvl="1">
      <w:lvlJc w:val="left"/>
      <w:lvlText w:val="(%2)"/>
      <w:numFmt w:val="lowerLetter"/>
      <w:start w:val="1"/>
    </w:lvl>
  </w:abstractNum>
  <w:abstractNum w:abstractNumId="509">
    <w:nsid w:val="1059DF71"/>
    <w:multiLevelType w:val="hybridMultilevel"/>
    <w:lvl w:ilvl="0">
      <w:lvlJc w:val="left"/>
      <w:lvlText w:val="(%1)"/>
      <w:numFmt w:val="lowerLetter"/>
      <w:start w:val="61"/>
    </w:lvl>
    <w:lvl w:ilvl="1">
      <w:lvlJc w:val="left"/>
      <w:lvlText w:val="(%2)"/>
      <w:numFmt w:val="lowerLetter"/>
      <w:start w:val="3"/>
    </w:lvl>
  </w:abstractNum>
  <w:abstractNum w:abstractNumId="510">
    <w:nsid w:val="CF19F38"/>
    <w:multiLevelType w:val="hybridMultilevel"/>
    <w:lvl w:ilvl="0">
      <w:lvlJc w:val="left"/>
      <w:lvlText w:val="(%1)"/>
      <w:numFmt w:val="lowerLetter"/>
      <w:start w:val="1"/>
    </w:lvl>
  </w:abstractNum>
  <w:abstractNum w:abstractNumId="511">
    <w:nsid w:val="4AE135E2"/>
    <w:multiLevelType w:val="hybridMultilevel"/>
    <w:lvl w:ilvl="0">
      <w:lvlJc w:val="left"/>
      <w:lvlText w:val="(%1)"/>
      <w:numFmt w:val="decimal"/>
      <w:start w:val="2"/>
    </w:lvl>
  </w:abstractNum>
  <w:abstractNum w:abstractNumId="512">
    <w:nsid w:val="7BD1DCF"/>
    <w:multiLevelType w:val="hybridMultilevel"/>
    <w:lvl w:ilvl="0">
      <w:lvlJc w:val="left"/>
      <w:lvlText w:val="%1."/>
      <w:numFmt w:val="decimal"/>
      <w:start w:val="1"/>
    </w:lvl>
  </w:abstractNum>
  <w:abstractNum w:abstractNumId="513">
    <w:nsid w:val="A91E1DC"/>
    <w:multiLevelType w:val="hybridMultilevel"/>
    <w:lvl w:ilvl="0">
      <w:lvlJc w:val="left"/>
      <w:lvlText w:val="%1"/>
      <w:numFmt w:val="decimal"/>
      <w:start w:val="107"/>
    </w:lvl>
  </w:abstractNum>
  <w:abstractNum w:abstractNumId="514">
    <w:nsid w:val="1236898D"/>
    <w:multiLevelType w:val="hybridMultilevel"/>
    <w:lvl w:ilvl="0">
      <w:lvlJc w:val="left"/>
      <w:lvlText w:val="+"/>
      <w:numFmt w:val="bullet"/>
      <w:start w:val="1"/>
    </w:lvl>
  </w:abstractNum>
  <w:abstractNum w:abstractNumId="515">
    <w:nsid w:val="62710862"/>
    <w:multiLevelType w:val="hybridMultilevel"/>
    <w:lvl w:ilvl="0">
      <w:lvlJc w:val="left"/>
      <w:lvlText w:val="*"/>
      <w:numFmt w:val="bullet"/>
      <w:start w:val="1"/>
    </w:lvl>
  </w:abstractNum>
  <w:abstractNum w:abstractNumId="516">
    <w:nsid w:val="7EA94A2B"/>
    <w:multiLevelType w:val="hybridMultilevel"/>
    <w:lvl w:ilvl="0">
      <w:lvlJc w:val="left"/>
      <w:lvlText w:val="†"/>
      <w:numFmt w:val="bullet"/>
      <w:start w:val="1"/>
    </w:lvl>
  </w:abstractNum>
  <w:abstractNum w:abstractNumId="517">
    <w:nsid w:val="20D49DA3"/>
    <w:multiLevelType w:val="hybridMultilevel"/>
    <w:lvl w:ilvl="0">
      <w:lvlJc w:val="left"/>
      <w:lvlText w:val="(%1)"/>
      <w:numFmt w:val="decimal"/>
      <w:start w:val="1"/>
    </w:lvl>
  </w:abstractNum>
  <w:abstractNum w:abstractNumId="518">
    <w:nsid w:val="6272919F"/>
    <w:multiLevelType w:val="hybridMultilevel"/>
    <w:lvl w:ilvl="0">
      <w:lvlJc w:val="left"/>
      <w:lvlText w:val="(%1)"/>
      <w:numFmt w:val="lowerRoman"/>
      <w:start w:val="1"/>
    </w:lvl>
  </w:abstractNum>
  <w:abstractNum w:abstractNumId="519">
    <w:nsid w:val="127DED1D"/>
    <w:multiLevelType w:val="hybridMultilevel"/>
    <w:lvl w:ilvl="0">
      <w:lvlJc w:val="left"/>
      <w:lvlText w:val="(%1)"/>
      <w:numFmt w:val="lowerLetter"/>
      <w:start w:val="1"/>
    </w:lvl>
  </w:abstractNum>
  <w:abstractNum w:abstractNumId="520">
    <w:nsid w:val="483966AA"/>
    <w:multiLevelType w:val="hybridMultilevel"/>
    <w:lvl w:ilvl="0">
      <w:lvlJc w:val="left"/>
      <w:lvlText w:val="(%1)"/>
      <w:numFmt w:val="lowerLetter"/>
      <w:start w:val="1"/>
    </w:lvl>
  </w:abstractNum>
  <w:abstractNum w:abstractNumId="521">
    <w:nsid w:val="667FC831"/>
    <w:multiLevelType w:val="hybridMultilevel"/>
    <w:lvl w:ilvl="0">
      <w:lvlJc w:val="left"/>
      <w:lvlText w:val="(%1)"/>
      <w:numFmt w:val="lowerRoman"/>
      <w:start w:val="2"/>
    </w:lvl>
  </w:abstractNum>
  <w:abstractNum w:abstractNumId="522">
    <w:nsid w:val="34ADB582"/>
    <w:multiLevelType w:val="hybridMultilevel"/>
    <w:lvl w:ilvl="0">
      <w:lvlJc w:val="left"/>
      <w:lvlText w:val="(%1)"/>
      <w:numFmt w:val="lowerRoman"/>
      <w:start w:val="2"/>
    </w:lvl>
  </w:abstractNum>
  <w:abstractNum w:abstractNumId="523">
    <w:nsid w:val="4CB58EA4"/>
    <w:multiLevelType w:val="hybridMultilevel"/>
    <w:lvl w:ilvl="0">
      <w:lvlJc w:val="left"/>
      <w:lvlText w:val="(%1)"/>
      <w:numFmt w:val="lowerLetter"/>
      <w:start w:val="1"/>
    </w:lvl>
  </w:abstractNum>
  <w:abstractNum w:abstractNumId="524">
    <w:nsid w:val="39629FFA"/>
    <w:multiLevelType w:val="hybridMultilevel"/>
    <w:lvl w:ilvl="0">
      <w:lvlJc w:val="left"/>
      <w:lvlText w:val="(%1)"/>
      <w:numFmt w:val="decimal"/>
      <w:start w:val="90"/>
    </w:lvl>
  </w:abstractNum>
  <w:abstractNum w:abstractNumId="525">
    <w:nsid w:val="71F94ADC"/>
    <w:multiLevelType w:val="hybridMultilevel"/>
    <w:lvl w:ilvl="0">
      <w:lvlJc w:val="left"/>
      <w:lvlText w:val="(%1)"/>
      <w:numFmt w:val="lowerLetter"/>
      <w:start w:val="1"/>
    </w:lvl>
  </w:abstractNum>
  <w:abstractNum w:abstractNumId="526">
    <w:nsid w:val="27FFB15A"/>
    <w:multiLevelType w:val="hybridMultilevel"/>
    <w:lvl w:ilvl="0">
      <w:lvlJc w:val="left"/>
      <w:lvlText w:val="%1"/>
      <w:numFmt w:val="lowerLetter"/>
      <w:start w:val="1"/>
    </w:lvl>
    <w:lvl w:ilvl="1">
      <w:lvlJc w:val="left"/>
      <w:lvlText w:val="(%2)"/>
      <w:numFmt w:val="lowerLetter"/>
      <w:start w:val="3"/>
    </w:lvl>
  </w:abstractNum>
  <w:abstractNum w:abstractNumId="527">
    <w:nsid w:val="48BE573"/>
    <w:multiLevelType w:val="hybridMultilevel"/>
    <w:lvl w:ilvl="0">
      <w:lvlJc w:val="left"/>
      <w:lvlText w:val="(%1)"/>
      <w:numFmt w:val="lowerLetter"/>
      <w:start w:val="2"/>
    </w:lvl>
    <w:lvl w:ilvl="1">
      <w:lvlJc w:val="left"/>
      <w:lvlText w:val="(%2)"/>
      <w:numFmt w:val="lowerLetter"/>
      <w:start w:val="5"/>
    </w:lvl>
  </w:abstractNum>
  <w:abstractNum w:abstractNumId="528">
    <w:nsid w:val="142AC06C"/>
    <w:multiLevelType w:val="hybridMultilevel"/>
    <w:lvl w:ilvl="0">
      <w:lvlJc w:val="left"/>
      <w:lvlText w:val="(%1)"/>
      <w:numFmt w:val="lowerLetter"/>
      <w:start w:val="1"/>
    </w:lvl>
  </w:abstractNum>
  <w:abstractNum w:abstractNumId="529">
    <w:nsid w:val="5FA54049"/>
    <w:multiLevelType w:val="hybridMultilevel"/>
    <w:lvl w:ilvl="0">
      <w:lvlJc w:val="left"/>
      <w:lvlText w:val="%1"/>
      <w:numFmt w:val="lowerLetter"/>
      <w:start w:val="1"/>
    </w:lvl>
    <w:lvl w:ilvl="1">
      <w:lvlJc w:val="left"/>
      <w:lvlText w:val="(%2)"/>
      <w:numFmt w:val="lowerLetter"/>
      <w:start w:val="3"/>
    </w:lvl>
  </w:abstractNum>
  <w:abstractNum w:abstractNumId="530">
    <w:nsid w:val="2CBE7670"/>
    <w:multiLevelType w:val="hybridMultilevel"/>
    <w:lvl w:ilvl="0">
      <w:lvlJc w:val="left"/>
      <w:lvlText w:val="(%1)"/>
      <w:numFmt w:val="lowerLetter"/>
      <w:start w:val="35"/>
    </w:lvl>
    <w:lvl w:ilvl="1">
      <w:lvlJc w:val="left"/>
      <w:lvlText w:val="(%2)"/>
      <w:numFmt w:val="lowerLetter"/>
      <w:start w:val="5"/>
    </w:lvl>
  </w:abstractNum>
  <w:abstractNum w:abstractNumId="531">
    <w:nsid w:val="5D86CF11"/>
    <w:multiLevelType w:val="hybridMultilevel"/>
    <w:lvl w:ilvl="0">
      <w:lvlJc w:val="left"/>
      <w:lvlText w:val="(%1)"/>
      <w:numFmt w:val="lowerLetter"/>
      <w:start w:val="61"/>
    </w:lvl>
    <w:lvl w:ilvl="1">
      <w:lvlJc w:val="left"/>
      <w:lvlText w:val="(%2)"/>
      <w:numFmt w:val="lowerLetter"/>
      <w:start w:val="7"/>
    </w:lvl>
  </w:abstractNum>
  <w:abstractNum w:abstractNumId="532">
    <w:nsid w:val="69EF4674"/>
    <w:multiLevelType w:val="hybridMultilevel"/>
    <w:lvl w:ilvl="0">
      <w:lvlJc w:val="left"/>
      <w:lvlText w:val="%1"/>
      <w:numFmt w:val="lowerLetter"/>
      <w:start w:val="1"/>
    </w:lvl>
    <w:lvl w:ilvl="1">
      <w:lvlJc w:val="left"/>
      <w:lvlText w:val="(%2)"/>
      <w:numFmt w:val="lowerLetter"/>
      <w:start w:val="1"/>
    </w:lvl>
  </w:abstractNum>
  <w:abstractNum w:abstractNumId="533">
    <w:nsid w:val="68ABEFB0"/>
    <w:multiLevelType w:val="hybridMultilevel"/>
    <w:lvl w:ilvl="0">
      <w:lvlJc w:val="left"/>
      <w:lvlText w:val="(%1)"/>
      <w:numFmt w:val="lowerLetter"/>
      <w:start w:val="9"/>
    </w:lvl>
    <w:lvl w:ilvl="1">
      <w:lvlJc w:val="left"/>
      <w:lvlText w:val="%2"/>
      <w:numFmt w:val="lowerLetter"/>
      <w:start w:val="1"/>
    </w:lvl>
  </w:abstractNum>
  <w:abstractNum w:abstractNumId="534">
    <w:nsid w:val="326C3C76"/>
    <w:multiLevelType w:val="hybridMultilevel"/>
    <w:lvl w:ilvl="0">
      <w:lvlJc w:val="left"/>
      <w:lvlText w:val="(%1)"/>
      <w:numFmt w:val="lowerLetter"/>
      <w:start w:val="1"/>
    </w:lvl>
    <w:lvl w:ilvl="1">
      <w:lvlJc w:val="left"/>
      <w:lvlText w:val="(%2)"/>
      <w:numFmt w:val="lowerRoman"/>
      <w:start w:val="1"/>
    </w:lvl>
  </w:abstractNum>
  <w:abstractNum w:abstractNumId="535">
    <w:nsid w:val="58A36FCA"/>
    <w:multiLevelType w:val="hybridMultilevel"/>
    <w:lvl w:ilvl="0">
      <w:lvlJc w:val="left"/>
      <w:lvlText w:val="(%1)"/>
      <w:numFmt w:val="lowerLetter"/>
      <w:start w:val="1"/>
    </w:lvl>
  </w:abstractNum>
  <w:abstractNum w:abstractNumId="536">
    <w:nsid w:val="129B95F2"/>
    <w:multiLevelType w:val="hybridMultilevel"/>
    <w:lvl w:ilvl="0">
      <w:lvlJc w:val="left"/>
      <w:lvlText w:val="(%1)"/>
      <w:numFmt w:val="lowerLetter"/>
      <w:start w:val="1"/>
    </w:lvl>
  </w:abstractNum>
  <w:abstractNum w:abstractNumId="537">
    <w:nsid w:val="309FB9AB"/>
    <w:multiLevelType w:val="hybridMultilevel"/>
    <w:lvl w:ilvl="0">
      <w:lvlJc w:val="left"/>
      <w:lvlText w:val="(%1)"/>
      <w:numFmt w:val="lowerLetter"/>
      <w:start w:val="1"/>
    </w:lvl>
  </w:abstractNum>
  <w:abstractNum w:abstractNumId="538">
    <w:nsid w:val="782FF375"/>
    <w:multiLevelType w:val="hybridMultilevel"/>
    <w:lvl w:ilvl="0">
      <w:lvlJc w:val="left"/>
      <w:lvlText w:val="%1"/>
      <w:numFmt w:val="lowerLetter"/>
      <w:start w:val="1"/>
    </w:lvl>
    <w:lvl w:ilvl="1">
      <w:lvlJc w:val="left"/>
      <w:lvlText w:val="(%2)"/>
      <w:numFmt w:val="lowerLetter"/>
      <w:start w:val="1"/>
    </w:lvl>
  </w:abstractNum>
  <w:abstractNum w:abstractNumId="539">
    <w:nsid w:val="2B8FA025"/>
    <w:multiLevelType w:val="hybridMultilevel"/>
    <w:lvl w:ilvl="0">
      <w:lvlJc w:val="left"/>
      <w:lvlText w:val="(%1)"/>
      <w:numFmt w:val="lowerLetter"/>
      <w:start w:val="35"/>
    </w:lvl>
    <w:lvl w:ilvl="1">
      <w:lvlJc w:val="left"/>
      <w:lvlText w:val="%2"/>
      <w:numFmt w:val="lowerLetter"/>
      <w:start w:val="1"/>
    </w:lvl>
  </w:abstractNum>
  <w:abstractNum w:abstractNumId="540">
    <w:nsid w:val="40F9991C"/>
    <w:multiLevelType w:val="hybridMultilevel"/>
    <w:lvl w:ilvl="0">
      <w:lvlJc w:val="left"/>
      <w:lvlText w:val="(%1)"/>
      <w:numFmt w:val="decimal"/>
      <w:start w:val="30"/>
    </w:lvl>
  </w:abstractNum>
  <w:abstractNum w:abstractNumId="541">
    <w:nsid w:val="52192AD"/>
    <w:multiLevelType w:val="hybridMultilevel"/>
    <w:lvl w:ilvl="0">
      <w:lvlJc w:val="left"/>
      <w:lvlText w:val="(%1)"/>
      <w:numFmt w:val="lowerLetter"/>
      <w:start w:val="2"/>
    </w:lvl>
  </w:abstractNum>
  <w:abstractNum w:abstractNumId="542">
    <w:nsid w:val="7670D608"/>
    <w:multiLevelType w:val="hybridMultilevel"/>
    <w:lvl w:ilvl="0">
      <w:lvlJc w:val="left"/>
      <w:lvlText w:val="(%1)"/>
      <w:numFmt w:val="lowerLetter"/>
      <w:start w:val="1"/>
    </w:lvl>
  </w:abstractNum>
  <w:abstractNum w:abstractNumId="543">
    <w:nsid w:val="48B6B6EB"/>
    <w:multiLevelType w:val="hybridMultilevel"/>
    <w:lvl w:ilvl="0">
      <w:lvlJc w:val="left"/>
      <w:lvlText w:val="(%1)"/>
      <w:numFmt w:val="lowerLetter"/>
      <w:start w:val="1"/>
    </w:lvl>
  </w:abstractNum>
  <w:abstractNum w:abstractNumId="544">
    <w:nsid w:val="FB37489"/>
    <w:multiLevelType w:val="hybridMultilevel"/>
    <w:lvl w:ilvl="0">
      <w:lvlJc w:val="left"/>
      <w:lvlText w:val="(%1)"/>
      <w:numFmt w:val="lowerLetter"/>
      <w:start w:val="3"/>
    </w:lvl>
  </w:abstractNum>
  <w:abstractNum w:abstractNumId="545">
    <w:nsid w:val="8A75F95"/>
    <w:multiLevelType w:val="hybridMultilevel"/>
    <w:lvl w:ilvl="0">
      <w:lvlJc w:val="left"/>
      <w:lvlText w:val="%1"/>
      <w:numFmt w:val="lowerLetter"/>
      <w:start w:val="1"/>
    </w:lvl>
    <w:lvl w:ilvl="1">
      <w:lvlJc w:val="left"/>
      <w:lvlText w:val="(%2)"/>
      <w:numFmt w:val="lowerLetter"/>
      <w:start w:val="1"/>
    </w:lvl>
  </w:abstractNum>
  <w:abstractNum w:abstractNumId="546">
    <w:nsid w:val="2B27BF4D"/>
    <w:multiLevelType w:val="hybridMultilevel"/>
    <w:lvl w:ilvl="0">
      <w:lvlJc w:val="left"/>
      <w:lvlText w:val="(%1)"/>
      <w:numFmt w:val="lowerLetter"/>
      <w:start w:val="24"/>
    </w:lvl>
    <w:lvl w:ilvl="1">
      <w:lvlJc w:val="left"/>
      <w:lvlText w:val="(%2)"/>
      <w:numFmt w:val="lowerLetter"/>
      <w:start w:val="2"/>
    </w:lvl>
  </w:abstractNum>
  <w:abstractNum w:abstractNumId="547">
    <w:nsid w:val="E5CBEB4"/>
    <w:multiLevelType w:val="hybridMultilevel"/>
    <w:lvl w:ilvl="0">
      <w:lvlJc w:val="left"/>
      <w:lvlText w:val="(%1)"/>
      <w:numFmt w:val="lowerLetter"/>
      <w:start w:val="1"/>
    </w:lvl>
  </w:abstractNum>
  <w:abstractNum w:abstractNumId="548">
    <w:nsid w:val="297BFD38"/>
    <w:multiLevelType w:val="hybridMultilevel"/>
    <w:lvl w:ilvl="0">
      <w:lvlJc w:val="left"/>
      <w:lvlText w:val="%1"/>
      <w:numFmt w:val="lowerLetter"/>
      <w:start w:val="1"/>
    </w:lvl>
    <w:lvl w:ilvl="1">
      <w:lvlJc w:val="left"/>
      <w:lvlText w:val="(%2)"/>
      <w:numFmt w:val="lowerLetter"/>
      <w:start w:val="1"/>
    </w:lvl>
  </w:abstractNum>
  <w:abstractNum w:abstractNumId="549">
    <w:nsid w:val="D9A50ED"/>
    <w:multiLevelType w:val="hybridMultilevel"/>
    <w:lvl w:ilvl="0">
      <w:lvlJc w:val="left"/>
      <w:lvlText w:val="(%1)"/>
      <w:numFmt w:val="lowerLetter"/>
      <w:start w:val="9"/>
    </w:lvl>
    <w:lvl w:ilvl="1">
      <w:lvlJc w:val="left"/>
      <w:lvlText w:val="%2"/>
      <w:numFmt w:val="lowerLetter"/>
      <w:start w:val="1"/>
    </w:lvl>
  </w:abstractNum>
  <w:abstractNum w:abstractNumId="550">
    <w:nsid w:val="20DAABD1"/>
    <w:multiLevelType w:val="hybridMultilevel"/>
    <w:lvl w:ilvl="0">
      <w:lvlJc w:val="left"/>
      <w:lvlText w:val="(%1)"/>
      <w:numFmt w:val="lowerLetter"/>
      <w:start w:val="1"/>
    </w:lvl>
  </w:abstractNum>
  <w:abstractNum w:abstractNumId="551">
    <w:nsid w:val="71B563E3"/>
    <w:multiLevelType w:val="hybridMultilevel"/>
    <w:lvl w:ilvl="0">
      <w:lvlJc w:val="left"/>
      <w:lvlText w:val="(%1)"/>
      <w:numFmt w:val="lowerLetter"/>
      <w:start w:val="1"/>
    </w:lvl>
  </w:abstractNum>
  <w:abstractNum w:abstractNumId="552">
    <w:nsid w:val="741A191E"/>
    <w:multiLevelType w:val="hybridMultilevel"/>
    <w:lvl w:ilvl="0">
      <w:lvlJc w:val="left"/>
      <w:lvlText w:val="(%1)"/>
      <w:numFmt w:val="decimal"/>
      <w:start w:val="30"/>
    </w:lvl>
    <w:lvl w:ilvl="1">
      <w:lvlJc w:val="left"/>
      <w:lvlText w:val="(%2)"/>
      <w:numFmt w:val="lowerLetter"/>
      <w:start w:val="2"/>
    </w:lvl>
  </w:abstractNum>
  <w:abstractNum w:abstractNumId="553">
    <w:nsid w:val="55886153"/>
    <w:multiLevelType w:val="hybridMultilevel"/>
    <w:lvl w:ilvl="0">
      <w:lvlJc w:val="left"/>
      <w:lvlText w:val="(%1)"/>
      <w:numFmt w:val="lowerLetter"/>
      <w:start w:val="1"/>
    </w:lvl>
    <w:lvl w:ilvl="1">
      <w:lvlJc w:val="left"/>
      <w:lvlText w:val="(%2)"/>
      <w:numFmt w:val="lowerLetter"/>
      <w:start w:val="9"/>
    </w:lvl>
  </w:abstractNum>
  <w:abstractNum w:abstractNumId="554">
    <w:nsid w:val="3E6AF287"/>
    <w:multiLevelType w:val="hybridMultilevel"/>
    <w:lvl w:ilvl="0">
      <w:lvlJc w:val="left"/>
      <w:lvlText w:val="%1"/>
      <w:numFmt w:val="lowerLetter"/>
      <w:start w:val="1"/>
    </w:lvl>
    <w:lvl w:ilvl="1">
      <w:lvlJc w:val="left"/>
      <w:lvlText w:val="(%2)"/>
      <w:numFmt w:val="lowerRoman"/>
      <w:start w:val="2"/>
    </w:lvl>
  </w:abstractNum>
  <w:abstractNum w:abstractNumId="555">
    <w:nsid w:val="2D7CB919"/>
    <w:multiLevelType w:val="hybridMultilevel"/>
    <w:lvl w:ilvl="0">
      <w:lvlJc w:val="left"/>
      <w:lvlText w:val="(%1)"/>
      <w:numFmt w:val="lowerLetter"/>
      <w:start w:val="2"/>
    </w:lvl>
    <w:lvl w:ilvl="1">
      <w:lvlJc w:val="left"/>
      <w:lvlText w:val="(%2)"/>
      <w:numFmt w:val="lowerRoman"/>
      <w:start w:val="1"/>
    </w:lvl>
  </w:abstractNum>
  <w:abstractNum w:abstractNumId="556">
    <w:nsid w:val="4781AC2F"/>
    <w:multiLevelType w:val="hybridMultilevel"/>
    <w:lvl w:ilvl="0">
      <w:lvlJc w:val="left"/>
      <w:lvlText w:val="(%1)"/>
      <w:numFmt w:val="lowerRoman"/>
      <w:start w:val="2"/>
    </w:lvl>
  </w:abstractNum>
  <w:abstractNum w:abstractNumId="557">
    <w:nsid w:val="666AA3E1"/>
    <w:multiLevelType w:val="hybridMultilevel"/>
    <w:lvl w:ilvl="0">
      <w:lvlJc w:val="left"/>
      <w:lvlText w:val="(%1)"/>
      <w:numFmt w:val="lowerLetter"/>
      <w:start w:val="3"/>
    </w:lvl>
  </w:abstractNum>
  <w:abstractNum w:abstractNumId="558">
    <w:nsid w:val="32089E8C"/>
    <w:multiLevelType w:val="hybridMultilevel"/>
    <w:lvl w:ilvl="0">
      <w:lvlJc w:val="left"/>
      <w:lvlText w:val="(%1)"/>
      <w:numFmt w:val="lowerLetter"/>
      <w:start w:val="1"/>
    </w:lvl>
  </w:abstractNum>
  <w:abstractNum w:abstractNumId="559">
    <w:nsid w:val="5BAC6C9C"/>
    <w:multiLevelType w:val="hybridMultilevel"/>
    <w:lvl w:ilvl="0">
      <w:lvlJc w:val="left"/>
      <w:lvlText w:val="(%1)"/>
      <w:numFmt w:val="lowerLetter"/>
      <w:start w:val="2"/>
    </w:lvl>
  </w:abstractNum>
  <w:abstractNum w:abstractNumId="560">
    <w:nsid w:val="460FE42B"/>
    <w:multiLevelType w:val="hybridMultilevel"/>
    <w:lvl w:ilvl="0">
      <w:lvlJc w:val="left"/>
      <w:lvlText w:val="(%1)"/>
      <w:numFmt w:val="lowerLetter"/>
      <w:start w:val="1"/>
    </w:lvl>
  </w:abstractNum>
  <w:abstractNum w:abstractNumId="561">
    <w:nsid w:val="5EC714FC"/>
    <w:multiLevelType w:val="hybridMultilevel"/>
    <w:lvl w:ilvl="0">
      <w:lvlJc w:val="left"/>
      <w:lvlText w:val="(%1)"/>
      <w:numFmt w:val="lowerLetter"/>
      <w:start w:val="2"/>
    </w:lvl>
  </w:abstractNum>
  <w:abstractNum w:abstractNumId="562">
    <w:nsid w:val="39333BAD"/>
    <w:multiLevelType w:val="hybridMultilevel"/>
    <w:lvl w:ilvl="0">
      <w:lvlJc w:val="left"/>
      <w:lvlText w:val="(%1)"/>
      <w:numFmt w:val="lowerLetter"/>
      <w:start w:val="1"/>
    </w:lvl>
  </w:abstractNum>
  <w:abstractNum w:abstractNumId="563">
    <w:nsid w:val="2FFF2A9F"/>
    <w:multiLevelType w:val="hybridMultilevel"/>
    <w:lvl w:ilvl="0">
      <w:lvlJc w:val="left"/>
      <w:lvlText w:val="(%1)"/>
      <w:numFmt w:val="lowerLetter"/>
      <w:start w:val="4"/>
    </w:lvl>
  </w:abstractNum>
  <w:abstractNum w:abstractNumId="564">
    <w:nsid w:val="477304AC"/>
    <w:multiLevelType w:val="hybridMultilevel"/>
    <w:lvl w:ilvl="0">
      <w:lvlJc w:val="left"/>
      <w:lvlText w:val="(%1)"/>
      <w:numFmt w:val="lowerRoman"/>
      <w:start w:val="1"/>
    </w:lvl>
  </w:abstractNum>
  <w:abstractNum w:abstractNumId="565">
    <w:nsid w:val="6B9F7823"/>
    <w:multiLevelType w:val="hybridMultilevel"/>
    <w:lvl w:ilvl="0">
      <w:lvlJc w:val="left"/>
      <w:lvlText w:val="(%1)"/>
      <w:numFmt w:val="lowerLetter"/>
      <w:start w:val="2"/>
    </w:lvl>
  </w:abstractNum>
  <w:abstractNum w:abstractNumId="566">
    <w:nsid w:val="8A29A69"/>
    <w:multiLevelType w:val="hybridMultilevel"/>
    <w:lvl w:ilvl="0">
      <w:lvlJc w:val="left"/>
      <w:lvlText w:val="(%1)"/>
      <w:numFmt w:val="lowerLetter"/>
      <w:start w:val="1"/>
    </w:lvl>
  </w:abstractNum>
  <w:abstractNum w:abstractNumId="567">
    <w:nsid w:val="5A0E9A9F"/>
    <w:multiLevelType w:val="hybridMultilevel"/>
    <w:lvl w:ilvl="0">
      <w:lvlJc w:val="left"/>
      <w:lvlText w:val="(%1)"/>
      <w:numFmt w:val="lowerLetter"/>
      <w:start w:val="1"/>
    </w:lvl>
  </w:abstractNum>
  <w:abstractNum w:abstractNumId="568">
    <w:nsid w:val="1C3F31CE"/>
    <w:multiLevelType w:val="hybridMultilevel"/>
    <w:lvl w:ilvl="0">
      <w:lvlJc w:val="left"/>
      <w:lvlText w:val="(%1)"/>
      <w:numFmt w:val="lowerLetter"/>
      <w:start w:val="1"/>
    </w:lvl>
  </w:abstractNum>
  <w:abstractNum w:abstractNumId="569">
    <w:nsid w:val="D28DDE"/>
    <w:multiLevelType w:val="hybridMultilevel"/>
    <w:lvl w:ilvl="0">
      <w:lvlJc w:val="left"/>
      <w:lvlText w:val="(%1)"/>
      <w:numFmt w:val="lowerLetter"/>
      <w:start w:val="2"/>
    </w:lvl>
  </w:abstractNum>
  <w:abstractNum w:abstractNumId="570">
    <w:nsid w:val="59E3AC4"/>
    <w:multiLevelType w:val="hybridMultilevel"/>
    <w:lvl w:ilvl="0">
      <w:lvlJc w:val="left"/>
      <w:lvlText w:val="(%1)"/>
      <w:numFmt w:val="decimal"/>
      <w:start w:val="90"/>
    </w:lvl>
  </w:abstractNum>
  <w:abstractNum w:abstractNumId="571">
    <w:nsid w:val="5D38CAEA"/>
    <w:multiLevelType w:val="hybridMultilevel"/>
    <w:lvl w:ilvl="0">
      <w:lvlJc w:val="left"/>
      <w:lvlText w:val="(%1)"/>
      <w:numFmt w:val="lowerLetter"/>
      <w:start w:val="1"/>
    </w:lvl>
    <w:lvl w:ilvl="1">
      <w:lvlJc w:val="left"/>
      <w:lvlText w:val="(%2)"/>
      <w:numFmt w:val="lowerRoman"/>
      <w:start w:val="1"/>
    </w:lvl>
  </w:abstractNum>
  <w:abstractNum w:abstractNumId="572">
    <w:nsid w:val="5F4208C"/>
    <w:multiLevelType w:val="hybridMultilevel"/>
    <w:lvl w:ilvl="0">
      <w:lvlJc w:val="left"/>
      <w:lvlText w:val="(%1)"/>
      <w:numFmt w:val="lowerLetter"/>
      <w:start w:val="2"/>
    </w:lvl>
  </w:abstractNum>
  <w:abstractNum w:abstractNumId="573">
    <w:nsid w:val="7C0F10CC"/>
    <w:multiLevelType w:val="hybridMultilevel"/>
    <w:lvl w:ilvl="0">
      <w:lvlJc w:val="left"/>
      <w:lvlText w:val="(%1)"/>
      <w:numFmt w:val="lowerLetter"/>
      <w:start w:val="4"/>
    </w:lvl>
  </w:abstractNum>
  <w:abstractNum w:abstractNumId="574">
    <w:nsid w:val="25EF81D5"/>
    <w:multiLevelType w:val="hybridMultilevel"/>
    <w:lvl w:ilvl="0">
      <w:lvlJc w:val="left"/>
      <w:lvlText w:val="(%1)"/>
      <w:numFmt w:val="lowerLetter"/>
      <w:start w:val="1"/>
    </w:lvl>
  </w:abstractNum>
  <w:abstractNum w:abstractNumId="575">
    <w:nsid w:val="15A79515"/>
    <w:multiLevelType w:val="hybridMultilevel"/>
    <w:lvl w:ilvl="0">
      <w:lvlJc w:val="left"/>
      <w:lvlText w:val="(%1)"/>
      <w:numFmt w:val="lowerLetter"/>
      <w:start w:val="1"/>
    </w:lvl>
  </w:abstractNum>
  <w:abstractNum w:abstractNumId="576">
    <w:nsid w:val="4B67062"/>
    <w:multiLevelType w:val="hybridMultilevel"/>
    <w:lvl w:ilvl="0">
      <w:lvlJc w:val="left"/>
      <w:lvlText w:val="(%1)"/>
      <w:numFmt w:val="lowerLetter"/>
      <w:start w:val="2"/>
    </w:lvl>
  </w:abstractNum>
  <w:abstractNum w:abstractNumId="577">
    <w:nsid w:val="51174123"/>
    <w:multiLevelType w:val="hybridMultilevel"/>
    <w:lvl w:ilvl="0">
      <w:lvlJc w:val="left"/>
      <w:lvlText w:val="(%1)"/>
      <w:numFmt w:val="lowerRoman"/>
      <w:start w:val="2"/>
    </w:lvl>
  </w:abstractNum>
  <w:abstractNum w:abstractNumId="578">
    <w:nsid w:val="240453CA"/>
    <w:multiLevelType w:val="hybridMultilevel"/>
    <w:lvl w:ilvl="0">
      <w:lvlJc w:val="left"/>
      <w:lvlText w:val="(%1)"/>
      <w:numFmt w:val="decimal"/>
      <w:start w:val="5"/>
    </w:lvl>
  </w:abstractNum>
  <w:abstractNum w:abstractNumId="579">
    <w:nsid w:val="2E326D9A"/>
    <w:multiLevelType w:val="hybridMultilevel"/>
    <w:lvl w:ilvl="0">
      <w:lvlJc w:val="left"/>
      <w:lvlText w:val="(%1)"/>
      <w:numFmt w:val="lowerLetter"/>
      <w:start w:val="1"/>
    </w:lvl>
  </w:abstractNum>
  <w:abstractNum w:abstractNumId="580">
    <w:nsid w:val="5EB19210"/>
    <w:multiLevelType w:val="hybridMultilevel"/>
    <w:lvl w:ilvl="0">
      <w:lvlJc w:val="left"/>
      <w:lvlText w:val="%1"/>
      <w:numFmt w:val="lowerLetter"/>
      <w:start w:val="1"/>
    </w:lvl>
    <w:lvl w:ilvl="1">
      <w:lvlJc w:val="left"/>
      <w:lvlText w:val="(%2)"/>
      <w:numFmt w:val="lowerRoman"/>
      <w:start w:val="1"/>
    </w:lvl>
  </w:abstractNum>
  <w:abstractNum w:abstractNumId="581">
    <w:nsid w:val="44DEFF9B"/>
    <w:multiLevelType w:val="hybridMultilevel"/>
    <w:lvl w:ilvl="0">
      <w:lvlJc w:val="left"/>
      <w:lvlText w:val="(%1)"/>
      <w:numFmt w:val="lowerLetter"/>
      <w:start w:val="2"/>
    </w:lvl>
    <w:lvl w:ilvl="1">
      <w:lvlJc w:val="left"/>
      <w:lvlText w:val="(%2)"/>
      <w:numFmt w:val="lowerRoman"/>
      <w:start w:val="1"/>
    </w:lvl>
  </w:abstractNum>
  <w:abstractNum w:abstractNumId="582">
    <w:nsid w:val="1FE7D17D"/>
    <w:multiLevelType w:val="hybridMultilevel"/>
    <w:lvl w:ilvl="0">
      <w:lvlJc w:val="left"/>
      <w:lvlText w:val="%1"/>
      <w:numFmt w:val="lowerLetter"/>
      <w:start w:val="1"/>
    </w:lvl>
    <w:lvl w:ilvl="1">
      <w:lvlJc w:val="left"/>
      <w:lvlText w:val="(%2)"/>
      <w:numFmt w:val="lowerRoman"/>
      <w:start w:val="4"/>
    </w:lvl>
  </w:abstractNum>
  <w:abstractNum w:abstractNumId="583">
    <w:nsid w:val="52CBAB2E"/>
    <w:multiLevelType w:val="hybridMultilevel"/>
    <w:lvl w:ilvl="0">
      <w:lvlJc w:val="left"/>
      <w:lvlText w:val="(%1)"/>
      <w:numFmt w:val="lowerLetter"/>
      <w:start w:val="3"/>
    </w:lvl>
    <w:lvl w:ilvl="1">
      <w:lvlJc w:val="left"/>
      <w:lvlText w:val="%2"/>
      <w:numFmt w:val="lowerRoman"/>
      <w:start w:val="1"/>
    </w:lvl>
  </w:abstractNum>
  <w:abstractNum w:abstractNumId="584">
    <w:nsid w:val="1A6760EF"/>
    <w:multiLevelType w:val="hybridMultilevel"/>
    <w:lvl w:ilvl="0">
      <w:lvlJc w:val="left"/>
      <w:lvlText w:val="(%1)"/>
      <w:numFmt w:val="lowerLetter"/>
      <w:start w:val="1"/>
    </w:lvl>
  </w:abstractNum>
  <w:abstractNum w:abstractNumId="585">
    <w:nsid w:val="5E52C405"/>
    <w:multiLevelType w:val="hybridMultilevel"/>
    <w:lvl w:ilvl="0">
      <w:lvlJc w:val="left"/>
      <w:lvlText w:val="(%1)"/>
      <w:numFmt w:val="lowerLetter"/>
      <w:start w:val="2"/>
    </w:lvl>
  </w:abstractNum>
  <w:abstractNum w:abstractNumId="586">
    <w:nsid w:val="486447"/>
    <w:multiLevelType w:val="hybridMultilevel"/>
    <w:lvl w:ilvl="0">
      <w:lvlJc w:val="left"/>
      <w:lvlText w:val="(%1)"/>
      <w:numFmt w:val="lowerLetter"/>
      <w:start w:val="1"/>
    </w:lvl>
  </w:abstractNum>
  <w:abstractNum w:abstractNumId="587">
    <w:nsid w:val="61E90D1E"/>
    <w:multiLevelType w:val="hybridMultilevel"/>
    <w:lvl w:ilvl="0">
      <w:lvlJc w:val="left"/>
      <w:lvlText w:val="(%1)"/>
      <w:numFmt w:val="lowerLetter"/>
      <w:start w:val="5"/>
    </w:lvl>
  </w:abstractNum>
  <w:abstractNum w:abstractNumId="588">
    <w:nsid w:val="44BD67E6"/>
    <w:multiLevelType w:val="hybridMultilevel"/>
    <w:lvl w:ilvl="0">
      <w:lvlJc w:val="left"/>
      <w:lvlText w:val="(%1)"/>
      <w:numFmt w:val="lowerLetter"/>
      <w:start w:val="1"/>
    </w:lvl>
  </w:abstractNum>
  <w:abstractNum w:abstractNumId="589">
    <w:nsid w:val="325102D3"/>
    <w:multiLevelType w:val="hybridMultilevel"/>
    <w:lvl w:ilvl="0">
      <w:lvlJc w:val="left"/>
      <w:lvlText w:val="(%1)"/>
      <w:numFmt w:val="lowerLetter"/>
      <w:start w:val="3"/>
    </w:lvl>
  </w:abstractNum>
  <w:abstractNum w:abstractNumId="590">
    <w:nsid w:val="3D9579BA"/>
    <w:multiLevelType w:val="hybridMultilevel"/>
    <w:lvl w:ilvl="0">
      <w:lvlJc w:val="left"/>
      <w:lvlText w:val="(%1)"/>
      <w:numFmt w:val="lowerLetter"/>
      <w:start w:val="5"/>
    </w:lvl>
  </w:abstractNum>
  <w:abstractNum w:abstractNumId="591">
    <w:nsid w:val="ACD4C11"/>
    <w:multiLevelType w:val="hybridMultilevel"/>
    <w:lvl w:ilvl="0">
      <w:lvlJc w:val="left"/>
      <w:lvlText w:val="(%1)"/>
      <w:numFmt w:val="lowerLetter"/>
      <w:start w:val="1"/>
    </w:lvl>
  </w:abstractNum>
  <w:abstractNum w:abstractNumId="592">
    <w:nsid w:val="111817CF"/>
    <w:multiLevelType w:val="hybridMultilevel"/>
    <w:lvl w:ilvl="0">
      <w:lvlJc w:val="left"/>
      <w:lvlText w:val="(%1)"/>
      <w:numFmt w:val="lowerLetter"/>
      <w:start w:val="2"/>
    </w:lvl>
  </w:abstractNum>
  <w:abstractNum w:abstractNumId="593">
    <w:nsid w:val="76C8B568"/>
    <w:multiLevelType w:val="hybridMultilevel"/>
    <w:lvl w:ilvl="0">
      <w:lvlJc w:val="left"/>
      <w:lvlText w:val="(%1)"/>
      <w:numFmt w:val="lowerLetter"/>
      <w:start w:val="1"/>
    </w:lvl>
    <w:lvl w:ilvl="1">
      <w:lvlJc w:val="left"/>
      <w:lvlText w:val="(%2)"/>
      <w:numFmt w:val="lowerRoman"/>
      <w:start w:val="1"/>
    </w:lvl>
  </w:abstractNum>
  <w:abstractNum w:abstractNumId="594">
    <w:nsid w:val="3ACC76B1"/>
    <w:multiLevelType w:val="hybridMultilevel"/>
    <w:lvl w:ilvl="0">
      <w:lvlJc w:val="left"/>
      <w:lvlText w:val="(%1)"/>
      <w:numFmt w:val="lowerLetter"/>
      <w:start w:val="2"/>
    </w:lvl>
  </w:abstractNum>
  <w:abstractNum w:abstractNumId="595">
    <w:nsid w:val="588B1C7C"/>
    <w:multiLevelType w:val="hybridMultilevel"/>
    <w:lvl w:ilvl="0">
      <w:lvlJc w:val="left"/>
      <w:lvlText w:val="(%1)"/>
      <w:numFmt w:val="lowerLetter"/>
      <w:start w:val="6"/>
    </w:lvl>
  </w:abstractNum>
  <w:abstractNum w:abstractNumId="596">
    <w:nsid w:val="62682D8B"/>
    <w:multiLevelType w:val="hybridMultilevel"/>
    <w:lvl w:ilvl="0">
      <w:lvlJc w:val="left"/>
      <w:lvlText w:val="(%1)"/>
      <w:numFmt w:val="lowerLetter"/>
      <w:start w:val="1"/>
    </w:lvl>
  </w:abstractNum>
  <w:abstractNum w:abstractNumId="597">
    <w:nsid w:val="436F111A"/>
    <w:multiLevelType w:val="hybridMultilevel"/>
    <w:lvl w:ilvl="0">
      <w:lvlJc w:val="left"/>
      <w:lvlText w:val="(%1)"/>
      <w:numFmt w:val="lowerLetter"/>
      <w:start w:val="2"/>
    </w:lvl>
  </w:abstractNum>
  <w:abstractNum w:abstractNumId="598">
    <w:nsid w:val="3299B71B"/>
    <w:multiLevelType w:val="hybridMultilevel"/>
    <w:lvl w:ilvl="0">
      <w:lvlJc w:val="left"/>
      <w:lvlText w:val="(%1)"/>
      <w:numFmt w:val="lowerLetter"/>
      <w:start w:val="1"/>
    </w:lvl>
  </w:abstractNum>
  <w:abstractNum w:abstractNumId="599">
    <w:nsid w:val="7EA75F5A"/>
    <w:multiLevelType w:val="hybridMultilevel"/>
    <w:lvl w:ilvl="0">
      <w:lvlJc w:val="left"/>
      <w:lvlText w:val="(%1)"/>
      <w:numFmt w:val="lowerLetter"/>
      <w:start w:val="2"/>
    </w:lvl>
  </w:abstractNum>
  <w:abstractNum w:abstractNumId="600">
    <w:nsid w:val="44419EF9"/>
    <w:multiLevelType w:val="hybridMultilevel"/>
    <w:lvl w:ilvl="0">
      <w:lvlJc w:val="left"/>
      <w:lvlText w:val="(%1)"/>
      <w:numFmt w:val="lowerLetter"/>
      <w:start w:val="1"/>
    </w:lvl>
  </w:abstractNum>
  <w:abstractNum w:abstractNumId="601">
    <w:nsid w:val="3837F1DF"/>
    <w:multiLevelType w:val="hybridMultilevel"/>
    <w:lvl w:ilvl="0">
      <w:lvlJc w:val="left"/>
      <w:lvlText w:val="(%1)"/>
      <w:numFmt w:val="lowerLetter"/>
      <w:start w:val="1"/>
    </w:lvl>
  </w:abstractNum>
  <w:abstractNum w:abstractNumId="602">
    <w:nsid w:val="5BE02A4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03">
    <w:nsid w:val="4A35BF85"/>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9"/>
    </w:lvl>
  </w:abstractNum>
  <w:abstractNum w:abstractNumId="604">
    <w:nsid w:val="344702AC"/>
    <w:multiLevelType w:val="hybridMultilevel"/>
    <w:lvl w:ilvl="0">
      <w:lvlJc w:val="left"/>
      <w:lvlText w:val="(%1)"/>
      <w:numFmt w:val="lowerRoman"/>
      <w:start w:val="2"/>
    </w:lvl>
  </w:abstractNum>
  <w:abstractNum w:abstractNumId="605">
    <w:nsid w:val="1CFAC1A"/>
    <w:multiLevelType w:val="hybridMultilevel"/>
    <w:lvl w:ilvl="0">
      <w:lvlJc w:val="left"/>
      <w:lvlText w:val="(%1)"/>
      <w:numFmt w:val="lowerLetter"/>
      <w:start w:val="1"/>
    </w:lvl>
  </w:abstractNum>
  <w:abstractNum w:abstractNumId="606">
    <w:nsid w:val="5FDD549A"/>
    <w:multiLevelType w:val="hybridMultilevel"/>
    <w:lvl w:ilvl="0">
      <w:lvlJc w:val="left"/>
      <w:lvlText w:val="%1"/>
      <w:numFmt w:val="lowerLetter"/>
      <w:start w:val="1"/>
    </w:lvl>
    <w:lvl w:ilvl="1">
      <w:lvlJc w:val="left"/>
      <w:lvlText w:val="(%2)"/>
      <w:numFmt w:val="lowerLetter"/>
      <w:start w:val="1"/>
    </w:lvl>
  </w:abstractNum>
  <w:abstractNum w:abstractNumId="607">
    <w:nsid w:val="38FD730E"/>
    <w:multiLevelType w:val="hybridMultilevel"/>
    <w:lvl w:ilvl="0">
      <w:lvlJc w:val="left"/>
      <w:lvlText w:val="(%1)"/>
      <w:numFmt w:val="lowerLetter"/>
      <w:start w:val="35"/>
    </w:lvl>
    <w:lvl w:ilvl="1">
      <w:lvlJc w:val="left"/>
      <w:lvlText w:val="(%2)"/>
      <w:numFmt w:val="lowerLetter"/>
      <w:start w:val="2"/>
    </w:lvl>
  </w:abstractNum>
  <w:abstractNum w:abstractNumId="608">
    <w:nsid w:val="52E6ED3D"/>
    <w:multiLevelType w:val="hybridMultilevel"/>
    <w:lvl w:ilvl="0">
      <w:lvlJc w:val="left"/>
      <w:lvlText w:val="(%1)"/>
      <w:numFmt w:val="lowerLetter"/>
      <w:start w:val="1"/>
    </w:lvl>
  </w:abstractNum>
  <w:abstractNum w:abstractNumId="609">
    <w:nsid w:val="3E1A864"/>
    <w:multiLevelType w:val="hybridMultilevel"/>
    <w:lvl w:ilvl="0">
      <w:lvlJc w:val="left"/>
      <w:lvlText w:val="(%1)"/>
      <w:numFmt w:val="lowerLetter"/>
      <w:start w:val="1"/>
    </w:lvl>
  </w:abstractNum>
  <w:abstractNum w:abstractNumId="610">
    <w:nsid w:val="672FE0A8"/>
    <w:multiLevelType w:val="hybridMultilevel"/>
    <w:lvl w:ilvl="0">
      <w:lvlJc w:val="left"/>
      <w:lvlText w:val="(%1)"/>
      <w:numFmt w:val="lowerLetter"/>
      <w:start w:val="5"/>
    </w:lvl>
  </w:abstractNum>
  <w:abstractNum w:abstractNumId="611">
    <w:nsid w:val="31987F4D"/>
    <w:multiLevelType w:val="hybridMultilevel"/>
    <w:lvl w:ilvl="0">
      <w:lvlJc w:val="left"/>
      <w:lvlText w:val="A"/>
      <w:numFmt w:val="bullet"/>
      <w:start w:val="1"/>
    </w:lvl>
  </w:abstractNum>
  <w:abstractNum w:abstractNumId="612">
    <w:nsid w:val="48C0A800"/>
    <w:multiLevelType w:val="hybridMultilevel"/>
    <w:lvl w:ilvl="0">
      <w:lvlJc w:val="left"/>
      <w:lvlText w:val="B"/>
      <w:numFmt w:val="bullet"/>
      <w:start w:val="1"/>
    </w:lvl>
  </w:abstractNum>
  <w:abstractNum w:abstractNumId="613">
    <w:nsid w:val="717B226"/>
    <w:multiLevelType w:val="hybridMultilevel"/>
    <w:lvl w:ilvl="0">
      <w:lvlJc w:val="left"/>
      <w:lvlText w:val="H"/>
      <w:numFmt w:val="bullet"/>
      <w:start w:val="1"/>
    </w:lvl>
  </w:abstractNum>
  <w:abstractNum w:abstractNumId="614">
    <w:nsid w:val="4642A7B"/>
    <w:multiLevelType w:val="hybridMultilevel"/>
    <w:lvl w:ilvl="0">
      <w:lvlJc w:val="left"/>
      <w:lvlText w:val="(%1)"/>
      <w:numFmt w:val="lowerLetter"/>
      <w:start w:val="1"/>
    </w:lvl>
  </w:abstractNum>
  <w:abstractNum w:abstractNumId="615">
    <w:nsid w:val="632808EF"/>
    <w:multiLevelType w:val="hybridMultilevel"/>
    <w:lvl w:ilvl="0">
      <w:lvlJc w:val="left"/>
      <w:lvlText w:val="(%1)"/>
      <w:numFmt w:val="lowerLetter"/>
      <w:start w:val="1"/>
    </w:lvl>
    <w:lvl w:ilvl="1">
      <w:lvlJc w:val="left"/>
      <w:lvlText w:val="(%2)"/>
      <w:numFmt w:val="lowerLetter"/>
      <w:start w:val="9"/>
    </w:lvl>
  </w:abstractNum>
  <w:abstractNum w:abstractNumId="616">
    <w:nsid w:val="656A762B"/>
    <w:multiLevelType w:val="hybridMultilevel"/>
    <w:lvl w:ilvl="0">
      <w:lvlJc w:val="left"/>
      <w:lvlText w:val="%1"/>
      <w:numFmt w:val="lowerLetter"/>
      <w:start w:val="1"/>
    </w:lvl>
    <w:lvl w:ilvl="1">
      <w:lvlJc w:val="left"/>
      <w:lvlText w:val="(%2)"/>
      <w:numFmt w:val="lowerRoman"/>
      <w:start w:val="2"/>
    </w:lvl>
  </w:abstractNum>
  <w:abstractNum w:abstractNumId="617">
    <w:nsid w:val="4AC8EC3"/>
    <w:multiLevelType w:val="hybridMultilevel"/>
    <w:lvl w:ilvl="0">
      <w:lvlJc w:val="left"/>
      <w:lvlText w:val="(%1)"/>
      <w:numFmt w:val="lowerLetter"/>
      <w:start w:val="2"/>
    </w:lvl>
    <w:lvl w:ilvl="1">
      <w:lvlJc w:val="left"/>
      <w:lvlText w:val="(%2)"/>
      <w:numFmt w:val="lowerRoman"/>
      <w:start w:val="1"/>
    </w:lvl>
  </w:abstractNum>
  <w:abstractNum w:abstractNumId="618">
    <w:nsid w:val="4511160D"/>
    <w:multiLevelType w:val="hybridMultilevel"/>
    <w:lvl w:ilvl="0">
      <w:lvlJc w:val="left"/>
      <w:lvlText w:val="(%1)"/>
      <w:numFmt w:val="lowerLetter"/>
      <w:start w:val="2"/>
    </w:lvl>
  </w:abstractNum>
  <w:abstractNum w:abstractNumId="619">
    <w:nsid w:val="2A27DE11"/>
    <w:multiLevelType w:val="hybridMultilevel"/>
    <w:lvl w:ilvl="0">
      <w:lvlJc w:val="left"/>
      <w:lvlText w:val="%1"/>
      <w:numFmt w:val="lowerLetter"/>
      <w:start w:val="1"/>
    </w:lvl>
    <w:lvl w:ilvl="1">
      <w:lvlJc w:val="left"/>
      <w:lvlText w:val="(%2)"/>
      <w:numFmt w:val="lowerLetter"/>
      <w:start w:val="1"/>
    </w:lvl>
  </w:abstractNum>
  <w:abstractNum w:abstractNumId="620">
    <w:nsid w:val="36FD9196"/>
    <w:multiLevelType w:val="hybridMultilevel"/>
    <w:lvl w:ilvl="0">
      <w:lvlJc w:val="left"/>
      <w:lvlText w:val="(%1)"/>
      <w:numFmt w:val="lowerLetter"/>
      <w:start w:val="35"/>
    </w:lvl>
    <w:lvl w:ilvl="1">
      <w:lvlJc w:val="left"/>
      <w:lvlText w:val="(%2)"/>
      <w:numFmt w:val="lowerLetter"/>
      <w:start w:val="3"/>
    </w:lvl>
  </w:abstractNum>
  <w:abstractNum w:abstractNumId="621">
    <w:nsid w:val="2A68FC8"/>
    <w:multiLevelType w:val="hybridMultilevel"/>
    <w:lvl w:ilvl="0">
      <w:lvlJc w:val="left"/>
      <w:lvlText w:val="%1"/>
      <w:numFmt w:val="lowerLetter"/>
      <w:start w:val="1"/>
    </w:lvl>
    <w:lvl w:ilvl="1">
      <w:lvlJc w:val="left"/>
      <w:lvlText w:val="(%2)"/>
      <w:numFmt w:val="lowerLetter"/>
      <w:start w:val="1"/>
    </w:lvl>
  </w:abstractNum>
  <w:abstractNum w:abstractNumId="622">
    <w:nsid w:val="34F52A23"/>
    <w:multiLevelType w:val="hybridMultilevel"/>
    <w:lvl w:ilvl="0">
      <w:lvlJc w:val="left"/>
      <w:lvlText w:val="(%1)"/>
      <w:numFmt w:val="lowerLetter"/>
      <w:start w:val="35"/>
    </w:lvl>
    <w:lvl w:ilvl="1">
      <w:lvlJc w:val="left"/>
      <w:lvlText w:val="(%2)"/>
      <w:numFmt w:val="lowerLetter"/>
      <w:start w:val="3"/>
    </w:lvl>
  </w:abstractNum>
  <w:abstractNum w:abstractNumId="623">
    <w:nsid w:val="4815A966"/>
    <w:multiLevelType w:val="hybridMultilevel"/>
    <w:lvl w:ilvl="0">
      <w:lvlJc w:val="left"/>
      <w:lvlText w:val="(%1)"/>
      <w:numFmt w:val="lowerLetter"/>
      <w:start w:val="1"/>
    </w:lvl>
    <w:lvl w:ilvl="1">
      <w:lvlJc w:val="left"/>
      <w:lvlText w:val="(%2)"/>
      <w:numFmt w:val="lowerRoman"/>
      <w:start w:val="1"/>
    </w:lvl>
  </w:abstractNum>
  <w:abstractNum w:abstractNumId="624">
    <w:nsid w:val="796F4530"/>
    <w:multiLevelType w:val="hybridMultilevel"/>
    <w:lvl w:ilvl="0">
      <w:lvlJc w:val="left"/>
      <w:lvlText w:val="%1"/>
      <w:numFmt w:val="lowerRoman"/>
      <w:start w:val="1"/>
    </w:lvl>
    <w:lvl w:ilvl="1">
      <w:lvlJc w:val="left"/>
      <w:lvlText w:val="(%2)"/>
      <w:numFmt w:val="lowerRoman"/>
      <w:start w:val="6"/>
    </w:lvl>
  </w:abstractNum>
  <w:abstractNum w:abstractNumId="625">
    <w:nsid w:val="6FC1A0D4"/>
    <w:multiLevelType w:val="hybridMultilevel"/>
    <w:lvl w:ilvl="0">
      <w:lvlJc w:val="left"/>
      <w:lvlText w:val="(%1)"/>
      <w:numFmt w:val="lowerRoman"/>
      <w:start w:val="8"/>
    </w:lvl>
    <w:lvl w:ilvl="1">
      <w:lvlJc w:val="left"/>
      <w:lvlText w:val="(%2)"/>
      <w:numFmt w:val="lowerRoman"/>
      <w:start w:val="9"/>
    </w:lvl>
  </w:abstractNum>
  <w:abstractNum w:abstractNumId="626">
    <w:nsid w:val="20A0C5E2"/>
    <w:multiLevelType w:val="hybridMultilevel"/>
    <w:lvl w:ilvl="0">
      <w:lvlJc w:val="left"/>
      <w:lvlText w:val="%1"/>
      <w:numFmt w:val="lowerLetter"/>
      <w:start w:val="1"/>
    </w:lvl>
    <w:lvl w:ilvl="1">
      <w:lvlJc w:val="left"/>
      <w:lvlText w:val="(%2)"/>
      <w:numFmt w:val="lowerRoman"/>
      <w:start w:val="10"/>
    </w:lvl>
  </w:abstractNum>
  <w:abstractNum w:abstractNumId="627">
    <w:nsid w:val="5BD772BB"/>
    <w:multiLevelType w:val="hybridMultilevel"/>
    <w:lvl w:ilvl="0">
      <w:lvlJc w:val="left"/>
      <w:lvlText w:val="(%1)"/>
      <w:numFmt w:val="lowerLetter"/>
      <w:start w:val="3"/>
    </w:lvl>
    <w:lvl w:ilvl="1">
      <w:lvlJc w:val="left"/>
      <w:lvlText w:val="%2"/>
      <w:numFmt w:val="lowerRoman"/>
      <w:start w:val="1"/>
    </w:lvl>
  </w:abstractNum>
  <w:abstractNum w:abstractNumId="628">
    <w:nsid w:val="3330B1EE"/>
    <w:multiLevelType w:val="hybridMultilevel"/>
    <w:lvl w:ilvl="0">
      <w:lvlJc w:val="left"/>
      <w:lvlText w:val="(%1)"/>
      <w:numFmt w:val="lowerLetter"/>
      <w:start w:val="1"/>
    </w:lvl>
  </w:abstractNum>
  <w:abstractNum w:abstractNumId="629">
    <w:nsid w:val="533A7CFD"/>
    <w:multiLevelType w:val="hybridMultilevel"/>
    <w:lvl w:ilvl="0">
      <w:lvlJc w:val="left"/>
      <w:lvlText w:val="(%1)"/>
      <w:numFmt w:val="lowerLetter"/>
      <w:start w:val="5"/>
    </w:lvl>
  </w:abstractNum>
  <w:abstractNum w:abstractNumId="630">
    <w:nsid w:val="5A7ED215"/>
    <w:multiLevelType w:val="hybridMultilevel"/>
    <w:lvl w:ilvl="0">
      <w:lvlJc w:val="left"/>
      <w:lvlText w:val="(%1)"/>
      <w:numFmt w:val="lowerLetter"/>
      <w:start w:val="9"/>
    </w:lvl>
  </w:abstractNum>
  <w:abstractNum w:abstractNumId="631">
    <w:nsid w:val="777250E7"/>
    <w:multiLevelType w:val="hybridMultilevel"/>
    <w:lvl w:ilvl="0">
      <w:lvlJc w:val="left"/>
      <w:lvlText w:val="§"/>
      <w:numFmt w:val="bullet"/>
      <w:start w:val="1"/>
    </w:lvl>
  </w:abstractNum>
  <w:abstractNum w:abstractNumId="632">
    <w:nsid w:val="B726EDC"/>
    <w:multiLevelType w:val="hybridMultilevel"/>
    <w:lvl w:ilvl="0">
      <w:lvlJc w:val="left"/>
      <w:lvlText w:val="(%1)"/>
      <w:numFmt w:val="decimal"/>
      <w:start w:val="3"/>
    </w:lvl>
  </w:abstractNum>
  <w:abstractNum w:abstractNumId="633">
    <w:nsid w:val="365EFC5A"/>
    <w:multiLevelType w:val="hybridMultilevel"/>
    <w:lvl w:ilvl="0">
      <w:lvlJc w:val="left"/>
      <w:lvlText w:val="(%1)"/>
      <w:numFmt w:val="lowerLetter"/>
      <w:start w:val="1"/>
    </w:lvl>
  </w:abstractNum>
  <w:abstractNum w:abstractNumId="634">
    <w:nsid w:val="41A8106C"/>
    <w:multiLevelType w:val="hybridMultilevel"/>
    <w:lvl w:ilvl="0">
      <w:lvlJc w:val="left"/>
      <w:lvlText w:val="(%1)"/>
      <w:numFmt w:val="lowerLetter"/>
      <w:start w:val="3"/>
    </w:lvl>
  </w:abstractNum>
  <w:abstractNum w:abstractNumId="635">
    <w:nsid w:val="3FB97188"/>
    <w:multiLevelType w:val="hybridMultilevel"/>
    <w:lvl w:ilvl="0">
      <w:lvlJc w:val="left"/>
      <w:lvlText w:val="(%1)"/>
      <w:numFmt w:val="lowerLetter"/>
      <w:start w:val="3"/>
    </w:lvl>
  </w:abstractNum>
  <w:abstractNum w:abstractNumId="636">
    <w:nsid w:val="382EA874"/>
    <w:multiLevelType w:val="hybridMultilevel"/>
    <w:lvl w:ilvl="0">
      <w:lvlJc w:val="left"/>
      <w:lvlText w:val="(%1)"/>
      <w:numFmt w:val="lowerLetter"/>
      <w:start w:val="4"/>
    </w:lvl>
  </w:abstractNum>
  <w:abstractNum w:abstractNumId="637">
    <w:nsid w:val="21856507"/>
    <w:multiLevelType w:val="hybridMultilevel"/>
    <w:lvl w:ilvl="0">
      <w:lvlJc w:val="left"/>
      <w:lvlText w:val="(%1)"/>
      <w:numFmt w:val="lowerLetter"/>
      <w:start w:val="1"/>
    </w:lvl>
  </w:abstractNum>
  <w:abstractNum w:abstractNumId="638">
    <w:nsid w:val="78B6E496"/>
    <w:multiLevelType w:val="hybridMultilevel"/>
    <w:lvl w:ilvl="0">
      <w:lvlJc w:val="left"/>
      <w:lvlText w:val="(%1)"/>
      <w:numFmt w:val="lowerLetter"/>
      <w:start w:val="1"/>
    </w:lvl>
  </w:abstractNum>
  <w:abstractNum w:abstractNumId="639">
    <w:nsid w:val="B1595B1"/>
    <w:multiLevelType w:val="hybridMultilevel"/>
    <w:lvl w:ilvl="0">
      <w:lvlJc w:val="left"/>
      <w:lvlText w:val="(%1)"/>
      <w:numFmt w:val="lowerLetter"/>
      <w:start w:val="1"/>
    </w:lvl>
  </w:abstractNum>
  <w:abstractNum w:abstractNumId="640">
    <w:nsid w:val="25670D6B"/>
    <w:multiLevelType w:val="hybridMultilevel"/>
    <w:lvl w:ilvl="0">
      <w:lvlJc w:val="left"/>
      <w:lvlText w:val="(%1)"/>
      <w:numFmt w:val="lowerLetter"/>
      <w:start w:val="3"/>
    </w:lvl>
  </w:abstractNum>
  <w:abstractNum w:abstractNumId="641">
    <w:nsid w:val="5FE6C53F"/>
    <w:multiLevelType w:val="hybridMultilevel"/>
    <w:lvl w:ilvl="0">
      <w:lvlJc w:val="left"/>
      <w:lvlText w:val="(%1)"/>
      <w:numFmt w:val="lowerRoman"/>
      <w:start w:val="1"/>
    </w:lvl>
  </w:abstractNum>
  <w:abstractNum w:abstractNumId="642">
    <w:nsid w:val="3CAE14FE"/>
    <w:multiLevelType w:val="hybridMultilevel"/>
    <w:lvl w:ilvl="0">
      <w:lvlJc w:val="left"/>
      <w:lvlText w:val="(%1)"/>
      <w:numFmt w:val="lowerRoman"/>
      <w:start w:val="2"/>
    </w:lvl>
  </w:abstractNum>
  <w:abstractNum w:abstractNumId="643">
    <w:nsid w:val="6E27B56B"/>
    <w:multiLevelType w:val="hybridMultilevel"/>
    <w:lvl w:ilvl="0">
      <w:lvlJc w:val="left"/>
      <w:lvlText w:val="(%1)"/>
      <w:numFmt w:val="lowerLetter"/>
      <w:start w:val="25"/>
    </w:lvl>
  </w:abstractNum>
  <w:abstractNum w:abstractNumId="644">
    <w:nsid w:val="66FE7765"/>
    <w:multiLevelType w:val="hybridMultilevel"/>
    <w:lvl w:ilvl="0">
      <w:lvlJc w:val="left"/>
      <w:lvlText w:val="(%1)"/>
      <w:numFmt w:val="lowerLetter"/>
      <w:start w:val="2"/>
    </w:lvl>
  </w:abstractNum>
  <w:abstractNum w:abstractNumId="645">
    <w:nsid w:val="41123F79"/>
    <w:multiLevelType w:val="hybridMultilevel"/>
    <w:lvl w:ilvl="0">
      <w:lvlJc w:val="left"/>
      <w:lvlText w:val="(%1)"/>
      <w:numFmt w:val="decimal"/>
      <w:start w:val="2"/>
    </w:lvl>
  </w:abstractNum>
  <w:abstractNum w:abstractNumId="646">
    <w:nsid w:val="514FBE5A"/>
    <w:multiLevelType w:val="hybridMultilevel"/>
    <w:lvl w:ilvl="0">
      <w:lvlJc w:val="left"/>
      <w:lvlText w:val="(%1)"/>
      <w:numFmt w:val="lowerLetter"/>
      <w:start w:val="1"/>
    </w:lvl>
  </w:abstractNum>
  <w:abstractNum w:abstractNumId="647">
    <w:nsid w:val="4C68ED90"/>
    <w:multiLevelType w:val="hybridMultilevel"/>
    <w:lvl w:ilvl="0">
      <w:lvlJc w:val="left"/>
      <w:lvlText w:val="(%1)"/>
      <w:numFmt w:val="lowerLetter"/>
      <w:start w:val="2"/>
    </w:lvl>
  </w:abstractNum>
  <w:abstractNum w:abstractNumId="648">
    <w:nsid w:val="45BECE3C"/>
    <w:multiLevelType w:val="hybridMultilevel"/>
    <w:lvl w:ilvl="0">
      <w:lvlJc w:val="left"/>
      <w:lvlText w:val="(%1)"/>
      <w:numFmt w:val="lowerLetter"/>
      <w:start w:val="1"/>
    </w:lvl>
  </w:abstractNum>
  <w:abstractNum w:abstractNumId="649">
    <w:nsid w:val="1660D468"/>
    <w:multiLevelType w:val="hybridMultilevel"/>
    <w:lvl w:ilvl="0">
      <w:lvlJc w:val="left"/>
      <w:lvlText w:val="%1"/>
      <w:numFmt w:val="lowerLetter"/>
      <w:start w:val="1"/>
    </w:lvl>
    <w:lvl w:ilvl="1">
      <w:lvlJc w:val="left"/>
      <w:lvlText w:val="(%2)"/>
      <w:numFmt w:val="lowerLetter"/>
      <w:start w:val="3"/>
    </w:lvl>
  </w:abstractNum>
  <w:abstractNum w:abstractNumId="650">
    <w:nsid w:val="7690CBA1"/>
    <w:multiLevelType w:val="hybridMultilevel"/>
    <w:lvl w:ilvl="0">
      <w:lvlJc w:val="left"/>
      <w:lvlText w:val="(%1)"/>
      <w:numFmt w:val="lowerLetter"/>
      <w:start w:val="9"/>
    </w:lvl>
    <w:lvl w:ilvl="1">
      <w:lvlJc w:val="left"/>
      <w:lvlText w:val="(%2)"/>
      <w:numFmt w:val="lowerLetter"/>
      <w:start w:val="4"/>
    </w:lvl>
  </w:abstractNum>
  <w:abstractNum w:abstractNumId="651">
    <w:nsid w:val="7CBC5FD3"/>
    <w:multiLevelType w:val="hybridMultilevel"/>
    <w:lvl w:ilvl="0">
      <w:lvlJc w:val="left"/>
      <w:lvlText w:val="%1"/>
      <w:numFmt w:val="lowerLetter"/>
      <w:start w:val="1"/>
    </w:lvl>
    <w:lvl w:ilvl="1">
      <w:lvlJc w:val="left"/>
      <w:lvlText w:val="(%2)"/>
      <w:numFmt w:val="lowerLetter"/>
      <w:start w:val="1"/>
    </w:lvl>
  </w:abstractNum>
  <w:abstractNum w:abstractNumId="652">
    <w:nsid w:val="19076430"/>
    <w:multiLevelType w:val="hybridMultilevel"/>
    <w:lvl w:ilvl="0">
      <w:lvlJc w:val="left"/>
      <w:lvlText w:val="(%1)"/>
      <w:numFmt w:val="lowerLetter"/>
      <w:start w:val="24"/>
    </w:lvl>
    <w:lvl w:ilvl="1">
      <w:lvlJc w:val="left"/>
      <w:lvlText w:val="(%2)"/>
      <w:numFmt w:val="lowerLetter"/>
      <w:start w:val="2"/>
    </w:lvl>
  </w:abstractNum>
  <w:abstractNum w:abstractNumId="653">
    <w:nsid w:val="2B85F5C4"/>
    <w:multiLevelType w:val="hybridMultilevel"/>
    <w:lvl w:ilvl="0">
      <w:lvlJc w:val="left"/>
      <w:lvlText w:val="(%1)"/>
      <w:numFmt w:val="lowerLetter"/>
      <w:start w:val="1"/>
    </w:lvl>
  </w:abstractNum>
  <w:abstractNum w:abstractNumId="654">
    <w:nsid w:val="44D20939"/>
    <w:multiLevelType w:val="hybridMultilevel"/>
    <w:lvl w:ilvl="0">
      <w:lvlJc w:val="left"/>
      <w:lvlText w:val="(%1)"/>
      <w:numFmt w:val="lowerLetter"/>
      <w:start w:val="5"/>
    </w:lvl>
  </w:abstractNum>
  <w:abstractNum w:abstractNumId="655">
    <w:nsid w:val="1276A960"/>
    <w:multiLevelType w:val="hybridMultilevel"/>
    <w:lvl w:ilvl="0">
      <w:lvlJc w:val="left"/>
      <w:lvlText w:val="(%1)"/>
      <w:numFmt w:val="lowerLetter"/>
      <w:start w:val="1"/>
    </w:lvl>
    <w:lvl w:ilvl="1">
      <w:lvlJc w:val="left"/>
      <w:lvlText w:val="(%2)"/>
      <w:numFmt w:val="lowerLetter"/>
      <w:start w:val="9"/>
    </w:lvl>
  </w:abstractNum>
  <w:abstractNum w:abstractNumId="656">
    <w:nsid w:val="1B479698"/>
    <w:multiLevelType w:val="hybridMultilevel"/>
    <w:lvl w:ilvl="0">
      <w:lvlJc w:val="left"/>
      <w:lvlText w:val="(%1)"/>
      <w:numFmt w:val="lowerRoman"/>
      <w:start w:val="2"/>
    </w:lvl>
  </w:abstractNum>
  <w:abstractNum w:abstractNumId="657">
    <w:nsid w:val="6572CF1B"/>
    <w:multiLevelType w:val="hybridMultilevel"/>
    <w:lvl w:ilvl="0">
      <w:lvlJc w:val="left"/>
      <w:lvlText w:val="(%1)"/>
      <w:numFmt w:val="lowerLetter"/>
      <w:start w:val="1"/>
    </w:lvl>
  </w:abstractNum>
  <w:abstractNum w:abstractNumId="658">
    <w:nsid w:val="6E4E1C1B"/>
    <w:multiLevelType w:val="hybridMultilevel"/>
    <w:lvl w:ilvl="0">
      <w:lvlJc w:val="left"/>
      <w:lvlText w:val="(%1)"/>
      <w:numFmt w:val="lowerLetter"/>
      <w:start w:val="2"/>
    </w:lvl>
  </w:abstractNum>
  <w:abstractNum w:abstractNumId="659">
    <w:nsid w:val="4E78488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60">
    <w:nsid w:val="38AD4C18"/>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2"/>
    </w:lvl>
  </w:abstractNum>
  <w:abstractNum w:abstractNumId="661">
    <w:nsid w:val="48CCEE31"/>
    <w:multiLevelType w:val="hybridMultilevel"/>
    <w:lvl w:ilvl="0">
      <w:lvlJc w:val="left"/>
      <w:lvlText w:val="%1"/>
      <w:numFmt w:val="lowerLetter"/>
      <w:start w:val="1"/>
    </w:lvl>
    <w:lvl w:ilvl="1">
      <w:lvlJc w:val="left"/>
      <w:lvlText w:val="(%2)"/>
      <w:numFmt w:val="lowerRoman"/>
      <w:start w:val="2"/>
    </w:lvl>
  </w:abstractNum>
  <w:abstractNum w:abstractNumId="662">
    <w:nsid w:val="45EA996E"/>
    <w:multiLevelType w:val="hybridMultilevel"/>
    <w:lvl w:ilvl="0">
      <w:lvlJc w:val="left"/>
      <w:lvlText w:val="(%1)"/>
      <w:numFmt w:val="lowerLetter"/>
      <w:start w:val="3"/>
    </w:lvl>
    <w:lvl w:ilvl="1">
      <w:lvlJc w:val="left"/>
      <w:lvlText w:val="%2"/>
      <w:numFmt w:val="lowerRoman"/>
      <w:start w:val="1"/>
    </w:lvl>
  </w:abstractNum>
  <w:abstractNum w:abstractNumId="663">
    <w:nsid w:val="441FBAF4"/>
    <w:multiLevelType w:val="hybridMultilevel"/>
    <w:lvl w:ilvl="0">
      <w:lvlJc w:val="left"/>
      <w:lvlText w:val="(%1)"/>
      <w:numFmt w:val="lowerLetter"/>
      <w:start w:val="1"/>
    </w:lvl>
  </w:abstractNum>
  <w:abstractNum w:abstractNumId="664">
    <w:nsid w:val="7F2BEA8B"/>
    <w:multiLevelType w:val="hybridMultilevel"/>
    <w:lvl w:ilvl="0">
      <w:lvlJc w:val="left"/>
      <w:lvlText w:val="%1"/>
      <w:numFmt w:val="lowerLetter"/>
      <w:start w:val="1"/>
    </w:lvl>
    <w:lvl w:ilvl="1">
      <w:lvlJc w:val="left"/>
      <w:lvlText w:val="(%2)"/>
      <w:numFmt w:val="lowerLetter"/>
      <w:start w:val="1"/>
    </w:lvl>
  </w:abstractNum>
  <w:abstractNum w:abstractNumId="665">
    <w:nsid w:val="792A9DB"/>
    <w:multiLevelType w:val="hybridMultilevel"/>
    <w:lvl w:ilvl="0">
      <w:lvlJc w:val="left"/>
      <w:lvlText w:val="(%1)"/>
      <w:numFmt w:val="lowerLetter"/>
      <w:start w:val="35"/>
    </w:lvl>
    <w:lvl w:ilvl="1">
      <w:lvlJc w:val="left"/>
      <w:lvlText w:val="%2"/>
      <w:numFmt w:val="lowerLetter"/>
      <w:start w:val="1"/>
    </w:lvl>
  </w:abstractNum>
  <w:abstractNum w:abstractNumId="666">
    <w:nsid w:val="3D92C7D"/>
    <w:multiLevelType w:val="hybridMultilevel"/>
    <w:lvl w:ilvl="0">
      <w:lvlJc w:val="left"/>
      <w:lvlText w:val="(%1)"/>
      <w:numFmt w:val="lowerLetter"/>
      <w:start w:val="1"/>
    </w:lvl>
    <w:lvl w:ilvl="1">
      <w:lvlJc w:val="left"/>
      <w:lvlText w:val="(%2)"/>
      <w:numFmt w:val="lowerLetter"/>
      <w:start w:val="2"/>
    </w:lvl>
  </w:abstractNum>
  <w:abstractNum w:abstractNumId="667">
    <w:nsid w:val="375A92FF"/>
    <w:multiLevelType w:val="hybridMultilevel"/>
    <w:lvl w:ilvl="0">
      <w:lvlJc w:val="left"/>
      <w:lvlText w:val="(%1)"/>
      <w:numFmt w:val="lowerRoman"/>
      <w:start w:val="2"/>
    </w:lvl>
  </w:abstractNum>
  <w:abstractNum w:abstractNumId="668">
    <w:nsid w:val="29180EE2"/>
    <w:multiLevelType w:val="hybridMultilevel"/>
    <w:lvl w:ilvl="0">
      <w:lvlJc w:val="left"/>
      <w:lvlText w:val="(%1)"/>
      <w:numFmt w:val="lowerLetter"/>
      <w:start w:val="3"/>
    </w:lvl>
  </w:abstractNum>
  <w:abstractNum w:abstractNumId="669">
    <w:nsid w:val="7C901113"/>
    <w:multiLevelType w:val="hybridMultilevel"/>
    <w:lvl w:ilvl="0">
      <w:lvlJc w:val="left"/>
      <w:lvlText w:val="(%1)"/>
      <w:numFmt w:val="lowerLetter"/>
      <w:start w:val="5"/>
    </w:lvl>
  </w:abstractNum>
  <w:abstractNum w:abstractNumId="670">
    <w:nsid w:val="427028B0"/>
    <w:multiLevelType w:val="hybridMultilevel"/>
    <w:lvl w:ilvl="0">
      <w:lvlJc w:val="left"/>
      <w:lvlText w:val="(%1)"/>
      <w:numFmt w:val="lowerLetter"/>
      <w:start w:val="6"/>
    </w:lvl>
  </w:abstractNum>
  <w:abstractNum w:abstractNumId="671">
    <w:nsid w:val="4E7F1C4D"/>
    <w:multiLevelType w:val="hybridMultilevel"/>
    <w:lvl w:ilvl="0">
      <w:lvlJc w:val="left"/>
      <w:lvlText w:val="(%1)"/>
      <w:numFmt w:val="lowerLetter"/>
      <w:start w:val="25"/>
    </w:lvl>
  </w:abstractNum>
  <w:abstractNum w:abstractNumId="672">
    <w:nsid w:val="5C76D652"/>
    <w:multiLevelType w:val="hybridMultilevel"/>
    <w:lvl w:ilvl="0">
      <w:lvlJc w:val="left"/>
      <w:lvlText w:val="(%1)"/>
      <w:numFmt w:val="lowerLetter"/>
      <w:start w:val="1"/>
    </w:lvl>
    <w:lvl w:ilvl="1">
      <w:lvlJc w:val="left"/>
      <w:lvlText w:val="(%2)"/>
      <w:numFmt w:val="lowerLetter"/>
      <w:start w:val="9"/>
    </w:lvl>
  </w:abstractNum>
  <w:abstractNum w:abstractNumId="673">
    <w:nsid w:val="7F1E3DA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674">
    <w:nsid w:val="3CA6D1B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61"/>
    </w:lvl>
  </w:abstractNum>
  <w:abstractNum w:abstractNumId="675">
    <w:nsid w:val="43754DB7"/>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676">
    <w:nsid w:val="40307D27"/>
    <w:multiLevelType w:val="hybridMultilevel"/>
    <w:lvl w:ilvl="0">
      <w:lvlJc w:val="left"/>
      <w:lvlText w:val="(%1)"/>
      <w:numFmt w:val="lowerLetter"/>
      <w:start w:val="1"/>
    </w:lvl>
    <w:lvl w:ilvl="1">
      <w:lvlJc w:val="left"/>
      <w:lvlText w:val="(%2)"/>
      <w:numFmt w:val="lowerRoman"/>
      <w:start w:val="1"/>
    </w:lvl>
  </w:abstractNum>
  <w:abstractNum w:abstractNumId="677">
    <w:nsid w:val="DF69013"/>
    <w:multiLevelType w:val="hybridMultilevel"/>
    <w:lvl w:ilvl="0">
      <w:lvlJc w:val="left"/>
      <w:lvlText w:val="(%1)"/>
      <w:numFmt w:val="lowerLetter"/>
      <w:start w:val="2"/>
    </w:lvl>
    <w:lvl w:ilvl="1">
      <w:lvlJc w:val="left"/>
      <w:lvlText w:val="(%2)"/>
      <w:numFmt w:val="lowerRoman"/>
      <w:start w:val="1"/>
    </w:lvl>
  </w:abstractNum>
  <w:abstractNum w:abstractNumId="678">
    <w:nsid w:val="FDE3B4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lowerRoman"/>
      <w:start w:val="9"/>
    </w:lvl>
    <w:lvl w:ilvl="4">
      <w:lvlJc w:val="left"/>
      <w:lvlText w:val="(%5)"/>
      <w:numFmt w:val="upperLetter"/>
      <w:start w:val="9"/>
    </w:lvl>
  </w:abstractNum>
  <w:abstractNum w:abstractNumId="679">
    <w:nsid w:val="5EF4B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Roman"/>
      <w:start w:val="1"/>
    </w:lvl>
    <w:lvl w:ilvl="4">
      <w:lvlJc w:val="left"/>
      <w:lvlText w:val="(%5)"/>
      <w:numFmt w:val="upperLetter"/>
      <w:start w:val="35"/>
    </w:lvl>
  </w:abstractNum>
  <w:abstractNum w:abstractNumId="680">
    <w:nsid w:val="2457647B"/>
    <w:multiLevelType w:val="hybridMultilevel"/>
    <w:lvl w:ilvl="0">
      <w:lvlJc w:val="left"/>
      <w:lvlText w:val="(%1)"/>
      <w:numFmt w:val="upperLetter"/>
      <w:start w:val="61"/>
    </w:lvl>
  </w:abstractNum>
  <w:abstractNum w:abstractNumId="681">
    <w:nsid w:val="66F06E9"/>
    <w:multiLevelType w:val="hybridMultilevel"/>
    <w:lvl w:ilvl="0">
      <w:lvlJc w:val="left"/>
      <w:lvlText w:val="(%1)"/>
      <w:numFmt w:val="upperLetter"/>
      <w:start w:val="3"/>
    </w:lvl>
  </w:abstractNum>
  <w:abstractNum w:abstractNumId="682">
    <w:nsid w:val="2ABAB37"/>
    <w:multiLevelType w:val="hybridMultilevel"/>
    <w:lvl w:ilvl="0">
      <w:lvlJc w:val="left"/>
      <w:lvlText w:val="(%1)"/>
      <w:numFmt w:val="lowerLetter"/>
      <w:start w:val="6"/>
    </w:lvl>
  </w:abstractNum>
  <w:abstractNum w:abstractNumId="683">
    <w:nsid w:val="3D5EC8AB"/>
    <w:multiLevelType w:val="hybridMultilevel"/>
    <w:lvl w:ilvl="0">
      <w:lvlJc w:val="left"/>
      <w:lvlText w:val="(%1)"/>
      <w:numFmt w:val="lowerLetter"/>
      <w:start w:val="1"/>
    </w:lvl>
  </w:abstractNum>
  <w:abstractNum w:abstractNumId="684">
    <w:nsid w:val="31F4FCAD"/>
    <w:multiLevelType w:val="hybridMultilevel"/>
    <w:lvl w:ilvl="0">
      <w:lvlJc w:val="left"/>
      <w:lvlText w:val="%1"/>
      <w:numFmt w:val="lowerLetter"/>
      <w:start w:val="1"/>
    </w:lvl>
    <w:lvl w:ilvl="1">
      <w:lvlJc w:val="left"/>
      <w:lvlText w:val="(%2)"/>
      <w:numFmt w:val="lowerLetter"/>
      <w:start w:val="2"/>
    </w:lvl>
  </w:abstractNum>
  <w:abstractNum w:abstractNumId="685">
    <w:nsid w:val="477DB470"/>
    <w:multiLevelType w:val="hybridMultilevel"/>
    <w:lvl w:ilvl="0">
      <w:lvlJc w:val="left"/>
      <w:lvlText w:val="(%1)"/>
      <w:numFmt w:val="lowerLetter"/>
      <w:start w:val="9"/>
    </w:lvl>
    <w:lvl w:ilvl="1">
      <w:lvlJc w:val="left"/>
      <w:lvlText w:val="%2"/>
      <w:numFmt w:val="lowerLetter"/>
      <w:start w:val="1"/>
    </w:lvl>
  </w:abstractNum>
  <w:abstractNum w:abstractNumId="686">
    <w:nsid w:val="4FD5720B"/>
    <w:multiLevelType w:val="hybridMultilevel"/>
    <w:lvl w:ilvl="0">
      <w:lvlJc w:val="left"/>
      <w:lvlText w:val="(%1)"/>
      <w:numFmt w:val="lowerLetter"/>
      <w:start w:val="1"/>
    </w:lvl>
  </w:abstractNum>
  <w:abstractNum w:abstractNumId="687">
    <w:nsid w:val="4D3C9346"/>
    <w:multiLevelType w:val="hybridMultilevel"/>
    <w:lvl w:ilvl="0">
      <w:lvlJc w:val="left"/>
      <w:lvlText w:val="(%1)"/>
      <w:numFmt w:val="lowerLetter"/>
      <w:start w:val="2"/>
    </w:lvl>
  </w:abstractNum>
  <w:abstractNum w:abstractNumId="688">
    <w:nsid w:val="2CF0838B"/>
    <w:multiLevelType w:val="hybridMultilevel"/>
    <w:lvl w:ilvl="0">
      <w:lvlJc w:val="left"/>
      <w:lvlText w:val="(%1)"/>
      <w:numFmt w:val="lowerLetter"/>
      <w:start w:val="1"/>
    </w:lvl>
    <w:lvl w:ilvl="1">
      <w:lvlJc w:val="left"/>
      <w:lvlText w:val="(%2)"/>
      <w:numFmt w:val="lowerRoman"/>
      <w:start w:val="1"/>
    </w:lvl>
  </w:abstractNum>
  <w:abstractNum w:abstractNumId="689">
    <w:nsid w:val="3E238E27"/>
    <w:multiLevelType w:val="hybridMultilevel"/>
    <w:lvl w:ilvl="0">
      <w:lvlJc w:val="left"/>
      <w:lvlText w:val="(%1)"/>
      <w:numFmt w:val="lowerLetter"/>
      <w:start w:val="2"/>
    </w:lvl>
  </w:abstractNum>
  <w:abstractNum w:abstractNumId="690">
    <w:nsid w:val="1BB4DBCD"/>
    <w:multiLevelType w:val="hybridMultilevel"/>
    <w:lvl w:ilvl="0">
      <w:lvlJc w:val="left"/>
      <w:lvlText w:val="(%1)"/>
      <w:numFmt w:val="lowerLetter"/>
      <w:start w:val="3"/>
    </w:lvl>
  </w:abstractNum>
  <w:abstractNum w:abstractNumId="691">
    <w:nsid w:val="659DCFA3"/>
    <w:multiLevelType w:val="hybridMultilevel"/>
    <w:lvl w:ilvl="0">
      <w:lvlJc w:val="left"/>
      <w:lvlText w:val="(%1)"/>
      <w:numFmt w:val="lowerLetter"/>
      <w:start w:val="1"/>
    </w:lvl>
  </w:abstractNum>
  <w:abstractNum w:abstractNumId="692">
    <w:nsid w:val="6F07C58"/>
    <w:multiLevelType w:val="hybridMultilevel"/>
    <w:lvl w:ilvl="0">
      <w:lvlJc w:val="left"/>
      <w:lvlText w:val="%1"/>
      <w:numFmt w:val="lowerLetter"/>
      <w:start w:val="1"/>
    </w:lvl>
    <w:lvl w:ilvl="1">
      <w:lvlJc w:val="left"/>
      <w:lvlText w:val="(%2)"/>
      <w:numFmt w:val="lowerLetter"/>
      <w:start w:val="1"/>
    </w:lvl>
  </w:abstractNum>
  <w:abstractNum w:abstractNumId="693">
    <w:nsid w:val="619F753B"/>
    <w:multiLevelType w:val="hybridMultilevel"/>
    <w:lvl w:ilvl="0">
      <w:lvlJc w:val="left"/>
      <w:lvlText w:val="(%1)"/>
      <w:numFmt w:val="lowerLetter"/>
      <w:start w:val="35"/>
    </w:lvl>
    <w:lvl w:ilvl="1">
      <w:lvlJc w:val="left"/>
      <w:lvlText w:val="%2"/>
      <w:numFmt w:val="lowerLetter"/>
      <w:start w:val="1"/>
    </w:lvl>
  </w:abstractNum>
  <w:abstractNum w:abstractNumId="694">
    <w:nsid w:val="29BD8A97"/>
    <w:multiLevelType w:val="hybridMultilevel"/>
    <w:lvl w:ilvl="0">
      <w:lvlJc w:val="left"/>
      <w:lvlText w:val="(%1)"/>
      <w:numFmt w:val="lowerLetter"/>
      <w:start w:val="2"/>
    </w:lvl>
  </w:abstractNum>
  <w:abstractNum w:abstractNumId="695">
    <w:nsid w:val="61C66E3"/>
    <w:multiLevelType w:val="hybridMultilevel"/>
    <w:lvl w:ilvl="0">
      <w:lvlJc w:val="left"/>
      <w:lvlText w:val="(%1)"/>
      <w:numFmt w:val="lowerLetter"/>
      <w:start w:val="1"/>
    </w:lvl>
  </w:abstractNum>
  <w:abstractNum w:abstractNumId="696">
    <w:nsid w:val="69321F16"/>
    <w:multiLevelType w:val="hybridMultilevel"/>
    <w:lvl w:ilvl="0">
      <w:lvlJc w:val="left"/>
      <w:lvlText w:val="(%1)"/>
      <w:numFmt w:val="lowerLetter"/>
      <w:start w:val="4"/>
    </w:lvl>
  </w:abstractNum>
  <w:abstractNum w:abstractNumId="697">
    <w:nsid w:val="2D96B714"/>
    <w:multiLevelType w:val="hybridMultilevel"/>
    <w:lvl w:ilvl="0">
      <w:lvlJc w:val="left"/>
      <w:lvlText w:val="(%1)"/>
      <w:numFmt w:val="lowerLetter"/>
      <w:start w:val="1"/>
    </w:lvl>
  </w:abstractNum>
  <w:abstractNum w:abstractNumId="698">
    <w:nsid w:val="3D76F9E2"/>
    <w:multiLevelType w:val="hybridMultilevel"/>
    <w:lvl w:ilvl="0">
      <w:lvlJc w:val="left"/>
      <w:lvlText w:val="(%1)"/>
      <w:numFmt w:val="lowerLetter"/>
      <w:start w:val="3"/>
    </w:lvl>
  </w:abstractNum>
  <w:abstractNum w:abstractNumId="699">
    <w:nsid w:val="124A2DF8"/>
    <w:multiLevelType w:val="hybridMultilevel"/>
    <w:lvl w:ilvl="0">
      <w:lvlJc w:val="left"/>
      <w:lvlText w:val="(%1)"/>
      <w:numFmt w:val="lowerLetter"/>
      <w:start w:val="10"/>
    </w:lvl>
  </w:abstractNum>
  <w:abstractNum w:abstractNumId="700">
    <w:nsid w:val="2A26C828"/>
    <w:multiLevelType w:val="hybridMultilevel"/>
    <w:lvl w:ilvl="0">
      <w:lvlJc w:val="left"/>
      <w:lvlText w:val="(%1)"/>
      <w:numFmt w:val="lowerLetter"/>
      <w:start w:val="1"/>
    </w:lvl>
  </w:abstractNum>
  <w:abstractNum w:abstractNumId="701">
    <w:nsid w:val="7FE72292"/>
    <w:multiLevelType w:val="hybridMultilevel"/>
    <w:lvl w:ilvl="0">
      <w:lvlJc w:val="left"/>
      <w:lvlText w:val="(%1)"/>
      <w:numFmt w:val="lowerLetter"/>
      <w:start w:val="1"/>
    </w:lvl>
  </w:abstractNum>
  <w:abstractNum w:abstractNumId="702">
    <w:nsid w:val="60C94A46"/>
    <w:multiLevelType w:val="hybridMultilevel"/>
    <w:lvl w:ilvl="0">
      <w:lvlJc w:val="left"/>
      <w:lvlText w:val="(%1)"/>
      <w:numFmt w:val="lowerLetter"/>
      <w:start w:val="2"/>
    </w:lvl>
  </w:abstractNum>
  <w:abstractNum w:abstractNumId="703">
    <w:nsid w:val="69D9E7A"/>
    <w:multiLevelType w:val="hybridMultilevel"/>
    <w:lvl w:ilvl="0">
      <w:lvlJc w:val="left"/>
      <w:lvlText w:val="(%1)"/>
      <w:numFmt w:val="lowerLetter"/>
      <w:start w:val="1"/>
    </w:lvl>
  </w:abstractNum>
  <w:abstractNum w:abstractNumId="704">
    <w:nsid w:val="7F056040"/>
    <w:multiLevelType w:val="hybridMultilevel"/>
    <w:lvl w:ilvl="0">
      <w:lvlJc w:val="left"/>
      <w:lvlText w:val="(%1)"/>
      <w:numFmt w:val="lowerLetter"/>
      <w:start w:val="1"/>
    </w:lvl>
  </w:abstractNum>
  <w:abstractNum w:abstractNumId="705">
    <w:nsid w:val="1D701BFF"/>
    <w:multiLevelType w:val="hybridMultilevel"/>
    <w:lvl w:ilvl="0">
      <w:lvlJc w:val="left"/>
      <w:lvlText w:val="(%1)"/>
      <w:numFmt w:val="lowerLetter"/>
      <w:start w:val="3"/>
    </w:lvl>
  </w:abstractNum>
  <w:abstractNum w:abstractNumId="706">
    <w:nsid w:val="4A12EC32"/>
    <w:multiLevelType w:val="hybridMultilevel"/>
    <w:lvl w:ilvl="0">
      <w:lvlJc w:val="left"/>
      <w:lvlText w:val="(%1)"/>
      <w:numFmt w:val="lowerLetter"/>
      <w:start w:val="1"/>
    </w:lvl>
  </w:abstractNum>
  <w:abstractNum w:abstractNumId="707">
    <w:nsid w:val="3F35DD67"/>
    <w:multiLevelType w:val="hybridMultilevel"/>
    <w:lvl w:ilvl="0">
      <w:lvlJc w:val="left"/>
      <w:lvlText w:val="(%1)"/>
      <w:numFmt w:val="lowerLetter"/>
      <w:start w:val="1"/>
    </w:lvl>
  </w:abstractNum>
  <w:abstractNum w:abstractNumId="708">
    <w:nsid w:val="2B66AC12"/>
    <w:multiLevelType w:val="hybridMultilevel"/>
    <w:lvl w:ilvl="0">
      <w:lvlJc w:val="left"/>
      <w:lvlText w:val="(%1)"/>
      <w:numFmt w:val="lowerLetter"/>
      <w:start w:val="1"/>
    </w:lvl>
  </w:abstractNum>
  <w:abstractNum w:abstractNumId="709">
    <w:nsid w:val="59F12779"/>
    <w:multiLevelType w:val="hybridMultilevel"/>
    <w:lvl w:ilvl="0">
      <w:lvlJc w:val="left"/>
      <w:lvlText w:val="(%1)"/>
      <w:numFmt w:val="lowerLetter"/>
      <w:start w:val="1"/>
    </w:lvl>
  </w:abstractNum>
  <w:abstractNum w:abstractNumId="710">
    <w:nsid w:val="452528CB"/>
    <w:multiLevelType w:val="hybridMultilevel"/>
    <w:lvl w:ilvl="0">
      <w:lvlJc w:val="left"/>
      <w:lvlText w:val="(%1)"/>
      <w:numFmt w:val="lowerLetter"/>
      <w:start w:val="1"/>
    </w:lvl>
  </w:abstractNum>
  <w:abstractNum w:abstractNumId="711">
    <w:nsid w:val="4FBE108E"/>
    <w:multiLevelType w:val="hybridMultilevel"/>
    <w:lvl w:ilvl="0">
      <w:lvlJc w:val="left"/>
      <w:lvlText w:val="(%1)"/>
      <w:numFmt w:val="lowerLetter"/>
      <w:start w:val="1"/>
    </w:lvl>
  </w:abstractNum>
  <w:abstractNum w:abstractNumId="712">
    <w:nsid w:val="60602E62"/>
    <w:multiLevelType w:val="hybridMultilevel"/>
    <w:lvl w:ilvl="0">
      <w:lvlJc w:val="left"/>
      <w:lvlText w:val="(%1)"/>
      <w:numFmt w:val="lowerRoman"/>
      <w:start w:val="3"/>
    </w:lvl>
  </w:abstractNum>
  <w:abstractNum w:abstractNumId="713">
    <w:nsid w:val="47D0D402"/>
    <w:multiLevelType w:val="hybridMultilevel"/>
    <w:lvl w:ilvl="0">
      <w:lvlJc w:val="left"/>
      <w:lvlText w:val="%1"/>
      <w:numFmt w:val="lowerLetter"/>
      <w:start w:val="1"/>
    </w:lvl>
    <w:lvl w:ilvl="1">
      <w:lvlJc w:val="left"/>
      <w:lvlText w:val="(%2)"/>
      <w:numFmt w:val="lowerLetter"/>
      <w:start w:val="1"/>
    </w:lvl>
  </w:abstractNum>
  <w:abstractNum w:abstractNumId="714">
    <w:nsid w:val="D1CD939"/>
    <w:multiLevelType w:val="hybridMultilevel"/>
    <w:lvl w:ilvl="0">
      <w:lvlJc w:val="left"/>
      <w:lvlText w:val="(%1)"/>
      <w:numFmt w:val="lowerLetter"/>
      <w:start w:val="35"/>
    </w:lvl>
    <w:lvl w:ilvl="1">
      <w:lvlJc w:val="left"/>
      <w:lvlText w:val="(%2)"/>
      <w:numFmt w:val="lowerLetter"/>
      <w:start w:val="6"/>
    </w:lvl>
  </w:abstractNum>
  <w:abstractNum w:abstractNumId="715">
    <w:nsid w:val="12552B10"/>
    <w:multiLevelType w:val="hybridMultilevel"/>
    <w:lvl w:ilvl="0">
      <w:lvlJc w:val="left"/>
      <w:lvlText w:val="(%1)"/>
      <w:numFmt w:val="lowerLetter"/>
      <w:start w:val="8"/>
    </w:lvl>
  </w:abstractNum>
  <w:abstractNum w:abstractNumId="716">
    <w:nsid w:val="F4E8872"/>
    <w:multiLevelType w:val="hybridMultilevel"/>
    <w:lvl w:ilvl="0">
      <w:lvlJc w:val="left"/>
      <w:lvlText w:val="(%1)"/>
      <w:numFmt w:val="lowerLetter"/>
      <w:start w:val="13"/>
    </w:lvl>
  </w:abstractNum>
  <w:abstractNum w:abstractNumId="717">
    <w:nsid w:val="5CF24B45"/>
    <w:multiLevelType w:val="hybridMultilevel"/>
    <w:lvl w:ilvl="0">
      <w:lvlJc w:val="left"/>
      <w:lvlText w:val="(%1)"/>
      <w:numFmt w:val="lowerLetter"/>
      <w:start w:val="1"/>
    </w:lvl>
  </w:abstractNum>
  <w:abstractNum w:abstractNumId="718">
    <w:nsid w:val="5F91BE56"/>
    <w:multiLevelType w:val="hybridMultilevel"/>
    <w:lvl w:ilvl="0">
      <w:lvlJc w:val="left"/>
      <w:lvlText w:val="%1"/>
      <w:numFmt w:val="lowerLetter"/>
      <w:start w:val="1"/>
    </w:lvl>
    <w:lvl w:ilvl="1">
      <w:lvlJc w:val="left"/>
      <w:lvlText w:val="(%2)"/>
      <w:numFmt w:val="lowerLetter"/>
      <w:start w:val="11"/>
    </w:lvl>
  </w:abstractNum>
  <w:abstractNum w:abstractNumId="719">
    <w:nsid w:val="3C3F0BFD"/>
    <w:multiLevelType w:val="hybridMultilevel"/>
    <w:lvl w:ilvl="0">
      <w:lvlJc w:val="left"/>
      <w:lvlText w:val="(%1)"/>
      <w:numFmt w:val="lowerLetter"/>
      <w:start w:val="35"/>
    </w:lvl>
    <w:lvl w:ilvl="1">
      <w:lvlJc w:val="left"/>
      <w:lvlText w:val="(%2)"/>
      <w:numFmt w:val="lowerLetter"/>
      <w:start w:val="13"/>
    </w:lvl>
  </w:abstractNum>
  <w:abstractNum w:abstractNumId="720">
    <w:nsid w:val="1B15D96C"/>
    <w:multiLevelType w:val="hybridMultilevel"/>
    <w:lvl w:ilvl="0">
      <w:lvlJc w:val="left"/>
      <w:lvlText w:val="(%1)"/>
      <w:numFmt w:val="lowerLetter"/>
      <w:start w:val="1"/>
    </w:lvl>
  </w:abstractNum>
  <w:abstractNum w:abstractNumId="721">
    <w:nsid w:val="7B469A23"/>
    <w:multiLevelType w:val="hybridMultilevel"/>
    <w:lvl w:ilvl="0">
      <w:lvlJc w:val="left"/>
      <w:lvlText w:val="%1"/>
      <w:numFmt w:val="lowerLetter"/>
      <w:start w:val="1"/>
    </w:lvl>
    <w:lvl w:ilvl="1">
      <w:lvlJc w:val="left"/>
      <w:lvlText w:val="(%2)"/>
      <w:numFmt w:val="lowerLetter"/>
      <w:start w:val="7"/>
    </w:lvl>
  </w:abstractNum>
  <w:abstractNum w:abstractNumId="722">
    <w:nsid w:val="21DCDBA0"/>
    <w:multiLevelType w:val="hybridMultilevel"/>
    <w:lvl w:ilvl="0">
      <w:lvlJc w:val="left"/>
      <w:lvlText w:val="(%1)"/>
      <w:numFmt w:val="lowerLetter"/>
      <w:start w:val="35"/>
    </w:lvl>
    <w:lvl w:ilvl="1">
      <w:lvlJc w:val="left"/>
      <w:lvlText w:val="(%2)"/>
      <w:numFmt w:val="lowerLetter"/>
      <w:start w:val="12"/>
    </w:lvl>
  </w:abstractNum>
  <w:abstractNum w:abstractNumId="723">
    <w:nsid w:val="220655C4"/>
    <w:multiLevelType w:val="hybridMultilevel"/>
    <w:lvl w:ilvl="0">
      <w:lvlJc w:val="left"/>
      <w:lvlText w:val="%1"/>
      <w:numFmt w:val="upperLetter"/>
      <w:start w:val="1"/>
    </w:lvl>
    <w:lvl w:ilvl="1">
      <w:lvlJc w:val="left"/>
      <w:lvlText w:val="(%2)"/>
      <w:numFmt w:val="lowerLetter"/>
      <w:start w:val="15"/>
    </w:lvl>
  </w:abstractNum>
  <w:abstractNum w:abstractNumId="724">
    <w:nsid w:val="5CE60F5E"/>
    <w:multiLevelType w:val="hybridMultilevel"/>
    <w:lvl w:ilvl="0">
      <w:lvlJc w:val="left"/>
      <w:lvlText w:val="(%1)"/>
      <w:numFmt w:val="upperLetter"/>
      <w:start w:val="9"/>
    </w:lvl>
    <w:lvl w:ilvl="1">
      <w:lvlJc w:val="left"/>
      <w:lvlText w:val="(%2)"/>
      <w:numFmt w:val="lowerLetter"/>
      <w:start w:val="16"/>
    </w:lvl>
  </w:abstractNum>
  <w:abstractNum w:abstractNumId="725">
    <w:nsid w:val="4B9A6638"/>
    <w:multiLevelType w:val="hybridMultilevel"/>
    <w:lvl w:ilvl="0">
      <w:lvlJc w:val="left"/>
      <w:lvlText w:val="(%1)"/>
      <w:numFmt w:val="lowerLetter"/>
      <w:start w:val="1"/>
    </w:lvl>
  </w:abstractNum>
  <w:abstractNum w:abstractNumId="726">
    <w:nsid w:val="2822BCA7"/>
    <w:multiLevelType w:val="hybridMultilevel"/>
    <w:lvl w:ilvl="0">
      <w:lvlJc w:val="left"/>
      <w:lvlText w:val="%1"/>
      <w:numFmt w:val="upperLetter"/>
      <w:start w:val="1"/>
    </w:lvl>
    <w:lvl w:ilvl="1">
      <w:lvlJc w:val="left"/>
      <w:lvlText w:val="(%2)"/>
      <w:numFmt w:val="lowerLetter"/>
      <w:start w:val="1"/>
    </w:lvl>
  </w:abstractNum>
  <w:abstractNum w:abstractNumId="727">
    <w:nsid w:val="46182E75"/>
    <w:multiLevelType w:val="hybridMultilevel"/>
    <w:lvl w:ilvl="0">
      <w:lvlJc w:val="left"/>
      <w:lvlText w:val="(%1)"/>
      <w:numFmt w:val="upperLetter"/>
      <w:start w:val="1"/>
    </w:lvl>
    <w:lvl w:ilvl="1">
      <w:lvlJc w:val="left"/>
      <w:lvlText w:val="(%2)"/>
      <w:numFmt w:val="lowerLetter"/>
      <w:start w:val="5"/>
    </w:lvl>
  </w:abstractNum>
  <w:abstractNum w:abstractNumId="728">
    <w:nsid w:val="79311D4C"/>
    <w:multiLevelType w:val="hybridMultilevel"/>
    <w:lvl w:ilvl="0">
      <w:lvlJc w:val="left"/>
      <w:lvlText w:val="%1"/>
      <w:numFmt w:val="upperLetter"/>
      <w:start w:val="1"/>
    </w:lvl>
    <w:lvl w:ilvl="1">
      <w:lvlJc w:val="left"/>
      <w:lvlText w:val="(%2)"/>
      <w:numFmt w:val="lowerLetter"/>
      <w:start w:val="6"/>
    </w:lvl>
  </w:abstractNum>
  <w:abstractNum w:abstractNumId="729">
    <w:nsid w:val="6599B689"/>
    <w:multiLevelType w:val="hybridMultilevel"/>
    <w:lvl w:ilvl="0">
      <w:lvlJc w:val="left"/>
      <w:lvlText w:val="(%1)"/>
      <w:numFmt w:val="upperLetter"/>
      <w:start w:val="2"/>
    </w:lvl>
    <w:lvl w:ilvl="1">
      <w:lvlJc w:val="left"/>
      <w:lvlText w:val="(%2)"/>
      <w:numFmt w:val="lowerLetter"/>
      <w:start w:val="10"/>
    </w:lvl>
  </w:abstractNum>
  <w:abstractNum w:abstractNumId="730">
    <w:nsid w:val="58625C6D"/>
    <w:multiLevelType w:val="hybridMultilevel"/>
    <w:lvl w:ilvl="0">
      <w:lvlJc w:val="left"/>
      <w:lvlText w:val="(%1)"/>
      <w:numFmt w:val="lowerLetter"/>
      <w:start w:val="1"/>
    </w:lvl>
  </w:abstractNum>
  <w:abstractNum w:abstractNumId="731">
    <w:nsid w:val="2357E574"/>
    <w:multiLevelType w:val="hybridMultilevel"/>
    <w:lvl w:ilvl="0">
      <w:lvlJc w:val="left"/>
      <w:lvlText w:val="(%1)"/>
      <w:numFmt w:val="lowerLetter"/>
      <w:start w:val="2"/>
    </w:lvl>
  </w:abstractNum>
  <w:abstractNum w:abstractNumId="732">
    <w:nsid w:val="6580D91B"/>
    <w:multiLevelType w:val="hybridMultilevel"/>
    <w:lvl w:ilvl="0">
      <w:lvlJc w:val="left"/>
      <w:lvlText w:val="(%1)"/>
      <w:numFmt w:val="lowerLetter"/>
      <w:start w:val="1"/>
    </w:lvl>
  </w:abstractNum>
  <w:abstractNum w:abstractNumId="733">
    <w:nsid w:val="392BA6B3"/>
    <w:multiLevelType w:val="hybridMultilevel"/>
    <w:lvl w:ilvl="0">
      <w:lvlJc w:val="left"/>
      <w:lvlText w:val="(%1)"/>
      <w:numFmt w:val="lowerLetter"/>
      <w:start w:val="1"/>
    </w:lvl>
  </w:abstractNum>
  <w:abstractNum w:abstractNumId="734">
    <w:nsid w:val="29F583EF"/>
    <w:multiLevelType w:val="hybridMultilevel"/>
    <w:lvl w:ilvl="0">
      <w:lvlJc w:val="left"/>
      <w:lvlText w:val="%1"/>
      <w:numFmt w:val="lowerLetter"/>
      <w:start w:val="1"/>
    </w:lvl>
    <w:lvl w:ilvl="1">
      <w:lvlJc w:val="left"/>
      <w:lvlText w:val="(%2)"/>
      <w:numFmt w:val="lowerLetter"/>
      <w:start w:val="3"/>
    </w:lvl>
  </w:abstractNum>
  <w:abstractNum w:abstractNumId="735">
    <w:nsid w:val="6486395B"/>
    <w:multiLevelType w:val="hybridMultilevel"/>
    <w:lvl w:ilvl="0">
      <w:lvlJc w:val="left"/>
      <w:lvlText w:val="(%1)"/>
      <w:numFmt w:val="lowerLetter"/>
      <w:start w:val="35"/>
    </w:lvl>
    <w:lvl w:ilvl="1">
      <w:lvlJc w:val="left"/>
      <w:lvlText w:val="(%2)"/>
      <w:numFmt w:val="lowerLetter"/>
      <w:start w:val="10"/>
    </w:lvl>
  </w:abstractNum>
  <w:abstractNum w:abstractNumId="736">
    <w:nsid w:val="569BC2B2"/>
    <w:multiLevelType w:val="hybridMultilevel"/>
    <w:lvl w:ilvl="0">
      <w:lvlJc w:val="left"/>
      <w:lvlText w:val="(%1)"/>
      <w:numFmt w:val="lowerLetter"/>
      <w:start w:val="1"/>
    </w:lvl>
  </w:abstractNum>
  <w:abstractNum w:abstractNumId="737">
    <w:nsid w:val="74087021"/>
    <w:multiLevelType w:val="hybridMultilevel"/>
    <w:lvl w:ilvl="0">
      <w:lvlJc w:val="left"/>
      <w:lvlText w:val="(%1)"/>
      <w:numFmt w:val="lowerLetter"/>
      <w:start w:val="1"/>
    </w:lvl>
  </w:abstractNum>
  <w:abstractNum w:abstractNumId="738">
    <w:nsid w:val="23BC16C2"/>
    <w:multiLevelType w:val="hybridMultilevel"/>
    <w:lvl w:ilvl="0">
      <w:lvlJc w:val="left"/>
      <w:lvlText w:val="(%1)"/>
      <w:numFmt w:val="lowerLetter"/>
      <w:start w:val="1"/>
    </w:lvl>
  </w:abstractNum>
  <w:abstractNum w:abstractNumId="739">
    <w:nsid w:val="2026EC5"/>
    <w:multiLevelType w:val="hybridMultilevel"/>
    <w:lvl w:ilvl="0">
      <w:lvlJc w:val="left"/>
      <w:lvlText w:val="(%1)"/>
      <w:numFmt w:val="lowerLetter"/>
      <w:start w:val="4"/>
    </w:lvl>
  </w:abstractNum>
  <w:abstractNum w:abstractNumId="740">
    <w:nsid w:val="4DF9979A"/>
    <w:multiLevelType w:val="hybridMultilevel"/>
    <w:lvl w:ilvl="0">
      <w:lvlJc w:val="left"/>
      <w:lvlText w:val="(%1)"/>
      <w:numFmt w:val="lowerLetter"/>
      <w:start w:val="1"/>
    </w:lvl>
  </w:abstractNum>
  <w:abstractNum w:abstractNumId="741">
    <w:nsid w:val="68E13F8E"/>
    <w:multiLevelType w:val="hybridMultilevel"/>
    <w:lvl w:ilvl="0">
      <w:lvlJc w:val="left"/>
      <w:lvlText w:val="%1"/>
      <w:numFmt w:val="lowerLetter"/>
      <w:start w:val="1"/>
    </w:lvl>
    <w:lvl w:ilvl="1">
      <w:lvlJc w:val="left"/>
      <w:lvlText w:val="(%2)"/>
      <w:numFmt w:val="lowerLetter"/>
      <w:start w:val="1"/>
    </w:lvl>
  </w:abstractNum>
  <w:abstractNum w:abstractNumId="742">
    <w:nsid w:val="51C07F53"/>
    <w:multiLevelType w:val="hybridMultilevel"/>
    <w:lvl w:ilvl="0">
      <w:lvlJc w:val="left"/>
      <w:lvlText w:val="(%1)"/>
      <w:numFmt w:val="lowerLetter"/>
      <w:start w:val="2"/>
    </w:lvl>
    <w:lvl w:ilvl="1">
      <w:lvlJc w:val="left"/>
      <w:lvlText w:val="(%2)"/>
      <w:numFmt w:val="lowerLetter"/>
      <w:start w:val="4"/>
    </w:lvl>
  </w:abstractNum>
  <w:abstractNum w:abstractNumId="743">
    <w:nsid w:val="2E59C5FD"/>
    <w:multiLevelType w:val="hybridMultilevel"/>
    <w:lvl w:ilvl="0">
      <w:lvlJc w:val="left"/>
      <w:lvlText w:val="(%1)"/>
      <w:numFmt w:val="lowerLetter"/>
      <w:start w:val="6"/>
    </w:lvl>
  </w:abstractNum>
  <w:abstractNum w:abstractNumId="744">
    <w:nsid w:val="30B21390"/>
    <w:multiLevelType w:val="hybridMultilevel"/>
    <w:lvl w:ilvl="0">
      <w:lvlJc w:val="left"/>
      <w:lvlText w:val="(%1)"/>
      <w:numFmt w:val="lowerLetter"/>
      <w:start w:val="11"/>
    </w:lvl>
  </w:abstractNum>
  <w:abstractNum w:abstractNumId="745">
    <w:nsid w:val="5EDD588C"/>
    <w:multiLevelType w:val="hybridMultilevel"/>
    <w:lvl w:ilvl="0">
      <w:lvlJc w:val="left"/>
      <w:lvlText w:val="(%1)"/>
      <w:numFmt w:val="lowerLetter"/>
      <w:start w:val="1"/>
    </w:lvl>
  </w:abstractNum>
  <w:abstractNum w:abstractNumId="746">
    <w:nsid w:val="40AEF10D"/>
    <w:multiLevelType w:val="hybridMultilevel"/>
    <w:lvl w:ilvl="0">
      <w:lvlJc w:val="left"/>
      <w:lvlText w:val="(%1)"/>
      <w:numFmt w:val="lowerLetter"/>
      <w:start w:val="1"/>
    </w:lvl>
  </w:abstractNum>
  <w:abstractNum w:abstractNumId="747">
    <w:nsid w:val="40009C03"/>
    <w:multiLevelType w:val="hybridMultilevel"/>
    <w:lvl w:ilvl="0">
      <w:lvlJc w:val="left"/>
      <w:lvlText w:val="(%1)"/>
      <w:numFmt w:val="lowerLetter"/>
      <w:start w:val="2"/>
    </w:lvl>
  </w:abstractNum>
  <w:abstractNum w:abstractNumId="748">
    <w:nsid w:val="3BCFA3D1"/>
    <w:multiLevelType w:val="hybridMultilevel"/>
    <w:lvl w:ilvl="0">
      <w:lvlJc w:val="left"/>
      <w:lvlText w:val="(%1)"/>
      <w:numFmt w:val="lowerLetter"/>
      <w:start w:val="2"/>
    </w:lvl>
  </w:abstractNum>
  <w:abstractNum w:abstractNumId="749">
    <w:nsid w:val="2040AF63"/>
    <w:multiLevelType w:val="hybridMultilevel"/>
    <w:lvl w:ilvl="0">
      <w:lvlJc w:val="left"/>
      <w:lvlText w:val="(%1)"/>
      <w:numFmt w:val="lowerLetter"/>
      <w:start w:val="1"/>
    </w:lvl>
  </w:abstractNum>
  <w:abstractNum w:abstractNumId="750">
    <w:nsid w:val="7C3FA800"/>
    <w:multiLevelType w:val="hybridMultilevel"/>
    <w:lvl w:ilvl="0">
      <w:lvlJc w:val="left"/>
      <w:lvlText w:val="%1"/>
      <w:numFmt w:val="lowerLetter"/>
      <w:start w:val="1"/>
    </w:lvl>
    <w:lvl w:ilvl="1">
      <w:lvlJc w:val="left"/>
      <w:lvlText w:val="(%2)"/>
      <w:numFmt w:val="lowerLetter"/>
      <w:start w:val="1"/>
    </w:lvl>
  </w:abstractNum>
  <w:abstractNum w:abstractNumId="751">
    <w:nsid w:val="56E57D3D"/>
    <w:multiLevelType w:val="hybridMultilevel"/>
    <w:lvl w:ilvl="0">
      <w:lvlJc w:val="left"/>
      <w:lvlText w:val="(%1)"/>
      <w:numFmt w:val="lowerLetter"/>
      <w:start w:val="35"/>
    </w:lvl>
    <w:lvl w:ilvl="1">
      <w:lvlJc w:val="left"/>
      <w:lvlText w:val="(%2)"/>
      <w:numFmt w:val="lowerLetter"/>
      <w:start w:val="2"/>
    </w:lvl>
  </w:abstractNum>
  <w:abstractNum w:abstractNumId="752">
    <w:nsid w:val="1B874986"/>
    <w:multiLevelType w:val="hybridMultilevel"/>
    <w:lvl w:ilvl="0">
      <w:lvlJc w:val="left"/>
      <w:lvlText w:val="(%1)"/>
      <w:numFmt w:val="lowerLetter"/>
      <w:start w:val="3"/>
    </w:lvl>
  </w:abstractNum>
  <w:abstractNum w:abstractNumId="753">
    <w:nsid w:val="1E1C83A1"/>
    <w:multiLevelType w:val="hybridMultilevel"/>
    <w:lvl w:ilvl="0">
      <w:lvlJc w:val="left"/>
      <w:lvlText w:val="%1"/>
      <w:numFmt w:val="lowerLetter"/>
      <w:start w:val="1"/>
    </w:lvl>
    <w:lvl w:ilvl="1">
      <w:lvlJc w:val="left"/>
      <w:lvlText w:val="(%2)"/>
      <w:numFmt w:val="lowerLetter"/>
      <w:start w:val="1"/>
    </w:lvl>
  </w:abstractNum>
  <w:abstractNum w:abstractNumId="754">
    <w:nsid w:val="78EBD301"/>
    <w:multiLevelType w:val="hybridMultilevel"/>
    <w:lvl w:ilvl="0">
      <w:lvlJc w:val="left"/>
      <w:lvlText w:val="(%1)"/>
      <w:numFmt w:val="lowerLetter"/>
      <w:start w:val="35"/>
    </w:lvl>
    <w:lvl w:ilvl="1">
      <w:lvlJc w:val="left"/>
      <w:lvlText w:val="%2"/>
      <w:numFmt w:val="lowerLetter"/>
      <w:start w:val="1"/>
    </w:lvl>
  </w:abstractNum>
  <w:abstractNum w:abstractNumId="755">
    <w:nsid w:val="786D58E4"/>
    <w:multiLevelType w:val="hybridMultilevel"/>
    <w:lvl w:ilvl="0">
      <w:lvlJc w:val="left"/>
      <w:lvlText w:val="(%1)"/>
      <w:numFmt w:val="upperLetter"/>
      <w:start w:val="2"/>
    </w:lvl>
    <w:lvl w:ilvl="1">
      <w:lvlJc w:val="left"/>
      <w:lvlText w:val="(%2)"/>
      <w:numFmt w:val="lowerLetter"/>
      <w:start w:val="2"/>
    </w:lvl>
  </w:abstractNum>
  <w:abstractNum w:abstractNumId="756">
    <w:nsid w:val="69B6E9D9"/>
    <w:multiLevelType w:val="hybridMultilevel"/>
    <w:lvl w:ilvl="0">
      <w:lvlJc w:val="left"/>
      <w:lvlText w:val="(%1)"/>
      <w:numFmt w:val="lowerLetter"/>
      <w:start w:val="1"/>
    </w:lvl>
  </w:abstractNum>
  <w:abstractNum w:abstractNumId="757">
    <w:nsid w:val="210E8FA8"/>
    <w:multiLevelType w:val="hybridMultilevel"/>
    <w:lvl w:ilvl="0">
      <w:lvlJc w:val="left"/>
      <w:lvlText w:val="(%1)"/>
      <w:numFmt w:val="lowerLetter"/>
      <w:start w:val="2"/>
    </w:lvl>
  </w:abstractNum>
  <w:abstractNum w:abstractNumId="758">
    <w:nsid w:val="3E85875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59">
    <w:nsid w:val="62E80725"/>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760">
    <w:nsid w:val="6A84631"/>
    <w:multiLevelType w:val="hybridMultilevel"/>
    <w:lvl w:ilvl="0">
      <w:lvlJc w:val="left"/>
      <w:lvlText w:val="(%1)"/>
      <w:numFmt w:val="lowerRoman"/>
      <w:start w:val="2"/>
    </w:lvl>
  </w:abstractNum>
  <w:abstractNum w:abstractNumId="761">
    <w:nsid w:val="16E7E3C7"/>
    <w:multiLevelType w:val="hybridMultilevel"/>
    <w:lvl w:ilvl="0">
      <w:lvlJc w:val="left"/>
      <w:lvlText w:val="(%1)"/>
      <w:numFmt w:val="lowerRoman"/>
      <w:start w:val="4"/>
    </w:lvl>
  </w:abstractNum>
  <w:abstractNum w:abstractNumId="762">
    <w:nsid w:val="63FEC9A"/>
    <w:multiLevelType w:val="hybridMultilevel"/>
    <w:lvl w:ilvl="0">
      <w:lvlJc w:val="left"/>
      <w:lvlText w:val="(%1)"/>
      <w:numFmt w:val="lowerLetter"/>
      <w:start w:val="1"/>
    </w:lvl>
  </w:abstractNum>
  <w:abstractNum w:abstractNumId="763">
    <w:nsid w:val="6C291F4C"/>
    <w:multiLevelType w:val="hybridMultilevel"/>
    <w:lvl w:ilvl="0">
      <w:lvlJc w:val="left"/>
      <w:lvlText w:val="(%1)"/>
      <w:numFmt w:val="lowerLetter"/>
      <w:start w:val="4"/>
    </w:lvl>
  </w:abstractNum>
  <w:abstractNum w:abstractNumId="764">
    <w:nsid w:val="50138A7A"/>
    <w:multiLevelType w:val="hybridMultilevel"/>
    <w:lvl w:ilvl="0">
      <w:lvlJc w:val="left"/>
      <w:lvlText w:val="(%1)"/>
      <w:numFmt w:val="lowerRoman"/>
      <w:start w:val="13"/>
    </w:lvl>
  </w:abstractNum>
  <w:abstractNum w:abstractNumId="765">
    <w:nsid w:val="30357089"/>
    <w:multiLevelType w:val="hybridMultilevel"/>
    <w:lvl w:ilvl="0">
      <w:lvlJc w:val="left"/>
      <w:lvlText w:val="(%1)"/>
      <w:numFmt w:val="lowerLetter"/>
      <w:start w:val="1"/>
    </w:lvl>
    <w:lvl w:ilvl="1">
      <w:lvlJc w:val="left"/>
      <w:lvlText w:val="(%2)"/>
      <w:numFmt w:val="lowerRoman"/>
      <w:start w:val="1"/>
    </w:lvl>
  </w:abstractNum>
  <w:abstractNum w:abstractNumId="766">
    <w:nsid w:val="50AF58A7"/>
    <w:multiLevelType w:val="hybridMultilevel"/>
    <w:lvl w:ilvl="0">
      <w:lvlJc w:val="left"/>
      <w:lvlText w:val="(%1)"/>
      <w:numFmt w:val="lowerLetter"/>
      <w:start w:val="2"/>
    </w:lvl>
  </w:abstractNum>
  <w:abstractNum w:abstractNumId="767">
    <w:nsid w:val="26AF4D2D"/>
    <w:multiLevelType w:val="hybridMultilevel"/>
    <w:lvl w:ilvl="0">
      <w:lvlJc w:val="left"/>
      <w:lvlText w:val="(%1)"/>
      <w:numFmt w:val="lowerLetter"/>
      <w:start w:val="3"/>
    </w:lvl>
  </w:abstractNum>
  <w:abstractNum w:abstractNumId="768">
    <w:nsid w:val="243DE0AA"/>
    <w:multiLevelType w:val="hybridMultilevel"/>
    <w:lvl w:ilvl="0">
      <w:lvlJc w:val="left"/>
      <w:lvlText w:val="(%1)"/>
      <w:numFmt w:val="lowerLetter"/>
      <w:start w:val="5"/>
    </w:lvl>
  </w:abstractNum>
  <w:abstractNum w:abstractNumId="769">
    <w:nsid w:val="746B6F6A"/>
    <w:multiLevelType w:val="hybridMultilevel"/>
    <w:lvl w:ilvl="0">
      <w:lvlJc w:val="left"/>
      <w:lvlText w:val="(%1)"/>
      <w:numFmt w:val="lowerLetter"/>
      <w:start w:val="1"/>
    </w:lvl>
  </w:abstractNum>
  <w:abstractNum w:abstractNumId="770">
    <w:nsid w:val="28B1BBF2"/>
    <w:multiLevelType w:val="hybridMultilevel"/>
    <w:lvl w:ilvl="0">
      <w:lvlJc w:val="left"/>
      <w:lvlText w:val="(%1)"/>
      <w:numFmt w:val="lowerLetter"/>
      <w:start w:val="3"/>
    </w:lvl>
  </w:abstractNum>
  <w:abstractNum w:abstractNumId="771">
    <w:nsid w:val="723778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72">
    <w:nsid w:val="5D4CAEF8"/>
    <w:multiLevelType w:val="hybridMultilevel"/>
    <w:lvl w:ilvl="0">
      <w:lvlJc w:val="left"/>
      <w:lvlText w:val="(%1)"/>
      <w:numFmt w:val="lowerRoman"/>
      <w:start w:val="3"/>
    </w:lvl>
    <w:lvl w:ilvl="1">
      <w:lvlJc w:val="left"/>
      <w:lvlText w:val="(%2)"/>
      <w:numFmt w:val="upperLetter"/>
      <w:start w:val="1"/>
    </w:lvl>
  </w:abstractNum>
  <w:abstractNum w:abstractNumId="773">
    <w:nsid w:val="7A723B45"/>
    <w:multiLevelType w:val="hybridMultilevel"/>
    <w:lvl w:ilvl="0">
      <w:lvlJc w:val="left"/>
      <w:lvlText w:val="(%1)"/>
      <w:numFmt w:val="lowerLetter"/>
      <w:start w:val="3"/>
    </w:lvl>
  </w:abstractNum>
  <w:abstractNum w:abstractNumId="774">
    <w:nsid w:val="20913E41"/>
    <w:multiLevelType w:val="hybridMultilevel"/>
    <w:lvl w:ilvl="0">
      <w:lvlJc w:val="left"/>
      <w:lvlText w:val="(%1)"/>
      <w:numFmt w:val="lowerLetter"/>
      <w:start w:val="5"/>
    </w:lvl>
  </w:abstractNum>
  <w:abstractNum w:abstractNumId="775">
    <w:nsid w:val="DFEC288"/>
    <w:multiLevelType w:val="hybridMultilevel"/>
    <w:lvl w:ilvl="0">
      <w:lvlJc w:val="left"/>
      <w:lvlText w:val="(%1)"/>
      <w:numFmt w:val="lowerLetter"/>
      <w:start w:val="1"/>
    </w:lvl>
  </w:abstractNum>
  <w:abstractNum w:abstractNumId="776">
    <w:nsid w:val="594F93D1"/>
    <w:multiLevelType w:val="hybridMultilevel"/>
    <w:lvl w:ilvl="0">
      <w:lvlJc w:val="left"/>
      <w:lvlText w:val="(%1)"/>
      <w:numFmt w:val="lowerLetter"/>
      <w:start w:val="2"/>
    </w:lvl>
  </w:abstractNum>
  <w:abstractNum w:abstractNumId="777">
    <w:nsid w:val="61402F4E"/>
    <w:multiLevelType w:val="hybridMultilevel"/>
    <w:lvl w:ilvl="0">
      <w:lvlJc w:val="left"/>
      <w:lvlText w:val="(%1)"/>
      <w:numFmt w:val="lowerLetter"/>
      <w:start w:val="1"/>
    </w:lvl>
  </w:abstractNum>
  <w:abstractNum w:abstractNumId="778">
    <w:nsid w:val="4DFF5E8B"/>
    <w:multiLevelType w:val="hybridMultilevel"/>
    <w:lvl w:ilvl="0">
      <w:lvlJc w:val="left"/>
      <w:lvlText w:val="(%1)"/>
      <w:numFmt w:val="lowerLetter"/>
      <w:start w:val="2"/>
    </w:lvl>
  </w:abstractNum>
  <w:abstractNum w:abstractNumId="779">
    <w:nsid w:val="151F37A3"/>
    <w:multiLevelType w:val="hybridMultilevel"/>
    <w:lvl w:ilvl="0">
      <w:lvlJc w:val="left"/>
      <w:lvlText w:val="(%1)"/>
      <w:numFmt w:val="lowerLetter"/>
      <w:start w:val="1"/>
    </w:lvl>
  </w:abstractNum>
  <w:abstractNum w:abstractNumId="780">
    <w:nsid w:val="180DEB1"/>
    <w:multiLevelType w:val="hybridMultilevel"/>
    <w:lvl w:ilvl="0">
      <w:lvlJc w:val="left"/>
      <w:lvlText w:val="(%1)"/>
      <w:numFmt w:val="lowerLetter"/>
      <w:start w:val="2"/>
    </w:lvl>
  </w:abstractNum>
  <w:abstractNum w:abstractNumId="781">
    <w:nsid w:val="4A3F068C"/>
    <w:multiLevelType w:val="hybridMultilevel"/>
    <w:lvl w:ilvl="0">
      <w:lvlJc w:val="left"/>
      <w:lvlText w:val="(%1)"/>
      <w:numFmt w:val="upperLetter"/>
      <w:start w:val="1"/>
    </w:lvl>
  </w:abstractNum>
  <w:abstractNum w:abstractNumId="782">
    <w:nsid w:val="6C04B4E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jpeg"/><Relationship Id="rId553" Type="http://schemas.openxmlformats.org/officeDocument/2006/relationships/image" Target="media/image539.png"/><Relationship Id="rId554" Type="http://schemas.openxmlformats.org/officeDocument/2006/relationships/image" Target="media/image540.jpeg"/><Relationship Id="rId555" Type="http://schemas.openxmlformats.org/officeDocument/2006/relationships/image" Target="media/image541.png"/><Relationship Id="rId556" Type="http://schemas.openxmlformats.org/officeDocument/2006/relationships/image" Target="media/image542.jpeg"/><Relationship Id="rId557" Type="http://schemas.openxmlformats.org/officeDocument/2006/relationships/image" Target="media/image543.png"/><Relationship Id="rId558" Type="http://schemas.openxmlformats.org/officeDocument/2006/relationships/image" Target="media/image544.jpeg"/><Relationship Id="rId559" Type="http://schemas.openxmlformats.org/officeDocument/2006/relationships/image" Target="media/image545.png"/><Relationship Id="rId560" Type="http://schemas.openxmlformats.org/officeDocument/2006/relationships/image" Target="media/image546.jpeg"/><Relationship Id="rId561" Type="http://schemas.openxmlformats.org/officeDocument/2006/relationships/image" Target="media/image547.png"/><Relationship Id="rId562" Type="http://schemas.openxmlformats.org/officeDocument/2006/relationships/image" Target="media/image548.jpe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72" Type="http://schemas.openxmlformats.org/officeDocument/2006/relationships/image" Target="media/image554.png"/><Relationship Id="rId573" Type="http://schemas.openxmlformats.org/officeDocument/2006/relationships/image" Target="media/image555.png"/><Relationship Id="rId574" Type="http://schemas.openxmlformats.org/officeDocument/2006/relationships/image" Target="media/image556.png"/><Relationship Id="rId575" Type="http://schemas.openxmlformats.org/officeDocument/2006/relationships/image" Target="media/image557.png"/><Relationship Id="rId576" Type="http://schemas.openxmlformats.org/officeDocument/2006/relationships/image" Target="media/image558.png"/><Relationship Id="rId577" Type="http://schemas.openxmlformats.org/officeDocument/2006/relationships/image" Target="media/image559.png"/><Relationship Id="rId578" Type="http://schemas.openxmlformats.org/officeDocument/2006/relationships/image" Target="media/image560.png"/><Relationship Id="rId579" Type="http://schemas.openxmlformats.org/officeDocument/2006/relationships/image" Target="media/image561.png"/><Relationship Id="rId580" Type="http://schemas.openxmlformats.org/officeDocument/2006/relationships/image" Target="media/image562.png"/><Relationship Id="rId581" Type="http://schemas.openxmlformats.org/officeDocument/2006/relationships/image" Target="media/image563.png"/><Relationship Id="rId582" Type="http://schemas.openxmlformats.org/officeDocument/2006/relationships/image" Target="media/image564.png"/><Relationship Id="rId583" Type="http://schemas.openxmlformats.org/officeDocument/2006/relationships/image" Target="media/image565.png"/><Relationship Id="rId584" Type="http://schemas.openxmlformats.org/officeDocument/2006/relationships/image" Target="media/image566.png"/><Relationship Id="rId585" Type="http://schemas.openxmlformats.org/officeDocument/2006/relationships/image" Target="media/image567.png"/><Relationship Id="rId586" Type="http://schemas.openxmlformats.org/officeDocument/2006/relationships/image" Target="media/image568.png"/><Relationship Id="rId587" Type="http://schemas.openxmlformats.org/officeDocument/2006/relationships/image" Target="media/image569.png"/><Relationship Id="rId588" Type="http://schemas.openxmlformats.org/officeDocument/2006/relationships/image" Target="media/image570.png"/><Relationship Id="rId589" Type="http://schemas.openxmlformats.org/officeDocument/2006/relationships/image" Target="media/image571.png"/><Relationship Id="rId590" Type="http://schemas.openxmlformats.org/officeDocument/2006/relationships/image" Target="media/image572.png"/><Relationship Id="rId591" Type="http://schemas.openxmlformats.org/officeDocument/2006/relationships/image" Target="media/image573.png"/><Relationship Id="rId592" Type="http://schemas.openxmlformats.org/officeDocument/2006/relationships/image" Target="media/image574.png"/><Relationship Id="rId593" Type="http://schemas.openxmlformats.org/officeDocument/2006/relationships/image" Target="media/image575.png"/><Relationship Id="rId594" Type="http://schemas.openxmlformats.org/officeDocument/2006/relationships/image" Target="media/image576.png"/><Relationship Id="rId595" Type="http://schemas.openxmlformats.org/officeDocument/2006/relationships/image" Target="media/image577.png"/><Relationship Id="rId596" Type="http://schemas.openxmlformats.org/officeDocument/2006/relationships/image" Target="media/image578.png"/><Relationship Id="rId597" Type="http://schemas.openxmlformats.org/officeDocument/2006/relationships/image" Target="media/image579.png"/><Relationship Id="rId598" Type="http://schemas.openxmlformats.org/officeDocument/2006/relationships/image" Target="media/image580.png"/><Relationship Id="rId599" Type="http://schemas.openxmlformats.org/officeDocument/2006/relationships/image" Target="media/image581.png"/><Relationship Id="rId600" Type="http://schemas.openxmlformats.org/officeDocument/2006/relationships/image" Target="media/image582.png"/><Relationship Id="rId601" Type="http://schemas.openxmlformats.org/officeDocument/2006/relationships/image" Target="media/image583.png"/><Relationship Id="rId602" Type="http://schemas.openxmlformats.org/officeDocument/2006/relationships/image" Target="media/image584.png"/><Relationship Id="rId603" Type="http://schemas.openxmlformats.org/officeDocument/2006/relationships/image" Target="media/image585.png"/><Relationship Id="rId604" Type="http://schemas.openxmlformats.org/officeDocument/2006/relationships/image" Target="media/image586.png"/><Relationship Id="rId605" Type="http://schemas.openxmlformats.org/officeDocument/2006/relationships/image" Target="media/image587.png"/><Relationship Id="rId606" Type="http://schemas.openxmlformats.org/officeDocument/2006/relationships/image" Target="media/image588.png"/><Relationship Id="rId607" Type="http://schemas.openxmlformats.org/officeDocument/2006/relationships/image" Target="media/image589.png"/><Relationship Id="rId608" Type="http://schemas.openxmlformats.org/officeDocument/2006/relationships/image" Target="media/image590.png"/><Relationship Id="rId609" Type="http://schemas.openxmlformats.org/officeDocument/2006/relationships/image" Target="media/image591.png"/><Relationship Id="rId610" Type="http://schemas.openxmlformats.org/officeDocument/2006/relationships/image" Target="media/image592.png"/><Relationship Id="rId611" Type="http://schemas.openxmlformats.org/officeDocument/2006/relationships/image" Target="media/image593.png"/><Relationship Id="rId612" Type="http://schemas.openxmlformats.org/officeDocument/2006/relationships/image" Target="media/image594.png"/><Relationship Id="rId613" Type="http://schemas.openxmlformats.org/officeDocument/2006/relationships/image" Target="media/image595.png"/><Relationship Id="rId614" Type="http://schemas.openxmlformats.org/officeDocument/2006/relationships/image" Target="media/image596.png"/><Relationship Id="rId615" Type="http://schemas.openxmlformats.org/officeDocument/2006/relationships/image" Target="media/image597.png"/><Relationship Id="rId616" Type="http://schemas.openxmlformats.org/officeDocument/2006/relationships/image" Target="media/image598.png"/><Relationship Id="rId617" Type="http://schemas.openxmlformats.org/officeDocument/2006/relationships/image" Target="media/image599.png"/><Relationship Id="rId618" Type="http://schemas.openxmlformats.org/officeDocument/2006/relationships/image" Target="media/image600.png"/><Relationship Id="rId619" Type="http://schemas.openxmlformats.org/officeDocument/2006/relationships/image" Target="media/image601.png"/><Relationship Id="rId620" Type="http://schemas.openxmlformats.org/officeDocument/2006/relationships/image" Target="media/image602.png"/><Relationship Id="rId621" Type="http://schemas.openxmlformats.org/officeDocument/2006/relationships/image" Target="media/image603.png"/><Relationship Id="rId622" Type="http://schemas.openxmlformats.org/officeDocument/2006/relationships/image" Target="media/image604.png"/><Relationship Id="rId623" Type="http://schemas.openxmlformats.org/officeDocument/2006/relationships/image" Target="media/image605.png"/><Relationship Id="rId624" Type="http://schemas.openxmlformats.org/officeDocument/2006/relationships/image" Target="media/image606.png"/><Relationship Id="rId625" Type="http://schemas.openxmlformats.org/officeDocument/2006/relationships/image" Target="media/image607.png"/><Relationship Id="rId626" Type="http://schemas.openxmlformats.org/officeDocument/2006/relationships/image" Target="media/image608.png"/><Relationship Id="rId627" Type="http://schemas.openxmlformats.org/officeDocument/2006/relationships/image" Target="media/image609.png"/><Relationship Id="rId628" Type="http://schemas.openxmlformats.org/officeDocument/2006/relationships/image" Target="media/image610.png"/><Relationship Id="rId629" Type="http://schemas.openxmlformats.org/officeDocument/2006/relationships/image" Target="media/image611.png"/><Relationship Id="rId630" Type="http://schemas.openxmlformats.org/officeDocument/2006/relationships/image" Target="media/image612.png"/><Relationship Id="rId631" Type="http://schemas.openxmlformats.org/officeDocument/2006/relationships/image" Target="media/image613.png"/><Relationship Id="rId632" Type="http://schemas.openxmlformats.org/officeDocument/2006/relationships/image" Target="media/image614.png"/><Relationship Id="rId633" Type="http://schemas.openxmlformats.org/officeDocument/2006/relationships/image" Target="media/image615.png"/><Relationship Id="rId634" Type="http://schemas.openxmlformats.org/officeDocument/2006/relationships/image" Target="media/image616.png"/><Relationship Id="rId635" Type="http://schemas.openxmlformats.org/officeDocument/2006/relationships/image" Target="media/image617.png"/><Relationship Id="rId636" Type="http://schemas.openxmlformats.org/officeDocument/2006/relationships/image" Target="media/image618.png"/><Relationship Id="rId637" Type="http://schemas.openxmlformats.org/officeDocument/2006/relationships/image" Target="media/image619.png"/><Relationship Id="rId638" Type="http://schemas.openxmlformats.org/officeDocument/2006/relationships/image" Target="media/image620.png"/><Relationship Id="rId639" Type="http://schemas.openxmlformats.org/officeDocument/2006/relationships/image" Target="media/image621.png"/><Relationship Id="rId640" Type="http://schemas.openxmlformats.org/officeDocument/2006/relationships/image" Target="media/image622.png"/><Relationship Id="rId641" Type="http://schemas.openxmlformats.org/officeDocument/2006/relationships/image" Target="media/image623.png"/><Relationship Id="rId642" Type="http://schemas.openxmlformats.org/officeDocument/2006/relationships/image" Target="media/image624.png"/><Relationship Id="rId643" Type="http://schemas.openxmlformats.org/officeDocument/2006/relationships/image" Target="media/image625.png"/><Relationship Id="rId644" Type="http://schemas.openxmlformats.org/officeDocument/2006/relationships/image" Target="media/image626.png"/><Relationship Id="rId645" Type="http://schemas.openxmlformats.org/officeDocument/2006/relationships/image" Target="media/image627.png"/><Relationship Id="rId646" Type="http://schemas.openxmlformats.org/officeDocument/2006/relationships/image" Target="media/image628.png"/><Relationship Id="rId647" Type="http://schemas.openxmlformats.org/officeDocument/2006/relationships/image" Target="media/image629.png"/><Relationship Id="rId648" Type="http://schemas.openxmlformats.org/officeDocument/2006/relationships/image" Target="media/image630.png"/><Relationship Id="rId649" Type="http://schemas.openxmlformats.org/officeDocument/2006/relationships/image" Target="media/image631.png"/><Relationship Id="rId650" Type="http://schemas.openxmlformats.org/officeDocument/2006/relationships/image" Target="media/image632.png"/><Relationship Id="rId651" Type="http://schemas.openxmlformats.org/officeDocument/2006/relationships/image" Target="media/image633.png"/><Relationship Id="rId652" Type="http://schemas.openxmlformats.org/officeDocument/2006/relationships/image" Target="media/image634.png"/><Relationship Id="rId653" Type="http://schemas.openxmlformats.org/officeDocument/2006/relationships/image" Target="media/image635.png"/><Relationship Id="rId654" Type="http://schemas.openxmlformats.org/officeDocument/2006/relationships/image" Target="media/image636.png"/><Relationship Id="rId655" Type="http://schemas.openxmlformats.org/officeDocument/2006/relationships/image" Target="media/image637.png"/><Relationship Id="rId656" Type="http://schemas.openxmlformats.org/officeDocument/2006/relationships/image" Target="media/image638.png"/><Relationship Id="rId657" Type="http://schemas.openxmlformats.org/officeDocument/2006/relationships/image" Target="media/image639.png"/><Relationship Id="rId658" Type="http://schemas.openxmlformats.org/officeDocument/2006/relationships/image" Target="media/image640.png"/><Relationship Id="rId659" Type="http://schemas.openxmlformats.org/officeDocument/2006/relationships/image" Target="media/image641.png"/><Relationship Id="rId660" Type="http://schemas.openxmlformats.org/officeDocument/2006/relationships/image" Target="media/image642.png"/><Relationship Id="rId661" Type="http://schemas.openxmlformats.org/officeDocument/2006/relationships/image" Target="media/image643.png"/><Relationship Id="rId662" Type="http://schemas.openxmlformats.org/officeDocument/2006/relationships/image" Target="media/image644.png"/><Relationship Id="rId663" Type="http://schemas.openxmlformats.org/officeDocument/2006/relationships/image" Target="media/image645.png"/><Relationship Id="rId664" Type="http://schemas.openxmlformats.org/officeDocument/2006/relationships/image" Target="media/image646.png"/><Relationship Id="rId665" Type="http://schemas.openxmlformats.org/officeDocument/2006/relationships/image" Target="media/image647.png"/><Relationship Id="rId666" Type="http://schemas.openxmlformats.org/officeDocument/2006/relationships/image" Target="media/image648.png"/><Relationship Id="rId667" Type="http://schemas.openxmlformats.org/officeDocument/2006/relationships/image" Target="media/image649.png"/><Relationship Id="rId668" Type="http://schemas.openxmlformats.org/officeDocument/2006/relationships/image" Target="media/image650.png"/><Relationship Id="rId669" Type="http://schemas.openxmlformats.org/officeDocument/2006/relationships/image" Target="media/image651.png"/><Relationship Id="rId670" Type="http://schemas.openxmlformats.org/officeDocument/2006/relationships/image" Target="media/image652.png"/><Relationship Id="rId671" Type="http://schemas.openxmlformats.org/officeDocument/2006/relationships/image" Target="media/image653.png"/><Relationship Id="rId672" Type="http://schemas.openxmlformats.org/officeDocument/2006/relationships/image" Target="media/image654.png"/><Relationship Id="rId673" Type="http://schemas.openxmlformats.org/officeDocument/2006/relationships/image" Target="media/image655.png"/><Relationship Id="rId674" Type="http://schemas.openxmlformats.org/officeDocument/2006/relationships/image" Target="media/image656.png"/><Relationship Id="rId675" Type="http://schemas.openxmlformats.org/officeDocument/2006/relationships/image" Target="media/image657.png"/><Relationship Id="rId676" Type="http://schemas.openxmlformats.org/officeDocument/2006/relationships/image" Target="media/image658.png"/><Relationship Id="rId677" Type="http://schemas.openxmlformats.org/officeDocument/2006/relationships/image" Target="media/image659.png"/><Relationship Id="rId678" Type="http://schemas.openxmlformats.org/officeDocument/2006/relationships/image" Target="media/image660.png"/><Relationship Id="rId679" Type="http://schemas.openxmlformats.org/officeDocument/2006/relationships/image" Target="media/image661.png"/><Relationship Id="rId680" Type="http://schemas.openxmlformats.org/officeDocument/2006/relationships/image" Target="media/image662.png"/><Relationship Id="rId681" Type="http://schemas.openxmlformats.org/officeDocument/2006/relationships/image" Target="media/image663.png"/><Relationship Id="rId682" Type="http://schemas.openxmlformats.org/officeDocument/2006/relationships/image" Target="media/image664.png"/><Relationship Id="rId683" Type="http://schemas.openxmlformats.org/officeDocument/2006/relationships/image" Target="media/image665.png"/><Relationship Id="rId684" Type="http://schemas.openxmlformats.org/officeDocument/2006/relationships/image" Target="media/image666.png"/><Relationship Id="rId685" Type="http://schemas.openxmlformats.org/officeDocument/2006/relationships/image" Target="media/image667.png"/><Relationship Id="rId686" Type="http://schemas.openxmlformats.org/officeDocument/2006/relationships/image" Target="media/image668.png"/><Relationship Id="rId687" Type="http://schemas.openxmlformats.org/officeDocument/2006/relationships/image" Target="media/image669.png"/><Relationship Id="rId688" Type="http://schemas.openxmlformats.org/officeDocument/2006/relationships/image" Target="media/image670.png"/><Relationship Id="rId689" Type="http://schemas.openxmlformats.org/officeDocument/2006/relationships/image" Target="media/image671.png"/><Relationship Id="rId690" Type="http://schemas.openxmlformats.org/officeDocument/2006/relationships/image" Target="media/image672.png"/><Relationship Id="rId691" Type="http://schemas.openxmlformats.org/officeDocument/2006/relationships/image" Target="media/image673.png"/><Relationship Id="rId692" Type="http://schemas.openxmlformats.org/officeDocument/2006/relationships/image" Target="media/image674.png"/><Relationship Id="rId693" Type="http://schemas.openxmlformats.org/officeDocument/2006/relationships/image" Target="media/image675.png"/><Relationship Id="rId694" Type="http://schemas.openxmlformats.org/officeDocument/2006/relationships/image" Target="media/image676.png"/><Relationship Id="rId695" Type="http://schemas.openxmlformats.org/officeDocument/2006/relationships/image" Target="media/image677.png"/><Relationship Id="rId696" Type="http://schemas.openxmlformats.org/officeDocument/2006/relationships/image" Target="media/image678.png"/><Relationship Id="rId697" Type="http://schemas.openxmlformats.org/officeDocument/2006/relationships/image" Target="media/image679.png"/><Relationship Id="rId698" Type="http://schemas.openxmlformats.org/officeDocument/2006/relationships/image" Target="media/image680.png"/><Relationship Id="rId699" Type="http://schemas.openxmlformats.org/officeDocument/2006/relationships/image" Target="media/image681.png"/><Relationship Id="rId700" Type="http://schemas.openxmlformats.org/officeDocument/2006/relationships/image" Target="media/image682.png"/><Relationship Id="rId701" Type="http://schemas.openxmlformats.org/officeDocument/2006/relationships/image" Target="media/image683.png"/><Relationship Id="rId702" Type="http://schemas.openxmlformats.org/officeDocument/2006/relationships/image" Target="media/image684.png"/><Relationship Id="rId703" Type="http://schemas.openxmlformats.org/officeDocument/2006/relationships/image" Target="media/image685.png"/><Relationship Id="rId704" Type="http://schemas.openxmlformats.org/officeDocument/2006/relationships/image" Target="media/image686.png"/><Relationship Id="rId705" Type="http://schemas.openxmlformats.org/officeDocument/2006/relationships/image" Target="media/image687.png"/><Relationship Id="rId706" Type="http://schemas.openxmlformats.org/officeDocument/2006/relationships/image" Target="media/image688.png"/><Relationship Id="rId707" Type="http://schemas.openxmlformats.org/officeDocument/2006/relationships/image" Target="media/image689.png"/><Relationship Id="rId708" Type="http://schemas.openxmlformats.org/officeDocument/2006/relationships/image" Target="media/image690.png"/><Relationship Id="rId709" Type="http://schemas.openxmlformats.org/officeDocument/2006/relationships/image" Target="media/image691.png"/><Relationship Id="rId710" Type="http://schemas.openxmlformats.org/officeDocument/2006/relationships/image" Target="media/image692.png"/><Relationship Id="rId711" Type="http://schemas.openxmlformats.org/officeDocument/2006/relationships/image" Target="media/image693.png"/><Relationship Id="rId712" Type="http://schemas.openxmlformats.org/officeDocument/2006/relationships/image" Target="media/image694.png"/><Relationship Id="rId713" Type="http://schemas.openxmlformats.org/officeDocument/2006/relationships/image" Target="media/image695.png"/><Relationship Id="rId714" Type="http://schemas.openxmlformats.org/officeDocument/2006/relationships/image" Target="media/image696.png"/><Relationship Id="rId715" Type="http://schemas.openxmlformats.org/officeDocument/2006/relationships/image" Target="media/image697.png"/><Relationship Id="rId716" Type="http://schemas.openxmlformats.org/officeDocument/2006/relationships/image" Target="media/image698.png"/><Relationship Id="rId717" Type="http://schemas.openxmlformats.org/officeDocument/2006/relationships/image" Target="media/image699.png"/><Relationship Id="rId718" Type="http://schemas.openxmlformats.org/officeDocument/2006/relationships/image" Target="media/image700.png"/><Relationship Id="rId719" Type="http://schemas.openxmlformats.org/officeDocument/2006/relationships/image" Target="media/image701.png"/><Relationship Id="rId720" Type="http://schemas.openxmlformats.org/officeDocument/2006/relationships/image" Target="media/image702.png"/><Relationship Id="rId721" Type="http://schemas.openxmlformats.org/officeDocument/2006/relationships/image" Target="media/image703.png"/><Relationship Id="rId722" Type="http://schemas.openxmlformats.org/officeDocument/2006/relationships/image" Target="media/image704.png"/><Relationship Id="rId723" Type="http://schemas.openxmlformats.org/officeDocument/2006/relationships/image" Target="media/image705.png"/><Relationship Id="rId724" Type="http://schemas.openxmlformats.org/officeDocument/2006/relationships/image" Target="media/image706.png"/><Relationship Id="rId725" Type="http://schemas.openxmlformats.org/officeDocument/2006/relationships/image" Target="media/image707.png"/><Relationship Id="rId726" Type="http://schemas.openxmlformats.org/officeDocument/2006/relationships/image" Target="media/image708.png"/><Relationship Id="rId727" Type="http://schemas.openxmlformats.org/officeDocument/2006/relationships/image" Target="media/image709.png"/><Relationship Id="rId728" Type="http://schemas.openxmlformats.org/officeDocument/2006/relationships/image" Target="media/image710.png"/><Relationship Id="rId729" Type="http://schemas.openxmlformats.org/officeDocument/2006/relationships/image" Target="media/image711.png"/><Relationship Id="rId730" Type="http://schemas.openxmlformats.org/officeDocument/2006/relationships/image" Target="media/image712.png"/><Relationship Id="rId731" Type="http://schemas.openxmlformats.org/officeDocument/2006/relationships/image" Target="media/image713.png"/><Relationship Id="rId732" Type="http://schemas.openxmlformats.org/officeDocument/2006/relationships/image" Target="media/image714.png"/><Relationship Id="rId733" Type="http://schemas.openxmlformats.org/officeDocument/2006/relationships/image" Target="media/image715.png"/><Relationship Id="rId734" Type="http://schemas.openxmlformats.org/officeDocument/2006/relationships/image" Target="media/image716.png"/><Relationship Id="rId735" Type="http://schemas.openxmlformats.org/officeDocument/2006/relationships/image" Target="media/image717.png"/><Relationship Id="rId736" Type="http://schemas.openxmlformats.org/officeDocument/2006/relationships/image" Target="media/image718.png"/><Relationship Id="rId737" Type="http://schemas.openxmlformats.org/officeDocument/2006/relationships/image" Target="media/image719.png"/><Relationship Id="rId738" Type="http://schemas.openxmlformats.org/officeDocument/2006/relationships/image" Target="media/image720.png"/><Relationship Id="rId739" Type="http://schemas.openxmlformats.org/officeDocument/2006/relationships/image" Target="media/image721.png"/><Relationship Id="rId740" Type="http://schemas.openxmlformats.org/officeDocument/2006/relationships/image" Target="media/image722.png"/><Relationship Id="rId741" Type="http://schemas.openxmlformats.org/officeDocument/2006/relationships/image" Target="media/image723.png"/><Relationship Id="rId742" Type="http://schemas.openxmlformats.org/officeDocument/2006/relationships/image" Target="media/image724.png"/><Relationship Id="rId743" Type="http://schemas.openxmlformats.org/officeDocument/2006/relationships/image" Target="media/image725.png"/><Relationship Id="rId744" Type="http://schemas.openxmlformats.org/officeDocument/2006/relationships/image" Target="media/image726.png"/><Relationship Id="rId745" Type="http://schemas.openxmlformats.org/officeDocument/2006/relationships/image" Target="media/image727.png"/><Relationship Id="rId746" Type="http://schemas.openxmlformats.org/officeDocument/2006/relationships/image" Target="media/image728.png"/><Relationship Id="rId747" Type="http://schemas.openxmlformats.org/officeDocument/2006/relationships/image" Target="media/image729.png"/><Relationship Id="rId748" Type="http://schemas.openxmlformats.org/officeDocument/2006/relationships/image" Target="media/image730.png"/><Relationship Id="rId749" Type="http://schemas.openxmlformats.org/officeDocument/2006/relationships/image" Target="media/image731.png"/><Relationship Id="rId750" Type="http://schemas.openxmlformats.org/officeDocument/2006/relationships/image" Target="media/image732.png"/><Relationship Id="rId751" Type="http://schemas.openxmlformats.org/officeDocument/2006/relationships/image" Target="media/image733.png"/><Relationship Id="rId752" Type="http://schemas.openxmlformats.org/officeDocument/2006/relationships/image" Target="media/image734.png"/><Relationship Id="rId753" Type="http://schemas.openxmlformats.org/officeDocument/2006/relationships/image" Target="media/image735.png"/><Relationship Id="rId754" Type="http://schemas.openxmlformats.org/officeDocument/2006/relationships/image" Target="media/image736.png"/><Relationship Id="rId755" Type="http://schemas.openxmlformats.org/officeDocument/2006/relationships/image" Target="media/image737.png"/><Relationship Id="rId756" Type="http://schemas.openxmlformats.org/officeDocument/2006/relationships/image" Target="media/image738.png"/><Relationship Id="rId757" Type="http://schemas.openxmlformats.org/officeDocument/2006/relationships/image" Target="media/image739.png"/><Relationship Id="rId758" Type="http://schemas.openxmlformats.org/officeDocument/2006/relationships/image" Target="media/image740.png"/><Relationship Id="rId759" Type="http://schemas.openxmlformats.org/officeDocument/2006/relationships/image" Target="media/image741.png"/><Relationship Id="rId760" Type="http://schemas.openxmlformats.org/officeDocument/2006/relationships/image" Target="media/image742.png"/><Relationship Id="rId761" Type="http://schemas.openxmlformats.org/officeDocument/2006/relationships/image" Target="media/image743.png"/><Relationship Id="rId762" Type="http://schemas.openxmlformats.org/officeDocument/2006/relationships/image" Target="media/image744.png"/><Relationship Id="rId763" Type="http://schemas.openxmlformats.org/officeDocument/2006/relationships/image" Target="media/image745.png"/><Relationship Id="rId764" Type="http://schemas.openxmlformats.org/officeDocument/2006/relationships/image" Target="media/image746.png"/><Relationship Id="rId765" Type="http://schemas.openxmlformats.org/officeDocument/2006/relationships/image" Target="media/image747.png"/><Relationship Id="rId766" Type="http://schemas.openxmlformats.org/officeDocument/2006/relationships/image" Target="media/image748.png"/><Relationship Id="rId767" Type="http://schemas.openxmlformats.org/officeDocument/2006/relationships/image" Target="media/image749.png"/><Relationship Id="rId768" Type="http://schemas.openxmlformats.org/officeDocument/2006/relationships/image" Target="media/image750.png"/><Relationship Id="rId769" Type="http://schemas.openxmlformats.org/officeDocument/2006/relationships/image" Target="media/image751.png"/><Relationship Id="rId770" Type="http://schemas.openxmlformats.org/officeDocument/2006/relationships/image" Target="media/image752.png"/><Relationship Id="rId771" Type="http://schemas.openxmlformats.org/officeDocument/2006/relationships/image" Target="media/image753.png"/><Relationship Id="rId772" Type="http://schemas.openxmlformats.org/officeDocument/2006/relationships/image" Target="media/image754.png"/><Relationship Id="rId773" Type="http://schemas.openxmlformats.org/officeDocument/2006/relationships/image" Target="media/image755.png"/><Relationship Id="rId774" Type="http://schemas.openxmlformats.org/officeDocument/2006/relationships/image" Target="media/image756.png"/><Relationship Id="rId775" Type="http://schemas.openxmlformats.org/officeDocument/2006/relationships/image" Target="media/image757.png"/><Relationship Id="rId776" Type="http://schemas.openxmlformats.org/officeDocument/2006/relationships/image" Target="media/image758.png"/><Relationship Id="rId777" Type="http://schemas.openxmlformats.org/officeDocument/2006/relationships/image" Target="media/image759.png"/><Relationship Id="rId778" Type="http://schemas.openxmlformats.org/officeDocument/2006/relationships/image" Target="media/image760.png"/><Relationship Id="rId779" Type="http://schemas.openxmlformats.org/officeDocument/2006/relationships/image" Target="media/image761.png"/><Relationship Id="rId780" Type="http://schemas.openxmlformats.org/officeDocument/2006/relationships/image" Target="media/image762.png"/><Relationship Id="rId781" Type="http://schemas.openxmlformats.org/officeDocument/2006/relationships/image" Target="media/image763.png"/><Relationship Id="rId782" Type="http://schemas.openxmlformats.org/officeDocument/2006/relationships/image" Target="media/image764.png"/><Relationship Id="rId783" Type="http://schemas.openxmlformats.org/officeDocument/2006/relationships/image" Target="media/image765.png"/><Relationship Id="rId784" Type="http://schemas.openxmlformats.org/officeDocument/2006/relationships/image" Target="media/image766.png"/><Relationship Id="rId785" Type="http://schemas.openxmlformats.org/officeDocument/2006/relationships/image" Target="media/image767.png"/><Relationship Id="rId786" Type="http://schemas.openxmlformats.org/officeDocument/2006/relationships/image" Target="media/image768.png"/><Relationship Id="rId787" Type="http://schemas.openxmlformats.org/officeDocument/2006/relationships/image" Target="media/image769.png"/><Relationship Id="rId788" Type="http://schemas.openxmlformats.org/officeDocument/2006/relationships/image" Target="media/image770.png"/><Relationship Id="rId789" Type="http://schemas.openxmlformats.org/officeDocument/2006/relationships/image" Target="media/image771.png"/><Relationship Id="rId790" Type="http://schemas.openxmlformats.org/officeDocument/2006/relationships/image" Target="media/image772.png"/><Relationship Id="rId791" Type="http://schemas.openxmlformats.org/officeDocument/2006/relationships/image" Target="media/image773.png"/><Relationship Id="rId792" Type="http://schemas.openxmlformats.org/officeDocument/2006/relationships/image" Target="media/image774.png"/><Relationship Id="rId793" Type="http://schemas.openxmlformats.org/officeDocument/2006/relationships/image" Target="media/image775.png"/><Relationship Id="rId794" Type="http://schemas.openxmlformats.org/officeDocument/2006/relationships/image" Target="media/image776.png"/><Relationship Id="rId795" Type="http://schemas.openxmlformats.org/officeDocument/2006/relationships/image" Target="media/image777.png"/><Relationship Id="rId796" Type="http://schemas.openxmlformats.org/officeDocument/2006/relationships/image" Target="media/image778.png"/><Relationship Id="rId797" Type="http://schemas.openxmlformats.org/officeDocument/2006/relationships/image" Target="media/image779.png"/><Relationship Id="rId798" Type="http://schemas.openxmlformats.org/officeDocument/2006/relationships/image" Target="media/image780.png"/><Relationship Id="rId799" Type="http://schemas.openxmlformats.org/officeDocument/2006/relationships/image" Target="media/image781.png"/><Relationship Id="rId800" Type="http://schemas.openxmlformats.org/officeDocument/2006/relationships/image" Target="media/image782.png"/><Relationship Id="rId801" Type="http://schemas.openxmlformats.org/officeDocument/2006/relationships/image" Target="media/image783.png"/><Relationship Id="rId802" Type="http://schemas.openxmlformats.org/officeDocument/2006/relationships/image" Target="media/image784.png"/><Relationship Id="rId803" Type="http://schemas.openxmlformats.org/officeDocument/2006/relationships/image" Target="media/image785.png"/><Relationship Id="rId804" Type="http://schemas.openxmlformats.org/officeDocument/2006/relationships/image" Target="media/image786.png"/><Relationship Id="rId805" Type="http://schemas.openxmlformats.org/officeDocument/2006/relationships/image" Target="media/image787.png"/><Relationship Id="rId806" Type="http://schemas.openxmlformats.org/officeDocument/2006/relationships/image" Target="media/image788.png"/><Relationship Id="rId807" Type="http://schemas.openxmlformats.org/officeDocument/2006/relationships/image" Target="media/image789.png"/><Relationship Id="rId808" Type="http://schemas.openxmlformats.org/officeDocument/2006/relationships/image" Target="media/image790.png"/><Relationship Id="rId809" Type="http://schemas.openxmlformats.org/officeDocument/2006/relationships/image" Target="media/image791.jpeg"/><Relationship Id="rId810" Type="http://schemas.openxmlformats.org/officeDocument/2006/relationships/image" Target="media/image792.jpeg"/><Relationship Id="rId811" Type="http://schemas.openxmlformats.org/officeDocument/2006/relationships/image" Target="media/image793.png"/><Relationship Id="rId812" Type="http://schemas.openxmlformats.org/officeDocument/2006/relationships/image" Target="media/image794.png"/><Relationship Id="rId283" Type="http://schemas.openxmlformats.org/officeDocument/2006/relationships/hyperlink" Target="http://www.sec.gov/ix?doc=/Archives/edgar/data/0000903129/000119312526059602/thrm-20251231.htm" TargetMode="External"/><Relationship Id="rId284" Type="http://schemas.openxmlformats.org/officeDocument/2006/relationships/hyperlink" Target="http://www.sec.gov/ix?doc=/Archives/edgar/data/0000903129/000119312526173920/thrm-20260331.htm" TargetMode="External"/><Relationship Id="rId285" Type="http://schemas.openxmlformats.org/officeDocument/2006/relationships/hyperlink" Target="http://www.sec.gov/ix?doc=/Archives/edgar/data/0000903129/000114036126012756/ny20062556x1_def14a.htm" TargetMode="External"/><Relationship Id="rId286" Type="http://schemas.openxmlformats.org/officeDocument/2006/relationships/hyperlink" Target="http://www.sec.gov/ix?doc=/Archives/edgar/data/0000903129/000119312526122833/d113292d8k.htm" TargetMode="External"/><Relationship Id="rId287" Type="http://schemas.openxmlformats.org/officeDocument/2006/relationships/hyperlink" Target="http://www.sec.gov/ix?doc=/Archives/edgar/data/0000903129/000119312526173969/d348690d8ka.htm" TargetMode="External"/><Relationship Id="rId288" Type="http://schemas.openxmlformats.org/officeDocument/2006/relationships/hyperlink" Target="http://www.sec.gov/ix?doc=/Archives/edgar/data/0000903129/000119312526231132/d90313d8k.htm" TargetMode="External"/><Relationship Id="rId289" Type="http://schemas.openxmlformats.org/officeDocument/2006/relationships/hyperlink" Target="http://www.sec.gov/Archives/edgar/data/903129/000156459020005507/thrm-ex4_529.htm" TargetMode="External"/><Relationship Id="rId568" Type="http://schemas.openxmlformats.org/officeDocument/2006/relationships/hyperlink" Target="http://www.sec.gov/Archives/edgar/data/903129/000119312526029374/d69298dex21.htm" TargetMode="External"/><Relationship Id="rId569" Type="http://schemas.openxmlformats.org/officeDocument/2006/relationships/hyperlink" Target="http://www.sec.gov/Archives/edgar/data/903129/000119312526029374/d69298dex22.htm" TargetMode="External"/><Relationship Id="rId570" Type="http://schemas.openxmlformats.org/officeDocument/2006/relationships/hyperlink" Target="http://www.sec.gov/Archives/edgar/data/903129/000119312518070672/d544984dex32.htm" TargetMode="External"/><Relationship Id="rId571" Type="http://schemas.openxmlformats.org/officeDocument/2006/relationships/hyperlink" Target="http://www.sec.gov/Archives/edgar/data/903129/000156459016020008/thrm-ex3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2026-07-02T07:11:21Z</dcterms:created>
  <dcterms:modified xsi:type="dcterms:W3CDTF">2026-07-02T07:11:21Z</dcterms:modified>
</cp:coreProperties>
</file>