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148590</wp:posOffset>
            </wp:positionH>
            <wp:positionV relativeFrom="page">
              <wp:posOffset>222885</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page">
              <wp:posOffset>148590</wp:posOffset>
            </wp:positionH>
            <wp:positionV relativeFrom="page">
              <wp:posOffset>237490</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t>UNITED STATES</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2581275</wp:posOffset>
            </wp:positionH>
            <wp:positionV relativeFrom="paragraph">
              <wp:posOffset>141605</wp:posOffset>
            </wp:positionV>
            <wp:extent cx="14585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8595" cy="7620"/>
                    </a:xfrm>
                    <a:prstGeom prst="rect">
                      <a:avLst/>
                    </a:prstGeom>
                    <a:noFill/>
                  </pic:spPr>
                </pic:pic>
              </a:graphicData>
            </a:graphic>
          </wp:anchor>
        </w:drawing>
      </w:r>
    </w:p>
    <w:p>
      <w:pPr>
        <w:spacing w:after="0" w:line="366"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auto"/>
        </w:rPr>
        <w:t>FORM 8-K</w:t>
      </w:r>
    </w:p>
    <w:p>
      <w:pPr>
        <w:spacing w:after="0" w:line="19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CURRENT REPORT</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66" w:lineRule="exact"/>
        <w:rPr>
          <w:sz w:val="24"/>
          <w:szCs w:val="24"/>
          <w:color w:val="auto"/>
        </w:rPr>
      </w:pPr>
    </w:p>
    <w:tbl>
      <w:tblPr>
        <w:tblLayout w:type="fixed"/>
        <w:tblInd w:w="700" w:type="dxa"/>
        <w:tblCellMar>
          <w:top w:w="0" w:type="dxa"/>
          <w:left w:w="0" w:type="dxa"/>
          <w:bottom w:w="0" w:type="dxa"/>
          <w:right w:w="0" w:type="dxa"/>
        </w:tblCellMar>
      </w:tblPr>
      <w:tr>
        <w:trPr>
          <w:trHeight w:val="203"/>
        </w:trPr>
        <w:tc>
          <w:tcPr>
            <w:tcW w:w="1620" w:type="dxa"/>
            <w:vAlign w:val="bottom"/>
          </w:tcPr>
          <w:p>
            <w:pPr>
              <w:spacing w:after="0"/>
              <w:rPr>
                <w:sz w:val="17"/>
                <w:szCs w:val="17"/>
                <w:color w:val="auto"/>
              </w:rPr>
            </w:pPr>
          </w:p>
        </w:tc>
        <w:tc>
          <w:tcPr>
            <w:tcW w:w="4040" w:type="dxa"/>
            <w:vAlign w:val="bottom"/>
            <w:gridSpan w:val="2"/>
          </w:tcPr>
          <w:p>
            <w:pPr>
              <w:ind w:left="520"/>
              <w:spacing w:after="0"/>
              <w:rPr>
                <w:sz w:val="20"/>
                <w:szCs w:val="20"/>
                <w:color w:val="auto"/>
              </w:rPr>
            </w:pPr>
            <w:r>
              <w:rPr>
                <w:rFonts w:ascii="Arial" w:cs="Arial" w:eastAsia="Arial" w:hAnsi="Arial"/>
                <w:sz w:val="16"/>
                <w:szCs w:val="16"/>
                <w:b w:val="1"/>
                <w:bCs w:val="1"/>
                <w:color w:val="auto"/>
                <w:w w:val="96"/>
              </w:rPr>
              <w:t>Date of Report (Date of earliest event reported):</w:t>
            </w:r>
          </w:p>
        </w:tc>
        <w:tc>
          <w:tcPr>
            <w:tcW w:w="3160" w:type="dxa"/>
            <w:vAlign w:val="bottom"/>
          </w:tcPr>
          <w:p>
            <w:pPr>
              <w:ind w:left="240"/>
              <w:spacing w:after="0"/>
              <w:rPr>
                <w:sz w:val="20"/>
                <w:szCs w:val="20"/>
                <w:color w:val="auto"/>
              </w:rPr>
            </w:pPr>
            <w:r>
              <w:rPr>
                <w:rFonts w:ascii="Arial" w:cs="Arial" w:eastAsia="Arial" w:hAnsi="Arial"/>
                <w:sz w:val="16"/>
                <w:szCs w:val="16"/>
                <w:b w:val="1"/>
                <w:bCs w:val="1"/>
                <w:color w:val="auto"/>
              </w:rPr>
              <w:t>August 7, 2014</w:t>
            </w:r>
          </w:p>
        </w:tc>
      </w:tr>
      <w:tr>
        <w:trPr>
          <w:trHeight w:val="224"/>
        </w:trPr>
        <w:tc>
          <w:tcPr>
            <w:tcW w:w="16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3160" w:type="dxa"/>
            <w:vAlign w:val="bottom"/>
          </w:tcPr>
          <w:p>
            <w:pPr>
              <w:spacing w:after="0"/>
              <w:rPr>
                <w:sz w:val="19"/>
                <w:szCs w:val="19"/>
                <w:color w:val="auto"/>
              </w:rPr>
            </w:pPr>
          </w:p>
        </w:tc>
      </w:tr>
      <w:tr>
        <w:trPr>
          <w:trHeight w:val="596"/>
        </w:trPr>
        <w:tc>
          <w:tcPr>
            <w:tcW w:w="1620" w:type="dxa"/>
            <w:vAlign w:val="bottom"/>
          </w:tcPr>
          <w:p>
            <w:pPr>
              <w:spacing w:after="0"/>
              <w:rPr>
                <w:sz w:val="24"/>
                <w:szCs w:val="24"/>
                <w:color w:val="auto"/>
              </w:rPr>
            </w:pPr>
          </w:p>
        </w:tc>
        <w:tc>
          <w:tcPr>
            <w:tcW w:w="7200" w:type="dxa"/>
            <w:vAlign w:val="bottom"/>
            <w:gridSpan w:val="3"/>
          </w:tcPr>
          <w:p>
            <w:pPr>
              <w:jc w:val="center"/>
              <w:ind w:right="1350"/>
              <w:spacing w:after="0"/>
              <w:rPr>
                <w:sz w:val="20"/>
                <w:szCs w:val="20"/>
                <w:color w:val="auto"/>
              </w:rPr>
            </w:pPr>
            <w:r>
              <w:rPr>
                <w:rFonts w:ascii="Arial" w:cs="Arial" w:eastAsia="Arial" w:hAnsi="Arial"/>
                <w:sz w:val="38"/>
                <w:szCs w:val="38"/>
                <w:b w:val="1"/>
                <w:bCs w:val="1"/>
                <w:color w:val="auto"/>
              </w:rPr>
              <w:t>GENTHERM INCORPORATED</w:t>
            </w:r>
          </w:p>
        </w:tc>
      </w:tr>
      <w:tr>
        <w:trPr>
          <w:trHeight w:val="203"/>
        </w:trPr>
        <w:tc>
          <w:tcPr>
            <w:tcW w:w="1620" w:type="dxa"/>
            <w:vAlign w:val="bottom"/>
          </w:tcPr>
          <w:p>
            <w:pPr>
              <w:spacing w:after="0"/>
              <w:rPr>
                <w:sz w:val="17"/>
                <w:szCs w:val="17"/>
                <w:color w:val="auto"/>
              </w:rPr>
            </w:pPr>
          </w:p>
        </w:tc>
        <w:tc>
          <w:tcPr>
            <w:tcW w:w="7200" w:type="dxa"/>
            <w:vAlign w:val="bottom"/>
            <w:gridSpan w:val="3"/>
          </w:tcPr>
          <w:p>
            <w:pPr>
              <w:jc w:val="center"/>
              <w:ind w:right="1350"/>
              <w:spacing w:after="0"/>
              <w:rPr>
                <w:sz w:val="20"/>
                <w:szCs w:val="20"/>
                <w:color w:val="auto"/>
              </w:rPr>
            </w:pPr>
            <w:r>
              <w:rPr>
                <w:rFonts w:ascii="Arial" w:cs="Arial" w:eastAsia="Arial" w:hAnsi="Arial"/>
                <w:sz w:val="16"/>
                <w:szCs w:val="16"/>
                <w:b w:val="1"/>
                <w:bCs w:val="1"/>
                <w:color w:val="auto"/>
                <w:w w:val="87"/>
              </w:rPr>
              <w:t>(Exact name of registrant as specified in its charter)</w:t>
            </w:r>
          </w:p>
        </w:tc>
      </w:tr>
      <w:tr>
        <w:trPr>
          <w:trHeight w:val="235"/>
        </w:trPr>
        <w:tc>
          <w:tcPr>
            <w:tcW w:w="16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3160" w:type="dxa"/>
            <w:vAlign w:val="bottom"/>
          </w:tcPr>
          <w:p>
            <w:pPr>
              <w:spacing w:after="0"/>
              <w:rPr>
                <w:sz w:val="20"/>
                <w:szCs w:val="20"/>
                <w:color w:val="auto"/>
              </w:rPr>
            </w:pPr>
          </w:p>
        </w:tc>
      </w:tr>
      <w:tr>
        <w:trPr>
          <w:trHeight w:val="347"/>
        </w:trPr>
        <w:tc>
          <w:tcPr>
            <w:tcW w:w="1620" w:type="dxa"/>
            <w:vAlign w:val="bottom"/>
          </w:tcPr>
          <w:p>
            <w:pPr>
              <w:jc w:val="center"/>
              <w:ind w:right="151"/>
              <w:spacing w:after="0"/>
              <w:rPr>
                <w:sz w:val="20"/>
                <w:szCs w:val="20"/>
                <w:color w:val="auto"/>
              </w:rPr>
            </w:pPr>
            <w:r>
              <w:rPr>
                <w:rFonts w:ascii="Arial" w:cs="Arial" w:eastAsia="Arial" w:hAnsi="Arial"/>
                <w:sz w:val="16"/>
                <w:szCs w:val="16"/>
                <w:b w:val="1"/>
                <w:bCs w:val="1"/>
                <w:color w:val="auto"/>
                <w:w w:val="92"/>
              </w:rPr>
              <w:t>Michigan</w:t>
            </w:r>
          </w:p>
        </w:tc>
        <w:tc>
          <w:tcPr>
            <w:tcW w:w="4040" w:type="dxa"/>
            <w:vAlign w:val="bottom"/>
            <w:gridSpan w:val="2"/>
          </w:tcPr>
          <w:p>
            <w:pPr>
              <w:jc w:val="center"/>
              <w:ind w:left="1655"/>
              <w:spacing w:after="0"/>
              <w:rPr>
                <w:sz w:val="20"/>
                <w:szCs w:val="20"/>
                <w:color w:val="auto"/>
              </w:rPr>
            </w:pPr>
            <w:r>
              <w:rPr>
                <w:rFonts w:ascii="Arial" w:cs="Arial" w:eastAsia="Arial" w:hAnsi="Arial"/>
                <w:sz w:val="16"/>
                <w:szCs w:val="16"/>
                <w:b w:val="1"/>
                <w:bCs w:val="1"/>
                <w:color w:val="auto"/>
                <w:w w:val="88"/>
              </w:rPr>
              <w:t>0-21810</w:t>
            </w:r>
          </w:p>
        </w:tc>
        <w:tc>
          <w:tcPr>
            <w:tcW w:w="3160" w:type="dxa"/>
            <w:vAlign w:val="bottom"/>
          </w:tcPr>
          <w:p>
            <w:pPr>
              <w:jc w:val="center"/>
              <w:ind w:left="2110"/>
              <w:spacing w:after="0"/>
              <w:rPr>
                <w:sz w:val="20"/>
                <w:szCs w:val="20"/>
                <w:color w:val="auto"/>
              </w:rPr>
            </w:pPr>
            <w:r>
              <w:rPr>
                <w:rFonts w:ascii="Arial" w:cs="Arial" w:eastAsia="Arial" w:hAnsi="Arial"/>
                <w:sz w:val="16"/>
                <w:szCs w:val="16"/>
                <w:b w:val="1"/>
                <w:bCs w:val="1"/>
                <w:color w:val="auto"/>
                <w:w w:val="86"/>
              </w:rPr>
              <w:t>95-4318554</w:t>
            </w:r>
          </w:p>
        </w:tc>
      </w:tr>
      <w:tr>
        <w:trPr>
          <w:trHeight w:val="129"/>
        </w:trPr>
        <w:tc>
          <w:tcPr>
            <w:tcW w:w="1620" w:type="dxa"/>
            <w:vAlign w:val="bottom"/>
          </w:tcPr>
          <w:p>
            <w:pPr>
              <w:jc w:val="center"/>
              <w:ind w:right="131"/>
              <w:spacing w:after="0" w:line="129" w:lineRule="exact"/>
              <w:rPr>
                <w:sz w:val="20"/>
                <w:szCs w:val="20"/>
                <w:color w:val="auto"/>
              </w:rPr>
            </w:pPr>
            <w:r>
              <w:rPr>
                <w:rFonts w:ascii="Arial" w:cs="Arial" w:eastAsia="Arial" w:hAnsi="Arial"/>
                <w:sz w:val="12"/>
                <w:szCs w:val="12"/>
                <w:b w:val="1"/>
                <w:bCs w:val="1"/>
                <w:color w:val="auto"/>
                <w:w w:val="94"/>
              </w:rPr>
              <w:t>(State or other jurisdiction</w:t>
            </w:r>
          </w:p>
        </w:tc>
        <w:tc>
          <w:tcPr>
            <w:tcW w:w="1740" w:type="dxa"/>
            <w:vAlign w:val="bottom"/>
          </w:tcPr>
          <w:p>
            <w:pPr>
              <w:spacing w:after="0"/>
              <w:rPr>
                <w:sz w:val="11"/>
                <w:szCs w:val="11"/>
                <w:color w:val="auto"/>
              </w:rPr>
            </w:pPr>
          </w:p>
        </w:tc>
        <w:tc>
          <w:tcPr>
            <w:tcW w:w="23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4"/>
              </w:rPr>
              <w:t>(Commission</w:t>
            </w:r>
          </w:p>
        </w:tc>
        <w:tc>
          <w:tcPr>
            <w:tcW w:w="3160" w:type="dxa"/>
            <w:vAlign w:val="bottom"/>
          </w:tcPr>
          <w:p>
            <w:pPr>
              <w:jc w:val="center"/>
              <w:ind w:left="2110"/>
              <w:spacing w:after="0" w:line="129" w:lineRule="exact"/>
              <w:rPr>
                <w:sz w:val="20"/>
                <w:szCs w:val="20"/>
                <w:color w:val="auto"/>
              </w:rPr>
            </w:pPr>
            <w:r>
              <w:rPr>
                <w:rFonts w:ascii="Arial" w:cs="Arial" w:eastAsia="Arial" w:hAnsi="Arial"/>
                <w:sz w:val="12"/>
                <w:szCs w:val="12"/>
                <w:b w:val="1"/>
                <w:bCs w:val="1"/>
                <w:color w:val="auto"/>
                <w:w w:val="97"/>
              </w:rPr>
              <w:t>(I.R.S. Employer</w:t>
            </w:r>
          </w:p>
        </w:tc>
      </w:tr>
      <w:tr>
        <w:trPr>
          <w:trHeight w:val="161"/>
        </w:trPr>
        <w:tc>
          <w:tcPr>
            <w:tcW w:w="1620" w:type="dxa"/>
            <w:vAlign w:val="bottom"/>
          </w:tcPr>
          <w:p>
            <w:pPr>
              <w:jc w:val="center"/>
              <w:ind w:right="151"/>
              <w:spacing w:after="0"/>
              <w:rPr>
                <w:sz w:val="20"/>
                <w:szCs w:val="20"/>
                <w:color w:val="auto"/>
              </w:rPr>
            </w:pPr>
            <w:r>
              <w:rPr>
                <w:rFonts w:ascii="Arial" w:cs="Arial" w:eastAsia="Arial" w:hAnsi="Arial"/>
                <w:sz w:val="12"/>
                <w:szCs w:val="12"/>
                <w:b w:val="1"/>
                <w:bCs w:val="1"/>
                <w:color w:val="auto"/>
                <w:w w:val="95"/>
              </w:rPr>
              <w:t>of incorporation)</w:t>
            </w:r>
          </w:p>
        </w:tc>
        <w:tc>
          <w:tcPr>
            <w:tcW w:w="174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2"/>
                <w:szCs w:val="12"/>
                <w:b w:val="1"/>
                <w:bCs w:val="1"/>
                <w:color w:val="auto"/>
                <w:w w:val="98"/>
              </w:rPr>
              <w:t>File Number)</w:t>
            </w:r>
          </w:p>
        </w:tc>
        <w:tc>
          <w:tcPr>
            <w:tcW w:w="3160" w:type="dxa"/>
            <w:vAlign w:val="bottom"/>
          </w:tcPr>
          <w:p>
            <w:pPr>
              <w:jc w:val="center"/>
              <w:ind w:left="2110"/>
              <w:spacing w:after="0"/>
              <w:rPr>
                <w:sz w:val="20"/>
                <w:szCs w:val="20"/>
                <w:color w:val="auto"/>
              </w:rPr>
            </w:pPr>
            <w:r>
              <w:rPr>
                <w:rFonts w:ascii="Arial" w:cs="Arial" w:eastAsia="Arial" w:hAnsi="Arial"/>
                <w:sz w:val="12"/>
                <w:szCs w:val="12"/>
                <w:b w:val="1"/>
                <w:bCs w:val="1"/>
                <w:color w:val="auto"/>
                <w:w w:val="96"/>
              </w:rPr>
              <w:t>Identification No.)</w:t>
            </w:r>
          </w:p>
        </w:tc>
      </w:tr>
      <w:tr>
        <w:trPr>
          <w:trHeight w:val="343"/>
        </w:trPr>
        <w:tc>
          <w:tcPr>
            <w:tcW w:w="5660" w:type="dxa"/>
            <w:vAlign w:val="bottom"/>
            <w:gridSpan w:val="3"/>
          </w:tcPr>
          <w:p>
            <w:pPr>
              <w:jc w:val="center"/>
              <w:ind w:right="2298"/>
              <w:spacing w:after="0"/>
              <w:rPr>
                <w:sz w:val="20"/>
                <w:szCs w:val="20"/>
                <w:color w:val="auto"/>
              </w:rPr>
            </w:pPr>
            <w:r>
              <w:rPr>
                <w:rFonts w:ascii="Arial" w:cs="Arial" w:eastAsia="Arial" w:hAnsi="Arial"/>
                <w:sz w:val="16"/>
                <w:szCs w:val="16"/>
                <w:b w:val="1"/>
                <w:bCs w:val="1"/>
                <w:color w:val="auto"/>
                <w:w w:val="90"/>
              </w:rPr>
              <w:t>21680 Haggerty Road, Ste. 101, Northville, MI</w:t>
            </w:r>
          </w:p>
        </w:tc>
        <w:tc>
          <w:tcPr>
            <w:tcW w:w="3160" w:type="dxa"/>
            <w:vAlign w:val="bottom"/>
          </w:tcPr>
          <w:p>
            <w:pPr>
              <w:jc w:val="right"/>
              <w:ind w:right="1190"/>
              <w:spacing w:after="0"/>
              <w:rPr>
                <w:sz w:val="20"/>
                <w:szCs w:val="20"/>
                <w:color w:val="auto"/>
              </w:rPr>
            </w:pPr>
            <w:r>
              <w:rPr>
                <w:rFonts w:ascii="Arial" w:cs="Arial" w:eastAsia="Arial" w:hAnsi="Arial"/>
                <w:sz w:val="16"/>
                <w:szCs w:val="16"/>
                <w:b w:val="1"/>
                <w:bCs w:val="1"/>
                <w:color w:val="auto"/>
              </w:rPr>
              <w:t>48167</w:t>
            </w:r>
          </w:p>
        </w:tc>
      </w:tr>
      <w:tr>
        <w:trPr>
          <w:trHeight w:val="161"/>
        </w:trPr>
        <w:tc>
          <w:tcPr>
            <w:tcW w:w="5660" w:type="dxa"/>
            <w:vAlign w:val="bottom"/>
            <w:gridSpan w:val="3"/>
          </w:tcPr>
          <w:p>
            <w:pPr>
              <w:jc w:val="center"/>
              <w:ind w:right="2298"/>
              <w:spacing w:after="0"/>
              <w:rPr>
                <w:sz w:val="20"/>
                <w:szCs w:val="20"/>
                <w:color w:val="auto"/>
              </w:rPr>
            </w:pPr>
            <w:r>
              <w:rPr>
                <w:rFonts w:ascii="Arial" w:cs="Arial" w:eastAsia="Arial" w:hAnsi="Arial"/>
                <w:sz w:val="12"/>
                <w:szCs w:val="12"/>
                <w:b w:val="1"/>
                <w:bCs w:val="1"/>
                <w:color w:val="auto"/>
                <w:w w:val="91"/>
              </w:rPr>
              <w:t>(Address of principal executive offices)</w:t>
            </w:r>
          </w:p>
        </w:tc>
        <w:tc>
          <w:tcPr>
            <w:tcW w:w="3160" w:type="dxa"/>
            <w:vAlign w:val="bottom"/>
          </w:tcPr>
          <w:p>
            <w:pPr>
              <w:jc w:val="center"/>
              <w:ind w:left="190"/>
              <w:spacing w:after="0"/>
              <w:rPr>
                <w:sz w:val="20"/>
                <w:szCs w:val="20"/>
                <w:color w:val="auto"/>
              </w:rPr>
            </w:pPr>
            <w:r>
              <w:rPr>
                <w:rFonts w:ascii="Arial" w:cs="Arial" w:eastAsia="Arial" w:hAnsi="Arial"/>
                <w:sz w:val="12"/>
                <w:szCs w:val="12"/>
                <w:b w:val="1"/>
                <w:bCs w:val="1"/>
                <w:color w:val="auto"/>
                <w:w w:val="97"/>
              </w:rPr>
              <w:t>(Zip Code)</w:t>
            </w:r>
          </w:p>
        </w:tc>
      </w:tr>
    </w:tbl>
    <w:p>
      <w:pPr>
        <w:spacing w:after="0" w:line="158"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Registrant’s telephone number, including area code: (248) 504-0500</w:t>
      </w:r>
    </w:p>
    <w:p>
      <w:pPr>
        <w:spacing w:after="0" w:line="195"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 provisions:</w:t>
      </w:r>
    </w:p>
    <w:p>
      <w:pPr>
        <w:spacing w:after="0" w:line="132" w:lineRule="exact"/>
        <w:rPr>
          <w:sz w:val="24"/>
          <w:szCs w:val="24"/>
          <w:color w:val="auto"/>
        </w:rPr>
      </w:pPr>
    </w:p>
    <w:p>
      <w:pPr>
        <w:ind w:left="500" w:hanging="498"/>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97" w:lineRule="exact"/>
        <w:rPr>
          <w:rFonts w:ascii="Arial" w:cs="Arial" w:eastAsia="Arial" w:hAnsi="Arial"/>
          <w:sz w:val="16"/>
          <w:szCs w:val="16"/>
          <w:color w:val="auto"/>
        </w:rPr>
      </w:pPr>
    </w:p>
    <w:p>
      <w:pPr>
        <w:ind w:left="500" w:hanging="498"/>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97" w:lineRule="exact"/>
        <w:rPr>
          <w:rFonts w:ascii="Arial" w:cs="Arial" w:eastAsia="Arial" w:hAnsi="Arial"/>
          <w:sz w:val="16"/>
          <w:szCs w:val="16"/>
          <w:color w:val="auto"/>
        </w:rPr>
      </w:pPr>
    </w:p>
    <w:p>
      <w:pPr>
        <w:ind w:left="500" w:hanging="498"/>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97" w:lineRule="exact"/>
        <w:rPr>
          <w:rFonts w:ascii="Arial" w:cs="Arial" w:eastAsia="Arial" w:hAnsi="Arial"/>
          <w:sz w:val="16"/>
          <w:szCs w:val="16"/>
          <w:color w:val="auto"/>
        </w:rPr>
      </w:pPr>
    </w:p>
    <w:p>
      <w:pPr>
        <w:ind w:left="500" w:hanging="498"/>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-320675</wp:posOffset>
            </wp:positionH>
            <wp:positionV relativeFrom="paragraph">
              <wp:posOffset>84455</wp:posOffset>
            </wp:positionV>
            <wp:extent cx="72644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column">
              <wp:posOffset>-320675</wp:posOffset>
            </wp:positionH>
            <wp:positionV relativeFrom="paragraph">
              <wp:posOffset>99695</wp:posOffset>
            </wp:positionV>
            <wp:extent cx="72644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ectPr>
          <w:pgSz w:w="11900" w:h="16838" w:orient="portrait"/>
          <w:cols w:equalWidth="0" w:num="1">
            <w:col w:w="10340"/>
          </w:cols>
          <w:pgMar w:left="740" w:top="419" w:right="819" w:bottom="1440" w:gutter="0" w:footer="0" w:header="0"/>
        </w:sectPr>
      </w:pPr>
    </w:p>
    <w:bookmarkStart w:id="1" w:name="page2"/>
    <w:bookmarkEnd w:id="1"/>
    <w:p>
      <w:pPr>
        <w:spacing w:after="0"/>
        <w:tabs>
          <w:tab w:leader="none" w:pos="1160" w:val="left"/>
        </w:tabs>
        <w:rPr>
          <w:sz w:val="20"/>
          <w:szCs w:val="20"/>
          <w:color w:val="auto"/>
        </w:rPr>
      </w:pPr>
      <w:r>
        <w:rPr>
          <w:rFonts w:ascii="Arial" w:cs="Arial" w:eastAsia="Arial" w:hAnsi="Arial"/>
          <w:sz w:val="16"/>
          <w:szCs w:val="16"/>
          <w:b w:val="1"/>
          <w:bCs w:val="1"/>
          <w:color w:val="auto"/>
        </w:rPr>
        <w:t>Item 1.01</w:t>
      </w:r>
      <w:r>
        <w:rPr>
          <w:sz w:val="20"/>
          <w:szCs w:val="20"/>
          <w:color w:val="auto"/>
        </w:rPr>
        <w:tab/>
      </w:r>
      <w:r>
        <w:rPr>
          <w:rFonts w:ascii="Arial" w:cs="Arial" w:eastAsia="Arial" w:hAnsi="Arial"/>
          <w:sz w:val="13"/>
          <w:szCs w:val="13"/>
          <w:b w:val="1"/>
          <w:bCs w:val="1"/>
          <w:color w:val="auto"/>
        </w:rPr>
        <w:t>Entry into a Material Definitive Agreement.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Agreement</w:t>
      </w:r>
    </w:p>
    <w:p>
      <w:pPr>
        <w:spacing w:after="0" w:line="101" w:lineRule="exact"/>
        <w:rPr>
          <w:sz w:val="20"/>
          <w:szCs w:val="20"/>
          <w:color w:val="auto"/>
        </w:rPr>
      </w:pPr>
    </w:p>
    <w:p>
      <w:pPr>
        <w:ind w:right="120" w:firstLine="508"/>
        <w:spacing w:after="0" w:line="251" w:lineRule="auto"/>
        <w:rPr>
          <w:sz w:val="20"/>
          <w:szCs w:val="20"/>
          <w:color w:val="auto"/>
        </w:rPr>
      </w:pPr>
      <w:r>
        <w:rPr>
          <w:rFonts w:ascii="Arial" w:cs="Arial" w:eastAsia="Arial" w:hAnsi="Arial"/>
          <w:sz w:val="16"/>
          <w:szCs w:val="16"/>
          <w:color w:val="auto"/>
        </w:rPr>
        <w:t>On August 7, 2014, Gentherm Incorporated (“Gentherm”), together with its direct and indirect subsidiaries Gentherm GmbH (the “German Borrower”), Gentherm (Texas), Inc. (“Gentherm Texas”), Gentherm Canada Ltd. (“Gentherm Canada”) and Global Thermoelectric Inc. (“Global” and, together with Gentherm Canada, the “Canadian Borrowers”, and collectively with Gentherm, the German Borrower and Gentherm Texas, the “Borrowers”) entered into a Credit Agreement (the “Credit Agreement”) with the lenders party thereto and Bank of America, N.A., as administrative agent (the “Agent”).</w:t>
      </w:r>
    </w:p>
    <w:p>
      <w:pPr>
        <w:spacing w:after="0" w:line="168" w:lineRule="exact"/>
        <w:rPr>
          <w:sz w:val="20"/>
          <w:szCs w:val="20"/>
          <w:color w:val="auto"/>
        </w:rPr>
      </w:pPr>
    </w:p>
    <w:p>
      <w:pPr>
        <w:ind w:right="140" w:firstLine="508"/>
        <w:spacing w:after="0" w:line="327" w:lineRule="auto"/>
        <w:rPr>
          <w:sz w:val="20"/>
          <w:szCs w:val="20"/>
          <w:color w:val="auto"/>
        </w:rPr>
      </w:pPr>
      <w:r>
        <w:rPr>
          <w:rFonts w:ascii="Arial" w:cs="Arial" w:eastAsia="Arial" w:hAnsi="Arial"/>
          <w:sz w:val="13"/>
          <w:szCs w:val="13"/>
          <w:color w:val="auto"/>
        </w:rPr>
        <w:t>The Credit Agreement provides for a $100 million secured revolving credit facility for the Borrowers, with a $10 million sublimit for the Canadian Borrowers and a $25 million sublimit for the German Borrower, a $50 million secured term loan facility for Gentherm, and a €20 million secured term loan facility for the German Borrower. Subject to specified conditions, Gentherm can increase the revolving credit facility or incur additional secured term loans in an aggregate amount of $50 million. A portion of the proceeds of the term loans and borrowings under the revolving credit facility will be used to refinance existing indebtedness of certain Borrowers (see Item 1.02 below).</w:t>
      </w:r>
    </w:p>
    <w:p>
      <w:pPr>
        <w:spacing w:after="0" w:line="123" w:lineRule="exact"/>
        <w:rPr>
          <w:sz w:val="20"/>
          <w:szCs w:val="20"/>
          <w:color w:val="auto"/>
        </w:rPr>
      </w:pPr>
    </w:p>
    <w:p>
      <w:pPr>
        <w:ind w:right="120" w:firstLine="508"/>
        <w:spacing w:after="0" w:line="251" w:lineRule="auto"/>
        <w:rPr>
          <w:sz w:val="20"/>
          <w:szCs w:val="20"/>
          <w:color w:val="auto"/>
        </w:rPr>
      </w:pPr>
      <w:r>
        <w:rPr>
          <w:rFonts w:ascii="Arial" w:cs="Arial" w:eastAsia="Arial" w:hAnsi="Arial"/>
          <w:sz w:val="16"/>
          <w:szCs w:val="16"/>
          <w:color w:val="auto"/>
        </w:rPr>
        <w:t>All obligations under the Credit Agreement (including all the obligations of any U.S. or non-U.S. loan party) are unconditionally guaranteed by Gentherm, Gentherm Texas and Gentherm’s subsidiary, Westridge Haggerty LLC (“Westridge”). Additionally, the German Borrower, the Canadian Borrowers and Gentherm’s indirect subsidiaries, Gentherm Holding (Malta) Limited, Gentherm Automotive Systems (Malta) Ltd. and Gentherm Hungary Korlátolt Felelősségű Társaság guarantee all obligations of the non-U.S. loan parties under the Credit Agreement</w:t>
      </w:r>
    </w:p>
    <w:p>
      <w:pPr>
        <w:spacing w:after="0" w:line="168" w:lineRule="exact"/>
        <w:rPr>
          <w:sz w:val="20"/>
          <w:szCs w:val="20"/>
          <w:color w:val="auto"/>
        </w:rPr>
      </w:pPr>
    </w:p>
    <w:p>
      <w:pPr>
        <w:ind w:firstLine="508"/>
        <w:spacing w:after="0" w:line="270" w:lineRule="auto"/>
        <w:rPr>
          <w:sz w:val="20"/>
          <w:szCs w:val="20"/>
          <w:color w:val="auto"/>
        </w:rPr>
      </w:pPr>
      <w:r>
        <w:rPr>
          <w:rFonts w:ascii="Arial" w:cs="Arial" w:eastAsia="Arial" w:hAnsi="Arial"/>
          <w:sz w:val="15"/>
          <w:szCs w:val="15"/>
          <w:color w:val="auto"/>
        </w:rPr>
        <w:t>Loans under the Credit Agreement bear interest at either Base Rate, for U.S. Dollar denominated loans to Gentherm or Gentherm Texas, or the Eurocurrency Rate (each as defined in the Credit Agreement), plus a margin for Base Rate loans ranging from 0.50% to 1.00% or a margin for Eurocurrency Rate loans ranging from 1.50% to 2.00% based upon the Consolidated Total Leverage Ratio (as defined in the Credit Agreement) of Gentherm and its subsidiaries. The obligations under the Credit Agreement are secured by a security interest in substantially all personal property of Gentherm, Gentherm Texas and Westridge, including the stock and membership interests of Gentherm’s and Gentherm Texas’ subsidiaries (limited to 66% of the stock in the case of certain non-U.S. subsidiaries).</w:t>
      </w:r>
    </w:p>
    <w:p>
      <w:pPr>
        <w:spacing w:after="0" w:line="155" w:lineRule="exact"/>
        <w:rPr>
          <w:sz w:val="20"/>
          <w:szCs w:val="20"/>
          <w:color w:val="auto"/>
        </w:rPr>
      </w:pPr>
    </w:p>
    <w:p>
      <w:pPr>
        <w:ind w:right="60" w:firstLine="508"/>
        <w:spacing w:after="0" w:line="314" w:lineRule="auto"/>
        <w:rPr>
          <w:sz w:val="20"/>
          <w:szCs w:val="20"/>
          <w:color w:val="auto"/>
        </w:rPr>
      </w:pPr>
      <w:r>
        <w:rPr>
          <w:rFonts w:ascii="Arial" w:cs="Arial" w:eastAsia="Arial" w:hAnsi="Arial"/>
          <w:sz w:val="13"/>
          <w:szCs w:val="13"/>
          <w:color w:val="auto"/>
        </w:rPr>
        <w:t>The Credit Agreement contains customary affirmative and negative covenants that will prohibit or limit the ability of the Borrowers and any material subsidiary to, among other things, incur additional indebtedness, create liens, pay dividends, make certain types of investments, including acquisitions, enter into certain types of transactions with affiliates, prepay other indebtedness, sell assets, merge with other companies or enter into certain other transactions outside the ordinary course of business. The Credit Agreement also requires compliance with certain financial covenants. The Credit Agreement additionally contains customary events of default, including, but not limited to: (a) non-payment of amounts due; (b) material breach of representations, warranties or covenants under the Credit Agreement or the documents pertaining thereto; (c) cross-default provisions relating to other indebtedness obligations; (d) judgments or attachments against property; (e) bankruptcy or similar proceedings or insolvency; or (f) certain changes in control. Upon the occurrence of an event of default, the amounts outstanding under the credit facility may be accelerated and may become immediately due and payable.</w:t>
      </w:r>
    </w:p>
    <w:p>
      <w:pPr>
        <w:spacing w:after="0" w:line="131" w:lineRule="exact"/>
        <w:rPr>
          <w:sz w:val="20"/>
          <w:szCs w:val="20"/>
          <w:color w:val="auto"/>
        </w:rPr>
      </w:pPr>
    </w:p>
    <w:p>
      <w:pPr>
        <w:ind w:right="360" w:firstLine="508"/>
        <w:spacing w:after="0" w:line="264" w:lineRule="auto"/>
        <w:rPr>
          <w:sz w:val="20"/>
          <w:szCs w:val="20"/>
          <w:color w:val="auto"/>
        </w:rPr>
      </w:pPr>
      <w:r>
        <w:rPr>
          <w:rFonts w:ascii="Arial" w:cs="Arial" w:eastAsia="Arial" w:hAnsi="Arial"/>
          <w:sz w:val="16"/>
          <w:szCs w:val="16"/>
          <w:color w:val="auto"/>
        </w:rPr>
        <w:t>A copy of the Credit Agreement is attached hereto as Exhibit 10.1, and the above description of the material terms of the Credit Agreement is qualified in its entirety by reference to such exhibit, which is incorporated herein by reference.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Security Agreement</w:t>
      </w:r>
    </w:p>
    <w:p>
      <w:pPr>
        <w:spacing w:after="0" w:line="101" w:lineRule="exact"/>
        <w:rPr>
          <w:sz w:val="20"/>
          <w:szCs w:val="20"/>
          <w:color w:val="auto"/>
        </w:rPr>
      </w:pPr>
    </w:p>
    <w:p>
      <w:pPr>
        <w:ind w:right="220" w:firstLine="508"/>
        <w:spacing w:after="0" w:line="270" w:lineRule="auto"/>
        <w:rPr>
          <w:sz w:val="20"/>
          <w:szCs w:val="20"/>
          <w:color w:val="auto"/>
        </w:rPr>
      </w:pPr>
      <w:r>
        <w:rPr>
          <w:rFonts w:ascii="Arial" w:cs="Arial" w:eastAsia="Arial" w:hAnsi="Arial"/>
          <w:sz w:val="15"/>
          <w:szCs w:val="15"/>
          <w:color w:val="auto"/>
        </w:rPr>
        <w:t>On August 7, 2014, Gentherm, Gentherm Texas and Westridge entered into a Pledge and Security Agreement (the “Security Agreement”) in favor of the Agent for the Secured Parties (each as defined in the Security Agreement). Pursuant to the Security Agreement, each of Gentherm, Gentherm Texas and Westridge granted the Agent a security interest in substantially all of their personal property to secure their respective obligations under the Credit Agreement. The Security Agreement is subject to customary covenants regulating or restricting, among other things, preservation and use of collateral and changes of name or other corporate information, and grants the Agent customary rights and remedies following the occurrence of an event of default under the Credit Agreement.</w:t>
      </w:r>
    </w:p>
    <w:p>
      <w:pPr>
        <w:spacing w:after="0" w:line="155" w:lineRule="exact"/>
        <w:rPr>
          <w:sz w:val="20"/>
          <w:szCs w:val="20"/>
          <w:color w:val="auto"/>
        </w:rPr>
      </w:pPr>
    </w:p>
    <w:p>
      <w:pPr>
        <w:ind w:right="100" w:firstLine="508"/>
        <w:spacing w:after="0" w:line="264" w:lineRule="auto"/>
        <w:rPr>
          <w:sz w:val="20"/>
          <w:szCs w:val="20"/>
          <w:color w:val="auto"/>
        </w:rPr>
      </w:pPr>
      <w:r>
        <w:rPr>
          <w:rFonts w:ascii="Arial" w:cs="Arial" w:eastAsia="Arial" w:hAnsi="Arial"/>
          <w:sz w:val="16"/>
          <w:szCs w:val="16"/>
          <w:color w:val="auto"/>
        </w:rPr>
        <w:t>A copy of the Security Agreement is attached hereto as Exhibit 10.2, and the above description of the material terms of the Security Agreement is qualified in its entirety by reference to such exhibit, which is incorporated herein by reference.</w:t>
      </w:r>
    </w:p>
    <w:p>
      <w:pPr>
        <w:spacing w:after="0" w:line="248"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b w:val="1"/>
          <w:bCs w:val="1"/>
          <w:color w:val="auto"/>
        </w:rPr>
        <w:t>Item 1.02</w:t>
      </w:r>
      <w:r>
        <w:rPr>
          <w:sz w:val="20"/>
          <w:szCs w:val="20"/>
          <w:color w:val="auto"/>
        </w:rPr>
        <w:tab/>
      </w:r>
      <w:r>
        <w:rPr>
          <w:rFonts w:ascii="Arial" w:cs="Arial" w:eastAsia="Arial" w:hAnsi="Arial"/>
          <w:sz w:val="13"/>
          <w:szCs w:val="13"/>
          <w:b w:val="1"/>
          <w:bCs w:val="1"/>
          <w:color w:val="auto"/>
        </w:rPr>
        <w:t>Termination of a Material Definitive Agreement</w:t>
      </w:r>
    </w:p>
    <w:p>
      <w:pPr>
        <w:spacing w:after="0" w:line="101" w:lineRule="exact"/>
        <w:rPr>
          <w:sz w:val="20"/>
          <w:szCs w:val="20"/>
          <w:color w:val="auto"/>
        </w:rPr>
      </w:pPr>
    </w:p>
    <w:p>
      <w:pPr>
        <w:ind w:right="400" w:firstLine="508"/>
        <w:spacing w:after="0" w:line="264" w:lineRule="auto"/>
        <w:rPr>
          <w:sz w:val="20"/>
          <w:szCs w:val="20"/>
          <w:color w:val="auto"/>
        </w:rPr>
      </w:pPr>
      <w:r>
        <w:rPr>
          <w:rFonts w:ascii="Arial" w:cs="Arial" w:eastAsia="Arial" w:hAnsi="Arial"/>
          <w:sz w:val="16"/>
          <w:szCs w:val="16"/>
          <w:color w:val="auto"/>
        </w:rPr>
        <w:t>On August 7, 2014, Gentherm and the German Borrower paid off all amounts owed under the credit agreement entered into on March 30, 2011 (filed as Exhibit 10.4 to Gentherm’s Form 8-K filed on March 31, 2011), and Gentherm Canada paid off all amounts</w:t>
      </w:r>
    </w:p>
    <w:p>
      <w:pPr>
        <w:sectPr>
          <w:pgSz w:w="11900" w:h="16838" w:orient="portrait"/>
          <w:cols w:equalWidth="0" w:num="1">
            <w:col w:w="11360"/>
          </w:cols>
          <w:pgMar w:left="240" w:top="123" w:right="299" w:bottom="1440" w:gutter="0" w:footer="0" w:header="0"/>
        </w:sectPr>
      </w:pPr>
    </w:p>
    <w:bookmarkStart w:id="2" w:name="page3"/>
    <w:bookmarkEnd w:id="2"/>
    <w:p>
      <w:pPr>
        <w:jc w:val="both"/>
        <w:ind w:left="6" w:right="340"/>
        <w:spacing w:after="0" w:line="279" w:lineRule="auto"/>
        <w:rPr>
          <w:sz w:val="20"/>
          <w:szCs w:val="20"/>
          <w:color w:val="auto"/>
        </w:rPr>
      </w:pPr>
      <w:r>
        <w:rPr>
          <w:rFonts w:ascii="Arial" w:cs="Arial" w:eastAsia="Arial" w:hAnsi="Arial"/>
          <w:sz w:val="15"/>
          <w:szCs w:val="15"/>
          <w:color w:val="auto"/>
        </w:rPr>
        <w:t>owed under the credit agreement entered into on March 30, 2011 (filed as Exhibit 10.1 to Gentherm’s Form 8-K filed on August 4, 2011), and both credit agreements (and related security and pledge agreements) were terminated in connection therewith. There were no prepayment penalties; however, certain unamortized capitalized financing costs totaling approximately $900,000 related to these credit agreements will be expensed during Gentherm’s 2014 third quarter.</w:t>
      </w:r>
    </w:p>
    <w:p>
      <w:pPr>
        <w:spacing w:after="0" w:line="238" w:lineRule="exact"/>
        <w:rPr>
          <w:sz w:val="20"/>
          <w:szCs w:val="20"/>
          <w:color w:val="auto"/>
        </w:rPr>
      </w:pPr>
    </w:p>
    <w:p>
      <w:pPr>
        <w:ind w:left="6"/>
        <w:spacing w:after="0"/>
        <w:tabs>
          <w:tab w:leader="none" w:pos="1166" w:val="left"/>
        </w:tabs>
        <w:rPr>
          <w:sz w:val="20"/>
          <w:szCs w:val="20"/>
          <w:color w:val="auto"/>
        </w:rPr>
      </w:pPr>
      <w:r>
        <w:rPr>
          <w:rFonts w:ascii="Arial" w:cs="Arial" w:eastAsia="Arial" w:hAnsi="Arial"/>
          <w:sz w:val="16"/>
          <w:szCs w:val="16"/>
          <w:b w:val="1"/>
          <w:bCs w:val="1"/>
          <w:color w:val="auto"/>
        </w:rPr>
        <w:t>Item 2.03</w:t>
      </w:r>
      <w:r>
        <w:rPr>
          <w:sz w:val="20"/>
          <w:szCs w:val="20"/>
          <w:color w:val="auto"/>
        </w:rPr>
        <w:tab/>
      </w:r>
      <w:r>
        <w:rPr>
          <w:rFonts w:ascii="Arial" w:cs="Arial" w:eastAsia="Arial" w:hAnsi="Arial"/>
          <w:sz w:val="13"/>
          <w:szCs w:val="13"/>
          <w:b w:val="1"/>
          <w:bCs w:val="1"/>
          <w:color w:val="auto"/>
        </w:rPr>
        <w:t>Creation of a Direct Financial Obligation or an Obligation under an Off-Balance Sheet Arrangement of a Registrant.</w:t>
      </w:r>
    </w:p>
    <w:p>
      <w:pPr>
        <w:spacing w:after="0" w:line="101" w:lineRule="exact"/>
        <w:rPr>
          <w:sz w:val="20"/>
          <w:szCs w:val="20"/>
          <w:color w:val="auto"/>
        </w:rPr>
      </w:pPr>
    </w:p>
    <w:p>
      <w:pPr>
        <w:ind w:left="506"/>
        <w:spacing w:after="0"/>
        <w:rPr>
          <w:sz w:val="20"/>
          <w:szCs w:val="20"/>
          <w:color w:val="auto"/>
        </w:rPr>
      </w:pPr>
      <w:r>
        <w:rPr>
          <w:rFonts w:ascii="Arial" w:cs="Arial" w:eastAsia="Arial" w:hAnsi="Arial"/>
          <w:sz w:val="16"/>
          <w:szCs w:val="16"/>
          <w:color w:val="auto"/>
        </w:rPr>
        <w:t>The disclosure set forth in Item 1.01 above is incorporated herein by reference.</w:t>
      </w:r>
    </w:p>
    <w:p>
      <w:pPr>
        <w:spacing w:after="0" w:line="281" w:lineRule="exact"/>
        <w:rPr>
          <w:sz w:val="20"/>
          <w:szCs w:val="20"/>
          <w:color w:val="auto"/>
        </w:rPr>
      </w:pPr>
    </w:p>
    <w:p>
      <w:pPr>
        <w:ind w:left="6"/>
        <w:spacing w:after="0"/>
        <w:tabs>
          <w:tab w:leader="none" w:pos="1166"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3"/>
          <w:szCs w:val="13"/>
          <w:b w:val="1"/>
          <w:bCs w:val="1"/>
          <w:color w:val="auto"/>
        </w:rPr>
        <w:t>Financial Statements and Exhibits.</w:t>
      </w:r>
    </w:p>
    <w:p>
      <w:pPr>
        <w:spacing w:after="0" w:line="97" w:lineRule="exact"/>
        <w:rPr>
          <w:sz w:val="20"/>
          <w:szCs w:val="20"/>
          <w:color w:val="auto"/>
        </w:rPr>
      </w:pPr>
    </w:p>
    <w:p>
      <w:pPr>
        <w:ind w:left="746" w:hanging="746"/>
        <w:spacing w:after="0"/>
        <w:tabs>
          <w:tab w:leader="none" w:pos="746"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Exhibits</w:t>
      </w:r>
    </w:p>
    <w:p>
      <w:pPr>
        <w:spacing w:after="0" w:line="191" w:lineRule="exact"/>
        <w:rPr>
          <w:sz w:val="20"/>
          <w:szCs w:val="20"/>
          <w:color w:val="auto"/>
        </w:rPr>
      </w:pPr>
    </w:p>
    <w:tbl>
      <w:tblPr>
        <w:tblLayout w:type="fixed"/>
        <w:tblInd w:w="6" w:type="dxa"/>
        <w:tblCellMar>
          <w:top w:w="0" w:type="dxa"/>
          <w:left w:w="0" w:type="dxa"/>
          <w:bottom w:w="0" w:type="dxa"/>
          <w:right w:w="0" w:type="dxa"/>
        </w:tblCellMar>
      </w:tblPr>
      <w:tr>
        <w:trPr>
          <w:trHeight w:val="204"/>
        </w:trPr>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Number</w:t>
            </w:r>
          </w:p>
        </w:tc>
        <w:tc>
          <w:tcPr>
            <w:tcW w:w="10300" w:type="dxa"/>
            <w:vAlign w:val="bottom"/>
          </w:tcPr>
          <w:p>
            <w:pPr>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61"/>
        </w:trPr>
        <w:tc>
          <w:tcPr>
            <w:tcW w:w="8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10.1</w:t>
            </w:r>
          </w:p>
        </w:tc>
        <w:tc>
          <w:tcPr>
            <w:tcW w:w="340" w:type="dxa"/>
            <w:vAlign w:val="bottom"/>
          </w:tcPr>
          <w:p>
            <w:pPr>
              <w:spacing w:after="0"/>
              <w:rPr>
                <w:sz w:val="22"/>
                <w:szCs w:val="22"/>
                <w:color w:val="auto"/>
              </w:rPr>
            </w:pPr>
          </w:p>
        </w:tc>
        <w:tc>
          <w:tcPr>
            <w:tcW w:w="1030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90"/>
              </w:rPr>
              <w:t>Credit Agreement, dated as of August 7, 2014, by and among Gentherm Incorporated, Gentherm GmbH, Gentherm (Texas), Inc., Gentherm Canada Ltd., Global</w:t>
            </w:r>
          </w:p>
        </w:tc>
        <w:tc>
          <w:tcPr>
            <w:tcW w:w="0" w:type="dxa"/>
            <w:vAlign w:val="bottom"/>
          </w:tcPr>
          <w:p>
            <w:pPr>
              <w:spacing w:after="0"/>
              <w:rPr>
                <w:sz w:val="1"/>
                <w:szCs w:val="1"/>
                <w:color w:val="auto"/>
              </w:rPr>
            </w:pPr>
          </w:p>
        </w:tc>
      </w:tr>
      <w:tr>
        <w:trPr>
          <w:trHeight w:val="199"/>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300" w:type="dxa"/>
            <w:vAlign w:val="bottom"/>
          </w:tcPr>
          <w:p>
            <w:pPr>
              <w:spacing w:after="0"/>
              <w:rPr>
                <w:sz w:val="20"/>
                <w:szCs w:val="20"/>
                <w:color w:val="auto"/>
              </w:rPr>
            </w:pPr>
            <w:r>
              <w:rPr>
                <w:rFonts w:ascii="Arial" w:cs="Arial" w:eastAsia="Arial" w:hAnsi="Arial"/>
                <w:sz w:val="16"/>
                <w:szCs w:val="16"/>
                <w:color w:val="auto"/>
              </w:rPr>
              <w:t>Thermoelectric Inc., the lenders party thereto, and Bank of America, N.A., as administrative agent.</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0"/>
                <w:szCs w:val="20"/>
                <w:color w:val="auto"/>
              </w:rPr>
            </w:pPr>
            <w:r>
              <w:rPr>
                <w:rFonts w:ascii="Arial" w:cs="Arial" w:eastAsia="Arial" w:hAnsi="Arial"/>
                <w:sz w:val="16"/>
                <w:szCs w:val="16"/>
                <w:color w:val="auto"/>
              </w:rPr>
              <w:t>10.2</w:t>
            </w:r>
          </w:p>
        </w:tc>
        <w:tc>
          <w:tcPr>
            <w:tcW w:w="340" w:type="dxa"/>
            <w:vAlign w:val="bottom"/>
          </w:tcPr>
          <w:p>
            <w:pPr>
              <w:spacing w:after="0"/>
              <w:rPr>
                <w:sz w:val="23"/>
                <w:szCs w:val="23"/>
                <w:color w:val="auto"/>
              </w:rPr>
            </w:pPr>
          </w:p>
        </w:tc>
        <w:tc>
          <w:tcPr>
            <w:tcW w:w="10300" w:type="dxa"/>
            <w:vAlign w:val="bottom"/>
          </w:tcPr>
          <w:p>
            <w:pPr>
              <w:spacing w:after="0"/>
              <w:rPr>
                <w:sz w:val="20"/>
                <w:szCs w:val="20"/>
                <w:color w:val="auto"/>
              </w:rPr>
            </w:pPr>
            <w:r>
              <w:rPr>
                <w:rFonts w:ascii="Arial" w:cs="Arial" w:eastAsia="Arial" w:hAnsi="Arial"/>
                <w:sz w:val="16"/>
                <w:szCs w:val="16"/>
                <w:color w:val="auto"/>
                <w:w w:val="89"/>
              </w:rPr>
              <w:t>Pledge and Security Agreement, dated as of August 7, 2014, by and among Gentherm Incorporated, Gentherm (Texas), Inc., Westridge Haggerty LLC and Bank of</w:t>
            </w:r>
          </w:p>
        </w:tc>
        <w:tc>
          <w:tcPr>
            <w:tcW w:w="0" w:type="dxa"/>
            <w:vAlign w:val="bottom"/>
          </w:tcPr>
          <w:p>
            <w:pPr>
              <w:spacing w:after="0"/>
              <w:rPr>
                <w:sz w:val="1"/>
                <w:szCs w:val="1"/>
                <w:color w:val="auto"/>
              </w:rPr>
            </w:pPr>
          </w:p>
        </w:tc>
      </w:tr>
      <w:tr>
        <w:trPr>
          <w:trHeight w:val="199"/>
        </w:trPr>
        <w:tc>
          <w:tcPr>
            <w:tcW w:w="800" w:type="dxa"/>
            <w:vAlign w:val="bottom"/>
            <w:vMerge w:val="restart"/>
          </w:tcPr>
          <w:p>
            <w:pPr>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300" w:type="dxa"/>
            <w:vAlign w:val="bottom"/>
          </w:tcPr>
          <w:p>
            <w:pPr>
              <w:spacing w:after="0"/>
              <w:rPr>
                <w:sz w:val="20"/>
                <w:szCs w:val="20"/>
                <w:color w:val="auto"/>
              </w:rPr>
            </w:pPr>
            <w:r>
              <w:rPr>
                <w:rFonts w:ascii="Arial" w:cs="Arial" w:eastAsia="Arial" w:hAnsi="Arial"/>
                <w:sz w:val="16"/>
                <w:szCs w:val="16"/>
                <w:color w:val="auto"/>
              </w:rPr>
              <w:t>America, N.A.</w:t>
            </w:r>
          </w:p>
        </w:tc>
        <w:tc>
          <w:tcPr>
            <w:tcW w:w="0" w:type="dxa"/>
            <w:vAlign w:val="bottom"/>
          </w:tcPr>
          <w:p>
            <w:pPr>
              <w:spacing w:after="0"/>
              <w:rPr>
                <w:sz w:val="1"/>
                <w:szCs w:val="1"/>
                <w:color w:val="auto"/>
              </w:rPr>
            </w:pPr>
          </w:p>
        </w:tc>
      </w:tr>
      <w:tr>
        <w:trPr>
          <w:trHeight w:val="188"/>
        </w:trPr>
        <w:tc>
          <w:tcPr>
            <w:tcW w:w="8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3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446"/>
          </w:cols>
          <w:pgMar w:left="234" w:top="221"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SIGNATURES</w:t>
      </w:r>
    </w:p>
    <w:p>
      <w:pPr>
        <w:spacing w:after="0" w:line="195" w:lineRule="exact"/>
        <w:rPr>
          <w:sz w:val="20"/>
          <w:szCs w:val="20"/>
          <w:color w:val="auto"/>
        </w:rPr>
      </w:pPr>
    </w:p>
    <w:p>
      <w:pPr>
        <w:ind w:right="320" w:firstLine="508"/>
        <w:spacing w:after="0" w:line="26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54"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GENTHERM INCORPORATED</w:t>
      </w:r>
    </w:p>
    <w:p>
      <w:pPr>
        <w:spacing w:after="0" w:line="289" w:lineRule="exact"/>
        <w:rPr>
          <w:sz w:val="20"/>
          <w:szCs w:val="20"/>
          <w:color w:val="auto"/>
        </w:rPr>
      </w:pPr>
    </w:p>
    <w:tbl>
      <w:tblPr>
        <w:tblLayout w:type="fixed"/>
        <w:tblInd w:w="5720" w:type="dxa"/>
        <w:tblCellMar>
          <w:top w:w="0" w:type="dxa"/>
          <w:left w:w="0" w:type="dxa"/>
          <w:bottom w:w="0" w:type="dxa"/>
          <w:right w:w="0" w:type="dxa"/>
        </w:tblCellMar>
      </w:tblPr>
      <w:tr>
        <w:trPr>
          <w:trHeight w:val="200"/>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Kenneth J. Phillips</w:t>
            </w:r>
          </w:p>
        </w:tc>
      </w:tr>
      <w:tr>
        <w:trPr>
          <w:trHeight w:val="167"/>
        </w:trPr>
        <w:tc>
          <w:tcPr>
            <w:tcW w:w="560" w:type="dxa"/>
            <w:vAlign w:val="bottom"/>
          </w:tcPr>
          <w:p>
            <w:pPr>
              <w:spacing w:after="0"/>
              <w:rPr>
                <w:sz w:val="14"/>
                <w:szCs w:val="14"/>
                <w:color w:val="auto"/>
              </w:rPr>
            </w:pPr>
          </w:p>
        </w:tc>
        <w:tc>
          <w:tcPr>
            <w:tcW w:w="5160" w:type="dxa"/>
            <w:vAlign w:val="bottom"/>
          </w:tcPr>
          <w:p>
            <w:pPr>
              <w:spacing w:after="0" w:line="168" w:lineRule="exact"/>
              <w:rPr>
                <w:sz w:val="20"/>
                <w:szCs w:val="20"/>
                <w:color w:val="auto"/>
              </w:rPr>
            </w:pPr>
            <w:r>
              <w:rPr>
                <w:rFonts w:ascii="Arial" w:cs="Arial" w:eastAsia="Arial" w:hAnsi="Arial"/>
                <w:sz w:val="16"/>
                <w:szCs w:val="16"/>
                <w:color w:val="auto"/>
              </w:rPr>
              <w:t>Kenneth J. Phillips</w:t>
            </w:r>
          </w:p>
        </w:tc>
      </w:tr>
      <w:tr>
        <w:trPr>
          <w:trHeight w:val="199"/>
        </w:trPr>
        <w:tc>
          <w:tcPr>
            <w:tcW w:w="56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Vice-President and General Counsel</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Date: August 7, 2014</w:t>
      </w:r>
    </w:p>
    <w:p>
      <w:pPr>
        <w:sectPr>
          <w:pgSz w:w="11900" w:h="16838" w:orient="portrait"/>
          <w:cols w:equalWidth="0" w:num="1">
            <w:col w:w="11440"/>
          </w:cols>
          <w:pgMar w:left="240" w:top="123"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3"/>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300" w:type="dxa"/>
            <w:vAlign w:val="bottom"/>
          </w:tcPr>
          <w:p>
            <w:pPr>
              <w:ind w:left="4120"/>
              <w:spacing w:after="0"/>
              <w:rPr>
                <w:sz w:val="20"/>
                <w:szCs w:val="20"/>
                <w:color w:val="auto"/>
              </w:rPr>
            </w:pPr>
            <w:r>
              <w:rPr>
                <w:rFonts w:ascii="Arial" w:cs="Arial" w:eastAsia="Arial" w:hAnsi="Arial"/>
                <w:sz w:val="16"/>
                <w:szCs w:val="16"/>
                <w:b w:val="1"/>
                <w:bCs w:val="1"/>
                <w:color w:val="auto"/>
              </w:rPr>
              <w:t>Exhibit Index</w:t>
            </w:r>
          </w:p>
        </w:tc>
      </w:tr>
      <w:tr>
        <w:trPr>
          <w:trHeight w:val="376"/>
        </w:trPr>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Number</w:t>
            </w:r>
          </w:p>
        </w:tc>
        <w:tc>
          <w:tcPr>
            <w:tcW w:w="10300" w:type="dxa"/>
            <w:vAlign w:val="bottom"/>
          </w:tcPr>
          <w:p>
            <w:pPr>
              <w:spacing w:after="0"/>
              <w:rPr>
                <w:sz w:val="20"/>
                <w:szCs w:val="20"/>
                <w:color w:val="auto"/>
              </w:rPr>
            </w:pPr>
            <w:r>
              <w:rPr>
                <w:rFonts w:ascii="Arial" w:cs="Arial" w:eastAsia="Arial" w:hAnsi="Arial"/>
                <w:sz w:val="16"/>
                <w:szCs w:val="16"/>
                <w:b w:val="1"/>
                <w:bCs w:val="1"/>
                <w:color w:val="auto"/>
              </w:rPr>
              <w:t>Description</w:t>
            </w:r>
          </w:p>
        </w:tc>
      </w:tr>
      <w:tr>
        <w:trPr>
          <w:trHeight w:val="261"/>
        </w:trPr>
        <w:tc>
          <w:tcPr>
            <w:tcW w:w="8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10.1</w:t>
            </w:r>
          </w:p>
        </w:tc>
        <w:tc>
          <w:tcPr>
            <w:tcW w:w="340" w:type="dxa"/>
            <w:vAlign w:val="bottom"/>
          </w:tcPr>
          <w:p>
            <w:pPr>
              <w:spacing w:after="0"/>
              <w:rPr>
                <w:sz w:val="22"/>
                <w:szCs w:val="22"/>
                <w:color w:val="auto"/>
              </w:rPr>
            </w:pPr>
          </w:p>
        </w:tc>
        <w:tc>
          <w:tcPr>
            <w:tcW w:w="1030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90"/>
              </w:rPr>
              <w:t>Credit Agreement, dated as of August 7, 2014, by and among Gentherm Incorporated, Gentherm GmbH, Gentherm (Texas), Inc., Gentherm Canada Ltd., Global</w:t>
            </w:r>
          </w:p>
        </w:tc>
      </w:tr>
      <w:tr>
        <w:trPr>
          <w:trHeight w:val="199"/>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300" w:type="dxa"/>
            <w:vAlign w:val="bottom"/>
          </w:tcPr>
          <w:p>
            <w:pPr>
              <w:spacing w:after="0"/>
              <w:rPr>
                <w:sz w:val="20"/>
                <w:szCs w:val="20"/>
                <w:color w:val="auto"/>
              </w:rPr>
            </w:pPr>
            <w:r>
              <w:rPr>
                <w:rFonts w:ascii="Arial" w:cs="Arial" w:eastAsia="Arial" w:hAnsi="Arial"/>
                <w:sz w:val="16"/>
                <w:szCs w:val="16"/>
                <w:color w:val="auto"/>
              </w:rPr>
              <w:t>Thermoelectric Inc., the lenders party thereto, and Bank of America, N.A., as administrative agent.</w:t>
            </w:r>
          </w:p>
        </w:tc>
      </w:tr>
      <w:tr>
        <w:trPr>
          <w:trHeight w:val="270"/>
        </w:trPr>
        <w:tc>
          <w:tcPr>
            <w:tcW w:w="800" w:type="dxa"/>
            <w:vAlign w:val="bottom"/>
          </w:tcPr>
          <w:p>
            <w:pPr>
              <w:spacing w:after="0"/>
              <w:rPr>
                <w:sz w:val="20"/>
                <w:szCs w:val="20"/>
                <w:color w:val="auto"/>
              </w:rPr>
            </w:pPr>
            <w:r>
              <w:rPr>
                <w:rFonts w:ascii="Arial" w:cs="Arial" w:eastAsia="Arial" w:hAnsi="Arial"/>
                <w:sz w:val="16"/>
                <w:szCs w:val="16"/>
                <w:color w:val="auto"/>
              </w:rPr>
              <w:t>10.2</w:t>
            </w:r>
          </w:p>
        </w:tc>
        <w:tc>
          <w:tcPr>
            <w:tcW w:w="340" w:type="dxa"/>
            <w:vAlign w:val="bottom"/>
          </w:tcPr>
          <w:p>
            <w:pPr>
              <w:spacing w:after="0"/>
              <w:rPr>
                <w:sz w:val="23"/>
                <w:szCs w:val="23"/>
                <w:color w:val="auto"/>
              </w:rPr>
            </w:pPr>
          </w:p>
        </w:tc>
        <w:tc>
          <w:tcPr>
            <w:tcW w:w="10300" w:type="dxa"/>
            <w:vAlign w:val="bottom"/>
          </w:tcPr>
          <w:p>
            <w:pPr>
              <w:spacing w:after="0"/>
              <w:rPr>
                <w:sz w:val="20"/>
                <w:szCs w:val="20"/>
                <w:color w:val="auto"/>
              </w:rPr>
            </w:pPr>
            <w:r>
              <w:rPr>
                <w:rFonts w:ascii="Arial" w:cs="Arial" w:eastAsia="Arial" w:hAnsi="Arial"/>
                <w:sz w:val="16"/>
                <w:szCs w:val="16"/>
                <w:color w:val="auto"/>
                <w:w w:val="89"/>
              </w:rPr>
              <w:t>Pledge and Security Agreement, dated as of August 7, 2014, by and among Gentherm Incorporated, Gentherm (Texas), Inc., Westridge Haggerty LLC and Bank of</w:t>
            </w:r>
          </w:p>
        </w:tc>
      </w:tr>
      <w:tr>
        <w:trPr>
          <w:trHeight w:val="199"/>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300" w:type="dxa"/>
            <w:vAlign w:val="bottom"/>
          </w:tcPr>
          <w:p>
            <w:pPr>
              <w:spacing w:after="0"/>
              <w:rPr>
                <w:sz w:val="20"/>
                <w:szCs w:val="20"/>
                <w:color w:val="auto"/>
              </w:rPr>
            </w:pPr>
            <w:r>
              <w:rPr>
                <w:rFonts w:ascii="Arial" w:cs="Arial" w:eastAsia="Arial" w:hAnsi="Arial"/>
                <w:sz w:val="16"/>
                <w:szCs w:val="16"/>
                <w:color w:val="auto"/>
              </w:rPr>
              <w:t>America, N.A.</w:t>
            </w:r>
          </w:p>
        </w:tc>
      </w:tr>
    </w:tbl>
    <w:p>
      <w:pPr>
        <w:sectPr>
          <w:pgSz w:w="11900" w:h="16838" w:orient="portrait"/>
          <w:cols w:equalWidth="0" w:num="1">
            <w:col w:w="11440"/>
          </w:cols>
          <w:pgMar w:left="240" w:top="123" w:right="219" w:bottom="1440" w:gutter="0" w:footer="0" w:header="0"/>
        </w:sectPr>
      </w:pPr>
    </w:p>
    <w:bookmarkStart w:id="5" w:name="page6"/>
    <w:bookmarkEnd w:id="5"/>
    <w:p>
      <w:pPr>
        <w:jc w:val="right"/>
        <w:spacing w:after="0"/>
        <w:rPr>
          <w:sz w:val="20"/>
          <w:szCs w:val="20"/>
          <w:color w:val="auto"/>
        </w:rPr>
      </w:pPr>
      <w:r>
        <w:rPr>
          <w:rFonts w:ascii="Arial" w:cs="Arial" w:eastAsia="Arial" w:hAnsi="Arial"/>
          <w:sz w:val="17"/>
          <w:szCs w:val="17"/>
          <w:b w:val="1"/>
          <w:bCs w:val="1"/>
          <w:color w:val="auto"/>
        </w:rPr>
        <w:t>Exhibit 10.1</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7"/>
          <w:szCs w:val="17"/>
          <w:u w:val="single" w:color="auto"/>
          <w:color w:val="auto"/>
        </w:rPr>
        <w:t>Published CUSIP Number</w:t>
      </w:r>
      <w:r>
        <w:rPr>
          <w:rFonts w:ascii="Arial" w:cs="Arial" w:eastAsia="Arial" w:hAnsi="Arial"/>
          <w:sz w:val="17"/>
          <w:szCs w:val="17"/>
          <w:color w:val="auto"/>
        </w:rPr>
        <w:t>: 37253NAA3</w:t>
      </w:r>
    </w:p>
    <w:p>
      <w:pPr>
        <w:spacing w:after="0" w:line="185"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CREDIT AGREEMENT</w:t>
      </w:r>
    </w:p>
    <w:p>
      <w:pPr>
        <w:spacing w:after="0" w:line="19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Dated as of August 7, 2014</w:t>
      </w:r>
    </w:p>
    <w:p>
      <w:pPr>
        <w:spacing w:after="0" w:line="19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among</w:t>
      </w:r>
    </w:p>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GENTHERM INCORPORATED,</w:t>
      </w:r>
    </w:p>
    <w:p>
      <w:pPr>
        <w:spacing w:after="0" w:line="24"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GENTHERM (TEXAS), INC.,</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GENTHERM CANADA LTD.,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GLOBAL THERMOELECTRIC INC.</w:t>
      </w:r>
    </w:p>
    <w:p>
      <w:pPr>
        <w:spacing w:after="0" w:line="19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and</w:t>
      </w:r>
    </w:p>
    <w:p>
      <w:pPr>
        <w:spacing w:after="0" w:line="18"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GENTHERM GMBH</w:t>
      </w:r>
      <w:r>
        <w:rPr>
          <w:rFonts w:ascii="Arial" w:cs="Arial" w:eastAsia="Arial" w:hAnsi="Arial"/>
          <w:sz w:val="17"/>
          <w:szCs w:val="17"/>
          <w:color w:val="auto"/>
        </w:rPr>
        <w:t>,</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as Borrowers,</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BANK OF AMERICA, N.A.,</w:t>
      </w:r>
    </w:p>
    <w:p>
      <w:pPr>
        <w:spacing w:after="0" w:line="24"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as Administrative Agent, Swing Line Lender</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and</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L/C Issuer,</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JPMORGAN CHASE BANK, N.A.</w:t>
      </w:r>
    </w:p>
    <w:p>
      <w:pPr>
        <w:spacing w:after="0" w:line="24"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as Syndication Agent,</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HSBC BANK USA, NATIONAL ASSOCIATION</w:t>
      </w:r>
      <w:r>
        <w:rPr>
          <w:rFonts w:ascii="Arial" w:cs="Arial" w:eastAsia="Arial" w:hAnsi="Arial"/>
          <w:sz w:val="17"/>
          <w:szCs w:val="17"/>
          <w:color w:val="auto"/>
        </w:rPr>
        <w:t>,</w:t>
      </w:r>
    </w:p>
    <w:p>
      <w:pPr>
        <w:spacing w:after="0" w:line="19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as Documentation Agent</w:t>
      </w:r>
    </w:p>
    <w:p>
      <w:pPr>
        <w:spacing w:after="0" w:line="18"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and</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The Other Lenders Party Hereto</w:t>
      </w:r>
    </w:p>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MERRILL LYNCH, PIERCE, FENNER &amp; SMITH INCORPORATED,</w:t>
      </w:r>
    </w:p>
    <w:p>
      <w:pPr>
        <w:spacing w:after="0" w:line="24"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as</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Sole Lead Arranger and Sole Book Runner</w:t>
      </w:r>
    </w:p>
    <w:p>
      <w:pPr>
        <w:sectPr>
          <w:pgSz w:w="11900" w:h="16838" w:orient="portrait"/>
          <w:cols w:equalWidth="0" w:num="1">
            <w:col w:w="10240"/>
          </w:cols>
          <w:pgMar w:left="1440" w:top="306"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3"/>
        </w:trPr>
        <w:tc>
          <w:tcPr>
            <w:tcW w:w="8860" w:type="dxa"/>
            <w:vAlign w:val="bottom"/>
          </w:tcPr>
          <w:p>
            <w:pPr>
              <w:ind w:left="4820"/>
              <w:spacing w:after="0"/>
              <w:rPr>
                <w:sz w:val="20"/>
                <w:szCs w:val="20"/>
                <w:color w:val="auto"/>
              </w:rPr>
            </w:pPr>
            <w:r>
              <w:rPr>
                <w:rFonts w:ascii="Arial" w:cs="Arial" w:eastAsia="Arial" w:hAnsi="Arial"/>
                <w:sz w:val="17"/>
                <w:szCs w:val="17"/>
                <w:b w:val="1"/>
                <w:bCs w:val="1"/>
                <w:color w:val="auto"/>
              </w:rPr>
              <w:t>TABLE OF CONTENTS</w:t>
            </w:r>
          </w:p>
        </w:tc>
        <w:tc>
          <w:tcPr>
            <w:tcW w:w="2560" w:type="dxa"/>
            <w:vAlign w:val="bottom"/>
          </w:tcPr>
          <w:p>
            <w:pPr>
              <w:spacing w:after="0"/>
              <w:rPr>
                <w:sz w:val="19"/>
                <w:szCs w:val="19"/>
                <w:color w:val="auto"/>
              </w:rPr>
            </w:pPr>
          </w:p>
        </w:tc>
      </w:tr>
      <w:tr>
        <w:trPr>
          <w:trHeight w:val="299"/>
        </w:trPr>
        <w:tc>
          <w:tcPr>
            <w:tcW w:w="886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2"/>
                <w:szCs w:val="12"/>
                <w:b w:val="1"/>
                <w:bCs w:val="1"/>
                <w:color w:val="auto"/>
              </w:rPr>
              <w:t>PAGE</w:t>
            </w:r>
          </w:p>
        </w:tc>
      </w:tr>
      <w:tr>
        <w:trPr>
          <w:trHeight w:val="199"/>
        </w:trPr>
        <w:tc>
          <w:tcPr>
            <w:tcW w:w="8860" w:type="dxa"/>
            <w:vAlign w:val="bottom"/>
          </w:tcPr>
          <w:p>
            <w:pPr>
              <w:spacing w:after="0"/>
              <w:rPr>
                <w:sz w:val="20"/>
                <w:szCs w:val="20"/>
                <w:color w:val="auto"/>
              </w:rPr>
            </w:pPr>
            <w:r>
              <w:rPr>
                <w:rFonts w:ascii="Arial" w:cs="Arial" w:eastAsia="Arial" w:hAnsi="Arial"/>
                <w:sz w:val="17"/>
                <w:szCs w:val="17"/>
                <w:color w:val="auto"/>
              </w:rPr>
              <w:t>ARTICLE I. DEFINITIONS AND ACCOUNTING TERMS</w:t>
            </w:r>
          </w:p>
        </w:tc>
        <w:tc>
          <w:tcPr>
            <w:tcW w:w="25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1.01 Defined Terms</w:t>
            </w:r>
          </w:p>
        </w:tc>
        <w:tc>
          <w:tcPr>
            <w:tcW w:w="25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1.02 Other Interpretive Provisions</w:t>
            </w:r>
          </w:p>
        </w:tc>
        <w:tc>
          <w:tcPr>
            <w:tcW w:w="256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1.03 Accounting Terms</w:t>
            </w:r>
          </w:p>
        </w:tc>
        <w:tc>
          <w:tcPr>
            <w:tcW w:w="256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1.04 Rounding</w:t>
            </w:r>
          </w:p>
        </w:tc>
        <w:tc>
          <w:tcPr>
            <w:tcW w:w="256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1.05 Exchange Rates; Currency Equivalents</w:t>
            </w:r>
          </w:p>
        </w:tc>
        <w:tc>
          <w:tcPr>
            <w:tcW w:w="256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1.06 Change of Currency</w:t>
            </w:r>
          </w:p>
        </w:tc>
        <w:tc>
          <w:tcPr>
            <w:tcW w:w="256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1.07 Times of Day</w:t>
            </w:r>
          </w:p>
        </w:tc>
        <w:tc>
          <w:tcPr>
            <w:tcW w:w="256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1.08 Letter of Credit Amounts</w:t>
            </w:r>
          </w:p>
        </w:tc>
        <w:tc>
          <w:tcPr>
            <w:tcW w:w="256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1.09 Additional Alternative Currencies</w:t>
            </w:r>
          </w:p>
        </w:tc>
        <w:tc>
          <w:tcPr>
            <w:tcW w:w="256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199"/>
        </w:trPr>
        <w:tc>
          <w:tcPr>
            <w:tcW w:w="8860" w:type="dxa"/>
            <w:vAlign w:val="bottom"/>
          </w:tcPr>
          <w:p>
            <w:pPr>
              <w:spacing w:after="0"/>
              <w:rPr>
                <w:sz w:val="20"/>
                <w:szCs w:val="20"/>
                <w:color w:val="auto"/>
              </w:rPr>
            </w:pPr>
            <w:r>
              <w:rPr>
                <w:rFonts w:ascii="Arial" w:cs="Arial" w:eastAsia="Arial" w:hAnsi="Arial"/>
                <w:sz w:val="17"/>
                <w:szCs w:val="17"/>
                <w:color w:val="auto"/>
              </w:rPr>
              <w:t>ARTICLE II. THE COMMITMENTS AND CREDIT EXTENSIONS</w:t>
            </w:r>
          </w:p>
        </w:tc>
        <w:tc>
          <w:tcPr>
            <w:tcW w:w="256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2.01 Loans</w:t>
            </w:r>
          </w:p>
        </w:tc>
        <w:tc>
          <w:tcPr>
            <w:tcW w:w="256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2.02 Borrowings, Conversions and Continuations of Loans</w:t>
            </w:r>
          </w:p>
        </w:tc>
        <w:tc>
          <w:tcPr>
            <w:tcW w:w="256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2.03 Letters of Credit</w:t>
            </w:r>
          </w:p>
        </w:tc>
        <w:tc>
          <w:tcPr>
            <w:tcW w:w="256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2.04 Swing Line Loans</w:t>
            </w:r>
          </w:p>
        </w:tc>
        <w:tc>
          <w:tcPr>
            <w:tcW w:w="256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2.05 Prepayments</w:t>
            </w:r>
          </w:p>
        </w:tc>
        <w:tc>
          <w:tcPr>
            <w:tcW w:w="256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2.06 Termination or Reduction of Commitments</w:t>
            </w:r>
          </w:p>
        </w:tc>
        <w:tc>
          <w:tcPr>
            <w:tcW w:w="256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2.07 Repayment of Loans</w:t>
            </w:r>
          </w:p>
        </w:tc>
        <w:tc>
          <w:tcPr>
            <w:tcW w:w="256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2.08 Interest</w:t>
            </w:r>
          </w:p>
        </w:tc>
        <w:tc>
          <w:tcPr>
            <w:tcW w:w="256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2.09 Fees</w:t>
            </w:r>
          </w:p>
        </w:tc>
        <w:tc>
          <w:tcPr>
            <w:tcW w:w="256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2.10 Computation of Interest and Fees; Retroactive Adjustments of Applicable Rate</w:t>
            </w:r>
          </w:p>
        </w:tc>
        <w:tc>
          <w:tcPr>
            <w:tcW w:w="256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199"/>
        </w:trPr>
        <w:tc>
          <w:tcPr>
            <w:tcW w:w="8860" w:type="dxa"/>
            <w:vAlign w:val="bottom"/>
          </w:tcPr>
          <w:p>
            <w:pPr>
              <w:ind w:left="740"/>
              <w:spacing w:after="0"/>
              <w:rPr>
                <w:sz w:val="20"/>
                <w:szCs w:val="20"/>
                <w:color w:val="auto"/>
              </w:rPr>
            </w:pPr>
            <w:r>
              <w:rPr>
                <w:rFonts w:ascii="Arial" w:cs="Arial" w:eastAsia="Arial" w:hAnsi="Arial"/>
                <w:sz w:val="17"/>
                <w:szCs w:val="17"/>
                <w:color w:val="auto"/>
              </w:rPr>
              <w:t>2.11 Evidence of Debt</w:t>
            </w:r>
          </w:p>
        </w:tc>
        <w:tc>
          <w:tcPr>
            <w:tcW w:w="256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2.12 Payments Generally; Administrative Agent’s Clawback</w:t>
            </w:r>
          </w:p>
        </w:tc>
        <w:tc>
          <w:tcPr>
            <w:tcW w:w="256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2.13 Sharing of Payments by Lenders</w:t>
            </w:r>
          </w:p>
        </w:tc>
        <w:tc>
          <w:tcPr>
            <w:tcW w:w="256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2.14 German Loan Parties</w:t>
            </w:r>
          </w:p>
        </w:tc>
        <w:tc>
          <w:tcPr>
            <w:tcW w:w="256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2.15 Cash Collateral</w:t>
            </w:r>
          </w:p>
        </w:tc>
        <w:tc>
          <w:tcPr>
            <w:tcW w:w="256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2.16 Defaulting Lenders</w:t>
            </w:r>
          </w:p>
        </w:tc>
        <w:tc>
          <w:tcPr>
            <w:tcW w:w="256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2.17 Appointment of Borrower Agent</w:t>
            </w:r>
          </w:p>
        </w:tc>
        <w:tc>
          <w:tcPr>
            <w:tcW w:w="256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2.18 Designated Lenders</w:t>
            </w:r>
          </w:p>
        </w:tc>
        <w:tc>
          <w:tcPr>
            <w:tcW w:w="256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199"/>
        </w:trPr>
        <w:tc>
          <w:tcPr>
            <w:tcW w:w="8860" w:type="dxa"/>
            <w:vAlign w:val="bottom"/>
          </w:tcPr>
          <w:p>
            <w:pPr>
              <w:spacing w:after="0"/>
              <w:rPr>
                <w:sz w:val="20"/>
                <w:szCs w:val="20"/>
                <w:color w:val="auto"/>
              </w:rPr>
            </w:pPr>
            <w:r>
              <w:rPr>
                <w:rFonts w:ascii="Arial" w:cs="Arial" w:eastAsia="Arial" w:hAnsi="Arial"/>
                <w:sz w:val="17"/>
                <w:szCs w:val="17"/>
                <w:color w:val="auto"/>
              </w:rPr>
              <w:t>ARTICLE III. TAXES, YIELD PROTECTION AND ILLEGALITY</w:t>
            </w:r>
          </w:p>
        </w:tc>
        <w:tc>
          <w:tcPr>
            <w:tcW w:w="256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3.01 Taxes</w:t>
            </w:r>
          </w:p>
        </w:tc>
        <w:tc>
          <w:tcPr>
            <w:tcW w:w="256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3.02 Illegality</w:t>
            </w:r>
          </w:p>
        </w:tc>
        <w:tc>
          <w:tcPr>
            <w:tcW w:w="256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3.03 Inability to Determine Rates</w:t>
            </w:r>
          </w:p>
        </w:tc>
        <w:tc>
          <w:tcPr>
            <w:tcW w:w="256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3.04 Increased Costs; Reserves on Eurocurrency Rate Loans</w:t>
            </w:r>
          </w:p>
        </w:tc>
        <w:tc>
          <w:tcPr>
            <w:tcW w:w="256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3.05 Compensation for Losses</w:t>
            </w:r>
          </w:p>
        </w:tc>
        <w:tc>
          <w:tcPr>
            <w:tcW w:w="256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3.06 Mitigation Obligations; Replacement of Lenders</w:t>
            </w:r>
          </w:p>
        </w:tc>
        <w:tc>
          <w:tcPr>
            <w:tcW w:w="256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3.07 Survival</w:t>
            </w:r>
          </w:p>
        </w:tc>
        <w:tc>
          <w:tcPr>
            <w:tcW w:w="256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199"/>
        </w:trPr>
        <w:tc>
          <w:tcPr>
            <w:tcW w:w="8860" w:type="dxa"/>
            <w:vAlign w:val="bottom"/>
          </w:tcPr>
          <w:p>
            <w:pPr>
              <w:spacing w:after="0"/>
              <w:rPr>
                <w:sz w:val="20"/>
                <w:szCs w:val="20"/>
                <w:color w:val="auto"/>
              </w:rPr>
            </w:pPr>
            <w:r>
              <w:rPr>
                <w:rFonts w:ascii="Arial" w:cs="Arial" w:eastAsia="Arial" w:hAnsi="Arial"/>
                <w:sz w:val="17"/>
                <w:szCs w:val="17"/>
                <w:color w:val="auto"/>
              </w:rPr>
              <w:t>ARTICLE IV. CONDITIONS PRECEDENT TO CREDIT EXTENSIONS</w:t>
            </w:r>
          </w:p>
        </w:tc>
        <w:tc>
          <w:tcPr>
            <w:tcW w:w="256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4.01 Conditions of Closing Date</w:t>
            </w:r>
          </w:p>
        </w:tc>
        <w:tc>
          <w:tcPr>
            <w:tcW w:w="256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4.02 Conditions to all Credit Extensions</w:t>
            </w:r>
          </w:p>
        </w:tc>
        <w:tc>
          <w:tcPr>
            <w:tcW w:w="256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199"/>
        </w:trPr>
        <w:tc>
          <w:tcPr>
            <w:tcW w:w="8860" w:type="dxa"/>
            <w:vAlign w:val="bottom"/>
          </w:tcPr>
          <w:p>
            <w:pPr>
              <w:spacing w:after="0"/>
              <w:rPr>
                <w:sz w:val="20"/>
                <w:szCs w:val="20"/>
                <w:color w:val="auto"/>
              </w:rPr>
            </w:pPr>
            <w:r>
              <w:rPr>
                <w:rFonts w:ascii="Arial" w:cs="Arial" w:eastAsia="Arial" w:hAnsi="Arial"/>
                <w:sz w:val="17"/>
                <w:szCs w:val="17"/>
                <w:color w:val="auto"/>
              </w:rPr>
              <w:t>ARTICLE V. REPRESENTATIONS AND WARRANTIES</w:t>
            </w:r>
          </w:p>
        </w:tc>
        <w:tc>
          <w:tcPr>
            <w:tcW w:w="256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5.01 Existence, Qualification and Power</w:t>
            </w:r>
          </w:p>
        </w:tc>
        <w:tc>
          <w:tcPr>
            <w:tcW w:w="256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5.02 Authorization; No Contravention</w:t>
            </w:r>
          </w:p>
        </w:tc>
        <w:tc>
          <w:tcPr>
            <w:tcW w:w="256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5.03 Governmental Authorization; Other Consents</w:t>
            </w:r>
          </w:p>
        </w:tc>
        <w:tc>
          <w:tcPr>
            <w:tcW w:w="256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5.04 Binding Effect</w:t>
            </w:r>
          </w:p>
        </w:tc>
        <w:tc>
          <w:tcPr>
            <w:tcW w:w="256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5.05 Financial Statements; No Material Adverse Effect</w:t>
            </w:r>
          </w:p>
        </w:tc>
        <w:tc>
          <w:tcPr>
            <w:tcW w:w="256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199"/>
        </w:trPr>
        <w:tc>
          <w:tcPr>
            <w:tcW w:w="8860" w:type="dxa"/>
            <w:vAlign w:val="bottom"/>
          </w:tcPr>
          <w:p>
            <w:pPr>
              <w:ind w:left="720"/>
              <w:spacing w:after="0"/>
              <w:rPr>
                <w:sz w:val="20"/>
                <w:szCs w:val="20"/>
                <w:color w:val="auto"/>
              </w:rPr>
            </w:pPr>
            <w:r>
              <w:rPr>
                <w:rFonts w:ascii="Arial" w:cs="Arial" w:eastAsia="Arial" w:hAnsi="Arial"/>
                <w:sz w:val="17"/>
                <w:szCs w:val="17"/>
                <w:color w:val="auto"/>
              </w:rPr>
              <w:t>5.06 Litigation</w:t>
            </w:r>
          </w:p>
        </w:tc>
        <w:tc>
          <w:tcPr>
            <w:tcW w:w="256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17"/>
        </w:trPr>
        <w:tc>
          <w:tcPr>
            <w:tcW w:w="8860" w:type="dxa"/>
            <w:vAlign w:val="bottom"/>
          </w:tcPr>
          <w:p>
            <w:pPr>
              <w:ind w:left="720"/>
              <w:spacing w:after="0"/>
              <w:rPr>
                <w:sz w:val="20"/>
                <w:szCs w:val="20"/>
                <w:color w:val="auto"/>
              </w:rPr>
            </w:pPr>
            <w:r>
              <w:rPr>
                <w:rFonts w:ascii="Arial" w:cs="Arial" w:eastAsia="Arial" w:hAnsi="Arial"/>
                <w:sz w:val="17"/>
                <w:szCs w:val="17"/>
                <w:color w:val="auto"/>
              </w:rPr>
              <w:t>5.07 No Default</w:t>
            </w:r>
          </w:p>
        </w:tc>
        <w:tc>
          <w:tcPr>
            <w:tcW w:w="2560" w:type="dxa"/>
            <w:vAlign w:val="bottom"/>
          </w:tcPr>
          <w:p>
            <w:pPr>
              <w:jc w:val="right"/>
              <w:spacing w:after="0"/>
              <w:rPr>
                <w:sz w:val="20"/>
                <w:szCs w:val="20"/>
                <w:color w:val="auto"/>
              </w:rPr>
            </w:pPr>
            <w:r>
              <w:rPr>
                <w:rFonts w:ascii="Arial" w:cs="Arial" w:eastAsia="Arial" w:hAnsi="Arial"/>
                <w:sz w:val="17"/>
                <w:szCs w:val="17"/>
                <w:color w:val="auto"/>
              </w:rPr>
              <w:t>77</w:t>
            </w:r>
          </w:p>
        </w:tc>
      </w:tr>
    </w:tbl>
    <w:p>
      <w:pPr>
        <w:sectPr>
          <w:pgSz w:w="11900" w:h="16838" w:orient="portrait"/>
          <w:cols w:equalWidth="0" w:num="1">
            <w:col w:w="11420"/>
          </w:cols>
          <w:pgMar w:left="260" w:top="306" w:right="21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5.08 Ownership of Property; Liens</w:t>
            </w:r>
          </w:p>
        </w:tc>
        <w:tc>
          <w:tcPr>
            <w:tcW w:w="342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5.09 Environmental Compliance</w:t>
            </w:r>
          </w:p>
        </w:tc>
        <w:tc>
          <w:tcPr>
            <w:tcW w:w="342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5.10 Insurance</w:t>
            </w:r>
          </w:p>
        </w:tc>
        <w:tc>
          <w:tcPr>
            <w:tcW w:w="342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199"/>
        </w:trPr>
        <w:tc>
          <w:tcPr>
            <w:tcW w:w="8000" w:type="dxa"/>
            <w:vAlign w:val="bottom"/>
          </w:tcPr>
          <w:p>
            <w:pPr>
              <w:ind w:left="740"/>
              <w:spacing w:after="0"/>
              <w:rPr>
                <w:sz w:val="20"/>
                <w:szCs w:val="20"/>
                <w:color w:val="auto"/>
              </w:rPr>
            </w:pPr>
            <w:r>
              <w:rPr>
                <w:rFonts w:ascii="Arial" w:cs="Arial" w:eastAsia="Arial" w:hAnsi="Arial"/>
                <w:sz w:val="17"/>
                <w:szCs w:val="17"/>
                <w:color w:val="auto"/>
              </w:rPr>
              <w:t>5.11 Taxes</w:t>
            </w:r>
          </w:p>
        </w:tc>
        <w:tc>
          <w:tcPr>
            <w:tcW w:w="342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5.12 ERISA Compliance</w:t>
            </w:r>
          </w:p>
        </w:tc>
        <w:tc>
          <w:tcPr>
            <w:tcW w:w="342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5.13 Subsidiaries; Equity Interests</w:t>
            </w:r>
          </w:p>
        </w:tc>
        <w:tc>
          <w:tcPr>
            <w:tcW w:w="342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5.14 Margin Regulations; Investment Company Act</w:t>
            </w:r>
          </w:p>
        </w:tc>
        <w:tc>
          <w:tcPr>
            <w:tcW w:w="342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5.15 Disclosure</w:t>
            </w:r>
          </w:p>
        </w:tc>
        <w:tc>
          <w:tcPr>
            <w:tcW w:w="342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5.16 Compliance with Laws</w:t>
            </w:r>
          </w:p>
        </w:tc>
        <w:tc>
          <w:tcPr>
            <w:tcW w:w="342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5.17 Intellectual Property; Licenses, Etc.</w:t>
            </w:r>
          </w:p>
        </w:tc>
        <w:tc>
          <w:tcPr>
            <w:tcW w:w="342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5.18 Solvency</w:t>
            </w:r>
          </w:p>
        </w:tc>
        <w:tc>
          <w:tcPr>
            <w:tcW w:w="342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5.19 Casualty, Etc.</w:t>
            </w:r>
          </w:p>
        </w:tc>
        <w:tc>
          <w:tcPr>
            <w:tcW w:w="342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5.20 Labor Matters</w:t>
            </w:r>
          </w:p>
        </w:tc>
        <w:tc>
          <w:tcPr>
            <w:tcW w:w="342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5.21 Representations as to Foreign Obligors</w:t>
            </w:r>
          </w:p>
        </w:tc>
        <w:tc>
          <w:tcPr>
            <w:tcW w:w="342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5.22 Collateral Documents</w:t>
            </w:r>
          </w:p>
        </w:tc>
        <w:tc>
          <w:tcPr>
            <w:tcW w:w="342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5.23 German Money Laundering Act (</w:t>
            </w:r>
            <w:r>
              <w:rPr>
                <w:rFonts w:ascii="Arial" w:cs="Arial" w:eastAsia="Arial" w:hAnsi="Arial"/>
                <w:sz w:val="17"/>
                <w:szCs w:val="17"/>
                <w:i w:val="1"/>
                <w:iCs w:val="1"/>
                <w:color w:val="auto"/>
              </w:rPr>
              <w:t>Geldwäschegesetz</w:t>
            </w:r>
            <w:r>
              <w:rPr>
                <w:rFonts w:ascii="Arial" w:cs="Arial" w:eastAsia="Arial" w:hAnsi="Arial"/>
                <w:sz w:val="17"/>
                <w:szCs w:val="17"/>
                <w:color w:val="auto"/>
              </w:rPr>
              <w:t>)</w:t>
            </w:r>
          </w:p>
        </w:tc>
        <w:tc>
          <w:tcPr>
            <w:tcW w:w="342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5.24 Pari Passu Ranking</w:t>
            </w:r>
          </w:p>
        </w:tc>
        <w:tc>
          <w:tcPr>
            <w:tcW w:w="342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5.25 Deposit Accounts</w:t>
            </w:r>
          </w:p>
        </w:tc>
        <w:tc>
          <w:tcPr>
            <w:tcW w:w="342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5.26 Government Sanctions</w:t>
            </w:r>
          </w:p>
        </w:tc>
        <w:tc>
          <w:tcPr>
            <w:tcW w:w="342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5.27 PATRIOT Act</w:t>
            </w:r>
          </w:p>
        </w:tc>
        <w:tc>
          <w:tcPr>
            <w:tcW w:w="342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5.28 Anti-Corruption Laws</w:t>
            </w:r>
          </w:p>
        </w:tc>
        <w:tc>
          <w:tcPr>
            <w:tcW w:w="342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199"/>
        </w:trPr>
        <w:tc>
          <w:tcPr>
            <w:tcW w:w="8000" w:type="dxa"/>
            <w:vAlign w:val="bottom"/>
          </w:tcPr>
          <w:p>
            <w:pPr>
              <w:spacing w:after="0"/>
              <w:rPr>
                <w:sz w:val="20"/>
                <w:szCs w:val="20"/>
                <w:color w:val="auto"/>
              </w:rPr>
            </w:pPr>
            <w:r>
              <w:rPr>
                <w:rFonts w:ascii="Arial" w:cs="Arial" w:eastAsia="Arial" w:hAnsi="Arial"/>
                <w:sz w:val="17"/>
                <w:szCs w:val="17"/>
                <w:color w:val="auto"/>
              </w:rPr>
              <w:t>ARTICLE VI. AFFIRMATIVE COVENANTS</w:t>
            </w:r>
          </w:p>
        </w:tc>
        <w:tc>
          <w:tcPr>
            <w:tcW w:w="342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6.01 Financial Statements</w:t>
            </w:r>
          </w:p>
        </w:tc>
        <w:tc>
          <w:tcPr>
            <w:tcW w:w="342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6.02 Certificates; Other Information</w:t>
            </w:r>
          </w:p>
        </w:tc>
        <w:tc>
          <w:tcPr>
            <w:tcW w:w="342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6.03 Notices</w:t>
            </w:r>
          </w:p>
        </w:tc>
        <w:tc>
          <w:tcPr>
            <w:tcW w:w="342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6.04 Payment of Obligations</w:t>
            </w:r>
          </w:p>
        </w:tc>
        <w:tc>
          <w:tcPr>
            <w:tcW w:w="342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6.05 Preservation of Existence, Etc.</w:t>
            </w:r>
          </w:p>
        </w:tc>
        <w:tc>
          <w:tcPr>
            <w:tcW w:w="342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6.06 Maintenance of Properties</w:t>
            </w:r>
          </w:p>
        </w:tc>
        <w:tc>
          <w:tcPr>
            <w:tcW w:w="342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6.07 Maintenance of Insurance</w:t>
            </w:r>
          </w:p>
        </w:tc>
        <w:tc>
          <w:tcPr>
            <w:tcW w:w="342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6.08 Compliance with Laws</w:t>
            </w:r>
          </w:p>
        </w:tc>
        <w:tc>
          <w:tcPr>
            <w:tcW w:w="342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6.09 Books and Records</w:t>
            </w:r>
          </w:p>
        </w:tc>
        <w:tc>
          <w:tcPr>
            <w:tcW w:w="342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6.10 Inspection Rights</w:t>
            </w:r>
          </w:p>
        </w:tc>
        <w:tc>
          <w:tcPr>
            <w:tcW w:w="342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199"/>
        </w:trPr>
        <w:tc>
          <w:tcPr>
            <w:tcW w:w="8000" w:type="dxa"/>
            <w:vAlign w:val="bottom"/>
          </w:tcPr>
          <w:p>
            <w:pPr>
              <w:ind w:left="740"/>
              <w:spacing w:after="0"/>
              <w:rPr>
                <w:sz w:val="20"/>
                <w:szCs w:val="20"/>
                <w:color w:val="auto"/>
              </w:rPr>
            </w:pPr>
            <w:r>
              <w:rPr>
                <w:rFonts w:ascii="Arial" w:cs="Arial" w:eastAsia="Arial" w:hAnsi="Arial"/>
                <w:sz w:val="17"/>
                <w:szCs w:val="17"/>
                <w:color w:val="auto"/>
              </w:rPr>
              <w:t>6.11 Use of Proceeds</w:t>
            </w:r>
          </w:p>
        </w:tc>
        <w:tc>
          <w:tcPr>
            <w:tcW w:w="342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6.12 Approvals and Authorizations</w:t>
            </w:r>
          </w:p>
        </w:tc>
        <w:tc>
          <w:tcPr>
            <w:tcW w:w="342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6.13 Covenant to Guarantee Obligations and Give Security</w:t>
            </w:r>
          </w:p>
        </w:tc>
        <w:tc>
          <w:tcPr>
            <w:tcW w:w="342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6.14 Compliance with Environmental Laws</w:t>
            </w:r>
          </w:p>
        </w:tc>
        <w:tc>
          <w:tcPr>
            <w:tcW w:w="342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6.15 Further Assurances</w:t>
            </w:r>
          </w:p>
        </w:tc>
        <w:tc>
          <w:tcPr>
            <w:tcW w:w="342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6.16 Compliance with Terms of Leaseholds</w:t>
            </w:r>
          </w:p>
        </w:tc>
        <w:tc>
          <w:tcPr>
            <w:tcW w:w="342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6.17 Lien Searches</w:t>
            </w:r>
          </w:p>
        </w:tc>
        <w:tc>
          <w:tcPr>
            <w:tcW w:w="342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6.18 Material Contracts</w:t>
            </w:r>
          </w:p>
        </w:tc>
        <w:tc>
          <w:tcPr>
            <w:tcW w:w="342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6.19 Post-Closing Obligations</w:t>
            </w:r>
          </w:p>
        </w:tc>
        <w:tc>
          <w:tcPr>
            <w:tcW w:w="342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199"/>
        </w:trPr>
        <w:tc>
          <w:tcPr>
            <w:tcW w:w="8000" w:type="dxa"/>
            <w:vAlign w:val="bottom"/>
          </w:tcPr>
          <w:p>
            <w:pPr>
              <w:spacing w:after="0"/>
              <w:rPr>
                <w:sz w:val="20"/>
                <w:szCs w:val="20"/>
                <w:color w:val="auto"/>
              </w:rPr>
            </w:pPr>
            <w:r>
              <w:rPr>
                <w:rFonts w:ascii="Arial" w:cs="Arial" w:eastAsia="Arial" w:hAnsi="Arial"/>
                <w:sz w:val="17"/>
                <w:szCs w:val="17"/>
                <w:color w:val="auto"/>
              </w:rPr>
              <w:t>ARTICLE VII. NEGATIVE COVENANTS</w:t>
            </w:r>
          </w:p>
        </w:tc>
        <w:tc>
          <w:tcPr>
            <w:tcW w:w="342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7.01 Liens</w:t>
            </w:r>
          </w:p>
        </w:tc>
        <w:tc>
          <w:tcPr>
            <w:tcW w:w="342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7.02 Investments</w:t>
            </w:r>
          </w:p>
        </w:tc>
        <w:tc>
          <w:tcPr>
            <w:tcW w:w="342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7.03 Indebtedness</w:t>
            </w:r>
          </w:p>
        </w:tc>
        <w:tc>
          <w:tcPr>
            <w:tcW w:w="342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7.04 Fundamental Changes</w:t>
            </w:r>
          </w:p>
        </w:tc>
        <w:tc>
          <w:tcPr>
            <w:tcW w:w="3420" w:type="dxa"/>
            <w:vAlign w:val="bottom"/>
          </w:tcPr>
          <w:p>
            <w:pPr>
              <w:jc w:val="right"/>
              <w:spacing w:after="0"/>
              <w:rPr>
                <w:sz w:val="20"/>
                <w:szCs w:val="20"/>
                <w:color w:val="auto"/>
              </w:rPr>
            </w:pPr>
            <w:r>
              <w:rPr>
                <w:rFonts w:ascii="Arial" w:cs="Arial" w:eastAsia="Arial" w:hAnsi="Arial"/>
                <w:sz w:val="17"/>
                <w:szCs w:val="17"/>
                <w:color w:val="auto"/>
              </w:rPr>
              <w:t>91</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7.05 Dispositions</w:t>
            </w:r>
          </w:p>
        </w:tc>
        <w:tc>
          <w:tcPr>
            <w:tcW w:w="3420" w:type="dxa"/>
            <w:vAlign w:val="bottom"/>
          </w:tcPr>
          <w:p>
            <w:pPr>
              <w:jc w:val="right"/>
              <w:spacing w:after="0"/>
              <w:rPr>
                <w:sz w:val="20"/>
                <w:szCs w:val="20"/>
                <w:color w:val="auto"/>
              </w:rPr>
            </w:pPr>
            <w:r>
              <w:rPr>
                <w:rFonts w:ascii="Arial" w:cs="Arial" w:eastAsia="Arial" w:hAnsi="Arial"/>
                <w:sz w:val="17"/>
                <w:szCs w:val="17"/>
                <w:color w:val="auto"/>
              </w:rPr>
              <w:t>91</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7.06 Restricted Payments</w:t>
            </w:r>
          </w:p>
        </w:tc>
        <w:tc>
          <w:tcPr>
            <w:tcW w:w="342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7.07 Change in Nature of Business</w:t>
            </w:r>
          </w:p>
        </w:tc>
        <w:tc>
          <w:tcPr>
            <w:tcW w:w="342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199"/>
        </w:trPr>
        <w:tc>
          <w:tcPr>
            <w:tcW w:w="8000" w:type="dxa"/>
            <w:vAlign w:val="bottom"/>
          </w:tcPr>
          <w:p>
            <w:pPr>
              <w:ind w:left="720"/>
              <w:spacing w:after="0"/>
              <w:rPr>
                <w:sz w:val="20"/>
                <w:szCs w:val="20"/>
                <w:color w:val="auto"/>
              </w:rPr>
            </w:pPr>
            <w:r>
              <w:rPr>
                <w:rFonts w:ascii="Arial" w:cs="Arial" w:eastAsia="Arial" w:hAnsi="Arial"/>
                <w:sz w:val="17"/>
                <w:szCs w:val="17"/>
                <w:color w:val="auto"/>
              </w:rPr>
              <w:t>7.08 Transactions with Affiliates</w:t>
            </w:r>
          </w:p>
        </w:tc>
        <w:tc>
          <w:tcPr>
            <w:tcW w:w="342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217"/>
        </w:trPr>
        <w:tc>
          <w:tcPr>
            <w:tcW w:w="8000" w:type="dxa"/>
            <w:vAlign w:val="bottom"/>
          </w:tcPr>
          <w:p>
            <w:pPr>
              <w:ind w:left="720"/>
              <w:spacing w:after="0"/>
              <w:rPr>
                <w:sz w:val="20"/>
                <w:szCs w:val="20"/>
                <w:color w:val="auto"/>
              </w:rPr>
            </w:pPr>
            <w:r>
              <w:rPr>
                <w:rFonts w:ascii="Arial" w:cs="Arial" w:eastAsia="Arial" w:hAnsi="Arial"/>
                <w:sz w:val="17"/>
                <w:szCs w:val="17"/>
                <w:color w:val="auto"/>
              </w:rPr>
              <w:t>7.09 Burdensome Agreements</w:t>
            </w:r>
          </w:p>
        </w:tc>
        <w:tc>
          <w:tcPr>
            <w:tcW w:w="3420" w:type="dxa"/>
            <w:vAlign w:val="bottom"/>
          </w:tcPr>
          <w:p>
            <w:pPr>
              <w:jc w:val="right"/>
              <w:spacing w:after="0"/>
              <w:rPr>
                <w:sz w:val="20"/>
                <w:szCs w:val="20"/>
                <w:color w:val="auto"/>
              </w:rPr>
            </w:pPr>
            <w:r>
              <w:rPr>
                <w:rFonts w:ascii="Arial" w:cs="Arial" w:eastAsia="Arial" w:hAnsi="Arial"/>
                <w:sz w:val="17"/>
                <w:szCs w:val="17"/>
                <w:color w:val="auto"/>
              </w:rPr>
              <w:t>92</w:t>
            </w:r>
          </w:p>
        </w:tc>
      </w:tr>
    </w:tbl>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1420"/>
          </w:cols>
          <w:pgMar w:left="260" w:top="312"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9"/>
        </w:trPr>
        <w:tc>
          <w:tcPr>
            <w:tcW w:w="8700" w:type="dxa"/>
            <w:vAlign w:val="bottom"/>
          </w:tcPr>
          <w:p>
            <w:pPr>
              <w:ind w:left="720"/>
              <w:spacing w:after="0"/>
              <w:rPr>
                <w:sz w:val="20"/>
                <w:szCs w:val="20"/>
                <w:color w:val="auto"/>
              </w:rPr>
            </w:pPr>
            <w:r>
              <w:rPr>
                <w:rFonts w:ascii="Arial" w:cs="Arial" w:eastAsia="Arial" w:hAnsi="Arial"/>
                <w:sz w:val="17"/>
                <w:szCs w:val="17"/>
                <w:color w:val="auto"/>
              </w:rPr>
              <w:t>7.10 Use of Proceeds</w:t>
            </w:r>
          </w:p>
        </w:tc>
        <w:tc>
          <w:tcPr>
            <w:tcW w:w="272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199"/>
        </w:trPr>
        <w:tc>
          <w:tcPr>
            <w:tcW w:w="8700" w:type="dxa"/>
            <w:vAlign w:val="bottom"/>
          </w:tcPr>
          <w:p>
            <w:pPr>
              <w:ind w:left="740"/>
              <w:spacing w:after="0"/>
              <w:rPr>
                <w:sz w:val="20"/>
                <w:szCs w:val="20"/>
                <w:color w:val="auto"/>
              </w:rPr>
            </w:pPr>
            <w:r>
              <w:rPr>
                <w:rFonts w:ascii="Arial" w:cs="Arial" w:eastAsia="Arial" w:hAnsi="Arial"/>
                <w:sz w:val="17"/>
                <w:szCs w:val="17"/>
                <w:color w:val="auto"/>
              </w:rPr>
              <w:t>7.11 Financial Covenants</w:t>
            </w:r>
          </w:p>
        </w:tc>
        <w:tc>
          <w:tcPr>
            <w:tcW w:w="272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199"/>
        </w:trPr>
        <w:tc>
          <w:tcPr>
            <w:tcW w:w="8700" w:type="dxa"/>
            <w:vAlign w:val="bottom"/>
          </w:tcPr>
          <w:p>
            <w:pPr>
              <w:ind w:left="720"/>
              <w:spacing w:after="0"/>
              <w:rPr>
                <w:sz w:val="20"/>
                <w:szCs w:val="20"/>
                <w:color w:val="auto"/>
              </w:rPr>
            </w:pPr>
            <w:r>
              <w:rPr>
                <w:rFonts w:ascii="Arial" w:cs="Arial" w:eastAsia="Arial" w:hAnsi="Arial"/>
                <w:sz w:val="17"/>
                <w:szCs w:val="17"/>
                <w:color w:val="auto"/>
              </w:rPr>
              <w:t>7.12 Amendments of Organization Documents, etc..</w:t>
            </w:r>
          </w:p>
        </w:tc>
        <w:tc>
          <w:tcPr>
            <w:tcW w:w="272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199"/>
        </w:trPr>
        <w:tc>
          <w:tcPr>
            <w:tcW w:w="8700" w:type="dxa"/>
            <w:vAlign w:val="bottom"/>
          </w:tcPr>
          <w:p>
            <w:pPr>
              <w:ind w:left="720"/>
              <w:spacing w:after="0"/>
              <w:rPr>
                <w:sz w:val="20"/>
                <w:szCs w:val="20"/>
                <w:color w:val="auto"/>
              </w:rPr>
            </w:pPr>
            <w:r>
              <w:rPr>
                <w:rFonts w:ascii="Arial" w:cs="Arial" w:eastAsia="Arial" w:hAnsi="Arial"/>
                <w:sz w:val="17"/>
                <w:szCs w:val="17"/>
                <w:color w:val="auto"/>
              </w:rPr>
              <w:t>7.13 Accounting Changes</w:t>
            </w:r>
          </w:p>
        </w:tc>
        <w:tc>
          <w:tcPr>
            <w:tcW w:w="272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199"/>
        </w:trPr>
        <w:tc>
          <w:tcPr>
            <w:tcW w:w="8700" w:type="dxa"/>
            <w:vAlign w:val="bottom"/>
          </w:tcPr>
          <w:p>
            <w:pPr>
              <w:ind w:left="720"/>
              <w:spacing w:after="0"/>
              <w:rPr>
                <w:sz w:val="20"/>
                <w:szCs w:val="20"/>
                <w:color w:val="auto"/>
              </w:rPr>
            </w:pPr>
            <w:r>
              <w:rPr>
                <w:rFonts w:ascii="Arial" w:cs="Arial" w:eastAsia="Arial" w:hAnsi="Arial"/>
                <w:sz w:val="17"/>
                <w:szCs w:val="17"/>
                <w:color w:val="auto"/>
              </w:rPr>
              <w:t>7.14 Prepayments, Etc.</w:t>
            </w:r>
          </w:p>
        </w:tc>
        <w:tc>
          <w:tcPr>
            <w:tcW w:w="272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199"/>
        </w:trPr>
        <w:tc>
          <w:tcPr>
            <w:tcW w:w="8700" w:type="dxa"/>
            <w:vAlign w:val="bottom"/>
          </w:tcPr>
          <w:p>
            <w:pPr>
              <w:ind w:left="720"/>
              <w:spacing w:after="0"/>
              <w:rPr>
                <w:sz w:val="20"/>
                <w:szCs w:val="20"/>
                <w:color w:val="auto"/>
              </w:rPr>
            </w:pPr>
            <w:r>
              <w:rPr>
                <w:rFonts w:ascii="Arial" w:cs="Arial" w:eastAsia="Arial" w:hAnsi="Arial"/>
                <w:sz w:val="17"/>
                <w:szCs w:val="17"/>
                <w:color w:val="auto"/>
              </w:rPr>
              <w:t>7.15 Amendment, Etc.</w:t>
            </w:r>
          </w:p>
        </w:tc>
        <w:tc>
          <w:tcPr>
            <w:tcW w:w="272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199"/>
        </w:trPr>
        <w:tc>
          <w:tcPr>
            <w:tcW w:w="8700" w:type="dxa"/>
            <w:vAlign w:val="bottom"/>
          </w:tcPr>
          <w:p>
            <w:pPr>
              <w:ind w:left="720"/>
              <w:spacing w:after="0"/>
              <w:rPr>
                <w:sz w:val="20"/>
                <w:szCs w:val="20"/>
                <w:color w:val="auto"/>
              </w:rPr>
            </w:pPr>
            <w:r>
              <w:rPr>
                <w:rFonts w:ascii="Arial" w:cs="Arial" w:eastAsia="Arial" w:hAnsi="Arial"/>
                <w:sz w:val="17"/>
                <w:szCs w:val="17"/>
                <w:color w:val="auto"/>
              </w:rPr>
              <w:t>7.16 Designation of Senior Debt</w:t>
            </w:r>
          </w:p>
        </w:tc>
        <w:tc>
          <w:tcPr>
            <w:tcW w:w="272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199"/>
        </w:trPr>
        <w:tc>
          <w:tcPr>
            <w:tcW w:w="8700" w:type="dxa"/>
            <w:vAlign w:val="bottom"/>
          </w:tcPr>
          <w:p>
            <w:pPr>
              <w:ind w:left="720"/>
              <w:spacing w:after="0"/>
              <w:rPr>
                <w:sz w:val="20"/>
                <w:szCs w:val="20"/>
                <w:color w:val="auto"/>
              </w:rPr>
            </w:pPr>
            <w:r>
              <w:rPr>
                <w:rFonts w:ascii="Arial" w:cs="Arial" w:eastAsia="Arial" w:hAnsi="Arial"/>
                <w:sz w:val="17"/>
                <w:szCs w:val="17"/>
                <w:color w:val="auto"/>
              </w:rPr>
              <w:t>7.17 Sanctions</w:t>
            </w:r>
          </w:p>
        </w:tc>
        <w:tc>
          <w:tcPr>
            <w:tcW w:w="272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199"/>
        </w:trPr>
        <w:tc>
          <w:tcPr>
            <w:tcW w:w="8700" w:type="dxa"/>
            <w:vAlign w:val="bottom"/>
          </w:tcPr>
          <w:p>
            <w:pPr>
              <w:ind w:left="720"/>
              <w:spacing w:after="0"/>
              <w:rPr>
                <w:sz w:val="20"/>
                <w:szCs w:val="20"/>
                <w:color w:val="auto"/>
              </w:rPr>
            </w:pPr>
            <w:r>
              <w:rPr>
                <w:rFonts w:ascii="Arial" w:cs="Arial" w:eastAsia="Arial" w:hAnsi="Arial"/>
                <w:sz w:val="17"/>
                <w:szCs w:val="17"/>
                <w:color w:val="auto"/>
              </w:rPr>
              <w:t>7.18 Bank Accounts</w:t>
            </w:r>
          </w:p>
        </w:tc>
        <w:tc>
          <w:tcPr>
            <w:tcW w:w="272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199"/>
        </w:trPr>
        <w:tc>
          <w:tcPr>
            <w:tcW w:w="8700" w:type="dxa"/>
            <w:vAlign w:val="bottom"/>
          </w:tcPr>
          <w:p>
            <w:pPr>
              <w:ind w:left="720"/>
              <w:spacing w:after="0"/>
              <w:rPr>
                <w:sz w:val="20"/>
                <w:szCs w:val="20"/>
                <w:color w:val="auto"/>
              </w:rPr>
            </w:pPr>
            <w:r>
              <w:rPr>
                <w:rFonts w:ascii="Arial" w:cs="Arial" w:eastAsia="Arial" w:hAnsi="Arial"/>
                <w:sz w:val="17"/>
                <w:szCs w:val="17"/>
                <w:color w:val="auto"/>
              </w:rPr>
              <w:t>7.19 Canadian Defined Benefit Pension Plan</w:t>
            </w:r>
          </w:p>
        </w:tc>
        <w:tc>
          <w:tcPr>
            <w:tcW w:w="272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199"/>
        </w:trPr>
        <w:tc>
          <w:tcPr>
            <w:tcW w:w="8700" w:type="dxa"/>
            <w:vAlign w:val="bottom"/>
          </w:tcPr>
          <w:p>
            <w:pPr>
              <w:spacing w:after="0"/>
              <w:rPr>
                <w:sz w:val="20"/>
                <w:szCs w:val="20"/>
                <w:color w:val="auto"/>
              </w:rPr>
            </w:pPr>
            <w:r>
              <w:rPr>
                <w:rFonts w:ascii="Arial" w:cs="Arial" w:eastAsia="Arial" w:hAnsi="Arial"/>
                <w:sz w:val="17"/>
                <w:szCs w:val="17"/>
                <w:color w:val="auto"/>
              </w:rPr>
              <w:t>ARTICLE VIII. EVENTS OF DEFAULT AND REMEDIES</w:t>
            </w:r>
          </w:p>
        </w:tc>
        <w:tc>
          <w:tcPr>
            <w:tcW w:w="272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199"/>
        </w:trPr>
        <w:tc>
          <w:tcPr>
            <w:tcW w:w="8700" w:type="dxa"/>
            <w:vAlign w:val="bottom"/>
          </w:tcPr>
          <w:p>
            <w:pPr>
              <w:ind w:left="720"/>
              <w:spacing w:after="0"/>
              <w:rPr>
                <w:sz w:val="20"/>
                <w:szCs w:val="20"/>
                <w:color w:val="auto"/>
              </w:rPr>
            </w:pPr>
            <w:r>
              <w:rPr>
                <w:rFonts w:ascii="Arial" w:cs="Arial" w:eastAsia="Arial" w:hAnsi="Arial"/>
                <w:sz w:val="17"/>
                <w:szCs w:val="17"/>
                <w:color w:val="auto"/>
              </w:rPr>
              <w:t>8.01 Events of Default</w:t>
            </w:r>
          </w:p>
        </w:tc>
        <w:tc>
          <w:tcPr>
            <w:tcW w:w="272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199"/>
        </w:trPr>
        <w:tc>
          <w:tcPr>
            <w:tcW w:w="8700" w:type="dxa"/>
            <w:vAlign w:val="bottom"/>
          </w:tcPr>
          <w:p>
            <w:pPr>
              <w:ind w:left="720"/>
              <w:spacing w:after="0"/>
              <w:rPr>
                <w:sz w:val="20"/>
                <w:szCs w:val="20"/>
                <w:color w:val="auto"/>
              </w:rPr>
            </w:pPr>
            <w:r>
              <w:rPr>
                <w:rFonts w:ascii="Arial" w:cs="Arial" w:eastAsia="Arial" w:hAnsi="Arial"/>
                <w:sz w:val="17"/>
                <w:szCs w:val="17"/>
                <w:color w:val="auto"/>
              </w:rPr>
              <w:t>8.02 Remedies Upon Event of Default</w:t>
            </w:r>
          </w:p>
        </w:tc>
        <w:tc>
          <w:tcPr>
            <w:tcW w:w="272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199"/>
        </w:trPr>
        <w:tc>
          <w:tcPr>
            <w:tcW w:w="8700" w:type="dxa"/>
            <w:vAlign w:val="bottom"/>
          </w:tcPr>
          <w:p>
            <w:pPr>
              <w:ind w:left="720"/>
              <w:spacing w:after="0"/>
              <w:rPr>
                <w:sz w:val="20"/>
                <w:szCs w:val="20"/>
                <w:color w:val="auto"/>
              </w:rPr>
            </w:pPr>
            <w:r>
              <w:rPr>
                <w:rFonts w:ascii="Arial" w:cs="Arial" w:eastAsia="Arial" w:hAnsi="Arial"/>
                <w:sz w:val="17"/>
                <w:szCs w:val="17"/>
                <w:color w:val="auto"/>
              </w:rPr>
              <w:t>8.03 Application of Funds</w:t>
            </w:r>
          </w:p>
        </w:tc>
        <w:tc>
          <w:tcPr>
            <w:tcW w:w="272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199"/>
        </w:trPr>
        <w:tc>
          <w:tcPr>
            <w:tcW w:w="8700" w:type="dxa"/>
            <w:vAlign w:val="bottom"/>
          </w:tcPr>
          <w:p>
            <w:pPr>
              <w:spacing w:after="0"/>
              <w:rPr>
                <w:sz w:val="20"/>
                <w:szCs w:val="20"/>
                <w:color w:val="auto"/>
              </w:rPr>
            </w:pPr>
            <w:r>
              <w:rPr>
                <w:rFonts w:ascii="Arial" w:cs="Arial" w:eastAsia="Arial" w:hAnsi="Arial"/>
                <w:sz w:val="17"/>
                <w:szCs w:val="17"/>
                <w:color w:val="auto"/>
              </w:rPr>
              <w:t>ARTICLE IX. ADMINISTRATIVE AGENT</w:t>
            </w:r>
          </w:p>
        </w:tc>
        <w:tc>
          <w:tcPr>
            <w:tcW w:w="272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199"/>
        </w:trPr>
        <w:tc>
          <w:tcPr>
            <w:tcW w:w="8700" w:type="dxa"/>
            <w:vAlign w:val="bottom"/>
          </w:tcPr>
          <w:p>
            <w:pPr>
              <w:ind w:left="720"/>
              <w:spacing w:after="0"/>
              <w:rPr>
                <w:sz w:val="20"/>
                <w:szCs w:val="20"/>
                <w:color w:val="auto"/>
              </w:rPr>
            </w:pPr>
            <w:r>
              <w:rPr>
                <w:rFonts w:ascii="Arial" w:cs="Arial" w:eastAsia="Arial" w:hAnsi="Arial"/>
                <w:sz w:val="17"/>
                <w:szCs w:val="17"/>
                <w:color w:val="auto"/>
              </w:rPr>
              <w:t>9.01 Appointment and Authority</w:t>
            </w:r>
          </w:p>
        </w:tc>
        <w:tc>
          <w:tcPr>
            <w:tcW w:w="272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199"/>
        </w:trPr>
        <w:tc>
          <w:tcPr>
            <w:tcW w:w="8700" w:type="dxa"/>
            <w:vAlign w:val="bottom"/>
          </w:tcPr>
          <w:p>
            <w:pPr>
              <w:ind w:left="720"/>
              <w:spacing w:after="0"/>
              <w:rPr>
                <w:sz w:val="20"/>
                <w:szCs w:val="20"/>
                <w:color w:val="auto"/>
              </w:rPr>
            </w:pPr>
            <w:r>
              <w:rPr>
                <w:rFonts w:ascii="Arial" w:cs="Arial" w:eastAsia="Arial" w:hAnsi="Arial"/>
                <w:sz w:val="17"/>
                <w:szCs w:val="17"/>
                <w:color w:val="auto"/>
              </w:rPr>
              <w:t>9.02 Rights as a Lender</w:t>
            </w:r>
          </w:p>
        </w:tc>
        <w:tc>
          <w:tcPr>
            <w:tcW w:w="272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199"/>
        </w:trPr>
        <w:tc>
          <w:tcPr>
            <w:tcW w:w="8700" w:type="dxa"/>
            <w:vAlign w:val="bottom"/>
          </w:tcPr>
          <w:p>
            <w:pPr>
              <w:ind w:left="720"/>
              <w:spacing w:after="0"/>
              <w:rPr>
                <w:sz w:val="20"/>
                <w:szCs w:val="20"/>
                <w:color w:val="auto"/>
              </w:rPr>
            </w:pPr>
            <w:r>
              <w:rPr>
                <w:rFonts w:ascii="Arial" w:cs="Arial" w:eastAsia="Arial" w:hAnsi="Arial"/>
                <w:sz w:val="17"/>
                <w:szCs w:val="17"/>
                <w:color w:val="auto"/>
              </w:rPr>
              <w:t>9.03 Exculpatory Provisions</w:t>
            </w:r>
          </w:p>
        </w:tc>
        <w:tc>
          <w:tcPr>
            <w:tcW w:w="272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199"/>
        </w:trPr>
        <w:tc>
          <w:tcPr>
            <w:tcW w:w="8700" w:type="dxa"/>
            <w:vAlign w:val="bottom"/>
          </w:tcPr>
          <w:p>
            <w:pPr>
              <w:ind w:left="720"/>
              <w:spacing w:after="0"/>
              <w:rPr>
                <w:sz w:val="20"/>
                <w:szCs w:val="20"/>
                <w:color w:val="auto"/>
              </w:rPr>
            </w:pPr>
            <w:r>
              <w:rPr>
                <w:rFonts w:ascii="Arial" w:cs="Arial" w:eastAsia="Arial" w:hAnsi="Arial"/>
                <w:sz w:val="17"/>
                <w:szCs w:val="17"/>
                <w:color w:val="auto"/>
              </w:rPr>
              <w:t>9.04 Reliance by Administrative Agent</w:t>
            </w:r>
          </w:p>
        </w:tc>
        <w:tc>
          <w:tcPr>
            <w:tcW w:w="272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199"/>
        </w:trPr>
        <w:tc>
          <w:tcPr>
            <w:tcW w:w="8700" w:type="dxa"/>
            <w:vAlign w:val="bottom"/>
          </w:tcPr>
          <w:p>
            <w:pPr>
              <w:ind w:left="720"/>
              <w:spacing w:after="0"/>
              <w:rPr>
                <w:sz w:val="20"/>
                <w:szCs w:val="20"/>
                <w:color w:val="auto"/>
              </w:rPr>
            </w:pPr>
            <w:r>
              <w:rPr>
                <w:rFonts w:ascii="Arial" w:cs="Arial" w:eastAsia="Arial" w:hAnsi="Arial"/>
                <w:sz w:val="17"/>
                <w:szCs w:val="17"/>
                <w:color w:val="auto"/>
              </w:rPr>
              <w:t>9.05 Delegation of Duties</w:t>
            </w:r>
          </w:p>
        </w:tc>
        <w:tc>
          <w:tcPr>
            <w:tcW w:w="272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199"/>
        </w:trPr>
        <w:tc>
          <w:tcPr>
            <w:tcW w:w="8700" w:type="dxa"/>
            <w:vAlign w:val="bottom"/>
          </w:tcPr>
          <w:p>
            <w:pPr>
              <w:ind w:left="720"/>
              <w:spacing w:after="0"/>
              <w:rPr>
                <w:sz w:val="20"/>
                <w:szCs w:val="20"/>
                <w:color w:val="auto"/>
              </w:rPr>
            </w:pPr>
            <w:r>
              <w:rPr>
                <w:rFonts w:ascii="Arial" w:cs="Arial" w:eastAsia="Arial" w:hAnsi="Arial"/>
                <w:sz w:val="17"/>
                <w:szCs w:val="17"/>
                <w:color w:val="auto"/>
              </w:rPr>
              <w:t>9.06 Resignation of Administrative Agent</w:t>
            </w:r>
          </w:p>
        </w:tc>
        <w:tc>
          <w:tcPr>
            <w:tcW w:w="272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199"/>
        </w:trPr>
        <w:tc>
          <w:tcPr>
            <w:tcW w:w="8700" w:type="dxa"/>
            <w:vAlign w:val="bottom"/>
          </w:tcPr>
          <w:p>
            <w:pPr>
              <w:ind w:left="720"/>
              <w:spacing w:after="0"/>
              <w:rPr>
                <w:sz w:val="20"/>
                <w:szCs w:val="20"/>
                <w:color w:val="auto"/>
              </w:rPr>
            </w:pPr>
            <w:r>
              <w:rPr>
                <w:rFonts w:ascii="Arial" w:cs="Arial" w:eastAsia="Arial" w:hAnsi="Arial"/>
                <w:sz w:val="17"/>
                <w:szCs w:val="17"/>
                <w:color w:val="auto"/>
              </w:rPr>
              <w:t>9.07 Non-Reliance on Administrative Agent and Other Lenders</w:t>
            </w:r>
          </w:p>
        </w:tc>
        <w:tc>
          <w:tcPr>
            <w:tcW w:w="27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199"/>
        </w:trPr>
        <w:tc>
          <w:tcPr>
            <w:tcW w:w="8700" w:type="dxa"/>
            <w:vAlign w:val="bottom"/>
          </w:tcPr>
          <w:p>
            <w:pPr>
              <w:ind w:left="720"/>
              <w:spacing w:after="0"/>
              <w:rPr>
                <w:sz w:val="20"/>
                <w:szCs w:val="20"/>
                <w:color w:val="auto"/>
              </w:rPr>
            </w:pPr>
            <w:r>
              <w:rPr>
                <w:rFonts w:ascii="Arial" w:cs="Arial" w:eastAsia="Arial" w:hAnsi="Arial"/>
                <w:sz w:val="17"/>
                <w:szCs w:val="17"/>
                <w:color w:val="auto"/>
              </w:rPr>
              <w:t>9.08 No Other Duties, Etc.</w:t>
            </w:r>
          </w:p>
        </w:tc>
        <w:tc>
          <w:tcPr>
            <w:tcW w:w="27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199"/>
        </w:trPr>
        <w:tc>
          <w:tcPr>
            <w:tcW w:w="8700" w:type="dxa"/>
            <w:vAlign w:val="bottom"/>
          </w:tcPr>
          <w:p>
            <w:pPr>
              <w:ind w:left="720"/>
              <w:spacing w:after="0"/>
              <w:rPr>
                <w:sz w:val="20"/>
                <w:szCs w:val="20"/>
                <w:color w:val="auto"/>
              </w:rPr>
            </w:pPr>
            <w:r>
              <w:rPr>
                <w:rFonts w:ascii="Arial" w:cs="Arial" w:eastAsia="Arial" w:hAnsi="Arial"/>
                <w:sz w:val="17"/>
                <w:szCs w:val="17"/>
                <w:color w:val="auto"/>
              </w:rPr>
              <w:t>9.09 Administrative Agent May File Proofs of Claim</w:t>
            </w:r>
          </w:p>
        </w:tc>
        <w:tc>
          <w:tcPr>
            <w:tcW w:w="27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199"/>
        </w:trPr>
        <w:tc>
          <w:tcPr>
            <w:tcW w:w="8700" w:type="dxa"/>
            <w:vAlign w:val="bottom"/>
          </w:tcPr>
          <w:p>
            <w:pPr>
              <w:ind w:left="720"/>
              <w:spacing w:after="0"/>
              <w:rPr>
                <w:sz w:val="20"/>
                <w:szCs w:val="20"/>
                <w:color w:val="auto"/>
              </w:rPr>
            </w:pPr>
            <w:r>
              <w:rPr>
                <w:rFonts w:ascii="Arial" w:cs="Arial" w:eastAsia="Arial" w:hAnsi="Arial"/>
                <w:sz w:val="17"/>
                <w:szCs w:val="17"/>
                <w:color w:val="auto"/>
              </w:rPr>
              <w:t>9.10 Collateral and Guaranty Matters</w:t>
            </w:r>
          </w:p>
        </w:tc>
        <w:tc>
          <w:tcPr>
            <w:tcW w:w="2720" w:type="dxa"/>
            <w:vAlign w:val="bottom"/>
          </w:tcPr>
          <w:p>
            <w:pPr>
              <w:jc w:val="right"/>
              <w:spacing w:after="0"/>
              <w:rPr>
                <w:sz w:val="20"/>
                <w:szCs w:val="20"/>
                <w:color w:val="auto"/>
              </w:rPr>
            </w:pPr>
            <w:r>
              <w:rPr>
                <w:rFonts w:ascii="Arial" w:cs="Arial" w:eastAsia="Arial" w:hAnsi="Arial"/>
                <w:sz w:val="17"/>
                <w:szCs w:val="17"/>
                <w:color w:val="auto"/>
              </w:rPr>
              <w:t>101</w:t>
            </w:r>
          </w:p>
        </w:tc>
      </w:tr>
      <w:tr>
        <w:trPr>
          <w:trHeight w:val="199"/>
        </w:trPr>
        <w:tc>
          <w:tcPr>
            <w:tcW w:w="8700" w:type="dxa"/>
            <w:vAlign w:val="bottom"/>
          </w:tcPr>
          <w:p>
            <w:pPr>
              <w:ind w:left="740"/>
              <w:spacing w:after="0"/>
              <w:rPr>
                <w:sz w:val="20"/>
                <w:szCs w:val="20"/>
                <w:color w:val="auto"/>
              </w:rPr>
            </w:pPr>
            <w:r>
              <w:rPr>
                <w:rFonts w:ascii="Arial" w:cs="Arial" w:eastAsia="Arial" w:hAnsi="Arial"/>
                <w:sz w:val="17"/>
                <w:szCs w:val="17"/>
                <w:color w:val="auto"/>
              </w:rPr>
              <w:t>9.11 Secured Treasury Management Agreements and Secured Swap Agreements</w:t>
            </w:r>
          </w:p>
        </w:tc>
        <w:tc>
          <w:tcPr>
            <w:tcW w:w="2720" w:type="dxa"/>
            <w:vAlign w:val="bottom"/>
          </w:tcPr>
          <w:p>
            <w:pPr>
              <w:jc w:val="right"/>
              <w:spacing w:after="0"/>
              <w:rPr>
                <w:sz w:val="20"/>
                <w:szCs w:val="20"/>
                <w:color w:val="auto"/>
              </w:rPr>
            </w:pPr>
            <w:r>
              <w:rPr>
                <w:rFonts w:ascii="Arial" w:cs="Arial" w:eastAsia="Arial" w:hAnsi="Arial"/>
                <w:sz w:val="17"/>
                <w:szCs w:val="17"/>
                <w:color w:val="auto"/>
              </w:rPr>
              <w:t>101</w:t>
            </w:r>
          </w:p>
        </w:tc>
      </w:tr>
      <w:tr>
        <w:trPr>
          <w:trHeight w:val="199"/>
        </w:trPr>
        <w:tc>
          <w:tcPr>
            <w:tcW w:w="8700" w:type="dxa"/>
            <w:vAlign w:val="bottom"/>
          </w:tcPr>
          <w:p>
            <w:pPr>
              <w:ind w:left="720"/>
              <w:spacing w:after="0"/>
              <w:rPr>
                <w:sz w:val="20"/>
                <w:szCs w:val="20"/>
                <w:color w:val="auto"/>
              </w:rPr>
            </w:pPr>
            <w:r>
              <w:rPr>
                <w:rFonts w:ascii="Arial" w:cs="Arial" w:eastAsia="Arial" w:hAnsi="Arial"/>
                <w:sz w:val="17"/>
                <w:szCs w:val="17"/>
                <w:color w:val="auto"/>
              </w:rPr>
              <w:t>9.12 Provisions Relating to German Collateral</w:t>
            </w:r>
          </w:p>
        </w:tc>
        <w:tc>
          <w:tcPr>
            <w:tcW w:w="2720" w:type="dxa"/>
            <w:vAlign w:val="bottom"/>
          </w:tcPr>
          <w:p>
            <w:pPr>
              <w:jc w:val="right"/>
              <w:spacing w:after="0"/>
              <w:rPr>
                <w:sz w:val="20"/>
                <w:szCs w:val="20"/>
                <w:color w:val="auto"/>
              </w:rPr>
            </w:pPr>
            <w:r>
              <w:rPr>
                <w:rFonts w:ascii="Arial" w:cs="Arial" w:eastAsia="Arial" w:hAnsi="Arial"/>
                <w:sz w:val="17"/>
                <w:szCs w:val="17"/>
                <w:color w:val="auto"/>
              </w:rPr>
              <w:t>102</w:t>
            </w:r>
          </w:p>
        </w:tc>
      </w:tr>
      <w:tr>
        <w:trPr>
          <w:trHeight w:val="199"/>
        </w:trPr>
        <w:tc>
          <w:tcPr>
            <w:tcW w:w="8700" w:type="dxa"/>
            <w:vAlign w:val="bottom"/>
          </w:tcPr>
          <w:p>
            <w:pPr>
              <w:spacing w:after="0"/>
              <w:rPr>
                <w:sz w:val="20"/>
                <w:szCs w:val="20"/>
                <w:color w:val="auto"/>
              </w:rPr>
            </w:pPr>
            <w:r>
              <w:rPr>
                <w:rFonts w:ascii="Arial" w:cs="Arial" w:eastAsia="Arial" w:hAnsi="Arial"/>
                <w:sz w:val="17"/>
                <w:szCs w:val="17"/>
                <w:color w:val="auto"/>
              </w:rPr>
              <w:t>ARTICLE X. BORROWER GUARANTY</w:t>
            </w:r>
          </w:p>
        </w:tc>
        <w:tc>
          <w:tcPr>
            <w:tcW w:w="2720" w:type="dxa"/>
            <w:vAlign w:val="bottom"/>
          </w:tcPr>
          <w:p>
            <w:pPr>
              <w:jc w:val="right"/>
              <w:spacing w:after="0"/>
              <w:rPr>
                <w:sz w:val="20"/>
                <w:szCs w:val="20"/>
                <w:color w:val="auto"/>
              </w:rPr>
            </w:pPr>
            <w:r>
              <w:rPr>
                <w:rFonts w:ascii="Arial" w:cs="Arial" w:eastAsia="Arial" w:hAnsi="Arial"/>
                <w:sz w:val="17"/>
                <w:szCs w:val="17"/>
                <w:color w:val="auto"/>
              </w:rPr>
              <w:t>103</w:t>
            </w:r>
          </w:p>
        </w:tc>
      </w:tr>
      <w:tr>
        <w:trPr>
          <w:trHeight w:val="199"/>
        </w:trPr>
        <w:tc>
          <w:tcPr>
            <w:tcW w:w="8700" w:type="dxa"/>
            <w:vAlign w:val="bottom"/>
          </w:tcPr>
          <w:p>
            <w:pPr>
              <w:ind w:left="640"/>
              <w:spacing w:after="0"/>
              <w:rPr>
                <w:sz w:val="20"/>
                <w:szCs w:val="20"/>
                <w:color w:val="auto"/>
              </w:rPr>
            </w:pPr>
            <w:r>
              <w:rPr>
                <w:rFonts w:ascii="Arial" w:cs="Arial" w:eastAsia="Arial" w:hAnsi="Arial"/>
                <w:sz w:val="17"/>
                <w:szCs w:val="17"/>
                <w:color w:val="auto"/>
              </w:rPr>
              <w:t>10.01 The Borrower Guaranty</w:t>
            </w:r>
          </w:p>
        </w:tc>
        <w:tc>
          <w:tcPr>
            <w:tcW w:w="2720" w:type="dxa"/>
            <w:vAlign w:val="bottom"/>
          </w:tcPr>
          <w:p>
            <w:pPr>
              <w:jc w:val="right"/>
              <w:spacing w:after="0"/>
              <w:rPr>
                <w:sz w:val="20"/>
                <w:szCs w:val="20"/>
                <w:color w:val="auto"/>
              </w:rPr>
            </w:pPr>
            <w:r>
              <w:rPr>
                <w:rFonts w:ascii="Arial" w:cs="Arial" w:eastAsia="Arial" w:hAnsi="Arial"/>
                <w:sz w:val="17"/>
                <w:szCs w:val="17"/>
                <w:color w:val="auto"/>
              </w:rPr>
              <w:t>103</w:t>
            </w:r>
          </w:p>
        </w:tc>
      </w:tr>
      <w:tr>
        <w:trPr>
          <w:trHeight w:val="199"/>
        </w:trPr>
        <w:tc>
          <w:tcPr>
            <w:tcW w:w="8700" w:type="dxa"/>
            <w:vAlign w:val="bottom"/>
          </w:tcPr>
          <w:p>
            <w:pPr>
              <w:ind w:left="640"/>
              <w:spacing w:after="0"/>
              <w:rPr>
                <w:sz w:val="20"/>
                <w:szCs w:val="20"/>
                <w:color w:val="auto"/>
              </w:rPr>
            </w:pPr>
            <w:r>
              <w:rPr>
                <w:rFonts w:ascii="Arial" w:cs="Arial" w:eastAsia="Arial" w:hAnsi="Arial"/>
                <w:sz w:val="17"/>
                <w:szCs w:val="17"/>
                <w:color w:val="auto"/>
              </w:rPr>
              <w:t>10.02 Obligations Unconditional</w:t>
            </w:r>
          </w:p>
        </w:tc>
        <w:tc>
          <w:tcPr>
            <w:tcW w:w="2720" w:type="dxa"/>
            <w:vAlign w:val="bottom"/>
          </w:tcPr>
          <w:p>
            <w:pPr>
              <w:jc w:val="right"/>
              <w:spacing w:after="0"/>
              <w:rPr>
                <w:sz w:val="20"/>
                <w:szCs w:val="20"/>
                <w:color w:val="auto"/>
              </w:rPr>
            </w:pPr>
            <w:r>
              <w:rPr>
                <w:rFonts w:ascii="Arial" w:cs="Arial" w:eastAsia="Arial" w:hAnsi="Arial"/>
                <w:sz w:val="17"/>
                <w:szCs w:val="17"/>
                <w:color w:val="auto"/>
              </w:rPr>
              <w:t>103</w:t>
            </w:r>
          </w:p>
        </w:tc>
      </w:tr>
      <w:tr>
        <w:trPr>
          <w:trHeight w:val="199"/>
        </w:trPr>
        <w:tc>
          <w:tcPr>
            <w:tcW w:w="8700" w:type="dxa"/>
            <w:vAlign w:val="bottom"/>
          </w:tcPr>
          <w:p>
            <w:pPr>
              <w:ind w:left="640"/>
              <w:spacing w:after="0"/>
              <w:rPr>
                <w:sz w:val="20"/>
                <w:szCs w:val="20"/>
                <w:color w:val="auto"/>
              </w:rPr>
            </w:pPr>
            <w:r>
              <w:rPr>
                <w:rFonts w:ascii="Arial" w:cs="Arial" w:eastAsia="Arial" w:hAnsi="Arial"/>
                <w:sz w:val="17"/>
                <w:szCs w:val="17"/>
                <w:color w:val="auto"/>
              </w:rPr>
              <w:t>10.03 Reinstatement</w:t>
            </w:r>
          </w:p>
        </w:tc>
        <w:tc>
          <w:tcPr>
            <w:tcW w:w="2720" w:type="dxa"/>
            <w:vAlign w:val="bottom"/>
          </w:tcPr>
          <w:p>
            <w:pPr>
              <w:jc w:val="right"/>
              <w:spacing w:after="0"/>
              <w:rPr>
                <w:sz w:val="20"/>
                <w:szCs w:val="20"/>
                <w:color w:val="auto"/>
              </w:rPr>
            </w:pPr>
            <w:r>
              <w:rPr>
                <w:rFonts w:ascii="Arial" w:cs="Arial" w:eastAsia="Arial" w:hAnsi="Arial"/>
                <w:sz w:val="17"/>
                <w:szCs w:val="17"/>
                <w:color w:val="auto"/>
              </w:rPr>
              <w:t>104</w:t>
            </w:r>
          </w:p>
        </w:tc>
      </w:tr>
      <w:tr>
        <w:trPr>
          <w:trHeight w:val="199"/>
        </w:trPr>
        <w:tc>
          <w:tcPr>
            <w:tcW w:w="8700" w:type="dxa"/>
            <w:vAlign w:val="bottom"/>
          </w:tcPr>
          <w:p>
            <w:pPr>
              <w:ind w:left="640"/>
              <w:spacing w:after="0"/>
              <w:rPr>
                <w:sz w:val="20"/>
                <w:szCs w:val="20"/>
                <w:color w:val="auto"/>
              </w:rPr>
            </w:pPr>
            <w:r>
              <w:rPr>
                <w:rFonts w:ascii="Arial" w:cs="Arial" w:eastAsia="Arial" w:hAnsi="Arial"/>
                <w:sz w:val="17"/>
                <w:szCs w:val="17"/>
                <w:color w:val="auto"/>
              </w:rPr>
              <w:t>10.04 Certain Additional Waivers</w:t>
            </w:r>
          </w:p>
        </w:tc>
        <w:tc>
          <w:tcPr>
            <w:tcW w:w="2720" w:type="dxa"/>
            <w:vAlign w:val="bottom"/>
          </w:tcPr>
          <w:p>
            <w:pPr>
              <w:jc w:val="right"/>
              <w:spacing w:after="0"/>
              <w:rPr>
                <w:sz w:val="20"/>
                <w:szCs w:val="20"/>
                <w:color w:val="auto"/>
              </w:rPr>
            </w:pPr>
            <w:r>
              <w:rPr>
                <w:rFonts w:ascii="Arial" w:cs="Arial" w:eastAsia="Arial" w:hAnsi="Arial"/>
                <w:sz w:val="17"/>
                <w:szCs w:val="17"/>
                <w:color w:val="auto"/>
              </w:rPr>
              <w:t>105</w:t>
            </w:r>
          </w:p>
        </w:tc>
      </w:tr>
      <w:tr>
        <w:trPr>
          <w:trHeight w:val="199"/>
        </w:trPr>
        <w:tc>
          <w:tcPr>
            <w:tcW w:w="8700" w:type="dxa"/>
            <w:vAlign w:val="bottom"/>
          </w:tcPr>
          <w:p>
            <w:pPr>
              <w:ind w:left="640"/>
              <w:spacing w:after="0"/>
              <w:rPr>
                <w:sz w:val="20"/>
                <w:szCs w:val="20"/>
                <w:color w:val="auto"/>
              </w:rPr>
            </w:pPr>
            <w:r>
              <w:rPr>
                <w:rFonts w:ascii="Arial" w:cs="Arial" w:eastAsia="Arial" w:hAnsi="Arial"/>
                <w:sz w:val="17"/>
                <w:szCs w:val="17"/>
                <w:color w:val="auto"/>
              </w:rPr>
              <w:t>10.05 Remedies</w:t>
            </w:r>
          </w:p>
        </w:tc>
        <w:tc>
          <w:tcPr>
            <w:tcW w:w="2720" w:type="dxa"/>
            <w:vAlign w:val="bottom"/>
          </w:tcPr>
          <w:p>
            <w:pPr>
              <w:jc w:val="right"/>
              <w:spacing w:after="0"/>
              <w:rPr>
                <w:sz w:val="20"/>
                <w:szCs w:val="20"/>
                <w:color w:val="auto"/>
              </w:rPr>
            </w:pPr>
            <w:r>
              <w:rPr>
                <w:rFonts w:ascii="Arial" w:cs="Arial" w:eastAsia="Arial" w:hAnsi="Arial"/>
                <w:sz w:val="17"/>
                <w:szCs w:val="17"/>
                <w:color w:val="auto"/>
              </w:rPr>
              <w:t>105</w:t>
            </w:r>
          </w:p>
        </w:tc>
      </w:tr>
      <w:tr>
        <w:trPr>
          <w:trHeight w:val="199"/>
        </w:trPr>
        <w:tc>
          <w:tcPr>
            <w:tcW w:w="8700" w:type="dxa"/>
            <w:vAlign w:val="bottom"/>
          </w:tcPr>
          <w:p>
            <w:pPr>
              <w:ind w:left="640"/>
              <w:spacing w:after="0"/>
              <w:rPr>
                <w:sz w:val="20"/>
                <w:szCs w:val="20"/>
                <w:color w:val="auto"/>
              </w:rPr>
            </w:pPr>
            <w:r>
              <w:rPr>
                <w:rFonts w:ascii="Arial" w:cs="Arial" w:eastAsia="Arial" w:hAnsi="Arial"/>
                <w:sz w:val="17"/>
                <w:szCs w:val="17"/>
                <w:color w:val="auto"/>
              </w:rPr>
              <w:t>10.06 Rights of Contribution</w:t>
            </w:r>
          </w:p>
        </w:tc>
        <w:tc>
          <w:tcPr>
            <w:tcW w:w="2720" w:type="dxa"/>
            <w:vAlign w:val="bottom"/>
          </w:tcPr>
          <w:p>
            <w:pPr>
              <w:jc w:val="right"/>
              <w:spacing w:after="0"/>
              <w:rPr>
                <w:sz w:val="20"/>
                <w:szCs w:val="20"/>
                <w:color w:val="auto"/>
              </w:rPr>
            </w:pPr>
            <w:r>
              <w:rPr>
                <w:rFonts w:ascii="Arial" w:cs="Arial" w:eastAsia="Arial" w:hAnsi="Arial"/>
                <w:sz w:val="17"/>
                <w:szCs w:val="17"/>
                <w:color w:val="auto"/>
              </w:rPr>
              <w:t>105</w:t>
            </w:r>
          </w:p>
        </w:tc>
      </w:tr>
      <w:tr>
        <w:trPr>
          <w:trHeight w:val="199"/>
        </w:trPr>
        <w:tc>
          <w:tcPr>
            <w:tcW w:w="8700" w:type="dxa"/>
            <w:vAlign w:val="bottom"/>
          </w:tcPr>
          <w:p>
            <w:pPr>
              <w:ind w:left="640"/>
              <w:spacing w:after="0"/>
              <w:rPr>
                <w:sz w:val="20"/>
                <w:szCs w:val="20"/>
                <w:color w:val="auto"/>
              </w:rPr>
            </w:pPr>
            <w:r>
              <w:rPr>
                <w:rFonts w:ascii="Arial" w:cs="Arial" w:eastAsia="Arial" w:hAnsi="Arial"/>
                <w:sz w:val="17"/>
                <w:szCs w:val="17"/>
                <w:color w:val="auto"/>
              </w:rPr>
              <w:t>10.07 Guarantee of Payment; Continuing Guarantee</w:t>
            </w:r>
          </w:p>
        </w:tc>
        <w:tc>
          <w:tcPr>
            <w:tcW w:w="272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199"/>
        </w:trPr>
        <w:tc>
          <w:tcPr>
            <w:tcW w:w="8700" w:type="dxa"/>
            <w:vAlign w:val="bottom"/>
          </w:tcPr>
          <w:p>
            <w:pPr>
              <w:ind w:left="640"/>
              <w:spacing w:after="0"/>
              <w:rPr>
                <w:sz w:val="20"/>
                <w:szCs w:val="20"/>
                <w:color w:val="auto"/>
              </w:rPr>
            </w:pPr>
            <w:r>
              <w:rPr>
                <w:rFonts w:ascii="Arial" w:cs="Arial" w:eastAsia="Arial" w:hAnsi="Arial"/>
                <w:sz w:val="17"/>
                <w:szCs w:val="17"/>
                <w:color w:val="auto"/>
              </w:rPr>
              <w:t>10.08 Keepwell</w:t>
            </w:r>
          </w:p>
        </w:tc>
        <w:tc>
          <w:tcPr>
            <w:tcW w:w="272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199"/>
        </w:trPr>
        <w:tc>
          <w:tcPr>
            <w:tcW w:w="8700" w:type="dxa"/>
            <w:vAlign w:val="bottom"/>
          </w:tcPr>
          <w:p>
            <w:pPr>
              <w:spacing w:after="0"/>
              <w:rPr>
                <w:sz w:val="20"/>
                <w:szCs w:val="20"/>
                <w:color w:val="auto"/>
              </w:rPr>
            </w:pPr>
            <w:r>
              <w:rPr>
                <w:rFonts w:ascii="Arial" w:cs="Arial" w:eastAsia="Arial" w:hAnsi="Arial"/>
                <w:sz w:val="17"/>
                <w:szCs w:val="17"/>
                <w:color w:val="auto"/>
              </w:rPr>
              <w:t>ARTICLE XI. MISCELLANEOUS</w:t>
            </w:r>
          </w:p>
        </w:tc>
        <w:tc>
          <w:tcPr>
            <w:tcW w:w="272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199"/>
        </w:trPr>
        <w:tc>
          <w:tcPr>
            <w:tcW w:w="8700" w:type="dxa"/>
            <w:vAlign w:val="bottom"/>
          </w:tcPr>
          <w:p>
            <w:pPr>
              <w:ind w:left="640"/>
              <w:spacing w:after="0"/>
              <w:rPr>
                <w:sz w:val="20"/>
                <w:szCs w:val="20"/>
                <w:color w:val="auto"/>
              </w:rPr>
            </w:pPr>
            <w:r>
              <w:rPr>
                <w:rFonts w:ascii="Arial" w:cs="Arial" w:eastAsia="Arial" w:hAnsi="Arial"/>
                <w:sz w:val="17"/>
                <w:szCs w:val="17"/>
                <w:color w:val="auto"/>
              </w:rPr>
              <w:t>11.01 Amendments, Etc.</w:t>
            </w:r>
          </w:p>
        </w:tc>
        <w:tc>
          <w:tcPr>
            <w:tcW w:w="272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199"/>
        </w:trPr>
        <w:tc>
          <w:tcPr>
            <w:tcW w:w="8700" w:type="dxa"/>
            <w:vAlign w:val="bottom"/>
          </w:tcPr>
          <w:p>
            <w:pPr>
              <w:ind w:left="640"/>
              <w:spacing w:after="0"/>
              <w:rPr>
                <w:sz w:val="20"/>
                <w:szCs w:val="20"/>
                <w:color w:val="auto"/>
              </w:rPr>
            </w:pPr>
            <w:r>
              <w:rPr>
                <w:rFonts w:ascii="Arial" w:cs="Arial" w:eastAsia="Arial" w:hAnsi="Arial"/>
                <w:sz w:val="17"/>
                <w:szCs w:val="17"/>
                <w:color w:val="auto"/>
              </w:rPr>
              <w:t>11.02 Notices; Effectiveness; Electronic Communication</w:t>
            </w:r>
          </w:p>
        </w:tc>
        <w:tc>
          <w:tcPr>
            <w:tcW w:w="2720" w:type="dxa"/>
            <w:vAlign w:val="bottom"/>
          </w:tcPr>
          <w:p>
            <w:pPr>
              <w:jc w:val="right"/>
              <w:spacing w:after="0"/>
              <w:rPr>
                <w:sz w:val="20"/>
                <w:szCs w:val="20"/>
                <w:color w:val="auto"/>
              </w:rPr>
            </w:pPr>
            <w:r>
              <w:rPr>
                <w:rFonts w:ascii="Arial" w:cs="Arial" w:eastAsia="Arial" w:hAnsi="Arial"/>
                <w:sz w:val="17"/>
                <w:szCs w:val="17"/>
                <w:color w:val="auto"/>
              </w:rPr>
              <w:t>108</w:t>
            </w:r>
          </w:p>
        </w:tc>
      </w:tr>
      <w:tr>
        <w:trPr>
          <w:trHeight w:val="199"/>
        </w:trPr>
        <w:tc>
          <w:tcPr>
            <w:tcW w:w="8700" w:type="dxa"/>
            <w:vAlign w:val="bottom"/>
          </w:tcPr>
          <w:p>
            <w:pPr>
              <w:ind w:left="640"/>
              <w:spacing w:after="0"/>
              <w:rPr>
                <w:sz w:val="20"/>
                <w:szCs w:val="20"/>
                <w:color w:val="auto"/>
              </w:rPr>
            </w:pPr>
            <w:r>
              <w:rPr>
                <w:rFonts w:ascii="Arial" w:cs="Arial" w:eastAsia="Arial" w:hAnsi="Arial"/>
                <w:sz w:val="17"/>
                <w:szCs w:val="17"/>
                <w:color w:val="auto"/>
              </w:rPr>
              <w:t>11.03 No Waiver; Cumulative Remedies; Enforcement</w:t>
            </w:r>
          </w:p>
        </w:tc>
        <w:tc>
          <w:tcPr>
            <w:tcW w:w="2720" w:type="dxa"/>
            <w:vAlign w:val="bottom"/>
          </w:tcPr>
          <w:p>
            <w:pPr>
              <w:jc w:val="right"/>
              <w:spacing w:after="0"/>
              <w:rPr>
                <w:sz w:val="20"/>
                <w:szCs w:val="20"/>
                <w:color w:val="auto"/>
              </w:rPr>
            </w:pPr>
            <w:r>
              <w:rPr>
                <w:rFonts w:ascii="Arial" w:cs="Arial" w:eastAsia="Arial" w:hAnsi="Arial"/>
                <w:sz w:val="17"/>
                <w:szCs w:val="17"/>
                <w:color w:val="auto"/>
              </w:rPr>
              <w:t>110</w:t>
            </w:r>
          </w:p>
        </w:tc>
      </w:tr>
      <w:tr>
        <w:trPr>
          <w:trHeight w:val="199"/>
        </w:trPr>
        <w:tc>
          <w:tcPr>
            <w:tcW w:w="8700" w:type="dxa"/>
            <w:vAlign w:val="bottom"/>
          </w:tcPr>
          <w:p>
            <w:pPr>
              <w:ind w:left="640"/>
              <w:spacing w:after="0"/>
              <w:rPr>
                <w:sz w:val="20"/>
                <w:szCs w:val="20"/>
                <w:color w:val="auto"/>
              </w:rPr>
            </w:pPr>
            <w:r>
              <w:rPr>
                <w:rFonts w:ascii="Arial" w:cs="Arial" w:eastAsia="Arial" w:hAnsi="Arial"/>
                <w:sz w:val="17"/>
                <w:szCs w:val="17"/>
                <w:color w:val="auto"/>
              </w:rPr>
              <w:t>11.04 Expenses; Indemnity; Damage Waiver</w:t>
            </w:r>
          </w:p>
        </w:tc>
        <w:tc>
          <w:tcPr>
            <w:tcW w:w="2720" w:type="dxa"/>
            <w:vAlign w:val="bottom"/>
          </w:tcPr>
          <w:p>
            <w:pPr>
              <w:jc w:val="right"/>
              <w:spacing w:after="0"/>
              <w:rPr>
                <w:sz w:val="20"/>
                <w:szCs w:val="20"/>
                <w:color w:val="auto"/>
              </w:rPr>
            </w:pPr>
            <w:r>
              <w:rPr>
                <w:rFonts w:ascii="Arial" w:cs="Arial" w:eastAsia="Arial" w:hAnsi="Arial"/>
                <w:sz w:val="17"/>
                <w:szCs w:val="17"/>
                <w:color w:val="auto"/>
              </w:rPr>
              <w:t>110</w:t>
            </w:r>
          </w:p>
        </w:tc>
      </w:tr>
      <w:tr>
        <w:trPr>
          <w:trHeight w:val="199"/>
        </w:trPr>
        <w:tc>
          <w:tcPr>
            <w:tcW w:w="8700" w:type="dxa"/>
            <w:vAlign w:val="bottom"/>
          </w:tcPr>
          <w:p>
            <w:pPr>
              <w:ind w:left="640"/>
              <w:spacing w:after="0"/>
              <w:rPr>
                <w:sz w:val="20"/>
                <w:szCs w:val="20"/>
                <w:color w:val="auto"/>
              </w:rPr>
            </w:pPr>
            <w:r>
              <w:rPr>
                <w:rFonts w:ascii="Arial" w:cs="Arial" w:eastAsia="Arial" w:hAnsi="Arial"/>
                <w:sz w:val="17"/>
                <w:szCs w:val="17"/>
                <w:color w:val="auto"/>
              </w:rPr>
              <w:t>11.05 Payments Set Aside</w:t>
            </w:r>
          </w:p>
        </w:tc>
        <w:tc>
          <w:tcPr>
            <w:tcW w:w="2720" w:type="dxa"/>
            <w:vAlign w:val="bottom"/>
          </w:tcPr>
          <w:p>
            <w:pPr>
              <w:jc w:val="right"/>
              <w:spacing w:after="0"/>
              <w:rPr>
                <w:sz w:val="20"/>
                <w:szCs w:val="20"/>
                <w:color w:val="auto"/>
              </w:rPr>
            </w:pPr>
            <w:r>
              <w:rPr>
                <w:rFonts w:ascii="Arial" w:cs="Arial" w:eastAsia="Arial" w:hAnsi="Arial"/>
                <w:sz w:val="17"/>
                <w:szCs w:val="17"/>
                <w:color w:val="auto"/>
              </w:rPr>
              <w:t>111</w:t>
            </w:r>
          </w:p>
        </w:tc>
      </w:tr>
      <w:tr>
        <w:trPr>
          <w:trHeight w:val="199"/>
        </w:trPr>
        <w:tc>
          <w:tcPr>
            <w:tcW w:w="8700" w:type="dxa"/>
            <w:vAlign w:val="bottom"/>
          </w:tcPr>
          <w:p>
            <w:pPr>
              <w:ind w:left="640"/>
              <w:spacing w:after="0"/>
              <w:rPr>
                <w:sz w:val="20"/>
                <w:szCs w:val="20"/>
                <w:color w:val="auto"/>
              </w:rPr>
            </w:pPr>
            <w:r>
              <w:rPr>
                <w:rFonts w:ascii="Arial" w:cs="Arial" w:eastAsia="Arial" w:hAnsi="Arial"/>
                <w:sz w:val="17"/>
                <w:szCs w:val="17"/>
                <w:color w:val="auto"/>
              </w:rPr>
              <w:t>11.06 Successors and Assigns</w:t>
            </w:r>
          </w:p>
        </w:tc>
        <w:tc>
          <w:tcPr>
            <w:tcW w:w="2720" w:type="dxa"/>
            <w:vAlign w:val="bottom"/>
          </w:tcPr>
          <w:p>
            <w:pPr>
              <w:jc w:val="right"/>
              <w:spacing w:after="0"/>
              <w:rPr>
                <w:sz w:val="20"/>
                <w:szCs w:val="20"/>
                <w:color w:val="auto"/>
              </w:rPr>
            </w:pPr>
            <w:r>
              <w:rPr>
                <w:rFonts w:ascii="Arial" w:cs="Arial" w:eastAsia="Arial" w:hAnsi="Arial"/>
                <w:sz w:val="17"/>
                <w:szCs w:val="17"/>
                <w:color w:val="auto"/>
              </w:rPr>
              <w:t>112</w:t>
            </w:r>
          </w:p>
        </w:tc>
      </w:tr>
      <w:tr>
        <w:trPr>
          <w:trHeight w:val="199"/>
        </w:trPr>
        <w:tc>
          <w:tcPr>
            <w:tcW w:w="8700" w:type="dxa"/>
            <w:vAlign w:val="bottom"/>
          </w:tcPr>
          <w:p>
            <w:pPr>
              <w:ind w:left="640"/>
              <w:spacing w:after="0"/>
              <w:rPr>
                <w:sz w:val="20"/>
                <w:szCs w:val="20"/>
                <w:color w:val="auto"/>
              </w:rPr>
            </w:pPr>
            <w:r>
              <w:rPr>
                <w:rFonts w:ascii="Arial" w:cs="Arial" w:eastAsia="Arial" w:hAnsi="Arial"/>
                <w:sz w:val="17"/>
                <w:szCs w:val="17"/>
                <w:color w:val="auto"/>
              </w:rPr>
              <w:t>11.07 Treatment of Certain Information; Confidentiality</w:t>
            </w:r>
          </w:p>
        </w:tc>
        <w:tc>
          <w:tcPr>
            <w:tcW w:w="2720" w:type="dxa"/>
            <w:vAlign w:val="bottom"/>
          </w:tcPr>
          <w:p>
            <w:pPr>
              <w:jc w:val="right"/>
              <w:spacing w:after="0"/>
              <w:rPr>
                <w:sz w:val="20"/>
                <w:szCs w:val="20"/>
                <w:color w:val="auto"/>
              </w:rPr>
            </w:pPr>
            <w:r>
              <w:rPr>
                <w:rFonts w:ascii="Arial" w:cs="Arial" w:eastAsia="Arial" w:hAnsi="Arial"/>
                <w:sz w:val="17"/>
                <w:szCs w:val="17"/>
                <w:color w:val="auto"/>
              </w:rPr>
              <w:t>115</w:t>
            </w:r>
          </w:p>
        </w:tc>
      </w:tr>
      <w:tr>
        <w:trPr>
          <w:trHeight w:val="199"/>
        </w:trPr>
        <w:tc>
          <w:tcPr>
            <w:tcW w:w="8700" w:type="dxa"/>
            <w:vAlign w:val="bottom"/>
          </w:tcPr>
          <w:p>
            <w:pPr>
              <w:ind w:left="640"/>
              <w:spacing w:after="0"/>
              <w:rPr>
                <w:sz w:val="20"/>
                <w:szCs w:val="20"/>
                <w:color w:val="auto"/>
              </w:rPr>
            </w:pPr>
            <w:r>
              <w:rPr>
                <w:rFonts w:ascii="Arial" w:cs="Arial" w:eastAsia="Arial" w:hAnsi="Arial"/>
                <w:sz w:val="17"/>
                <w:szCs w:val="17"/>
                <w:color w:val="auto"/>
              </w:rPr>
              <w:t>11.08 Right of Setoff</w:t>
            </w:r>
          </w:p>
        </w:tc>
        <w:tc>
          <w:tcPr>
            <w:tcW w:w="2720" w:type="dxa"/>
            <w:vAlign w:val="bottom"/>
          </w:tcPr>
          <w:p>
            <w:pPr>
              <w:jc w:val="right"/>
              <w:spacing w:after="0"/>
              <w:rPr>
                <w:sz w:val="20"/>
                <w:szCs w:val="20"/>
                <w:color w:val="auto"/>
              </w:rPr>
            </w:pPr>
            <w:r>
              <w:rPr>
                <w:rFonts w:ascii="Arial" w:cs="Arial" w:eastAsia="Arial" w:hAnsi="Arial"/>
                <w:sz w:val="17"/>
                <w:szCs w:val="17"/>
                <w:color w:val="auto"/>
              </w:rPr>
              <w:t>116</w:t>
            </w:r>
          </w:p>
        </w:tc>
      </w:tr>
      <w:tr>
        <w:trPr>
          <w:trHeight w:val="199"/>
        </w:trPr>
        <w:tc>
          <w:tcPr>
            <w:tcW w:w="8700" w:type="dxa"/>
            <w:vAlign w:val="bottom"/>
          </w:tcPr>
          <w:p>
            <w:pPr>
              <w:ind w:left="640"/>
              <w:spacing w:after="0"/>
              <w:rPr>
                <w:sz w:val="20"/>
                <w:szCs w:val="20"/>
                <w:color w:val="auto"/>
              </w:rPr>
            </w:pPr>
            <w:r>
              <w:rPr>
                <w:rFonts w:ascii="Arial" w:cs="Arial" w:eastAsia="Arial" w:hAnsi="Arial"/>
                <w:sz w:val="17"/>
                <w:szCs w:val="17"/>
                <w:color w:val="auto"/>
              </w:rPr>
              <w:t>11.09 Interest Rate Limitation</w:t>
            </w:r>
          </w:p>
        </w:tc>
        <w:tc>
          <w:tcPr>
            <w:tcW w:w="2720" w:type="dxa"/>
            <w:vAlign w:val="bottom"/>
          </w:tcPr>
          <w:p>
            <w:pPr>
              <w:jc w:val="right"/>
              <w:spacing w:after="0"/>
              <w:rPr>
                <w:sz w:val="20"/>
                <w:szCs w:val="20"/>
                <w:color w:val="auto"/>
              </w:rPr>
            </w:pPr>
            <w:r>
              <w:rPr>
                <w:rFonts w:ascii="Arial" w:cs="Arial" w:eastAsia="Arial" w:hAnsi="Arial"/>
                <w:sz w:val="17"/>
                <w:szCs w:val="17"/>
                <w:color w:val="auto"/>
              </w:rPr>
              <w:t>116</w:t>
            </w:r>
          </w:p>
        </w:tc>
      </w:tr>
      <w:tr>
        <w:trPr>
          <w:trHeight w:val="199"/>
        </w:trPr>
        <w:tc>
          <w:tcPr>
            <w:tcW w:w="8700" w:type="dxa"/>
            <w:vAlign w:val="bottom"/>
          </w:tcPr>
          <w:p>
            <w:pPr>
              <w:ind w:left="640"/>
              <w:spacing w:after="0"/>
              <w:rPr>
                <w:sz w:val="20"/>
                <w:szCs w:val="20"/>
                <w:color w:val="auto"/>
              </w:rPr>
            </w:pPr>
            <w:r>
              <w:rPr>
                <w:rFonts w:ascii="Arial" w:cs="Arial" w:eastAsia="Arial" w:hAnsi="Arial"/>
                <w:sz w:val="17"/>
                <w:szCs w:val="17"/>
                <w:color w:val="auto"/>
              </w:rPr>
              <w:t>11.10 Counterparts; Integration; Effectiveness</w:t>
            </w:r>
          </w:p>
        </w:tc>
        <w:tc>
          <w:tcPr>
            <w:tcW w:w="2720" w:type="dxa"/>
            <w:vAlign w:val="bottom"/>
          </w:tcPr>
          <w:p>
            <w:pPr>
              <w:jc w:val="right"/>
              <w:spacing w:after="0"/>
              <w:rPr>
                <w:sz w:val="20"/>
                <w:szCs w:val="20"/>
                <w:color w:val="auto"/>
              </w:rPr>
            </w:pPr>
            <w:r>
              <w:rPr>
                <w:rFonts w:ascii="Arial" w:cs="Arial" w:eastAsia="Arial" w:hAnsi="Arial"/>
                <w:sz w:val="17"/>
                <w:szCs w:val="17"/>
                <w:color w:val="auto"/>
              </w:rPr>
              <w:t>116</w:t>
            </w:r>
          </w:p>
        </w:tc>
      </w:tr>
      <w:tr>
        <w:trPr>
          <w:trHeight w:val="199"/>
        </w:trPr>
        <w:tc>
          <w:tcPr>
            <w:tcW w:w="8700" w:type="dxa"/>
            <w:vAlign w:val="bottom"/>
          </w:tcPr>
          <w:p>
            <w:pPr>
              <w:ind w:left="660"/>
              <w:spacing w:after="0"/>
              <w:rPr>
                <w:sz w:val="20"/>
                <w:szCs w:val="20"/>
                <w:color w:val="auto"/>
              </w:rPr>
            </w:pPr>
            <w:r>
              <w:rPr>
                <w:rFonts w:ascii="Arial" w:cs="Arial" w:eastAsia="Arial" w:hAnsi="Arial"/>
                <w:sz w:val="17"/>
                <w:szCs w:val="17"/>
                <w:color w:val="auto"/>
              </w:rPr>
              <w:t>11.11 Survival of Representations and Warranties</w:t>
            </w:r>
          </w:p>
        </w:tc>
        <w:tc>
          <w:tcPr>
            <w:tcW w:w="2720" w:type="dxa"/>
            <w:vAlign w:val="bottom"/>
          </w:tcPr>
          <w:p>
            <w:pPr>
              <w:jc w:val="right"/>
              <w:spacing w:after="0"/>
              <w:rPr>
                <w:sz w:val="20"/>
                <w:szCs w:val="20"/>
                <w:color w:val="auto"/>
              </w:rPr>
            </w:pPr>
            <w:r>
              <w:rPr>
                <w:rFonts w:ascii="Arial" w:cs="Arial" w:eastAsia="Arial" w:hAnsi="Arial"/>
                <w:sz w:val="17"/>
                <w:szCs w:val="17"/>
                <w:color w:val="auto"/>
              </w:rPr>
              <w:t>117</w:t>
            </w:r>
          </w:p>
        </w:tc>
      </w:tr>
      <w:tr>
        <w:trPr>
          <w:trHeight w:val="199"/>
        </w:trPr>
        <w:tc>
          <w:tcPr>
            <w:tcW w:w="8700" w:type="dxa"/>
            <w:vAlign w:val="bottom"/>
          </w:tcPr>
          <w:p>
            <w:pPr>
              <w:ind w:left="640"/>
              <w:spacing w:after="0"/>
              <w:rPr>
                <w:sz w:val="20"/>
                <w:szCs w:val="20"/>
                <w:color w:val="auto"/>
              </w:rPr>
            </w:pPr>
            <w:r>
              <w:rPr>
                <w:rFonts w:ascii="Arial" w:cs="Arial" w:eastAsia="Arial" w:hAnsi="Arial"/>
                <w:sz w:val="17"/>
                <w:szCs w:val="17"/>
                <w:color w:val="auto"/>
              </w:rPr>
              <w:t>11.12 Severability</w:t>
            </w:r>
          </w:p>
        </w:tc>
        <w:tc>
          <w:tcPr>
            <w:tcW w:w="2720" w:type="dxa"/>
            <w:vAlign w:val="bottom"/>
          </w:tcPr>
          <w:p>
            <w:pPr>
              <w:jc w:val="right"/>
              <w:spacing w:after="0"/>
              <w:rPr>
                <w:sz w:val="20"/>
                <w:szCs w:val="20"/>
                <w:color w:val="auto"/>
              </w:rPr>
            </w:pPr>
            <w:r>
              <w:rPr>
                <w:rFonts w:ascii="Arial" w:cs="Arial" w:eastAsia="Arial" w:hAnsi="Arial"/>
                <w:sz w:val="17"/>
                <w:szCs w:val="17"/>
                <w:color w:val="auto"/>
              </w:rPr>
              <w:t>117</w:t>
            </w:r>
          </w:p>
        </w:tc>
      </w:tr>
      <w:tr>
        <w:trPr>
          <w:trHeight w:val="199"/>
        </w:trPr>
        <w:tc>
          <w:tcPr>
            <w:tcW w:w="8700" w:type="dxa"/>
            <w:vAlign w:val="bottom"/>
          </w:tcPr>
          <w:p>
            <w:pPr>
              <w:ind w:left="640"/>
              <w:spacing w:after="0"/>
              <w:rPr>
                <w:sz w:val="20"/>
                <w:szCs w:val="20"/>
                <w:color w:val="auto"/>
              </w:rPr>
            </w:pPr>
            <w:r>
              <w:rPr>
                <w:rFonts w:ascii="Arial" w:cs="Arial" w:eastAsia="Arial" w:hAnsi="Arial"/>
                <w:sz w:val="17"/>
                <w:szCs w:val="17"/>
                <w:color w:val="auto"/>
              </w:rPr>
              <w:t>11.13 Replacement of Lenders</w:t>
            </w:r>
          </w:p>
        </w:tc>
        <w:tc>
          <w:tcPr>
            <w:tcW w:w="2720" w:type="dxa"/>
            <w:vAlign w:val="bottom"/>
          </w:tcPr>
          <w:p>
            <w:pPr>
              <w:jc w:val="right"/>
              <w:spacing w:after="0"/>
              <w:rPr>
                <w:sz w:val="20"/>
                <w:szCs w:val="20"/>
                <w:color w:val="auto"/>
              </w:rPr>
            </w:pPr>
            <w:r>
              <w:rPr>
                <w:rFonts w:ascii="Arial" w:cs="Arial" w:eastAsia="Arial" w:hAnsi="Arial"/>
                <w:sz w:val="17"/>
                <w:szCs w:val="17"/>
                <w:color w:val="auto"/>
              </w:rPr>
              <w:t>117</w:t>
            </w:r>
          </w:p>
        </w:tc>
      </w:tr>
      <w:tr>
        <w:trPr>
          <w:trHeight w:val="217"/>
        </w:trPr>
        <w:tc>
          <w:tcPr>
            <w:tcW w:w="8700" w:type="dxa"/>
            <w:vAlign w:val="bottom"/>
          </w:tcPr>
          <w:p>
            <w:pPr>
              <w:ind w:left="640"/>
              <w:spacing w:after="0"/>
              <w:rPr>
                <w:sz w:val="20"/>
                <w:szCs w:val="20"/>
                <w:color w:val="auto"/>
              </w:rPr>
            </w:pPr>
            <w:r>
              <w:rPr>
                <w:rFonts w:ascii="Arial" w:cs="Arial" w:eastAsia="Arial" w:hAnsi="Arial"/>
                <w:sz w:val="17"/>
                <w:szCs w:val="17"/>
                <w:color w:val="auto"/>
              </w:rPr>
              <w:t>11.14 Governing Law; Jurisdiction; Etc.</w:t>
            </w:r>
          </w:p>
        </w:tc>
        <w:tc>
          <w:tcPr>
            <w:tcW w:w="2720" w:type="dxa"/>
            <w:vAlign w:val="bottom"/>
          </w:tcPr>
          <w:p>
            <w:pPr>
              <w:jc w:val="right"/>
              <w:spacing w:after="0"/>
              <w:rPr>
                <w:sz w:val="20"/>
                <w:szCs w:val="20"/>
                <w:color w:val="auto"/>
              </w:rPr>
            </w:pPr>
            <w:r>
              <w:rPr>
                <w:rFonts w:ascii="Arial" w:cs="Arial" w:eastAsia="Arial" w:hAnsi="Arial"/>
                <w:sz w:val="17"/>
                <w:szCs w:val="17"/>
                <w:color w:val="auto"/>
              </w:rPr>
              <w:t>118</w:t>
            </w:r>
          </w:p>
        </w:tc>
      </w:tr>
    </w:tbl>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11420"/>
          </w:cols>
          <w:pgMar w:left="260" w:top="312" w:right="2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9"/>
        </w:trPr>
        <w:tc>
          <w:tcPr>
            <w:tcW w:w="580" w:type="dxa"/>
            <w:vAlign w:val="bottom"/>
          </w:tcPr>
          <w:p>
            <w:pPr>
              <w:spacing w:after="0"/>
              <w:rPr>
                <w:sz w:val="17"/>
                <w:szCs w:val="17"/>
                <w:color w:val="auto"/>
              </w:rPr>
            </w:pPr>
          </w:p>
        </w:tc>
        <w:tc>
          <w:tcPr>
            <w:tcW w:w="7880" w:type="dxa"/>
            <w:vAlign w:val="bottom"/>
          </w:tcPr>
          <w:p>
            <w:pPr>
              <w:ind w:left="80"/>
              <w:spacing w:after="0"/>
              <w:rPr>
                <w:sz w:val="20"/>
                <w:szCs w:val="20"/>
                <w:color w:val="auto"/>
              </w:rPr>
            </w:pPr>
            <w:r>
              <w:rPr>
                <w:rFonts w:ascii="Arial" w:cs="Arial" w:eastAsia="Arial" w:hAnsi="Arial"/>
                <w:sz w:val="17"/>
                <w:szCs w:val="17"/>
                <w:color w:val="auto"/>
              </w:rPr>
              <w:t>11.15 Waiver of Jury Trial</w:t>
            </w:r>
          </w:p>
        </w:tc>
        <w:tc>
          <w:tcPr>
            <w:tcW w:w="2980" w:type="dxa"/>
            <w:vAlign w:val="bottom"/>
          </w:tcPr>
          <w:p>
            <w:pPr>
              <w:jc w:val="right"/>
              <w:spacing w:after="0"/>
              <w:rPr>
                <w:sz w:val="20"/>
                <w:szCs w:val="20"/>
                <w:color w:val="auto"/>
              </w:rPr>
            </w:pPr>
            <w:r>
              <w:rPr>
                <w:rFonts w:ascii="Arial" w:cs="Arial" w:eastAsia="Arial" w:hAnsi="Arial"/>
                <w:sz w:val="17"/>
                <w:szCs w:val="17"/>
                <w:color w:val="auto"/>
              </w:rPr>
              <w:t>118</w:t>
            </w:r>
          </w:p>
        </w:tc>
      </w:tr>
      <w:tr>
        <w:trPr>
          <w:trHeight w:val="199"/>
        </w:trPr>
        <w:tc>
          <w:tcPr>
            <w:tcW w:w="580" w:type="dxa"/>
            <w:vAlign w:val="bottom"/>
          </w:tcPr>
          <w:p>
            <w:pPr>
              <w:spacing w:after="0"/>
              <w:rPr>
                <w:sz w:val="17"/>
                <w:szCs w:val="17"/>
                <w:color w:val="auto"/>
              </w:rPr>
            </w:pPr>
          </w:p>
        </w:tc>
        <w:tc>
          <w:tcPr>
            <w:tcW w:w="7880" w:type="dxa"/>
            <w:vAlign w:val="bottom"/>
          </w:tcPr>
          <w:p>
            <w:pPr>
              <w:ind w:left="80"/>
              <w:spacing w:after="0"/>
              <w:rPr>
                <w:sz w:val="20"/>
                <w:szCs w:val="20"/>
                <w:color w:val="auto"/>
              </w:rPr>
            </w:pPr>
            <w:r>
              <w:rPr>
                <w:rFonts w:ascii="Arial" w:cs="Arial" w:eastAsia="Arial" w:hAnsi="Arial"/>
                <w:sz w:val="17"/>
                <w:szCs w:val="17"/>
                <w:color w:val="auto"/>
              </w:rPr>
              <w:t>11.16 No Advisory or Fiduciary Responsibility</w:t>
            </w:r>
          </w:p>
        </w:tc>
        <w:tc>
          <w:tcPr>
            <w:tcW w:w="2980" w:type="dxa"/>
            <w:vAlign w:val="bottom"/>
          </w:tcPr>
          <w:p>
            <w:pPr>
              <w:jc w:val="right"/>
              <w:spacing w:after="0"/>
              <w:rPr>
                <w:sz w:val="20"/>
                <w:szCs w:val="20"/>
                <w:color w:val="auto"/>
              </w:rPr>
            </w:pPr>
            <w:r>
              <w:rPr>
                <w:rFonts w:ascii="Arial" w:cs="Arial" w:eastAsia="Arial" w:hAnsi="Arial"/>
                <w:sz w:val="17"/>
                <w:szCs w:val="17"/>
                <w:color w:val="auto"/>
              </w:rPr>
              <w:t>119</w:t>
            </w:r>
          </w:p>
        </w:tc>
      </w:tr>
      <w:tr>
        <w:trPr>
          <w:trHeight w:val="199"/>
        </w:trPr>
        <w:tc>
          <w:tcPr>
            <w:tcW w:w="580" w:type="dxa"/>
            <w:vAlign w:val="bottom"/>
          </w:tcPr>
          <w:p>
            <w:pPr>
              <w:spacing w:after="0"/>
              <w:rPr>
                <w:sz w:val="17"/>
                <w:szCs w:val="17"/>
                <w:color w:val="auto"/>
              </w:rPr>
            </w:pPr>
          </w:p>
        </w:tc>
        <w:tc>
          <w:tcPr>
            <w:tcW w:w="7880" w:type="dxa"/>
            <w:vAlign w:val="bottom"/>
          </w:tcPr>
          <w:p>
            <w:pPr>
              <w:ind w:left="80"/>
              <w:spacing w:after="0"/>
              <w:rPr>
                <w:sz w:val="20"/>
                <w:szCs w:val="20"/>
                <w:color w:val="auto"/>
              </w:rPr>
            </w:pPr>
            <w:r>
              <w:rPr>
                <w:rFonts w:ascii="Arial" w:cs="Arial" w:eastAsia="Arial" w:hAnsi="Arial"/>
                <w:sz w:val="17"/>
                <w:szCs w:val="17"/>
                <w:color w:val="auto"/>
              </w:rPr>
              <w:t>11.17 Electronic Execution of Assignments and Certain Other Documents</w:t>
            </w:r>
          </w:p>
        </w:tc>
        <w:tc>
          <w:tcPr>
            <w:tcW w:w="2980" w:type="dxa"/>
            <w:vAlign w:val="bottom"/>
          </w:tcPr>
          <w:p>
            <w:pPr>
              <w:jc w:val="right"/>
              <w:spacing w:after="0"/>
              <w:rPr>
                <w:sz w:val="20"/>
                <w:szCs w:val="20"/>
                <w:color w:val="auto"/>
              </w:rPr>
            </w:pPr>
            <w:r>
              <w:rPr>
                <w:rFonts w:ascii="Arial" w:cs="Arial" w:eastAsia="Arial" w:hAnsi="Arial"/>
                <w:sz w:val="17"/>
                <w:szCs w:val="17"/>
                <w:color w:val="auto"/>
              </w:rPr>
              <w:t>119</w:t>
            </w:r>
          </w:p>
        </w:tc>
      </w:tr>
      <w:tr>
        <w:trPr>
          <w:trHeight w:val="199"/>
        </w:trPr>
        <w:tc>
          <w:tcPr>
            <w:tcW w:w="580" w:type="dxa"/>
            <w:vAlign w:val="bottom"/>
          </w:tcPr>
          <w:p>
            <w:pPr>
              <w:spacing w:after="0"/>
              <w:rPr>
                <w:sz w:val="17"/>
                <w:szCs w:val="17"/>
                <w:color w:val="auto"/>
              </w:rPr>
            </w:pPr>
          </w:p>
        </w:tc>
        <w:tc>
          <w:tcPr>
            <w:tcW w:w="7880" w:type="dxa"/>
            <w:vAlign w:val="bottom"/>
          </w:tcPr>
          <w:p>
            <w:pPr>
              <w:ind w:left="80"/>
              <w:spacing w:after="0"/>
              <w:rPr>
                <w:sz w:val="20"/>
                <w:szCs w:val="20"/>
                <w:color w:val="auto"/>
              </w:rPr>
            </w:pPr>
            <w:r>
              <w:rPr>
                <w:rFonts w:ascii="Arial" w:cs="Arial" w:eastAsia="Arial" w:hAnsi="Arial"/>
                <w:sz w:val="17"/>
                <w:szCs w:val="17"/>
                <w:color w:val="auto"/>
              </w:rPr>
              <w:t>11.18 USA PATRIOT Act</w:t>
            </w:r>
          </w:p>
        </w:tc>
        <w:tc>
          <w:tcPr>
            <w:tcW w:w="2980" w:type="dxa"/>
            <w:vAlign w:val="bottom"/>
          </w:tcPr>
          <w:p>
            <w:pPr>
              <w:jc w:val="right"/>
              <w:spacing w:after="0"/>
              <w:rPr>
                <w:sz w:val="20"/>
                <w:szCs w:val="20"/>
                <w:color w:val="auto"/>
              </w:rPr>
            </w:pPr>
            <w:r>
              <w:rPr>
                <w:rFonts w:ascii="Arial" w:cs="Arial" w:eastAsia="Arial" w:hAnsi="Arial"/>
                <w:sz w:val="17"/>
                <w:szCs w:val="17"/>
                <w:color w:val="auto"/>
              </w:rPr>
              <w:t>119</w:t>
            </w:r>
          </w:p>
        </w:tc>
      </w:tr>
      <w:tr>
        <w:trPr>
          <w:trHeight w:val="199"/>
        </w:trPr>
        <w:tc>
          <w:tcPr>
            <w:tcW w:w="580" w:type="dxa"/>
            <w:vAlign w:val="bottom"/>
          </w:tcPr>
          <w:p>
            <w:pPr>
              <w:spacing w:after="0"/>
              <w:rPr>
                <w:sz w:val="17"/>
                <w:szCs w:val="17"/>
                <w:color w:val="auto"/>
              </w:rPr>
            </w:pPr>
          </w:p>
        </w:tc>
        <w:tc>
          <w:tcPr>
            <w:tcW w:w="7880" w:type="dxa"/>
            <w:vAlign w:val="bottom"/>
          </w:tcPr>
          <w:p>
            <w:pPr>
              <w:ind w:left="80"/>
              <w:spacing w:after="0"/>
              <w:rPr>
                <w:sz w:val="20"/>
                <w:szCs w:val="20"/>
                <w:color w:val="auto"/>
              </w:rPr>
            </w:pPr>
            <w:r>
              <w:rPr>
                <w:rFonts w:ascii="Arial" w:cs="Arial" w:eastAsia="Arial" w:hAnsi="Arial"/>
                <w:sz w:val="17"/>
                <w:szCs w:val="17"/>
                <w:color w:val="auto"/>
              </w:rPr>
              <w:t>11.19 Judgment Currency</w:t>
            </w:r>
          </w:p>
        </w:tc>
        <w:tc>
          <w:tcPr>
            <w:tcW w:w="2980" w:type="dxa"/>
            <w:vAlign w:val="bottom"/>
          </w:tcPr>
          <w:p>
            <w:pPr>
              <w:jc w:val="right"/>
              <w:spacing w:after="0"/>
              <w:rPr>
                <w:sz w:val="20"/>
                <w:szCs w:val="20"/>
                <w:color w:val="auto"/>
              </w:rPr>
            </w:pPr>
            <w:r>
              <w:rPr>
                <w:rFonts w:ascii="Arial" w:cs="Arial" w:eastAsia="Arial" w:hAnsi="Arial"/>
                <w:sz w:val="17"/>
                <w:szCs w:val="17"/>
                <w:color w:val="auto"/>
              </w:rPr>
              <w:t>119</w:t>
            </w:r>
          </w:p>
        </w:tc>
      </w:tr>
      <w:tr>
        <w:trPr>
          <w:trHeight w:val="217"/>
        </w:trPr>
        <w:tc>
          <w:tcPr>
            <w:tcW w:w="580" w:type="dxa"/>
            <w:vAlign w:val="bottom"/>
          </w:tcPr>
          <w:p>
            <w:pPr>
              <w:spacing w:after="0"/>
              <w:rPr>
                <w:sz w:val="18"/>
                <w:szCs w:val="18"/>
                <w:color w:val="auto"/>
              </w:rPr>
            </w:pPr>
          </w:p>
        </w:tc>
        <w:tc>
          <w:tcPr>
            <w:tcW w:w="7880" w:type="dxa"/>
            <w:vAlign w:val="bottom"/>
          </w:tcPr>
          <w:p>
            <w:pPr>
              <w:ind w:left="80"/>
              <w:spacing w:after="0"/>
              <w:rPr>
                <w:sz w:val="20"/>
                <w:szCs w:val="20"/>
                <w:color w:val="auto"/>
              </w:rPr>
            </w:pPr>
            <w:r>
              <w:rPr>
                <w:rFonts w:ascii="Arial" w:cs="Arial" w:eastAsia="Arial" w:hAnsi="Arial"/>
                <w:sz w:val="17"/>
                <w:szCs w:val="17"/>
                <w:color w:val="auto"/>
              </w:rPr>
              <w:t>11.20 Entire Agreement</w:t>
            </w:r>
          </w:p>
        </w:tc>
        <w:tc>
          <w:tcPr>
            <w:tcW w:w="2980" w:type="dxa"/>
            <w:vAlign w:val="bottom"/>
          </w:tcPr>
          <w:p>
            <w:pPr>
              <w:jc w:val="right"/>
              <w:spacing w:after="0"/>
              <w:rPr>
                <w:sz w:val="20"/>
                <w:szCs w:val="20"/>
                <w:color w:val="auto"/>
              </w:rPr>
            </w:pPr>
            <w:r>
              <w:rPr>
                <w:rFonts w:ascii="Arial" w:cs="Arial" w:eastAsia="Arial" w:hAnsi="Arial"/>
                <w:sz w:val="17"/>
                <w:szCs w:val="17"/>
                <w:color w:val="auto"/>
              </w:rPr>
              <w:t>120</w:t>
            </w:r>
          </w:p>
        </w:tc>
      </w:tr>
      <w:tr>
        <w:trPr>
          <w:trHeight w:val="568"/>
        </w:trPr>
        <w:tc>
          <w:tcPr>
            <w:tcW w:w="8460" w:type="dxa"/>
            <w:vAlign w:val="bottom"/>
            <w:gridSpan w:val="2"/>
          </w:tcPr>
          <w:p>
            <w:pPr>
              <w:spacing w:after="0"/>
              <w:rPr>
                <w:sz w:val="20"/>
                <w:szCs w:val="20"/>
                <w:color w:val="auto"/>
              </w:rPr>
            </w:pPr>
            <w:r>
              <w:rPr>
                <w:rFonts w:ascii="Arial" w:cs="Arial" w:eastAsia="Arial" w:hAnsi="Arial"/>
                <w:sz w:val="17"/>
                <w:szCs w:val="17"/>
                <w:b w:val="1"/>
                <w:bCs w:val="1"/>
                <w:color w:val="auto"/>
              </w:rPr>
              <w:t>SCHEDULES</w:t>
            </w:r>
          </w:p>
        </w:tc>
        <w:tc>
          <w:tcPr>
            <w:tcW w:w="2980" w:type="dxa"/>
            <w:vAlign w:val="bottom"/>
          </w:tcPr>
          <w:p>
            <w:pPr>
              <w:spacing w:after="0"/>
              <w:rPr>
                <w:sz w:val="24"/>
                <w:szCs w:val="24"/>
                <w:color w:val="auto"/>
              </w:rPr>
            </w:pPr>
          </w:p>
        </w:tc>
      </w:tr>
      <w:tr>
        <w:trPr>
          <w:trHeight w:val="199"/>
        </w:trPr>
        <w:tc>
          <w:tcPr>
            <w:tcW w:w="580" w:type="dxa"/>
            <w:vAlign w:val="bottom"/>
          </w:tcPr>
          <w:p>
            <w:pPr>
              <w:spacing w:after="0"/>
              <w:rPr>
                <w:sz w:val="20"/>
                <w:szCs w:val="20"/>
                <w:color w:val="auto"/>
              </w:rPr>
            </w:pPr>
            <w:r>
              <w:rPr>
                <w:rFonts w:ascii="Arial" w:cs="Arial" w:eastAsia="Arial" w:hAnsi="Arial"/>
                <w:sz w:val="17"/>
                <w:szCs w:val="17"/>
                <w:color w:val="auto"/>
              </w:rPr>
              <w:t>1.01(a)</w:t>
            </w:r>
          </w:p>
        </w:tc>
        <w:tc>
          <w:tcPr>
            <w:tcW w:w="7880" w:type="dxa"/>
            <w:vAlign w:val="bottom"/>
          </w:tcPr>
          <w:p>
            <w:pPr>
              <w:ind w:left="440"/>
              <w:spacing w:after="0"/>
              <w:rPr>
                <w:sz w:val="20"/>
                <w:szCs w:val="20"/>
                <w:color w:val="auto"/>
              </w:rPr>
            </w:pPr>
            <w:r>
              <w:rPr>
                <w:rFonts w:ascii="Arial" w:cs="Arial" w:eastAsia="Arial" w:hAnsi="Arial"/>
                <w:sz w:val="17"/>
                <w:szCs w:val="17"/>
                <w:color w:val="auto"/>
              </w:rPr>
              <w:t>Reorganization</w:t>
            </w:r>
          </w:p>
        </w:tc>
        <w:tc>
          <w:tcPr>
            <w:tcW w:w="2980" w:type="dxa"/>
            <w:vAlign w:val="bottom"/>
          </w:tcPr>
          <w:p>
            <w:pPr>
              <w:spacing w:after="0"/>
              <w:rPr>
                <w:sz w:val="17"/>
                <w:szCs w:val="17"/>
                <w:color w:val="auto"/>
              </w:rPr>
            </w:pPr>
          </w:p>
        </w:tc>
      </w:tr>
      <w:tr>
        <w:trPr>
          <w:trHeight w:val="199"/>
        </w:trPr>
        <w:tc>
          <w:tcPr>
            <w:tcW w:w="580" w:type="dxa"/>
            <w:vAlign w:val="bottom"/>
          </w:tcPr>
          <w:p>
            <w:pPr>
              <w:spacing w:after="0"/>
              <w:rPr>
                <w:sz w:val="20"/>
                <w:szCs w:val="20"/>
                <w:color w:val="auto"/>
              </w:rPr>
            </w:pPr>
            <w:r>
              <w:rPr>
                <w:rFonts w:ascii="Arial" w:cs="Arial" w:eastAsia="Arial" w:hAnsi="Arial"/>
                <w:sz w:val="17"/>
                <w:szCs w:val="17"/>
                <w:color w:val="auto"/>
              </w:rPr>
              <w:t>1.01(b)</w:t>
            </w:r>
          </w:p>
        </w:tc>
        <w:tc>
          <w:tcPr>
            <w:tcW w:w="7880" w:type="dxa"/>
            <w:vAlign w:val="bottom"/>
          </w:tcPr>
          <w:p>
            <w:pPr>
              <w:ind w:left="440"/>
              <w:spacing w:after="0"/>
              <w:rPr>
                <w:sz w:val="20"/>
                <w:szCs w:val="20"/>
                <w:color w:val="auto"/>
              </w:rPr>
            </w:pPr>
            <w:r>
              <w:rPr>
                <w:rFonts w:ascii="Arial" w:cs="Arial" w:eastAsia="Arial" w:hAnsi="Arial"/>
                <w:sz w:val="17"/>
                <w:szCs w:val="17"/>
                <w:color w:val="auto"/>
              </w:rPr>
              <w:t>Existing Letters of Credit</w:t>
            </w:r>
          </w:p>
        </w:tc>
        <w:tc>
          <w:tcPr>
            <w:tcW w:w="2980" w:type="dxa"/>
            <w:vAlign w:val="bottom"/>
          </w:tcPr>
          <w:p>
            <w:pPr>
              <w:spacing w:after="0"/>
              <w:rPr>
                <w:sz w:val="17"/>
                <w:szCs w:val="17"/>
                <w:color w:val="auto"/>
              </w:rPr>
            </w:pPr>
          </w:p>
        </w:tc>
      </w:tr>
      <w:tr>
        <w:trPr>
          <w:trHeight w:val="199"/>
        </w:trPr>
        <w:tc>
          <w:tcPr>
            <w:tcW w:w="580" w:type="dxa"/>
            <w:vAlign w:val="bottom"/>
          </w:tcPr>
          <w:p>
            <w:pPr>
              <w:spacing w:after="0"/>
              <w:rPr>
                <w:sz w:val="20"/>
                <w:szCs w:val="20"/>
                <w:color w:val="auto"/>
              </w:rPr>
            </w:pPr>
            <w:r>
              <w:rPr>
                <w:rFonts w:ascii="Arial" w:cs="Arial" w:eastAsia="Arial" w:hAnsi="Arial"/>
                <w:sz w:val="17"/>
                <w:szCs w:val="17"/>
                <w:color w:val="auto"/>
              </w:rPr>
              <w:t>2.01</w:t>
            </w:r>
          </w:p>
        </w:tc>
        <w:tc>
          <w:tcPr>
            <w:tcW w:w="7880" w:type="dxa"/>
            <w:vAlign w:val="bottom"/>
          </w:tcPr>
          <w:p>
            <w:pPr>
              <w:ind w:left="440"/>
              <w:spacing w:after="0"/>
              <w:rPr>
                <w:sz w:val="20"/>
                <w:szCs w:val="20"/>
                <w:color w:val="auto"/>
              </w:rPr>
            </w:pPr>
            <w:r>
              <w:rPr>
                <w:rFonts w:ascii="Arial" w:cs="Arial" w:eastAsia="Arial" w:hAnsi="Arial"/>
                <w:sz w:val="17"/>
                <w:szCs w:val="17"/>
                <w:color w:val="auto"/>
              </w:rPr>
              <w:t>Commitments and Applicable Percentages</w:t>
            </w:r>
          </w:p>
        </w:tc>
        <w:tc>
          <w:tcPr>
            <w:tcW w:w="2980" w:type="dxa"/>
            <w:vAlign w:val="bottom"/>
          </w:tcPr>
          <w:p>
            <w:pPr>
              <w:spacing w:after="0"/>
              <w:rPr>
                <w:sz w:val="17"/>
                <w:szCs w:val="17"/>
                <w:color w:val="auto"/>
              </w:rPr>
            </w:pPr>
          </w:p>
        </w:tc>
      </w:tr>
      <w:tr>
        <w:trPr>
          <w:trHeight w:val="199"/>
        </w:trPr>
        <w:tc>
          <w:tcPr>
            <w:tcW w:w="580" w:type="dxa"/>
            <w:vAlign w:val="bottom"/>
          </w:tcPr>
          <w:p>
            <w:pPr>
              <w:spacing w:after="0"/>
              <w:rPr>
                <w:sz w:val="20"/>
                <w:szCs w:val="20"/>
                <w:color w:val="auto"/>
              </w:rPr>
            </w:pPr>
            <w:r>
              <w:rPr>
                <w:rFonts w:ascii="Arial" w:cs="Arial" w:eastAsia="Arial" w:hAnsi="Arial"/>
                <w:sz w:val="17"/>
                <w:szCs w:val="17"/>
                <w:color w:val="auto"/>
              </w:rPr>
              <w:t>5.13</w:t>
            </w:r>
          </w:p>
        </w:tc>
        <w:tc>
          <w:tcPr>
            <w:tcW w:w="7880" w:type="dxa"/>
            <w:vAlign w:val="bottom"/>
          </w:tcPr>
          <w:p>
            <w:pPr>
              <w:ind w:left="440"/>
              <w:spacing w:after="0"/>
              <w:rPr>
                <w:sz w:val="20"/>
                <w:szCs w:val="20"/>
                <w:color w:val="auto"/>
              </w:rPr>
            </w:pPr>
            <w:r>
              <w:rPr>
                <w:rFonts w:ascii="Arial" w:cs="Arial" w:eastAsia="Arial" w:hAnsi="Arial"/>
                <w:sz w:val="17"/>
                <w:szCs w:val="17"/>
                <w:color w:val="auto"/>
              </w:rPr>
              <w:t>Subsidiaries; Other Equity Investments</w:t>
            </w:r>
          </w:p>
        </w:tc>
        <w:tc>
          <w:tcPr>
            <w:tcW w:w="2980" w:type="dxa"/>
            <w:vAlign w:val="bottom"/>
          </w:tcPr>
          <w:p>
            <w:pPr>
              <w:spacing w:after="0"/>
              <w:rPr>
                <w:sz w:val="17"/>
                <w:szCs w:val="17"/>
                <w:color w:val="auto"/>
              </w:rPr>
            </w:pPr>
          </w:p>
        </w:tc>
      </w:tr>
      <w:tr>
        <w:trPr>
          <w:trHeight w:val="199"/>
        </w:trPr>
        <w:tc>
          <w:tcPr>
            <w:tcW w:w="580" w:type="dxa"/>
            <w:vAlign w:val="bottom"/>
          </w:tcPr>
          <w:p>
            <w:pPr>
              <w:spacing w:after="0"/>
              <w:rPr>
                <w:sz w:val="20"/>
                <w:szCs w:val="20"/>
                <w:color w:val="auto"/>
              </w:rPr>
            </w:pPr>
            <w:r>
              <w:rPr>
                <w:rFonts w:ascii="Arial" w:cs="Arial" w:eastAsia="Arial" w:hAnsi="Arial"/>
                <w:sz w:val="17"/>
                <w:szCs w:val="17"/>
                <w:color w:val="auto"/>
              </w:rPr>
              <w:t>7.01</w:t>
            </w:r>
          </w:p>
        </w:tc>
        <w:tc>
          <w:tcPr>
            <w:tcW w:w="7880" w:type="dxa"/>
            <w:vAlign w:val="bottom"/>
          </w:tcPr>
          <w:p>
            <w:pPr>
              <w:ind w:left="440"/>
              <w:spacing w:after="0"/>
              <w:rPr>
                <w:sz w:val="20"/>
                <w:szCs w:val="20"/>
                <w:color w:val="auto"/>
              </w:rPr>
            </w:pPr>
            <w:r>
              <w:rPr>
                <w:rFonts w:ascii="Arial" w:cs="Arial" w:eastAsia="Arial" w:hAnsi="Arial"/>
                <w:sz w:val="17"/>
                <w:szCs w:val="17"/>
                <w:color w:val="auto"/>
              </w:rPr>
              <w:t>Existing Liens</w:t>
            </w:r>
          </w:p>
        </w:tc>
        <w:tc>
          <w:tcPr>
            <w:tcW w:w="2980" w:type="dxa"/>
            <w:vAlign w:val="bottom"/>
          </w:tcPr>
          <w:p>
            <w:pPr>
              <w:spacing w:after="0"/>
              <w:rPr>
                <w:sz w:val="17"/>
                <w:szCs w:val="17"/>
                <w:color w:val="auto"/>
              </w:rPr>
            </w:pPr>
          </w:p>
        </w:tc>
      </w:tr>
      <w:tr>
        <w:trPr>
          <w:trHeight w:val="199"/>
        </w:trPr>
        <w:tc>
          <w:tcPr>
            <w:tcW w:w="580" w:type="dxa"/>
            <w:vAlign w:val="bottom"/>
          </w:tcPr>
          <w:p>
            <w:pPr>
              <w:spacing w:after="0"/>
              <w:rPr>
                <w:sz w:val="20"/>
                <w:szCs w:val="20"/>
                <w:color w:val="auto"/>
              </w:rPr>
            </w:pPr>
            <w:r>
              <w:rPr>
                <w:rFonts w:ascii="Arial" w:cs="Arial" w:eastAsia="Arial" w:hAnsi="Arial"/>
                <w:sz w:val="17"/>
                <w:szCs w:val="17"/>
                <w:color w:val="auto"/>
              </w:rPr>
              <w:t>7.02</w:t>
            </w:r>
          </w:p>
        </w:tc>
        <w:tc>
          <w:tcPr>
            <w:tcW w:w="7880" w:type="dxa"/>
            <w:vAlign w:val="bottom"/>
          </w:tcPr>
          <w:p>
            <w:pPr>
              <w:ind w:left="440"/>
              <w:spacing w:after="0"/>
              <w:rPr>
                <w:sz w:val="20"/>
                <w:szCs w:val="20"/>
                <w:color w:val="auto"/>
              </w:rPr>
            </w:pPr>
            <w:r>
              <w:rPr>
                <w:rFonts w:ascii="Arial" w:cs="Arial" w:eastAsia="Arial" w:hAnsi="Arial"/>
                <w:sz w:val="17"/>
                <w:szCs w:val="17"/>
                <w:color w:val="auto"/>
              </w:rPr>
              <w:t>Existing Investments</w:t>
            </w:r>
          </w:p>
        </w:tc>
        <w:tc>
          <w:tcPr>
            <w:tcW w:w="2980" w:type="dxa"/>
            <w:vAlign w:val="bottom"/>
          </w:tcPr>
          <w:p>
            <w:pPr>
              <w:spacing w:after="0"/>
              <w:rPr>
                <w:sz w:val="17"/>
                <w:szCs w:val="17"/>
                <w:color w:val="auto"/>
              </w:rPr>
            </w:pPr>
          </w:p>
        </w:tc>
      </w:tr>
      <w:tr>
        <w:trPr>
          <w:trHeight w:val="199"/>
        </w:trPr>
        <w:tc>
          <w:tcPr>
            <w:tcW w:w="580" w:type="dxa"/>
            <w:vAlign w:val="bottom"/>
          </w:tcPr>
          <w:p>
            <w:pPr>
              <w:spacing w:after="0"/>
              <w:rPr>
                <w:sz w:val="20"/>
                <w:szCs w:val="20"/>
                <w:color w:val="auto"/>
              </w:rPr>
            </w:pPr>
            <w:r>
              <w:rPr>
                <w:rFonts w:ascii="Arial" w:cs="Arial" w:eastAsia="Arial" w:hAnsi="Arial"/>
                <w:sz w:val="17"/>
                <w:szCs w:val="17"/>
                <w:color w:val="auto"/>
              </w:rPr>
              <w:t>7.03</w:t>
            </w:r>
          </w:p>
        </w:tc>
        <w:tc>
          <w:tcPr>
            <w:tcW w:w="7880" w:type="dxa"/>
            <w:vAlign w:val="bottom"/>
          </w:tcPr>
          <w:p>
            <w:pPr>
              <w:ind w:left="440"/>
              <w:spacing w:after="0"/>
              <w:rPr>
                <w:sz w:val="20"/>
                <w:szCs w:val="20"/>
                <w:color w:val="auto"/>
              </w:rPr>
            </w:pPr>
            <w:r>
              <w:rPr>
                <w:rFonts w:ascii="Arial" w:cs="Arial" w:eastAsia="Arial" w:hAnsi="Arial"/>
                <w:sz w:val="17"/>
                <w:szCs w:val="17"/>
                <w:color w:val="auto"/>
              </w:rPr>
              <w:t>Existing Indebtedness</w:t>
            </w:r>
          </w:p>
        </w:tc>
        <w:tc>
          <w:tcPr>
            <w:tcW w:w="2980" w:type="dxa"/>
            <w:vAlign w:val="bottom"/>
          </w:tcPr>
          <w:p>
            <w:pPr>
              <w:spacing w:after="0"/>
              <w:rPr>
                <w:sz w:val="17"/>
                <w:szCs w:val="17"/>
                <w:color w:val="auto"/>
              </w:rPr>
            </w:pPr>
          </w:p>
        </w:tc>
      </w:tr>
      <w:tr>
        <w:trPr>
          <w:trHeight w:val="217"/>
        </w:trPr>
        <w:tc>
          <w:tcPr>
            <w:tcW w:w="580" w:type="dxa"/>
            <w:vAlign w:val="bottom"/>
          </w:tcPr>
          <w:p>
            <w:pPr>
              <w:spacing w:after="0"/>
              <w:rPr>
                <w:sz w:val="20"/>
                <w:szCs w:val="20"/>
                <w:color w:val="auto"/>
              </w:rPr>
            </w:pPr>
            <w:r>
              <w:rPr>
                <w:rFonts w:ascii="Arial" w:cs="Arial" w:eastAsia="Arial" w:hAnsi="Arial"/>
                <w:sz w:val="17"/>
                <w:szCs w:val="17"/>
                <w:color w:val="auto"/>
              </w:rPr>
              <w:t>11.02</w:t>
            </w:r>
          </w:p>
        </w:tc>
        <w:tc>
          <w:tcPr>
            <w:tcW w:w="7880" w:type="dxa"/>
            <w:vAlign w:val="bottom"/>
          </w:tcPr>
          <w:p>
            <w:pPr>
              <w:ind w:left="440"/>
              <w:spacing w:after="0"/>
              <w:rPr>
                <w:sz w:val="20"/>
                <w:szCs w:val="20"/>
                <w:color w:val="auto"/>
              </w:rPr>
            </w:pPr>
            <w:r>
              <w:rPr>
                <w:rFonts w:ascii="Arial" w:cs="Arial" w:eastAsia="Arial" w:hAnsi="Arial"/>
                <w:sz w:val="17"/>
                <w:szCs w:val="17"/>
                <w:color w:val="auto"/>
              </w:rPr>
              <w:t>Administrative Agent’s Office; Certain Addresses for Notices</w:t>
            </w:r>
          </w:p>
        </w:tc>
        <w:tc>
          <w:tcPr>
            <w:tcW w:w="2980" w:type="dxa"/>
            <w:vAlign w:val="bottom"/>
          </w:tcPr>
          <w:p>
            <w:pPr>
              <w:spacing w:after="0"/>
              <w:rPr>
                <w:sz w:val="18"/>
                <w:szCs w:val="18"/>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Form of</w:t>
      </w:r>
    </w:p>
    <w:p>
      <w:pPr>
        <w:spacing w:after="0" w:line="191" w:lineRule="exact"/>
        <w:rPr>
          <w:sz w:val="20"/>
          <w:szCs w:val="20"/>
          <w:color w:val="auto"/>
        </w:rPr>
      </w:pPr>
    </w:p>
    <w:p>
      <w:pPr>
        <w:ind w:left="1200" w:hanging="520"/>
        <w:spacing w:after="0"/>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Committed Loan Notice</w:t>
      </w:r>
    </w:p>
    <w:p>
      <w:pPr>
        <w:spacing w:after="0" w:line="17" w:lineRule="exact"/>
        <w:rPr>
          <w:rFonts w:ascii="Arial" w:cs="Arial" w:eastAsia="Arial" w:hAnsi="Arial"/>
          <w:sz w:val="17"/>
          <w:szCs w:val="17"/>
          <w:color w:val="auto"/>
        </w:rPr>
      </w:pPr>
    </w:p>
    <w:p>
      <w:pPr>
        <w:ind w:left="680"/>
        <w:spacing w:after="0"/>
        <w:rPr>
          <w:rFonts w:ascii="Arial" w:cs="Arial" w:eastAsia="Arial" w:hAnsi="Arial"/>
          <w:sz w:val="17"/>
          <w:szCs w:val="17"/>
          <w:color w:val="auto"/>
        </w:rPr>
      </w:pPr>
      <w:r>
        <w:rPr>
          <w:rFonts w:ascii="Arial" w:cs="Arial" w:eastAsia="Arial" w:hAnsi="Arial"/>
          <w:sz w:val="17"/>
          <w:szCs w:val="17"/>
          <w:color w:val="auto"/>
        </w:rPr>
        <w:t>B</w:t>
      </w:r>
      <w:r>
        <w:rPr>
          <w:rFonts w:ascii="Arial" w:cs="Arial" w:eastAsia="Arial" w:hAnsi="Arial"/>
          <w:sz w:val="16"/>
          <w:szCs w:val="16"/>
          <w:color w:val="auto"/>
        </w:rPr>
        <w:t>Swing Line Loan Notice</w:t>
      </w:r>
    </w:p>
    <w:p>
      <w:pPr>
        <w:spacing w:after="0" w:line="4" w:lineRule="exact"/>
        <w:rPr>
          <w:sz w:val="20"/>
          <w:szCs w:val="20"/>
          <w:color w:val="auto"/>
        </w:rPr>
      </w:pPr>
    </w:p>
    <w:p>
      <w:pPr>
        <w:ind w:left="1200" w:hanging="520"/>
        <w:spacing w:after="0"/>
        <w:tabs>
          <w:tab w:leader="none" w:pos="1200" w:val="left"/>
        </w:tabs>
        <w:numPr>
          <w:ilvl w:val="0"/>
          <w:numId w:val="4"/>
        </w:numPr>
        <w:rPr>
          <w:rFonts w:ascii="Arial" w:cs="Arial" w:eastAsia="Arial" w:hAnsi="Arial"/>
          <w:sz w:val="17"/>
          <w:szCs w:val="17"/>
          <w:color w:val="auto"/>
        </w:rPr>
      </w:pPr>
      <w:r>
        <w:rPr>
          <w:rFonts w:ascii="Arial" w:cs="Arial" w:eastAsia="Arial" w:hAnsi="Arial"/>
          <w:sz w:val="17"/>
          <w:szCs w:val="17"/>
          <w:color w:val="auto"/>
        </w:rPr>
        <w:t>Note</w:t>
      </w:r>
    </w:p>
    <w:p>
      <w:pPr>
        <w:spacing w:after="0" w:line="4" w:lineRule="exact"/>
        <w:rPr>
          <w:sz w:val="20"/>
          <w:szCs w:val="20"/>
          <w:color w:val="auto"/>
        </w:rPr>
      </w:pPr>
    </w:p>
    <w:p>
      <w:pPr>
        <w:ind w:left="1200" w:hanging="520"/>
        <w:spacing w:after="0"/>
        <w:tabs>
          <w:tab w:leader="none" w:pos="12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Compliance Certificate</w:t>
      </w:r>
    </w:p>
    <w:p>
      <w:pPr>
        <w:spacing w:after="0" w:line="388" w:lineRule="exact"/>
        <w:rPr>
          <w:sz w:val="20"/>
          <w:szCs w:val="20"/>
          <w:color w:val="auto"/>
        </w:rPr>
      </w:pPr>
    </w:p>
    <w:p>
      <w:pPr>
        <w:ind w:left="1200" w:hanging="520"/>
        <w:spacing w:after="0"/>
        <w:tabs>
          <w:tab w:leader="none" w:pos="12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Closing Date Guaranty</w:t>
      </w:r>
    </w:p>
    <w:p>
      <w:pPr>
        <w:spacing w:after="0" w:line="18" w:lineRule="exact"/>
        <w:rPr>
          <w:sz w:val="20"/>
          <w:szCs w:val="20"/>
          <w:color w:val="auto"/>
        </w:rPr>
      </w:pPr>
    </w:p>
    <w:p>
      <w:pPr>
        <w:ind w:left="680" w:right="7900"/>
        <w:spacing w:after="0" w:line="259" w:lineRule="auto"/>
        <w:tabs>
          <w:tab w:leader="none" w:pos="1208" w:val="left"/>
        </w:tabs>
        <w:numPr>
          <w:ilvl w:val="0"/>
          <w:numId w:val="7"/>
        </w:numPr>
        <w:rPr>
          <w:rFonts w:ascii="Arial" w:cs="Arial" w:eastAsia="Arial" w:hAnsi="Arial"/>
          <w:sz w:val="16"/>
          <w:szCs w:val="16"/>
          <w:color w:val="auto"/>
        </w:rPr>
      </w:pPr>
      <w:r>
        <w:rPr>
          <w:rFonts w:ascii="Arial" w:cs="Arial" w:eastAsia="Arial" w:hAnsi="Arial"/>
          <w:sz w:val="16"/>
          <w:szCs w:val="16"/>
          <w:color w:val="auto"/>
        </w:rPr>
        <w:t>Secured Party Designation Notice H-1 Lender Joinder Agreement</w:t>
      </w:r>
    </w:p>
    <w:p>
      <w:pPr>
        <w:spacing w:after="0" w:line="1"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7"/>
          <w:szCs w:val="17"/>
          <w:color w:val="auto"/>
        </w:rPr>
        <w:t>H-2   Lender Commitment Agreement</w:t>
      </w:r>
    </w:p>
    <w:p>
      <w:pPr>
        <w:spacing w:after="0" w:line="3"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7"/>
          <w:szCs w:val="17"/>
          <w:color w:val="auto"/>
        </w:rPr>
        <w:t>I</w:t>
      </w:r>
      <w:r>
        <w:rPr>
          <w:rFonts w:ascii="Arial" w:cs="Arial" w:eastAsia="Arial" w:hAnsi="Arial"/>
          <w:sz w:val="15"/>
          <w:szCs w:val="15"/>
          <w:color w:val="auto"/>
        </w:rPr>
        <w:t>Add-On Company Term Lender Joinder Agreement</w:t>
      </w:r>
    </w:p>
    <w:p>
      <w:pPr>
        <w:spacing w:after="0" w:line="3"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7"/>
          <w:szCs w:val="17"/>
          <w:color w:val="auto"/>
        </w:rPr>
        <w:t>J</w:t>
      </w:r>
      <w:r>
        <w:rPr>
          <w:rFonts w:ascii="Arial" w:cs="Arial" w:eastAsia="Arial" w:hAnsi="Arial"/>
          <w:sz w:val="15"/>
          <w:szCs w:val="15"/>
          <w:color w:val="auto"/>
        </w:rPr>
        <w:t>German Share Pledge Agreement</w:t>
      </w:r>
    </w:p>
    <w:p>
      <w:pPr>
        <w:spacing w:after="0" w:line="3"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7"/>
          <w:szCs w:val="17"/>
          <w:color w:val="auto"/>
        </w:rPr>
        <w:t>K</w:t>
      </w:r>
      <w:r>
        <w:rPr>
          <w:rFonts w:ascii="Arial" w:cs="Arial" w:eastAsia="Arial" w:hAnsi="Arial"/>
          <w:sz w:val="15"/>
          <w:szCs w:val="15"/>
          <w:color w:val="auto"/>
        </w:rPr>
        <w:t>German Parallel Debt Agreement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iv</w:t>
      </w:r>
    </w:p>
    <w:p>
      <w:pPr>
        <w:sectPr>
          <w:pgSz w:w="11900" w:h="16838" w:orient="portrait"/>
          <w:cols w:equalWidth="0" w:num="1">
            <w:col w:w="11440"/>
          </w:cols>
          <w:pgMar w:left="240" w:top="312" w:right="219" w:bottom="1440" w:gutter="0" w:footer="0" w:header="0"/>
        </w:sectPr>
      </w:pPr>
    </w:p>
    <w:bookmarkStart w:id="10" w:name="page11"/>
    <w:bookmarkEnd w:id="10"/>
    <w:p>
      <w:pPr>
        <w:jc w:val="center"/>
        <w:ind w:right="-5"/>
        <w:spacing w:after="0"/>
        <w:rPr>
          <w:sz w:val="20"/>
          <w:szCs w:val="20"/>
          <w:color w:val="auto"/>
        </w:rPr>
      </w:pPr>
      <w:r>
        <w:rPr>
          <w:rFonts w:ascii="Arial" w:cs="Arial" w:eastAsia="Arial" w:hAnsi="Arial"/>
          <w:sz w:val="17"/>
          <w:szCs w:val="17"/>
          <w:b w:val="1"/>
          <w:bCs w:val="1"/>
          <w:color w:val="auto"/>
        </w:rPr>
        <w:t>CREDIT AGREEMENT</w:t>
      </w:r>
    </w:p>
    <w:p>
      <w:pPr>
        <w:spacing w:after="0" w:line="197" w:lineRule="exact"/>
        <w:rPr>
          <w:sz w:val="20"/>
          <w:szCs w:val="20"/>
          <w:color w:val="auto"/>
        </w:rPr>
      </w:pPr>
    </w:p>
    <w:p>
      <w:pPr>
        <w:jc w:val="both"/>
        <w:ind w:left="6" w:firstLine="763"/>
        <w:spacing w:after="0" w:line="268" w:lineRule="auto"/>
        <w:rPr>
          <w:sz w:val="20"/>
          <w:szCs w:val="20"/>
          <w:color w:val="auto"/>
        </w:rPr>
      </w:pPr>
      <w:r>
        <w:rPr>
          <w:rFonts w:ascii="Arial" w:cs="Arial" w:eastAsia="Arial" w:hAnsi="Arial"/>
          <w:sz w:val="16"/>
          <w:szCs w:val="16"/>
          <w:color w:val="auto"/>
        </w:rPr>
        <w:t>This CREDIT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as of August 7, 2014, among GENTHERM INCORPORATED, a Michigan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GENTHERM GMBH, a German limited liability company (“</w:t>
      </w:r>
      <w:r>
        <w:rPr>
          <w:rFonts w:ascii="Arial" w:cs="Arial" w:eastAsia="Arial" w:hAnsi="Arial"/>
          <w:sz w:val="16"/>
          <w:szCs w:val="16"/>
          <w:u w:val="single" w:color="auto"/>
          <w:color w:val="auto"/>
        </w:rPr>
        <w:t>Gentherm Germany</w:t>
      </w:r>
      <w:r>
        <w:rPr>
          <w:rFonts w:ascii="Arial" w:cs="Arial" w:eastAsia="Arial" w:hAnsi="Arial"/>
          <w:sz w:val="16"/>
          <w:szCs w:val="16"/>
          <w:color w:val="auto"/>
        </w:rPr>
        <w:t>”), GENTHERM (TEXAS), INC., a Texas corporation (“</w:t>
      </w:r>
      <w:r>
        <w:rPr>
          <w:rFonts w:ascii="Arial" w:cs="Arial" w:eastAsia="Arial" w:hAnsi="Arial"/>
          <w:sz w:val="16"/>
          <w:szCs w:val="16"/>
          <w:u w:val="single" w:color="auto"/>
          <w:color w:val="auto"/>
        </w:rPr>
        <w:t>Gentherm Texas</w:t>
      </w:r>
      <w:r>
        <w:rPr>
          <w:rFonts w:ascii="Arial" w:cs="Arial" w:eastAsia="Arial" w:hAnsi="Arial"/>
          <w:sz w:val="16"/>
          <w:szCs w:val="16"/>
          <w:color w:val="auto"/>
        </w:rPr>
        <w:t>” and together with the Company, the “</w:t>
      </w:r>
      <w:r>
        <w:rPr>
          <w:rFonts w:ascii="Arial" w:cs="Arial" w:eastAsia="Arial" w:hAnsi="Arial"/>
          <w:sz w:val="16"/>
          <w:szCs w:val="16"/>
          <w:u w:val="single" w:color="auto"/>
          <w:color w:val="auto"/>
        </w:rPr>
        <w:t>U.S. Borrowers</w:t>
      </w:r>
      <w:r>
        <w:rPr>
          <w:rFonts w:ascii="Arial" w:cs="Arial" w:eastAsia="Arial" w:hAnsi="Arial"/>
          <w:sz w:val="16"/>
          <w:szCs w:val="16"/>
          <w:color w:val="auto"/>
        </w:rPr>
        <w:t>”), GENTHERM CANADA LTD., an Ontario corporation (“</w:t>
      </w:r>
      <w:r>
        <w:rPr>
          <w:rFonts w:ascii="Arial" w:cs="Arial" w:eastAsia="Arial" w:hAnsi="Arial"/>
          <w:sz w:val="16"/>
          <w:szCs w:val="16"/>
          <w:u w:val="single" w:color="auto"/>
          <w:color w:val="auto"/>
        </w:rPr>
        <w:t>Gentherm Canada</w:t>
      </w:r>
      <w:r>
        <w:rPr>
          <w:rFonts w:ascii="Arial" w:cs="Arial" w:eastAsia="Arial" w:hAnsi="Arial"/>
          <w:sz w:val="16"/>
          <w:szCs w:val="16"/>
          <w:color w:val="auto"/>
        </w:rPr>
        <w:t>”), GLOBAL THERMOELECTRIC INC., an Alberta corporation (“</w:t>
      </w:r>
      <w:r>
        <w:rPr>
          <w:rFonts w:ascii="Arial" w:cs="Arial" w:eastAsia="Arial" w:hAnsi="Arial"/>
          <w:sz w:val="16"/>
          <w:szCs w:val="16"/>
          <w:u w:val="single" w:color="auto"/>
          <w:color w:val="auto"/>
        </w:rPr>
        <w:t>Global</w:t>
      </w:r>
      <w:r>
        <w:rPr>
          <w:rFonts w:ascii="Arial" w:cs="Arial" w:eastAsia="Arial" w:hAnsi="Arial"/>
          <w:sz w:val="16"/>
          <w:szCs w:val="16"/>
          <w:color w:val="auto"/>
        </w:rPr>
        <w:t>” and, together with Gentherm Canada, the “</w:t>
      </w:r>
      <w:r>
        <w:rPr>
          <w:rFonts w:ascii="Arial" w:cs="Arial" w:eastAsia="Arial" w:hAnsi="Arial"/>
          <w:sz w:val="16"/>
          <w:szCs w:val="16"/>
          <w:u w:val="single" w:color="auto"/>
          <w:color w:val="auto"/>
        </w:rPr>
        <w:t>Canadian Borrowers</w:t>
      </w:r>
      <w:r>
        <w:rPr>
          <w:rFonts w:ascii="Arial" w:cs="Arial" w:eastAsia="Arial" w:hAnsi="Arial"/>
          <w:sz w:val="16"/>
          <w:szCs w:val="16"/>
          <w:color w:val="auto"/>
        </w:rPr>
        <w:t>” and, together with Gentherm Canada, the U.S. Borrowers and Gentherm Germany, the “</w:t>
      </w:r>
      <w:r>
        <w:rPr>
          <w:rFonts w:ascii="Arial" w:cs="Arial" w:eastAsia="Arial" w:hAnsi="Arial"/>
          <w:sz w:val="16"/>
          <w:szCs w:val="16"/>
          <w:u w:val="single" w:color="auto"/>
          <w:color w:val="auto"/>
        </w:rPr>
        <w:t>Borrowers</w:t>
      </w:r>
      <w:r>
        <w:rPr>
          <w:rFonts w:ascii="Arial" w:cs="Arial" w:eastAsia="Arial" w:hAnsi="Arial"/>
          <w:sz w:val="16"/>
          <w:szCs w:val="16"/>
          <w:color w:val="auto"/>
        </w:rPr>
        <w:t>” and each, a “</w:t>
      </w:r>
      <w:r>
        <w:rPr>
          <w:rFonts w:ascii="Arial" w:cs="Arial" w:eastAsia="Arial" w:hAnsi="Arial"/>
          <w:sz w:val="16"/>
          <w:szCs w:val="16"/>
          <w:u w:val="single" w:color="auto"/>
          <w:color w:val="auto"/>
        </w:rPr>
        <w:t>Borrower</w:t>
      </w:r>
      <w:r>
        <w:rPr>
          <w:rFonts w:ascii="Arial" w:cs="Arial" w:eastAsia="Arial" w:hAnsi="Arial"/>
          <w:sz w:val="16"/>
          <w:szCs w:val="16"/>
          <w:color w:val="auto"/>
        </w:rPr>
        <w:t>”), each lender from time to time party hereto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and individually, a “</w:t>
      </w:r>
      <w:r>
        <w:rPr>
          <w:rFonts w:ascii="Arial" w:cs="Arial" w:eastAsia="Arial" w:hAnsi="Arial"/>
          <w:sz w:val="16"/>
          <w:szCs w:val="16"/>
          <w:u w:val="single" w:color="auto"/>
          <w:color w:val="auto"/>
        </w:rPr>
        <w:t>Lender</w:t>
      </w:r>
      <w:r>
        <w:rPr>
          <w:rFonts w:ascii="Arial" w:cs="Arial" w:eastAsia="Arial" w:hAnsi="Arial"/>
          <w:sz w:val="16"/>
          <w:szCs w:val="16"/>
          <w:color w:val="auto"/>
        </w:rPr>
        <w:t>”), and BANK OF AMERICA, N.A.</w:t>
      </w:r>
      <w:r>
        <w:rPr>
          <w:rFonts w:ascii="Arial" w:cs="Arial" w:eastAsia="Arial" w:hAnsi="Arial"/>
          <w:sz w:val="16"/>
          <w:szCs w:val="16"/>
          <w:b w:val="1"/>
          <w:bCs w:val="1"/>
          <w:color w:val="auto"/>
        </w:rPr>
        <w:t>,</w:t>
      </w:r>
      <w:r>
        <w:rPr>
          <w:rFonts w:ascii="Arial" w:cs="Arial" w:eastAsia="Arial" w:hAnsi="Arial"/>
          <w:sz w:val="16"/>
          <w:szCs w:val="16"/>
          <w:color w:val="auto"/>
        </w:rPr>
        <w:t xml:space="preserve"> as Administrative Agent, Swing Line Lender and L/C Issuer.</w:t>
      </w:r>
    </w:p>
    <w:p>
      <w:pPr>
        <w:spacing w:after="0" w:line="150" w:lineRule="exact"/>
        <w:rPr>
          <w:sz w:val="20"/>
          <w:szCs w:val="20"/>
          <w:color w:val="auto"/>
        </w:rPr>
      </w:pPr>
    </w:p>
    <w:p>
      <w:pPr>
        <w:jc w:val="both"/>
        <w:ind w:left="6" w:right="20" w:firstLine="763"/>
        <w:spacing w:after="0" w:line="271" w:lineRule="auto"/>
        <w:rPr>
          <w:sz w:val="20"/>
          <w:szCs w:val="20"/>
          <w:color w:val="auto"/>
        </w:rPr>
      </w:pPr>
      <w:r>
        <w:rPr>
          <w:rFonts w:ascii="Arial" w:cs="Arial" w:eastAsia="Arial" w:hAnsi="Arial"/>
          <w:sz w:val="17"/>
          <w:szCs w:val="17"/>
          <w:color w:val="auto"/>
        </w:rPr>
        <w:t>The Borrowers have requested that the Lenders provide credit facilities for the purposes set forth herein, and the Lenders are willing to do so on the terms and conditions set forth herein.</w:t>
      </w:r>
    </w:p>
    <w:p>
      <w:pPr>
        <w:spacing w:after="0" w:line="145" w:lineRule="exact"/>
        <w:rPr>
          <w:sz w:val="20"/>
          <w:szCs w:val="20"/>
          <w:color w:val="auto"/>
        </w:rPr>
      </w:pPr>
    </w:p>
    <w:p>
      <w:pPr>
        <w:ind w:left="766"/>
        <w:spacing w:after="0"/>
        <w:rPr>
          <w:sz w:val="20"/>
          <w:szCs w:val="20"/>
          <w:color w:val="auto"/>
        </w:rPr>
      </w:pPr>
      <w:r>
        <w:rPr>
          <w:rFonts w:ascii="Arial" w:cs="Arial" w:eastAsia="Arial" w:hAnsi="Arial"/>
          <w:sz w:val="17"/>
          <w:szCs w:val="17"/>
          <w:color w:val="auto"/>
        </w:rPr>
        <w:t>In consideration of the mutual covenants and agreements herein contained, the parties hereto covenant and agree as follows:</w:t>
      </w:r>
    </w:p>
    <w:p>
      <w:pPr>
        <w:spacing w:after="0" w:line="185"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ARTICLE I.</w:t>
      </w:r>
    </w:p>
    <w:p>
      <w:pPr>
        <w:spacing w:after="0" w:line="24"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DEFINITIONS AND ACCOUNTING TERMS</w:t>
      </w:r>
    </w:p>
    <w:p>
      <w:pPr>
        <w:spacing w:after="0" w:line="171" w:lineRule="exact"/>
        <w:rPr>
          <w:sz w:val="20"/>
          <w:szCs w:val="20"/>
          <w:color w:val="auto"/>
        </w:rPr>
      </w:pPr>
    </w:p>
    <w:p>
      <w:pPr>
        <w:ind w:left="766"/>
        <w:spacing w:after="0"/>
        <w:rPr>
          <w:sz w:val="20"/>
          <w:szCs w:val="20"/>
          <w:color w:val="auto"/>
        </w:rPr>
      </w:pPr>
      <w:r>
        <w:rPr>
          <w:rFonts w:ascii="Arial" w:cs="Arial" w:eastAsia="Arial" w:hAnsi="Arial"/>
          <w:sz w:val="17"/>
          <w:szCs w:val="17"/>
          <w:b w:val="1"/>
          <w:bCs w:val="1"/>
          <w:color w:val="auto"/>
        </w:rPr>
        <w:t>1.01 Defined Terms</w:t>
      </w:r>
      <w:r>
        <w:rPr>
          <w:rFonts w:ascii="Arial" w:cs="Arial" w:eastAsia="Arial" w:hAnsi="Arial"/>
          <w:sz w:val="17"/>
          <w:szCs w:val="17"/>
          <w:color w:val="auto"/>
        </w:rPr>
        <w:t>. As used in this Agreement, the following terms shall have the meanings set forth below:</w:t>
      </w:r>
    </w:p>
    <w:p>
      <w:pPr>
        <w:spacing w:after="0" w:line="197" w:lineRule="exact"/>
        <w:rPr>
          <w:sz w:val="20"/>
          <w:szCs w:val="20"/>
          <w:color w:val="auto"/>
        </w:rPr>
      </w:pPr>
    </w:p>
    <w:p>
      <w:pPr>
        <w:jc w:val="both"/>
        <w:ind w:left="6" w:firstLine="7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Account Control Agreements</w:t>
      </w:r>
      <w:r>
        <w:rPr>
          <w:rFonts w:ascii="Arial" w:cs="Arial" w:eastAsia="Arial" w:hAnsi="Arial"/>
          <w:sz w:val="17"/>
          <w:szCs w:val="17"/>
          <w:color w:val="auto"/>
        </w:rPr>
        <w:t>” means an agreement, among a Loan Party, a depository institution or securities intermediary and the Administrative Agent, which agreement is in form and substance reasonably acceptable to the Administrative Agent and which provides the Administrative Agent with “control” (as such term is used in Article 9 of the UCC) over the deposit account(s) or securities account(s) described therein.</w:t>
      </w:r>
    </w:p>
    <w:p>
      <w:pPr>
        <w:spacing w:after="0" w:line="157" w:lineRule="exact"/>
        <w:rPr>
          <w:sz w:val="20"/>
          <w:szCs w:val="20"/>
          <w:color w:val="auto"/>
        </w:rPr>
      </w:pPr>
    </w:p>
    <w:p>
      <w:pPr>
        <w:jc w:val="both"/>
        <w:ind w:left="6" w:firstLine="763"/>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w:t>
      </w:r>
      <w:r>
        <w:rPr>
          <w:rFonts w:ascii="Arial" w:cs="Arial" w:eastAsia="Arial" w:hAnsi="Arial"/>
          <w:sz w:val="17"/>
          <w:szCs w:val="17"/>
          <w:color w:val="auto"/>
        </w:rPr>
        <w:t>” means, with respect to any Person, the acquisition by such Person, in a single transaction or in a series of related transactions, of (a) all or any substantial portion of the property of another Person, or any division, line of business or other business unit of another Person or (b) at least a majority of the Voting Stock of another Person, in each case whether or not involving a merger, amalgamation or consolidation with such other Person and whether for cash, property, services, assumption of Indebtedness, securities or otherwise.</w:t>
      </w:r>
    </w:p>
    <w:p>
      <w:pPr>
        <w:spacing w:after="0" w:line="160" w:lineRule="exact"/>
        <w:rPr>
          <w:sz w:val="20"/>
          <w:szCs w:val="20"/>
          <w:color w:val="auto"/>
        </w:rPr>
      </w:pPr>
    </w:p>
    <w:p>
      <w:pPr>
        <w:ind w:left="7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11.18</w:t>
      </w:r>
      <w:r>
        <w:rPr>
          <w:rFonts w:ascii="Arial" w:cs="Arial" w:eastAsia="Arial" w:hAnsi="Arial"/>
          <w:sz w:val="17"/>
          <w:szCs w:val="17"/>
          <w:color w:val="auto"/>
        </w:rPr>
        <w:t>.</w:t>
      </w:r>
    </w:p>
    <w:p>
      <w:pPr>
        <w:spacing w:after="0" w:line="191" w:lineRule="exact"/>
        <w:rPr>
          <w:sz w:val="20"/>
          <w:szCs w:val="20"/>
          <w:color w:val="auto"/>
        </w:rPr>
      </w:pPr>
    </w:p>
    <w:p>
      <w:pPr>
        <w:ind w:left="76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Additional Secured Obligations</w:t>
      </w:r>
      <w:r>
        <w:rPr>
          <w:rFonts w:ascii="Arial" w:cs="Arial" w:eastAsia="Arial" w:hAnsi="Arial"/>
          <w:sz w:val="15"/>
          <w:szCs w:val="15"/>
          <w:color w:val="auto"/>
        </w:rPr>
        <w:t>” means (a) all obligations arising under Secured Treasury Management Agreements and Secured Swap Agreements and</w:t>
      </w:r>
    </w:p>
    <w:p>
      <w:pPr>
        <w:spacing w:after="0" w:line="41" w:lineRule="exact"/>
        <w:rPr>
          <w:sz w:val="20"/>
          <w:szCs w:val="20"/>
          <w:color w:val="auto"/>
        </w:rPr>
      </w:pPr>
    </w:p>
    <w:p>
      <w:pPr>
        <w:jc w:val="both"/>
        <w:ind w:left="6" w:right="20" w:hanging="6"/>
        <w:spacing w:after="0" w:line="266" w:lineRule="auto"/>
        <w:tabs>
          <w:tab w:leader="none" w:pos="283"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all reasonable out-of-pocket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Additional Secured Obligations of a Loan Party shall exclude any Excluded Swap Obligations with respect to such 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-36195</wp:posOffset>
            </wp:positionV>
            <wp:extent cx="273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305" cy="7620"/>
                    </a:xfrm>
                    <a:prstGeom prst="rect">
                      <a:avLst/>
                    </a:prstGeom>
                    <a:noFill/>
                  </pic:spPr>
                </pic:pic>
              </a:graphicData>
            </a:graphic>
          </wp:anchor>
        </w:drawing>
      </w:r>
    </w:p>
    <w:p>
      <w:pPr>
        <w:spacing w:after="0" w:line="130" w:lineRule="exact"/>
        <w:rPr>
          <w:sz w:val="20"/>
          <w:szCs w:val="20"/>
          <w:color w:val="auto"/>
        </w:rPr>
      </w:pPr>
    </w:p>
    <w:p>
      <w:pPr>
        <w:ind w:left="6" w:right="20" w:firstLine="763"/>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Add-On Company Term Borrowing</w:t>
      </w:r>
      <w:r>
        <w:rPr>
          <w:rFonts w:ascii="Arial" w:cs="Arial" w:eastAsia="Arial" w:hAnsi="Arial"/>
          <w:sz w:val="16"/>
          <w:szCs w:val="16"/>
          <w:color w:val="auto"/>
        </w:rPr>
        <w:t xml:space="preserve">” means a borrowing consisting of simultaneous Add-On Company Term Loans of the same Type and, in the case of Eurocurrency Rate Loans, having the same Interest Period made by each of the applicable Add-On Company Term Lenders pursuant to </w:t>
      </w:r>
      <w:r>
        <w:rPr>
          <w:rFonts w:ascii="Arial" w:cs="Arial" w:eastAsia="Arial" w:hAnsi="Arial"/>
          <w:sz w:val="16"/>
          <w:szCs w:val="16"/>
          <w:u w:val="single" w:color="auto"/>
          <w:color w:val="auto"/>
        </w:rPr>
        <w:t>Section 2.01(d)</w:t>
      </w:r>
      <w:r>
        <w:rPr>
          <w:rFonts w:ascii="Arial" w:cs="Arial" w:eastAsia="Arial" w:hAnsi="Arial"/>
          <w:sz w:val="16"/>
          <w:szCs w:val="16"/>
          <w:color w:val="auto"/>
        </w:rPr>
        <w:t>.</w:t>
      </w:r>
    </w:p>
    <w:p>
      <w:pPr>
        <w:spacing w:after="0" w:line="122" w:lineRule="exact"/>
        <w:rPr>
          <w:sz w:val="20"/>
          <w:szCs w:val="20"/>
          <w:color w:val="auto"/>
        </w:rPr>
      </w:pPr>
    </w:p>
    <w:p>
      <w:pPr>
        <w:ind w:left="6" w:right="20" w:firstLine="763"/>
        <w:spacing w:after="0" w:line="208" w:lineRule="exact"/>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w:t>
      </w:r>
      <w:r>
        <w:rPr>
          <w:rFonts w:ascii="MS PGothic" w:cs="MS PGothic" w:eastAsia="MS PGothic" w:hAnsi="MS PGothic"/>
          <w:sz w:val="17"/>
          <w:szCs w:val="17"/>
          <w:u w:val="single" w:color="auto"/>
          <w:color w:val="auto"/>
        </w:rPr>
        <w:t>‑</w:t>
      </w:r>
      <w:r>
        <w:rPr>
          <w:rFonts w:ascii="Arial" w:cs="Arial" w:eastAsia="Arial" w:hAnsi="Arial"/>
          <w:sz w:val="17"/>
          <w:szCs w:val="17"/>
          <w:u w:val="single" w:color="auto"/>
          <w:color w:val="auto"/>
        </w:rPr>
        <w:t>On Company Term Commitment</w:t>
      </w:r>
      <w:r>
        <w:rPr>
          <w:rFonts w:ascii="Arial" w:cs="Arial" w:eastAsia="Arial" w:hAnsi="Arial"/>
          <w:sz w:val="17"/>
          <w:szCs w:val="17"/>
          <w:color w:val="auto"/>
        </w:rPr>
        <w:t>” means, as to each Add</w:t>
      </w:r>
      <w:r>
        <w:rPr>
          <w:rFonts w:ascii="MS PGothic" w:cs="MS PGothic" w:eastAsia="MS PGothic" w:hAnsi="MS PGothic"/>
          <w:sz w:val="17"/>
          <w:szCs w:val="17"/>
          <w:color w:val="auto"/>
        </w:rPr>
        <w:t>‑</w:t>
      </w:r>
      <w:r>
        <w:rPr>
          <w:rFonts w:ascii="Arial" w:cs="Arial" w:eastAsia="Arial" w:hAnsi="Arial"/>
          <w:sz w:val="17"/>
          <w:szCs w:val="17"/>
          <w:color w:val="auto"/>
        </w:rPr>
        <w:t>On Company Term Lender, the commitment of such Add</w:t>
      </w:r>
      <w:r>
        <w:rPr>
          <w:rFonts w:ascii="MS PGothic" w:cs="MS PGothic" w:eastAsia="MS PGothic" w:hAnsi="MS PGothic"/>
          <w:sz w:val="17"/>
          <w:szCs w:val="17"/>
          <w:color w:val="auto"/>
        </w:rPr>
        <w:t>‑</w:t>
      </w:r>
      <w:r>
        <w:rPr>
          <w:rFonts w:ascii="Arial" w:cs="Arial" w:eastAsia="Arial" w:hAnsi="Arial"/>
          <w:sz w:val="17"/>
          <w:szCs w:val="17"/>
          <w:color w:val="auto"/>
        </w:rPr>
        <w:t>On Company Term Lender to make an Add</w:t>
      </w:r>
      <w:r>
        <w:rPr>
          <w:rFonts w:ascii="MS PGothic" w:cs="MS PGothic" w:eastAsia="MS PGothic" w:hAnsi="MS PGothic"/>
          <w:sz w:val="17"/>
          <w:szCs w:val="17"/>
          <w:color w:val="auto"/>
        </w:rPr>
        <w:t>‑</w:t>
      </w:r>
      <w:r>
        <w:rPr>
          <w:rFonts w:ascii="Arial" w:cs="Arial" w:eastAsia="Arial" w:hAnsi="Arial"/>
          <w:sz w:val="17"/>
          <w:szCs w:val="17"/>
          <w:color w:val="auto"/>
        </w:rPr>
        <w:t>On Company Term Loan hereunder pursuant to an Add</w:t>
      </w:r>
      <w:r>
        <w:rPr>
          <w:rFonts w:ascii="MS PGothic" w:cs="MS PGothic" w:eastAsia="MS PGothic" w:hAnsi="MS PGothic"/>
          <w:sz w:val="17"/>
          <w:szCs w:val="17"/>
          <w:color w:val="auto"/>
        </w:rPr>
        <w:t>‑</w:t>
      </w:r>
      <w:r>
        <w:rPr>
          <w:rFonts w:ascii="Arial" w:cs="Arial" w:eastAsia="Arial" w:hAnsi="Arial"/>
          <w:sz w:val="17"/>
          <w:szCs w:val="17"/>
          <w:color w:val="auto"/>
        </w:rPr>
        <w:t>On Company Term Lender Joinder Agreement.</w:t>
      </w:r>
    </w:p>
    <w:p>
      <w:pPr>
        <w:sectPr>
          <w:pgSz w:w="11900" w:h="16838" w:orient="portrait"/>
          <w:cols w:equalWidth="0" w:num="1">
            <w:col w:w="11446"/>
          </w:cols>
          <w:pgMar w:left="234" w:top="306" w:right="219" w:bottom="1440" w:gutter="0" w:footer="0" w:header="0"/>
        </w:sectPr>
      </w:pPr>
    </w:p>
    <w:bookmarkStart w:id="11" w:name="page12"/>
    <w:bookmarkEnd w:id="11"/>
    <w:p>
      <w:pPr>
        <w:jc w:val="both"/>
        <w:ind w:firstLine="763"/>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Add-On Company Term Facility</w:t>
      </w:r>
      <w:r>
        <w:rPr>
          <w:rFonts w:ascii="Arial" w:cs="Arial" w:eastAsia="Arial" w:hAnsi="Arial"/>
          <w:sz w:val="17"/>
          <w:szCs w:val="17"/>
          <w:color w:val="auto"/>
        </w:rPr>
        <w:t>” means, with respect to any facility of Add-On Company Term Loans advanced pursuant to an Add-On Company Term Lender Joinder Agreement, at any time, (a) on or prior to the effective date of such Add-On Company Term Lender Joinder Agreement, the aggregate amount of the Add-On Company Term Commitments with respect to such Add-On Company Term Lender Joinder Agreement at such time and (b) thereafter, the aggregate principal amount of the Add-On Company Term Loans of all Add-On Company Term Lenders advanced pursuant to such Add-On Company Term Lender Joinder Agreement outstanding at such time.</w:t>
      </w:r>
    </w:p>
    <w:p>
      <w:pPr>
        <w:spacing w:after="0" w:line="162" w:lineRule="exact"/>
        <w:rPr>
          <w:sz w:val="20"/>
          <w:szCs w:val="20"/>
          <w:color w:val="auto"/>
        </w:rPr>
      </w:pPr>
    </w:p>
    <w:p>
      <w:pPr>
        <w:jc w:val="both"/>
        <w:ind w:right="20" w:firstLine="763"/>
        <w:spacing w:after="0" w:line="208" w:lineRule="exact"/>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w:t>
      </w:r>
      <w:r>
        <w:rPr>
          <w:rFonts w:ascii="MS PGothic" w:cs="MS PGothic" w:eastAsia="MS PGothic" w:hAnsi="MS PGothic"/>
          <w:sz w:val="17"/>
          <w:szCs w:val="17"/>
          <w:u w:val="single" w:color="auto"/>
          <w:color w:val="auto"/>
        </w:rPr>
        <w:t>‑</w:t>
      </w:r>
      <w:r>
        <w:rPr>
          <w:rFonts w:ascii="Arial" w:cs="Arial" w:eastAsia="Arial" w:hAnsi="Arial"/>
          <w:sz w:val="17"/>
          <w:szCs w:val="17"/>
          <w:u w:val="single" w:color="auto"/>
          <w:color w:val="auto"/>
        </w:rPr>
        <w:t>On Company Term Lender</w:t>
      </w:r>
      <w:r>
        <w:rPr>
          <w:rFonts w:ascii="Arial" w:cs="Arial" w:eastAsia="Arial" w:hAnsi="Arial"/>
          <w:sz w:val="17"/>
          <w:szCs w:val="17"/>
          <w:color w:val="auto"/>
        </w:rPr>
        <w:t>” means each of the Persons identified as an “Add</w:t>
      </w:r>
      <w:r>
        <w:rPr>
          <w:rFonts w:ascii="MS PGothic" w:cs="MS PGothic" w:eastAsia="MS PGothic" w:hAnsi="MS PGothic"/>
          <w:sz w:val="17"/>
          <w:szCs w:val="17"/>
          <w:color w:val="auto"/>
        </w:rPr>
        <w:t>‑</w:t>
      </w:r>
      <w:r>
        <w:rPr>
          <w:rFonts w:ascii="Arial" w:cs="Arial" w:eastAsia="Arial" w:hAnsi="Arial"/>
          <w:sz w:val="17"/>
          <w:szCs w:val="17"/>
          <w:color w:val="auto"/>
        </w:rPr>
        <w:t>On Company Term Lender” in any Add</w:t>
      </w:r>
      <w:r>
        <w:rPr>
          <w:rFonts w:ascii="MS PGothic" w:cs="MS PGothic" w:eastAsia="MS PGothic" w:hAnsi="MS PGothic"/>
          <w:sz w:val="17"/>
          <w:szCs w:val="17"/>
          <w:color w:val="auto"/>
        </w:rPr>
        <w:t>‑</w:t>
      </w:r>
      <w:r>
        <w:rPr>
          <w:rFonts w:ascii="Arial" w:cs="Arial" w:eastAsia="Arial" w:hAnsi="Arial"/>
          <w:sz w:val="17"/>
          <w:szCs w:val="17"/>
          <w:color w:val="auto"/>
        </w:rPr>
        <w:t>On Company Term Lender Joinder Agreement, together with their respective successors and assigns.</w:t>
      </w:r>
    </w:p>
    <w:p>
      <w:pPr>
        <w:spacing w:after="0" w:line="171" w:lineRule="exact"/>
        <w:rPr>
          <w:sz w:val="20"/>
          <w:szCs w:val="20"/>
          <w:color w:val="auto"/>
        </w:rPr>
      </w:pPr>
    </w:p>
    <w:p>
      <w:pPr>
        <w:jc w:val="both"/>
        <w:ind w:right="20" w:firstLine="763"/>
        <w:spacing w:after="0" w:line="208" w:lineRule="exact"/>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w:t>
      </w:r>
      <w:r>
        <w:rPr>
          <w:rFonts w:ascii="MS PGothic" w:cs="MS PGothic" w:eastAsia="MS PGothic" w:hAnsi="MS PGothic"/>
          <w:sz w:val="17"/>
          <w:szCs w:val="17"/>
          <w:u w:val="single" w:color="auto"/>
          <w:color w:val="auto"/>
        </w:rPr>
        <w:t>‑</w:t>
      </w:r>
      <w:r>
        <w:rPr>
          <w:rFonts w:ascii="Arial" w:cs="Arial" w:eastAsia="Arial" w:hAnsi="Arial"/>
          <w:sz w:val="17"/>
          <w:szCs w:val="17"/>
          <w:u w:val="single" w:color="auto"/>
          <w:color w:val="auto"/>
        </w:rPr>
        <w:t>On Company Term Lender Joinder Agreement</w:t>
      </w:r>
      <w:r>
        <w:rPr>
          <w:rFonts w:ascii="Arial" w:cs="Arial" w:eastAsia="Arial" w:hAnsi="Arial"/>
          <w:sz w:val="17"/>
          <w:szCs w:val="17"/>
          <w:color w:val="auto"/>
        </w:rPr>
        <w:t xml:space="preserve">” means a joinder agreement, substantially in the form of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or any other form approved by the Administrative Agent, executed and delivered in accordance with the provisions of </w:t>
      </w:r>
      <w:r>
        <w:rPr>
          <w:rFonts w:ascii="Arial" w:cs="Arial" w:eastAsia="Arial" w:hAnsi="Arial"/>
          <w:sz w:val="17"/>
          <w:szCs w:val="17"/>
          <w:u w:val="single" w:color="auto"/>
          <w:color w:val="auto"/>
        </w:rPr>
        <w:t>Section 2.02(f)(ii)</w:t>
      </w:r>
      <w:r>
        <w:rPr>
          <w:rFonts w:ascii="Arial" w:cs="Arial" w:eastAsia="Arial" w:hAnsi="Arial"/>
          <w:sz w:val="17"/>
          <w:szCs w:val="17"/>
          <w:color w:val="auto"/>
        </w:rPr>
        <w:t>.</w:t>
      </w:r>
    </w:p>
    <w:p>
      <w:pPr>
        <w:spacing w:after="0" w:line="171" w:lineRule="exact"/>
        <w:rPr>
          <w:sz w:val="20"/>
          <w:szCs w:val="20"/>
          <w:color w:val="auto"/>
        </w:rPr>
      </w:pPr>
    </w:p>
    <w:p>
      <w:pPr>
        <w:ind w:left="760"/>
        <w:spacing w:after="0" w:line="196" w:lineRule="exact"/>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w:t>
      </w:r>
      <w:r>
        <w:rPr>
          <w:rFonts w:ascii="MS PGothic" w:cs="MS PGothic" w:eastAsia="MS PGothic" w:hAnsi="MS PGothic"/>
          <w:sz w:val="17"/>
          <w:szCs w:val="17"/>
          <w:u w:val="single" w:color="auto"/>
          <w:color w:val="auto"/>
        </w:rPr>
        <w:t>‑</w:t>
      </w:r>
      <w:r>
        <w:rPr>
          <w:rFonts w:ascii="Arial" w:cs="Arial" w:eastAsia="Arial" w:hAnsi="Arial"/>
          <w:sz w:val="17"/>
          <w:szCs w:val="17"/>
          <w:u w:val="single" w:color="auto"/>
          <w:color w:val="auto"/>
        </w:rPr>
        <w:t>On Company Term Loan</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2.01(d)</w:t>
      </w:r>
      <w:r>
        <w:rPr>
          <w:rFonts w:ascii="Arial" w:cs="Arial" w:eastAsia="Arial" w:hAnsi="Arial"/>
          <w:sz w:val="17"/>
          <w:szCs w:val="17"/>
          <w:color w:val="auto"/>
        </w:rPr>
        <w:t>.</w:t>
      </w:r>
    </w:p>
    <w:p>
      <w:pPr>
        <w:spacing w:after="0" w:line="191" w:lineRule="exact"/>
        <w:rPr>
          <w:sz w:val="20"/>
          <w:szCs w:val="20"/>
          <w:color w:val="auto"/>
        </w:rPr>
      </w:pPr>
    </w:p>
    <w:p>
      <w:pPr>
        <w:jc w:val="both"/>
        <w:ind w:right="20" w:firstLine="763"/>
        <w:spacing w:after="0" w:line="208" w:lineRule="exact"/>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w:t>
      </w:r>
      <w:r>
        <w:rPr>
          <w:rFonts w:ascii="MS PGothic" w:cs="MS PGothic" w:eastAsia="MS PGothic" w:hAnsi="MS PGothic"/>
          <w:sz w:val="17"/>
          <w:szCs w:val="17"/>
          <w:u w:val="single" w:color="auto"/>
          <w:color w:val="auto"/>
        </w:rPr>
        <w:t>‑</w:t>
      </w:r>
      <w:r>
        <w:rPr>
          <w:rFonts w:ascii="Arial" w:cs="Arial" w:eastAsia="Arial" w:hAnsi="Arial"/>
          <w:sz w:val="17"/>
          <w:szCs w:val="17"/>
          <w:u w:val="single" w:color="auto"/>
          <w:color w:val="auto"/>
        </w:rPr>
        <w:t>On Company Term Maturity Date</w:t>
      </w:r>
      <w:r>
        <w:rPr>
          <w:rFonts w:ascii="Arial" w:cs="Arial" w:eastAsia="Arial" w:hAnsi="Arial"/>
          <w:sz w:val="17"/>
          <w:szCs w:val="17"/>
          <w:color w:val="auto"/>
        </w:rPr>
        <w:t>” with respect to any Add-On Company Term Loan, shall be as set forth in the applicable Add</w:t>
      </w:r>
      <w:r>
        <w:rPr>
          <w:rFonts w:ascii="MS PGothic" w:cs="MS PGothic" w:eastAsia="MS PGothic" w:hAnsi="MS PGothic"/>
          <w:sz w:val="17"/>
          <w:szCs w:val="17"/>
          <w:color w:val="auto"/>
        </w:rPr>
        <w:t>‑</w:t>
      </w:r>
      <w:r>
        <w:rPr>
          <w:rFonts w:ascii="Arial" w:cs="Arial" w:eastAsia="Arial" w:hAnsi="Arial"/>
          <w:sz w:val="17"/>
          <w:szCs w:val="17"/>
          <w:color w:val="auto"/>
        </w:rPr>
        <w:t>On Company Term Lender Joinder Agreement.</w:t>
      </w:r>
    </w:p>
    <w:p>
      <w:pPr>
        <w:spacing w:after="0" w:line="171" w:lineRule="exact"/>
        <w:rPr>
          <w:sz w:val="20"/>
          <w:szCs w:val="20"/>
          <w:color w:val="auto"/>
        </w:rPr>
      </w:pPr>
    </w:p>
    <w:p>
      <w:pPr>
        <w:jc w:val="both"/>
        <w:ind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Add-On Company Term Note</w:t>
      </w:r>
      <w:r>
        <w:rPr>
          <w:rFonts w:ascii="Arial" w:cs="Arial" w:eastAsia="Arial" w:hAnsi="Arial"/>
          <w:sz w:val="17"/>
          <w:szCs w:val="17"/>
          <w:color w:val="auto"/>
        </w:rPr>
        <w:t xml:space="preserve">” means a promissory note made by the Company in favor of an Add-On Company Term Lender evidencing Add-On Company Term Loans made by such Add-On Company Term Lender,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w:t>
      </w:r>
    </w:p>
    <w:p>
      <w:pPr>
        <w:spacing w:after="0" w:line="145"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means Bank of America (or any of its designated branch offices or affiliates) in its capacity as administrative agent under any of the Loan Documents, or any successor administrative agent.</w:t>
      </w:r>
    </w:p>
    <w:p>
      <w:pPr>
        <w:spacing w:after="0" w:line="145" w:lineRule="exact"/>
        <w:rPr>
          <w:sz w:val="20"/>
          <w:szCs w:val="20"/>
          <w:color w:val="auto"/>
        </w:rPr>
      </w:pPr>
    </w:p>
    <w:p>
      <w:pPr>
        <w:jc w:val="both"/>
        <w:ind w:right="20" w:firstLine="7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Agent’s Office</w:t>
      </w:r>
      <w:r>
        <w:rPr>
          <w:rFonts w:ascii="Arial" w:cs="Arial" w:eastAsia="Arial" w:hAnsi="Arial"/>
          <w:sz w:val="17"/>
          <w:szCs w:val="17"/>
          <w:color w:val="auto"/>
        </w:rPr>
        <w:t xml:space="preserve">” means, with respect to any currency, the Administrative Agent’s address and, as appropriate, account as set forth on </w:t>
      </w:r>
      <w:r>
        <w:rPr>
          <w:rFonts w:ascii="Arial" w:cs="Arial" w:eastAsia="Arial" w:hAnsi="Arial"/>
          <w:sz w:val="17"/>
          <w:szCs w:val="17"/>
          <w:u w:val="single" w:color="auto"/>
          <w:color w:val="auto"/>
        </w:rPr>
        <w:t>Schedule 11.02</w:t>
      </w:r>
      <w:r>
        <w:rPr>
          <w:rFonts w:ascii="Arial" w:cs="Arial" w:eastAsia="Arial" w:hAnsi="Arial"/>
          <w:sz w:val="17"/>
          <w:szCs w:val="17"/>
          <w:color w:val="auto"/>
        </w:rPr>
        <w:t xml:space="preserve"> with respect to such currency, or such other address or account with respect to such currency as the Administrative Agent may from time to time notify to the Company and the Lenders.</w:t>
      </w:r>
    </w:p>
    <w:p>
      <w:pPr>
        <w:spacing w:after="0" w:line="157" w:lineRule="exact"/>
        <w:rPr>
          <w:sz w:val="20"/>
          <w:szCs w:val="20"/>
          <w:color w:val="auto"/>
        </w:rPr>
      </w:pPr>
    </w:p>
    <w:p>
      <w:pPr>
        <w:jc w:val="both"/>
        <w:ind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Questionnaire</w:t>
      </w:r>
      <w:r>
        <w:rPr>
          <w:rFonts w:ascii="Arial" w:cs="Arial" w:eastAsia="Arial" w:hAnsi="Arial"/>
          <w:sz w:val="17"/>
          <w:szCs w:val="17"/>
          <w:color w:val="auto"/>
        </w:rPr>
        <w:t xml:space="preserve">” means an Administrative Questionnaire in substantially the form of </w:t>
      </w:r>
      <w:r>
        <w:rPr>
          <w:rFonts w:ascii="Arial" w:cs="Arial" w:eastAsia="Arial" w:hAnsi="Arial"/>
          <w:sz w:val="17"/>
          <w:szCs w:val="17"/>
          <w:u w:val="single" w:color="auto"/>
          <w:color w:val="auto"/>
        </w:rPr>
        <w:t>Exhibit E-2</w:t>
      </w:r>
      <w:r>
        <w:rPr>
          <w:rFonts w:ascii="Arial" w:cs="Arial" w:eastAsia="Arial" w:hAnsi="Arial"/>
          <w:sz w:val="17"/>
          <w:szCs w:val="17"/>
          <w:color w:val="auto"/>
        </w:rPr>
        <w:t xml:space="preserve"> or any other form approved by the Administrative Agent.</w:t>
      </w:r>
    </w:p>
    <w:p>
      <w:pPr>
        <w:spacing w:after="0" w:line="145" w:lineRule="exact"/>
        <w:rPr>
          <w:sz w:val="20"/>
          <w:szCs w:val="20"/>
          <w:color w:val="auto"/>
        </w:rPr>
      </w:pPr>
    </w:p>
    <w:p>
      <w:pPr>
        <w:jc w:val="both"/>
        <w:ind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another Person that directly, or indirectly through one or more intermediaries, Controls or is Controlled by or is under common Control with the Person specified.</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Agent Parties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11.02(c)</w:t>
      </w:r>
      <w:r>
        <w:rPr>
          <w:rFonts w:ascii="Arial" w:cs="Arial" w:eastAsia="Arial" w:hAnsi="Arial"/>
          <w:sz w:val="17"/>
          <w:szCs w:val="17"/>
          <w:color w:val="auto"/>
        </w:rPr>
        <w: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means this Credit Agreement.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 Currency</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11.19</w:t>
      </w:r>
      <w:r>
        <w:rPr>
          <w:rFonts w:ascii="Arial" w:cs="Arial" w:eastAsia="Arial" w:hAnsi="Arial"/>
          <w:sz w:val="17"/>
          <w:szCs w:val="17"/>
          <w:color w:val="auto"/>
        </w:rPr>
        <w:t>.</w:t>
      </w:r>
    </w:p>
    <w:p>
      <w:pPr>
        <w:spacing w:after="0" w:line="191" w:lineRule="exact"/>
        <w:rPr>
          <w:sz w:val="20"/>
          <w:szCs w:val="20"/>
          <w:color w:val="auto"/>
        </w:rPr>
      </w:pPr>
    </w:p>
    <w:p>
      <w:pPr>
        <w:jc w:val="both"/>
        <w:ind w:firstLine="7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Alternative Currency</w:t>
      </w:r>
      <w:r>
        <w:rPr>
          <w:rFonts w:ascii="Arial" w:cs="Arial" w:eastAsia="Arial" w:hAnsi="Arial"/>
          <w:sz w:val="17"/>
          <w:szCs w:val="17"/>
          <w:color w:val="auto"/>
        </w:rPr>
        <w:t xml:space="preserve">” means (a) with respect to any Loan, each of Canadian Dollars, Euros and each other currency that is approved in accordance with </w:t>
      </w:r>
      <w:r>
        <w:rPr>
          <w:rFonts w:ascii="Arial" w:cs="Arial" w:eastAsia="Arial" w:hAnsi="Arial"/>
          <w:sz w:val="17"/>
          <w:szCs w:val="17"/>
          <w:u w:val="single" w:color="auto"/>
          <w:color w:val="auto"/>
        </w:rPr>
        <w:t>Section 1.09</w:t>
      </w:r>
      <w:r>
        <w:rPr>
          <w:rFonts w:ascii="Arial" w:cs="Arial" w:eastAsia="Arial" w:hAnsi="Arial"/>
          <w:sz w:val="17"/>
          <w:szCs w:val="17"/>
          <w:color w:val="auto"/>
        </w:rPr>
        <w:t xml:space="preserve"> and (b) with respect to any Letter of Credit, each of Canadian Dollars, Euros, Sterling, Yen and each other currency that is approved in accordance with </w:t>
      </w:r>
      <w:r>
        <w:rPr>
          <w:rFonts w:ascii="Arial" w:cs="Arial" w:eastAsia="Arial" w:hAnsi="Arial"/>
          <w:sz w:val="17"/>
          <w:szCs w:val="17"/>
          <w:u w:val="single" w:color="auto"/>
          <w:color w:val="auto"/>
        </w:rPr>
        <w:t>Section 1.09</w:t>
      </w:r>
      <w:r>
        <w:rPr>
          <w:rFonts w:ascii="Arial" w:cs="Arial" w:eastAsia="Arial" w:hAnsi="Arial"/>
          <w:sz w:val="17"/>
          <w:szCs w:val="17"/>
          <w:color w:val="auto"/>
        </w:rPr>
        <w:t>.</w:t>
      </w:r>
    </w:p>
    <w:p>
      <w:pPr>
        <w:spacing w:after="0" w:line="157" w:lineRule="exact"/>
        <w:rPr>
          <w:sz w:val="20"/>
          <w:szCs w:val="20"/>
          <w:color w:val="auto"/>
        </w:rPr>
      </w:pPr>
    </w:p>
    <w:p>
      <w:pPr>
        <w:jc w:val="both"/>
        <w:ind w:firstLine="7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Alternative Currency Equivalent</w:t>
      </w:r>
      <w:r>
        <w:rPr>
          <w:rFonts w:ascii="Arial" w:cs="Arial" w:eastAsia="Arial" w:hAnsi="Arial"/>
          <w:sz w:val="17"/>
          <w:szCs w:val="17"/>
          <w:color w:val="auto"/>
        </w:rPr>
        <w:t>” means, at any time, with respect to any amount denominated in Dollars, the equivalent amount thereof in the applicable Alternative Currency as determined by the Administrative Agent or the L/C Issuer, as the case may be, at such time on the basis of the Spot Rate (determined in respect of the most recent Revaluation Date) for the purchase of such Alternative Currency with Dollars.</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Foreign Obligor Documents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5.21(a)</w:t>
      </w:r>
      <w:r>
        <w:rPr>
          <w:rFonts w:ascii="Arial" w:cs="Arial" w:eastAsia="Arial" w:hAnsi="Arial"/>
          <w:sz w:val="17"/>
          <w:szCs w:val="17"/>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40"/>
          </w:cols>
          <w:pgMar w:left="240" w:top="500" w:right="219" w:bottom="1440" w:gutter="0" w:footer="0" w:header="0"/>
        </w:sectPr>
      </w:pPr>
    </w:p>
    <w:bookmarkStart w:id="12" w:name="page13"/>
    <w:bookmarkEnd w:id="12"/>
    <w:p>
      <w:pPr>
        <w:jc w:val="both"/>
        <w:ind w:firstLine="763"/>
        <w:spacing w:after="0" w:line="28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Percentage</w:t>
      </w:r>
      <w:r>
        <w:rPr>
          <w:rFonts w:ascii="Arial" w:cs="Arial" w:eastAsia="Arial" w:hAnsi="Arial"/>
          <w:sz w:val="15"/>
          <w:szCs w:val="15"/>
          <w:color w:val="auto"/>
        </w:rPr>
        <w:t xml:space="preserve">” means (a) in respect of the Company Term Facility, with respect to any Company Term Lender at any time, the percentage (carried out to the ninth decimal place) of the Company Term Facility represented by the principal amount of such Company Term Lender’s Company Term Loans at such time, (b) in respect of the Gentherm Germany Term Facility, with respect to any Gentherm Germany Term Lender at any time, the percentage (carried out to the ninth decimal place) of the Gentherm Germany Term Facility represented by the principal amount of such Gentherm Germany Term Lender’s Gentherm Germany Term Loans at such time, (c) in respect of an Add-On Company Term Facility, with respect to any Add-On Company Term Lender with respect to such Add-On Company Term Facility at any time, the percentage (carried out to the ninth decimal place) of such Add-On Company Term Facility represented by the principal amount of such Add-On Company Term Lender’s Add-On Company Term Loans with respect to such Add-On Company Term Facility at such time and (d) in respect of the Revolving Credit Facility, with respect to any Revolving Credit Lender at any time, the percentage (carried out to the ninth decimal place) of the Revolving Credit Facility represented by such Revolving Credit Lender’s Revolving Credit Commitment at such time, in each case, subject to adjustment as provided in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2.16</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that</w:t>
      </w:r>
      <w:r>
        <w:rPr>
          <w:rFonts w:ascii="Arial" w:cs="Arial" w:eastAsia="Arial" w:hAnsi="Arial"/>
          <w:sz w:val="15"/>
          <w:szCs w:val="15"/>
          <w:color w:val="auto"/>
        </w:rPr>
        <w:t xml:space="preserve">, if the commitment of each Revolving Credit Lender to make Revolving Credit Loans and the obligation of the L/C Issuer to make L/C Credit Extensions have been terminated pursuant to </w:t>
      </w:r>
      <w:r>
        <w:rPr>
          <w:rFonts w:ascii="Arial" w:cs="Arial" w:eastAsia="Arial" w:hAnsi="Arial"/>
          <w:sz w:val="15"/>
          <w:szCs w:val="15"/>
          <w:u w:val="single" w:color="auto"/>
          <w:color w:val="auto"/>
        </w:rPr>
        <w:t>Section 8.02</w:t>
      </w:r>
      <w:r>
        <w:rPr>
          <w:rFonts w:ascii="Arial" w:cs="Arial" w:eastAsia="Arial" w:hAnsi="Arial"/>
          <w:sz w:val="15"/>
          <w:szCs w:val="15"/>
          <w:color w:val="auto"/>
        </w:rPr>
        <w:t xml:space="preserve"> or if the Revolving Credit Commitments have expired, then the Applicable Percentage of each Revolving Credit Lender in respect of the Revolving Credit Facility shall be determined based on the Applicable Percentage of such Lender most recently in effect, giving effect to any subsequent assignments. The initial Applicable Percentage of each Lender is set forth opposite the name of such Lender on </w:t>
      </w:r>
      <w:r>
        <w:rPr>
          <w:rFonts w:ascii="Arial" w:cs="Arial" w:eastAsia="Arial" w:hAnsi="Arial"/>
          <w:sz w:val="15"/>
          <w:szCs w:val="15"/>
          <w:u w:val="single" w:color="auto"/>
          <w:color w:val="auto"/>
        </w:rPr>
        <w:t>Schedule 2.01</w:t>
      </w:r>
      <w:r>
        <w:rPr>
          <w:rFonts w:ascii="Arial" w:cs="Arial" w:eastAsia="Arial" w:hAnsi="Arial"/>
          <w:sz w:val="15"/>
          <w:szCs w:val="15"/>
          <w:color w:val="auto"/>
        </w:rPr>
        <w:t xml:space="preserve"> or in the Assignment and Assumption or other agreement pursuant to which such Lender becomes a party hereto, as applicable.</w:t>
      </w:r>
    </w:p>
    <w:p>
      <w:pPr>
        <w:spacing w:after="0" w:line="140" w:lineRule="exact"/>
        <w:rPr>
          <w:sz w:val="20"/>
          <w:szCs w:val="20"/>
          <w:color w:val="auto"/>
        </w:rPr>
      </w:pPr>
    </w:p>
    <w:p>
      <w:pPr>
        <w:jc w:val="both"/>
        <w:ind w:firstLine="763"/>
        <w:spacing w:after="0" w:line="24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Rate</w:t>
      </w:r>
      <w:r>
        <w:rPr>
          <w:rFonts w:ascii="Arial" w:cs="Arial" w:eastAsia="Arial" w:hAnsi="Arial"/>
          <w:sz w:val="17"/>
          <w:szCs w:val="17"/>
          <w:color w:val="auto"/>
        </w:rPr>
        <w:t xml:space="preserve">” means, with respect to the Revolving Credit Facility, the Company Term Facility, the Gentherm Germany Term Facility, each Add-On Company Term Facility, Swing Line Loans, Letters of Credit and the Commitment Fee, (a) from the Closing Date to the first Business Day immediately following the date a Compliance Certificate is delivered pursuant to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for the fiscal quarter ending December 31, 2014, 1.75% per annum for Eurocurrency Rate Loans and Letter of Credit Fees, 0.75% per annum for Base Rate Loans and 0.30% per annum for the Commitment Fee and (b) thereafter, the following percentages per annum, based upon the Consolidated Leverage Ratio as set forth in the most recent Compliance Certificate received by the Administrative Agent pursuant to </w:t>
      </w:r>
      <w:r>
        <w:rPr>
          <w:rFonts w:ascii="Arial" w:cs="Arial" w:eastAsia="Arial" w:hAnsi="Arial"/>
          <w:sz w:val="17"/>
          <w:szCs w:val="17"/>
          <w:u w:val="single" w:color="auto"/>
          <w:color w:val="auto"/>
        </w:rPr>
        <w:t>Section 6.02(a)</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940" w:type="dxa"/>
            <w:vAlign w:val="bottom"/>
          </w:tcPr>
          <w:p>
            <w:pPr>
              <w:jc w:val="center"/>
              <w:ind w:right="34"/>
              <w:spacing w:after="0"/>
              <w:rPr>
                <w:sz w:val="20"/>
                <w:szCs w:val="20"/>
                <w:color w:val="auto"/>
              </w:rPr>
            </w:pPr>
            <w:r>
              <w:rPr>
                <w:rFonts w:ascii="Arial" w:cs="Arial" w:eastAsia="Arial" w:hAnsi="Arial"/>
                <w:sz w:val="17"/>
                <w:szCs w:val="17"/>
                <w:color w:val="auto"/>
                <w:w w:val="95"/>
              </w:rPr>
              <w:t>Pricing Tier</w:t>
            </w:r>
          </w:p>
        </w:tc>
        <w:tc>
          <w:tcPr>
            <w:tcW w:w="2380" w:type="dxa"/>
            <w:vAlign w:val="bottom"/>
          </w:tcPr>
          <w:p>
            <w:pPr>
              <w:jc w:val="center"/>
              <w:ind w:right="14"/>
              <w:spacing w:after="0"/>
              <w:rPr>
                <w:sz w:val="20"/>
                <w:szCs w:val="20"/>
                <w:color w:val="auto"/>
              </w:rPr>
            </w:pPr>
            <w:r>
              <w:rPr>
                <w:rFonts w:ascii="Arial" w:cs="Arial" w:eastAsia="Arial" w:hAnsi="Arial"/>
                <w:sz w:val="17"/>
                <w:szCs w:val="17"/>
                <w:color w:val="auto"/>
                <w:w w:val="91"/>
              </w:rPr>
              <w:t>Consolidated Leverage Ratio</w:t>
            </w:r>
          </w:p>
        </w:tc>
        <w:tc>
          <w:tcPr>
            <w:tcW w:w="1840" w:type="dxa"/>
            <w:vAlign w:val="bottom"/>
          </w:tcPr>
          <w:p>
            <w:pPr>
              <w:jc w:val="center"/>
              <w:ind w:right="74"/>
              <w:spacing w:after="0"/>
              <w:rPr>
                <w:sz w:val="20"/>
                <w:szCs w:val="20"/>
                <w:color w:val="auto"/>
              </w:rPr>
            </w:pPr>
            <w:r>
              <w:rPr>
                <w:rFonts w:ascii="Arial" w:cs="Arial" w:eastAsia="Arial" w:hAnsi="Arial"/>
                <w:sz w:val="17"/>
                <w:szCs w:val="17"/>
                <w:color w:val="auto"/>
                <w:w w:val="92"/>
              </w:rPr>
              <w:t>Commitment Fee</w:t>
            </w:r>
          </w:p>
        </w:tc>
        <w:tc>
          <w:tcPr>
            <w:tcW w:w="2120" w:type="dxa"/>
            <w:vAlign w:val="bottom"/>
          </w:tcPr>
          <w:p>
            <w:pPr>
              <w:jc w:val="center"/>
              <w:ind w:left="54"/>
              <w:spacing w:after="0"/>
              <w:rPr>
                <w:sz w:val="20"/>
                <w:szCs w:val="20"/>
                <w:color w:val="auto"/>
              </w:rPr>
            </w:pPr>
            <w:r>
              <w:rPr>
                <w:rFonts w:ascii="Arial" w:cs="Arial" w:eastAsia="Arial" w:hAnsi="Arial"/>
                <w:sz w:val="17"/>
                <w:szCs w:val="17"/>
                <w:color w:val="auto"/>
                <w:w w:val="91"/>
              </w:rPr>
              <w:t>Letter of Credit Fees</w:t>
            </w:r>
          </w:p>
        </w:tc>
        <w:tc>
          <w:tcPr>
            <w:tcW w:w="2280" w:type="dxa"/>
            <w:vAlign w:val="bottom"/>
          </w:tcPr>
          <w:p>
            <w:pPr>
              <w:jc w:val="center"/>
              <w:spacing w:after="0"/>
              <w:rPr>
                <w:sz w:val="20"/>
                <w:szCs w:val="20"/>
                <w:color w:val="auto"/>
              </w:rPr>
            </w:pPr>
            <w:r>
              <w:rPr>
                <w:rFonts w:ascii="Arial" w:cs="Arial" w:eastAsia="Arial" w:hAnsi="Arial"/>
                <w:sz w:val="17"/>
                <w:szCs w:val="17"/>
                <w:color w:val="auto"/>
                <w:w w:val="91"/>
              </w:rPr>
              <w:t>Eurocurrency Rate Loans</w:t>
            </w:r>
          </w:p>
        </w:tc>
        <w:tc>
          <w:tcPr>
            <w:tcW w:w="1400" w:type="dxa"/>
            <w:vAlign w:val="bottom"/>
          </w:tcPr>
          <w:p>
            <w:pPr>
              <w:jc w:val="center"/>
              <w:ind w:left="154"/>
              <w:spacing w:after="0"/>
              <w:rPr>
                <w:sz w:val="20"/>
                <w:szCs w:val="20"/>
                <w:color w:val="auto"/>
              </w:rPr>
            </w:pPr>
            <w:r>
              <w:rPr>
                <w:rFonts w:ascii="Arial" w:cs="Arial" w:eastAsia="Arial" w:hAnsi="Arial"/>
                <w:sz w:val="17"/>
                <w:szCs w:val="17"/>
                <w:color w:val="auto"/>
                <w:w w:val="88"/>
              </w:rPr>
              <w:t>Base Rate Loans</w:t>
            </w:r>
          </w:p>
        </w:tc>
        <w:tc>
          <w:tcPr>
            <w:tcW w:w="0" w:type="dxa"/>
            <w:vAlign w:val="bottom"/>
          </w:tcPr>
          <w:p>
            <w:pPr>
              <w:spacing w:after="0"/>
              <w:rPr>
                <w:sz w:val="1"/>
                <w:szCs w:val="1"/>
                <w:color w:val="auto"/>
              </w:rPr>
            </w:pPr>
          </w:p>
        </w:tc>
      </w:tr>
      <w:tr>
        <w:trPr>
          <w:trHeight w:val="270"/>
        </w:trPr>
        <w:tc>
          <w:tcPr>
            <w:tcW w:w="940" w:type="dxa"/>
            <w:vAlign w:val="bottom"/>
          </w:tcPr>
          <w:p>
            <w:pPr>
              <w:jc w:val="center"/>
              <w:ind w:right="34"/>
              <w:spacing w:after="0"/>
              <w:rPr>
                <w:sz w:val="20"/>
                <w:szCs w:val="20"/>
                <w:color w:val="auto"/>
              </w:rPr>
            </w:pPr>
            <w:r>
              <w:rPr>
                <w:rFonts w:ascii="Arial" w:cs="Arial" w:eastAsia="Arial" w:hAnsi="Arial"/>
                <w:sz w:val="17"/>
                <w:szCs w:val="17"/>
                <w:color w:val="auto"/>
              </w:rPr>
              <w:t>1</w:t>
            </w:r>
          </w:p>
        </w:tc>
        <w:tc>
          <w:tcPr>
            <w:tcW w:w="2380" w:type="dxa"/>
            <w:vAlign w:val="bottom"/>
          </w:tcPr>
          <w:p>
            <w:pPr>
              <w:jc w:val="center"/>
              <w:ind w:right="34"/>
              <w:spacing w:after="0"/>
              <w:rPr>
                <w:sz w:val="20"/>
                <w:szCs w:val="20"/>
                <w:color w:val="auto"/>
              </w:rPr>
            </w:pPr>
            <w:r>
              <w:rPr>
                <w:rFonts w:ascii="Arial" w:cs="Arial" w:eastAsia="Arial" w:hAnsi="Arial"/>
                <w:sz w:val="17"/>
                <w:szCs w:val="17"/>
                <w:color w:val="auto"/>
                <w:w w:val="92"/>
              </w:rPr>
              <w:t>≥1.75:1.00</w:t>
            </w:r>
          </w:p>
        </w:tc>
        <w:tc>
          <w:tcPr>
            <w:tcW w:w="1840" w:type="dxa"/>
            <w:vAlign w:val="bottom"/>
          </w:tcPr>
          <w:p>
            <w:pPr>
              <w:jc w:val="center"/>
              <w:ind w:right="74"/>
              <w:spacing w:after="0"/>
              <w:rPr>
                <w:sz w:val="20"/>
                <w:szCs w:val="20"/>
                <w:color w:val="auto"/>
              </w:rPr>
            </w:pPr>
            <w:r>
              <w:rPr>
                <w:rFonts w:ascii="Arial" w:cs="Arial" w:eastAsia="Arial" w:hAnsi="Arial"/>
                <w:sz w:val="17"/>
                <w:szCs w:val="17"/>
                <w:color w:val="auto"/>
                <w:w w:val="91"/>
              </w:rPr>
              <w:t>0.35%</w:t>
            </w:r>
          </w:p>
        </w:tc>
        <w:tc>
          <w:tcPr>
            <w:tcW w:w="2120" w:type="dxa"/>
            <w:vAlign w:val="bottom"/>
          </w:tcPr>
          <w:p>
            <w:pPr>
              <w:jc w:val="center"/>
              <w:ind w:left="34"/>
              <w:spacing w:after="0"/>
              <w:rPr>
                <w:sz w:val="20"/>
                <w:szCs w:val="20"/>
                <w:color w:val="auto"/>
              </w:rPr>
            </w:pPr>
            <w:r>
              <w:rPr>
                <w:rFonts w:ascii="Arial" w:cs="Arial" w:eastAsia="Arial" w:hAnsi="Arial"/>
                <w:sz w:val="17"/>
                <w:szCs w:val="17"/>
                <w:color w:val="auto"/>
                <w:w w:val="91"/>
              </w:rPr>
              <w:t>2.00%</w:t>
            </w:r>
          </w:p>
        </w:tc>
        <w:tc>
          <w:tcPr>
            <w:tcW w:w="2280" w:type="dxa"/>
            <w:vAlign w:val="bottom"/>
          </w:tcPr>
          <w:p>
            <w:pPr>
              <w:jc w:val="center"/>
              <w:spacing w:after="0"/>
              <w:rPr>
                <w:sz w:val="20"/>
                <w:szCs w:val="20"/>
                <w:color w:val="auto"/>
              </w:rPr>
            </w:pPr>
            <w:r>
              <w:rPr>
                <w:rFonts w:ascii="Arial" w:cs="Arial" w:eastAsia="Arial" w:hAnsi="Arial"/>
                <w:sz w:val="17"/>
                <w:szCs w:val="17"/>
                <w:color w:val="auto"/>
                <w:w w:val="91"/>
              </w:rPr>
              <w:t>2.00%</w:t>
            </w:r>
          </w:p>
        </w:tc>
        <w:tc>
          <w:tcPr>
            <w:tcW w:w="1400" w:type="dxa"/>
            <w:vAlign w:val="bottom"/>
          </w:tcPr>
          <w:p>
            <w:pPr>
              <w:jc w:val="center"/>
              <w:ind w:left="154"/>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52"/>
        </w:trPr>
        <w:tc>
          <w:tcPr>
            <w:tcW w:w="940" w:type="dxa"/>
            <w:vAlign w:val="bottom"/>
            <w:vMerge w:val="restart"/>
          </w:tcPr>
          <w:p>
            <w:pPr>
              <w:jc w:val="center"/>
              <w:ind w:right="34"/>
              <w:spacing w:after="0"/>
              <w:rPr>
                <w:sz w:val="20"/>
                <w:szCs w:val="20"/>
                <w:color w:val="auto"/>
              </w:rPr>
            </w:pPr>
            <w:r>
              <w:rPr>
                <w:rFonts w:ascii="Arial" w:cs="Arial" w:eastAsia="Arial" w:hAnsi="Arial"/>
                <w:sz w:val="17"/>
                <w:szCs w:val="17"/>
                <w:color w:val="auto"/>
              </w:rPr>
              <w:t>2</w:t>
            </w:r>
          </w:p>
        </w:tc>
        <w:tc>
          <w:tcPr>
            <w:tcW w:w="2380" w:type="dxa"/>
            <w:vAlign w:val="bottom"/>
          </w:tcPr>
          <w:p>
            <w:pPr>
              <w:jc w:val="center"/>
              <w:ind w:right="14"/>
              <w:spacing w:after="0"/>
              <w:rPr>
                <w:sz w:val="20"/>
                <w:szCs w:val="20"/>
                <w:color w:val="auto"/>
              </w:rPr>
            </w:pPr>
            <w:r>
              <w:rPr>
                <w:rFonts w:ascii="Arial" w:cs="Arial" w:eastAsia="Arial" w:hAnsi="Arial"/>
                <w:sz w:val="17"/>
                <w:szCs w:val="17"/>
                <w:color w:val="auto"/>
                <w:w w:val="92"/>
              </w:rPr>
              <w:t>≥1.00:1.00 but</w:t>
            </w:r>
          </w:p>
        </w:tc>
        <w:tc>
          <w:tcPr>
            <w:tcW w:w="1840" w:type="dxa"/>
            <w:vAlign w:val="bottom"/>
            <w:vMerge w:val="restart"/>
          </w:tcPr>
          <w:p>
            <w:pPr>
              <w:jc w:val="center"/>
              <w:ind w:right="74"/>
              <w:spacing w:after="0"/>
              <w:rPr>
                <w:sz w:val="20"/>
                <w:szCs w:val="20"/>
                <w:color w:val="auto"/>
              </w:rPr>
            </w:pPr>
            <w:r>
              <w:rPr>
                <w:rFonts w:ascii="Arial" w:cs="Arial" w:eastAsia="Arial" w:hAnsi="Arial"/>
                <w:sz w:val="17"/>
                <w:szCs w:val="17"/>
                <w:color w:val="auto"/>
                <w:w w:val="91"/>
              </w:rPr>
              <w:t>0.30%</w:t>
            </w:r>
          </w:p>
        </w:tc>
        <w:tc>
          <w:tcPr>
            <w:tcW w:w="2120" w:type="dxa"/>
            <w:vAlign w:val="bottom"/>
            <w:vMerge w:val="restart"/>
          </w:tcPr>
          <w:p>
            <w:pPr>
              <w:jc w:val="center"/>
              <w:ind w:left="34"/>
              <w:spacing w:after="0"/>
              <w:rPr>
                <w:sz w:val="20"/>
                <w:szCs w:val="20"/>
                <w:color w:val="auto"/>
              </w:rPr>
            </w:pPr>
            <w:r>
              <w:rPr>
                <w:rFonts w:ascii="Arial" w:cs="Arial" w:eastAsia="Arial" w:hAnsi="Arial"/>
                <w:sz w:val="17"/>
                <w:szCs w:val="17"/>
                <w:color w:val="auto"/>
                <w:w w:val="91"/>
              </w:rPr>
              <w:t>1.75%</w:t>
            </w:r>
          </w:p>
        </w:tc>
        <w:tc>
          <w:tcPr>
            <w:tcW w:w="2280" w:type="dxa"/>
            <w:vAlign w:val="bottom"/>
            <w:vMerge w:val="restart"/>
          </w:tcPr>
          <w:p>
            <w:pPr>
              <w:jc w:val="center"/>
              <w:spacing w:after="0"/>
              <w:rPr>
                <w:sz w:val="20"/>
                <w:szCs w:val="20"/>
                <w:color w:val="auto"/>
              </w:rPr>
            </w:pPr>
            <w:r>
              <w:rPr>
                <w:rFonts w:ascii="Arial" w:cs="Arial" w:eastAsia="Arial" w:hAnsi="Arial"/>
                <w:sz w:val="17"/>
                <w:szCs w:val="17"/>
                <w:color w:val="auto"/>
                <w:w w:val="91"/>
              </w:rPr>
              <w:t>1.75%</w:t>
            </w:r>
          </w:p>
        </w:tc>
        <w:tc>
          <w:tcPr>
            <w:tcW w:w="1400" w:type="dxa"/>
            <w:vAlign w:val="bottom"/>
            <w:vMerge w:val="restart"/>
          </w:tcPr>
          <w:p>
            <w:pPr>
              <w:jc w:val="center"/>
              <w:ind w:left="154"/>
              <w:spacing w:after="0"/>
              <w:rPr>
                <w:sz w:val="20"/>
                <w:szCs w:val="20"/>
                <w:color w:val="auto"/>
              </w:rPr>
            </w:pPr>
            <w:r>
              <w:rPr>
                <w:rFonts w:ascii="Arial" w:cs="Arial" w:eastAsia="Arial" w:hAnsi="Arial"/>
                <w:sz w:val="17"/>
                <w:szCs w:val="17"/>
                <w:color w:val="auto"/>
                <w:w w:val="91"/>
              </w:rPr>
              <w:t>0.75%</w:t>
            </w:r>
          </w:p>
        </w:tc>
        <w:tc>
          <w:tcPr>
            <w:tcW w:w="0" w:type="dxa"/>
            <w:vAlign w:val="bottom"/>
          </w:tcPr>
          <w:p>
            <w:pPr>
              <w:spacing w:after="0"/>
              <w:rPr>
                <w:sz w:val="1"/>
                <w:szCs w:val="1"/>
                <w:color w:val="auto"/>
              </w:rPr>
            </w:pPr>
          </w:p>
        </w:tc>
      </w:tr>
      <w:tr>
        <w:trPr>
          <w:trHeight w:val="112"/>
        </w:trPr>
        <w:tc>
          <w:tcPr>
            <w:tcW w:w="940" w:type="dxa"/>
            <w:vAlign w:val="bottom"/>
            <w:vMerge w:val="continue"/>
          </w:tcPr>
          <w:p>
            <w:pPr>
              <w:spacing w:after="0"/>
              <w:rPr>
                <w:sz w:val="9"/>
                <w:szCs w:val="9"/>
                <w:color w:val="auto"/>
              </w:rPr>
            </w:pPr>
          </w:p>
        </w:tc>
        <w:tc>
          <w:tcPr>
            <w:tcW w:w="2380" w:type="dxa"/>
            <w:vAlign w:val="bottom"/>
            <w:vMerge w:val="restart"/>
          </w:tcPr>
          <w:p>
            <w:pPr>
              <w:jc w:val="center"/>
              <w:ind w:right="34"/>
              <w:spacing w:after="0"/>
              <w:rPr>
                <w:sz w:val="20"/>
                <w:szCs w:val="20"/>
                <w:color w:val="auto"/>
              </w:rPr>
            </w:pPr>
            <w:r>
              <w:rPr>
                <w:rFonts w:ascii="Arial" w:cs="Arial" w:eastAsia="Arial" w:hAnsi="Arial"/>
                <w:sz w:val="17"/>
                <w:szCs w:val="17"/>
                <w:color w:val="auto"/>
                <w:w w:val="91"/>
              </w:rPr>
              <w:t>&lt;1.75:1.00</w:t>
            </w:r>
          </w:p>
        </w:tc>
        <w:tc>
          <w:tcPr>
            <w:tcW w:w="1840" w:type="dxa"/>
            <w:vAlign w:val="bottom"/>
            <w:vMerge w:val="continue"/>
          </w:tcPr>
          <w:p>
            <w:pPr>
              <w:spacing w:after="0"/>
              <w:rPr>
                <w:sz w:val="9"/>
                <w:szCs w:val="9"/>
                <w:color w:val="auto"/>
              </w:rPr>
            </w:pPr>
          </w:p>
        </w:tc>
        <w:tc>
          <w:tcPr>
            <w:tcW w:w="212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40" w:type="dxa"/>
            <w:vAlign w:val="bottom"/>
          </w:tcPr>
          <w:p>
            <w:pPr>
              <w:spacing w:after="0"/>
              <w:rPr>
                <w:sz w:val="9"/>
                <w:szCs w:val="9"/>
                <w:color w:val="auto"/>
              </w:rPr>
            </w:pPr>
          </w:p>
        </w:tc>
        <w:tc>
          <w:tcPr>
            <w:tcW w:w="2380" w:type="dxa"/>
            <w:vAlign w:val="bottom"/>
            <w:vMerge w:val="continue"/>
          </w:tcPr>
          <w:p>
            <w:pPr>
              <w:spacing w:after="0"/>
              <w:rPr>
                <w:sz w:val="9"/>
                <w:szCs w:val="9"/>
                <w:color w:val="auto"/>
              </w:rPr>
            </w:pPr>
          </w:p>
        </w:tc>
        <w:tc>
          <w:tcPr>
            <w:tcW w:w="18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940" w:type="dxa"/>
            <w:vAlign w:val="bottom"/>
          </w:tcPr>
          <w:p>
            <w:pPr>
              <w:jc w:val="center"/>
              <w:ind w:right="34"/>
              <w:spacing w:after="0"/>
              <w:rPr>
                <w:sz w:val="20"/>
                <w:szCs w:val="20"/>
                <w:color w:val="auto"/>
              </w:rPr>
            </w:pPr>
            <w:r>
              <w:rPr>
                <w:rFonts w:ascii="Arial" w:cs="Arial" w:eastAsia="Arial" w:hAnsi="Arial"/>
                <w:sz w:val="17"/>
                <w:szCs w:val="17"/>
                <w:color w:val="auto"/>
              </w:rPr>
              <w:t>3</w:t>
            </w:r>
          </w:p>
        </w:tc>
        <w:tc>
          <w:tcPr>
            <w:tcW w:w="2380" w:type="dxa"/>
            <w:vAlign w:val="bottom"/>
          </w:tcPr>
          <w:p>
            <w:pPr>
              <w:jc w:val="center"/>
              <w:ind w:right="34"/>
              <w:spacing w:after="0"/>
              <w:rPr>
                <w:sz w:val="20"/>
                <w:szCs w:val="20"/>
                <w:color w:val="auto"/>
              </w:rPr>
            </w:pPr>
            <w:r>
              <w:rPr>
                <w:rFonts w:ascii="Arial" w:cs="Arial" w:eastAsia="Arial" w:hAnsi="Arial"/>
                <w:sz w:val="17"/>
                <w:szCs w:val="17"/>
                <w:color w:val="auto"/>
                <w:w w:val="91"/>
              </w:rPr>
              <w:t>&lt;1.00:1.00</w:t>
            </w:r>
          </w:p>
        </w:tc>
        <w:tc>
          <w:tcPr>
            <w:tcW w:w="1840" w:type="dxa"/>
            <w:vAlign w:val="bottom"/>
          </w:tcPr>
          <w:p>
            <w:pPr>
              <w:jc w:val="center"/>
              <w:ind w:right="74"/>
              <w:spacing w:after="0"/>
              <w:rPr>
                <w:sz w:val="20"/>
                <w:szCs w:val="20"/>
                <w:color w:val="auto"/>
              </w:rPr>
            </w:pPr>
            <w:r>
              <w:rPr>
                <w:rFonts w:ascii="Arial" w:cs="Arial" w:eastAsia="Arial" w:hAnsi="Arial"/>
                <w:sz w:val="17"/>
                <w:szCs w:val="17"/>
                <w:color w:val="auto"/>
                <w:w w:val="91"/>
              </w:rPr>
              <w:t>0.25%</w:t>
            </w:r>
          </w:p>
        </w:tc>
        <w:tc>
          <w:tcPr>
            <w:tcW w:w="2120" w:type="dxa"/>
            <w:vAlign w:val="bottom"/>
          </w:tcPr>
          <w:p>
            <w:pPr>
              <w:jc w:val="center"/>
              <w:ind w:left="34"/>
              <w:spacing w:after="0"/>
              <w:rPr>
                <w:sz w:val="20"/>
                <w:szCs w:val="20"/>
                <w:color w:val="auto"/>
              </w:rPr>
            </w:pPr>
            <w:r>
              <w:rPr>
                <w:rFonts w:ascii="Arial" w:cs="Arial" w:eastAsia="Arial" w:hAnsi="Arial"/>
                <w:sz w:val="17"/>
                <w:szCs w:val="17"/>
                <w:color w:val="auto"/>
                <w:w w:val="91"/>
              </w:rPr>
              <w:t>1.50%</w:t>
            </w:r>
          </w:p>
        </w:tc>
        <w:tc>
          <w:tcPr>
            <w:tcW w:w="2280" w:type="dxa"/>
            <w:vAlign w:val="bottom"/>
          </w:tcPr>
          <w:p>
            <w:pPr>
              <w:jc w:val="center"/>
              <w:spacing w:after="0"/>
              <w:rPr>
                <w:sz w:val="20"/>
                <w:szCs w:val="20"/>
                <w:color w:val="auto"/>
              </w:rPr>
            </w:pPr>
            <w:r>
              <w:rPr>
                <w:rFonts w:ascii="Arial" w:cs="Arial" w:eastAsia="Arial" w:hAnsi="Arial"/>
                <w:sz w:val="17"/>
                <w:szCs w:val="17"/>
                <w:color w:val="auto"/>
                <w:w w:val="91"/>
              </w:rPr>
              <w:t>1.50%</w:t>
            </w:r>
          </w:p>
        </w:tc>
        <w:tc>
          <w:tcPr>
            <w:tcW w:w="1400" w:type="dxa"/>
            <w:vAlign w:val="bottom"/>
          </w:tcPr>
          <w:p>
            <w:pPr>
              <w:jc w:val="center"/>
              <w:ind w:left="154"/>
              <w:spacing w:after="0"/>
              <w:rPr>
                <w:sz w:val="20"/>
                <w:szCs w:val="20"/>
                <w:color w:val="auto"/>
              </w:rPr>
            </w:pPr>
            <w:r>
              <w:rPr>
                <w:rFonts w:ascii="Arial" w:cs="Arial" w:eastAsia="Arial" w:hAnsi="Arial"/>
                <w:sz w:val="17"/>
                <w:szCs w:val="17"/>
                <w:color w:val="auto"/>
                <w:w w:val="91"/>
              </w:rPr>
              <w:t>0.50%</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ind w:firstLine="763"/>
        <w:spacing w:after="0" w:line="248" w:lineRule="auto"/>
        <w:rPr>
          <w:sz w:val="20"/>
          <w:szCs w:val="20"/>
          <w:color w:val="auto"/>
        </w:rPr>
      </w:pPr>
      <w:r>
        <w:rPr>
          <w:rFonts w:ascii="Arial" w:cs="Arial" w:eastAsia="Arial" w:hAnsi="Arial"/>
          <w:sz w:val="17"/>
          <w:szCs w:val="17"/>
          <w:color w:val="auto"/>
        </w:rPr>
        <w:t xml:space="preserve">Any increase or decrease in the Applicable Rate resulting from a change in the Consolidated Leverage Ratio shall become effective as of the first Business Day immediately following the date a Compliance Certificate indicating a Consolidated Leverage Ratio that results in such increase or decrease is delivered pursuant to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a Compliance Certificate is not delivered when due in accordance with such Section, then, upon the request of the Required Lenders, Pricing Tier 1 shall apply as of the first Business Day after the date on which such Compliance Certificate was required to have been delivered and shall continue to apply until the first Business Day immediately following the date a Compliance Certificate is delivered in accordance with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whereupon the Applicable Rate shall be adjusted based upon the calculation of the Consolidated Leverage Ratio contained in such Compliance Certificate. Notwithstanding anything to the contrary contained in this definition, the determination of the Applicable Rate for any period shall be subject to the provisions of </w:t>
      </w:r>
      <w:r>
        <w:rPr>
          <w:rFonts w:ascii="Arial" w:cs="Arial" w:eastAsia="Arial" w:hAnsi="Arial"/>
          <w:sz w:val="17"/>
          <w:szCs w:val="17"/>
          <w:u w:val="single" w:color="auto"/>
          <w:color w:val="auto"/>
        </w:rPr>
        <w:t>Section 2.10(b)</w:t>
      </w:r>
      <w:r>
        <w:rPr>
          <w:rFonts w:ascii="Arial" w:cs="Arial" w:eastAsia="Arial" w:hAnsi="Arial"/>
          <w:sz w:val="17"/>
          <w:szCs w:val="17"/>
          <w:color w:val="auto"/>
        </w:rPr>
        <w:t>.</w:t>
      </w:r>
    </w:p>
    <w:p>
      <w:pPr>
        <w:spacing w:after="0" w:line="166" w:lineRule="exact"/>
        <w:rPr>
          <w:sz w:val="20"/>
          <w:szCs w:val="20"/>
          <w:color w:val="auto"/>
        </w:rPr>
      </w:pPr>
    </w:p>
    <w:p>
      <w:pPr>
        <w:jc w:val="both"/>
        <w:ind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Revolving Credit Percentage</w:t>
      </w:r>
      <w:r>
        <w:rPr>
          <w:rFonts w:ascii="Arial" w:cs="Arial" w:eastAsia="Arial" w:hAnsi="Arial"/>
          <w:sz w:val="17"/>
          <w:szCs w:val="17"/>
          <w:color w:val="auto"/>
        </w:rPr>
        <w:t>” means with respect to any Revolving Credit Lender, at any time, such Revolving Credit Lender’s Applicable Percentage in respect of the Revolving Credit Facility at such time.</w:t>
      </w:r>
    </w:p>
    <w:p>
      <w:pPr>
        <w:spacing w:after="0" w:line="145" w:lineRule="exact"/>
        <w:rPr>
          <w:sz w:val="20"/>
          <w:szCs w:val="20"/>
          <w:color w:val="auto"/>
        </w:rPr>
      </w:pPr>
    </w:p>
    <w:p>
      <w:pPr>
        <w:jc w:val="both"/>
        <w:ind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Time</w:t>
      </w:r>
      <w:r>
        <w:rPr>
          <w:rFonts w:ascii="Arial" w:cs="Arial" w:eastAsia="Arial" w:hAnsi="Arial"/>
          <w:sz w:val="17"/>
          <w:szCs w:val="17"/>
          <w:color w:val="auto"/>
        </w:rPr>
        <w:t>” means, with respect to any Borrowings and payments in any Alternative Currency, the local time in the place of settlement for such Alternative Currency as may be determined by the Administrative Agent or the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40"/>
          </w:cols>
          <w:pgMar w:left="240" w:top="312" w:right="219" w:bottom="1440" w:gutter="0" w:footer="0" w:header="0"/>
        </w:sectPr>
      </w:pPr>
    </w:p>
    <w:bookmarkStart w:id="13" w:name="page14"/>
    <w:bookmarkEnd w:id="13"/>
    <w:p>
      <w:pPr>
        <w:spacing w:after="0"/>
        <w:rPr>
          <w:sz w:val="20"/>
          <w:szCs w:val="20"/>
          <w:color w:val="auto"/>
        </w:rPr>
      </w:pPr>
      <w:r>
        <w:rPr>
          <w:rFonts w:ascii="Arial" w:cs="Arial" w:eastAsia="Arial" w:hAnsi="Arial"/>
          <w:sz w:val="15"/>
          <w:szCs w:val="15"/>
          <w:color w:val="auto"/>
        </w:rPr>
        <w:t>L/C Issuer, as the case may be, to be necessary for timely settlement on the relevant date in accordance with normal banking procedures in the place of payment.</w:t>
      </w:r>
    </w:p>
    <w:p>
      <w:pPr>
        <w:spacing w:after="0" w:line="214" w:lineRule="exact"/>
        <w:rPr>
          <w:sz w:val="20"/>
          <w:szCs w:val="20"/>
          <w:color w:val="auto"/>
        </w:rPr>
      </w:pPr>
    </w:p>
    <w:p>
      <w:pPr>
        <w:jc w:val="both"/>
        <w:ind w:right="20" w:firstLine="763"/>
        <w:spacing w:after="0" w:line="24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Appropriate Lender</w:t>
      </w:r>
      <w:r>
        <w:rPr>
          <w:rFonts w:ascii="Arial" w:cs="Arial" w:eastAsia="Arial" w:hAnsi="Arial"/>
          <w:sz w:val="17"/>
          <w:szCs w:val="17"/>
          <w:color w:val="auto"/>
        </w:rPr>
        <w:t xml:space="preserve">” means, at any time, (a) with respect to any of the Company Term Facility, the Gentherm Germany Term Facility, an Add-On Company Term Facility or the Revolving Credit Facility, a Lender that has a Commitment with respect to such Facility or holds a Company Term Loan, a Gentherm Germany Term Loan, an Add-On Company Term Loan in respect of the applicable Add-On Company Term Facility or a Revolving Credit Loan, respectively, at such time, (b) with respect to the Letter of Credit Sublimit, (i) the L/C Issuer and (ii) if any Letters of Credit have been issued pursuant to </w:t>
      </w:r>
      <w:r>
        <w:rPr>
          <w:rFonts w:ascii="Arial" w:cs="Arial" w:eastAsia="Arial" w:hAnsi="Arial"/>
          <w:sz w:val="17"/>
          <w:szCs w:val="17"/>
          <w:u w:val="single" w:color="auto"/>
          <w:color w:val="auto"/>
        </w:rPr>
        <w:t>Section 2.03(a)</w:t>
      </w:r>
      <w:r>
        <w:rPr>
          <w:rFonts w:ascii="Arial" w:cs="Arial" w:eastAsia="Arial" w:hAnsi="Arial"/>
          <w:sz w:val="17"/>
          <w:szCs w:val="17"/>
          <w:color w:val="auto"/>
        </w:rPr>
        <w:t xml:space="preserve">, the Revolving Credit Lenders and (c) with respect to the Swing Line Sublimit, (i) the Swing Line Lender and (ii) if any Swing Line Loans are outstanding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2.04(a)</w:t>
      </w:r>
      <w:r>
        <w:rPr>
          <w:rFonts w:ascii="Arial" w:cs="Arial" w:eastAsia="Arial" w:hAnsi="Arial"/>
          <w:sz w:val="17"/>
          <w:szCs w:val="17"/>
          <w:color w:val="auto"/>
        </w:rPr>
        <w:t>, the Revolving Credit Lenders.</w:t>
      </w:r>
    </w:p>
    <w:p>
      <w:pPr>
        <w:spacing w:after="0" w:line="166"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Fund</w:t>
      </w:r>
      <w:r>
        <w:rPr>
          <w:rFonts w:ascii="Arial" w:cs="Arial" w:eastAsia="Arial" w:hAnsi="Arial"/>
          <w:sz w:val="17"/>
          <w:szCs w:val="17"/>
          <w:color w:val="auto"/>
        </w:rPr>
        <w:t>” means any Fund that is administered or managed by (a) a Lender, (b) an Affiliate of a Lender or (c) an entity or an Affiliate of an entity that administers or manages a Lender.</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Arranger</w:t>
      </w:r>
      <w:r>
        <w:rPr>
          <w:rFonts w:ascii="Arial" w:cs="Arial" w:eastAsia="Arial" w:hAnsi="Arial"/>
          <w:sz w:val="17"/>
          <w:szCs w:val="17"/>
          <w:color w:val="auto"/>
        </w:rPr>
        <w:t>” means Merrill Lynch, Pierce, Fenner &amp; Smith Incorporated, in its capacity as sole lead arranger and sole book runner.</w:t>
      </w:r>
    </w:p>
    <w:p>
      <w:pPr>
        <w:spacing w:after="0" w:line="191" w:lineRule="exact"/>
        <w:rPr>
          <w:sz w:val="20"/>
          <w:szCs w:val="20"/>
          <w:color w:val="auto"/>
        </w:rPr>
      </w:pPr>
    </w:p>
    <w:p>
      <w:pPr>
        <w:jc w:val="both"/>
        <w:ind w:firstLine="7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means an assignment and assumption entered into by a Lender and an Eligible Assignee (with the consent of any party whose consent is required by </w:t>
      </w:r>
      <w:r>
        <w:rPr>
          <w:rFonts w:ascii="Arial" w:cs="Arial" w:eastAsia="Arial" w:hAnsi="Arial"/>
          <w:sz w:val="17"/>
          <w:szCs w:val="17"/>
          <w:u w:val="single" w:color="auto"/>
          <w:color w:val="auto"/>
        </w:rPr>
        <w:t>Section 11.06(b)</w:t>
      </w:r>
      <w:r>
        <w:rPr>
          <w:rFonts w:ascii="Arial" w:cs="Arial" w:eastAsia="Arial" w:hAnsi="Arial"/>
          <w:sz w:val="17"/>
          <w:szCs w:val="17"/>
          <w:color w:val="auto"/>
        </w:rPr>
        <w:t xml:space="preserve">), and accepted by the Administrative Agent, in substantially the form of </w:t>
      </w:r>
      <w:r>
        <w:rPr>
          <w:rFonts w:ascii="Arial" w:cs="Arial" w:eastAsia="Arial" w:hAnsi="Arial"/>
          <w:sz w:val="17"/>
          <w:szCs w:val="17"/>
          <w:u w:val="single" w:color="auto"/>
          <w:color w:val="auto"/>
        </w:rPr>
        <w:t>Exhibit E-1</w:t>
      </w:r>
      <w:r>
        <w:rPr>
          <w:rFonts w:ascii="Arial" w:cs="Arial" w:eastAsia="Arial" w:hAnsi="Arial"/>
          <w:sz w:val="17"/>
          <w:szCs w:val="17"/>
          <w:color w:val="auto"/>
        </w:rPr>
        <w:t xml:space="preserve"> or any other form (including an electronic documentation form generated by use of an electronic platform) approved by the Administrative Agent.</w:t>
      </w:r>
    </w:p>
    <w:p>
      <w:pPr>
        <w:spacing w:after="0" w:line="157" w:lineRule="exact"/>
        <w:rPr>
          <w:sz w:val="20"/>
          <w:szCs w:val="20"/>
          <w:color w:val="auto"/>
        </w:rPr>
      </w:pPr>
    </w:p>
    <w:p>
      <w:pPr>
        <w:jc w:val="both"/>
        <w:ind w:firstLine="763"/>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Attributable Indebtedness</w:t>
      </w:r>
      <w:r>
        <w:rPr>
          <w:rFonts w:ascii="Arial" w:cs="Arial" w:eastAsia="Arial" w:hAnsi="Arial"/>
          <w:sz w:val="17"/>
          <w:szCs w:val="17"/>
          <w:color w:val="auto"/>
        </w:rPr>
        <w:t>” means, on any date, (a) in respect of any Capitalized Lease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and (c) all Synthetic Debt of such Person.</w:t>
      </w:r>
    </w:p>
    <w:p>
      <w:pPr>
        <w:spacing w:after="0" w:line="162" w:lineRule="exact"/>
        <w:rPr>
          <w:sz w:val="20"/>
          <w:szCs w:val="20"/>
          <w:color w:val="auto"/>
        </w:rPr>
      </w:pPr>
    </w:p>
    <w:p>
      <w:pPr>
        <w:jc w:val="both"/>
        <w:ind w:firstLine="7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Audited Financial Statements</w:t>
      </w:r>
      <w:r>
        <w:rPr>
          <w:rFonts w:ascii="Arial" w:cs="Arial" w:eastAsia="Arial" w:hAnsi="Arial"/>
          <w:sz w:val="17"/>
          <w:szCs w:val="17"/>
          <w:color w:val="auto"/>
        </w:rPr>
        <w:t>” means the audited consolidated balance sheet of the Company and its Subsidiaries for the fiscal year ended December 31, 2013, and the related consolidated statements of income or operations, shareholders’ equity and cash flows for such fiscal year of the Company and its Subsidiaries, including the notes thereto.</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Auditor’s Determination</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2.14(d)</w:t>
      </w:r>
      <w:r>
        <w:rPr>
          <w:rFonts w:ascii="Arial" w:cs="Arial" w:eastAsia="Arial" w:hAnsi="Arial"/>
          <w:sz w:val="17"/>
          <w:szCs w:val="17"/>
          <w:color w:val="auto"/>
        </w:rPr>
        <w: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Auto-Extension Letter of Credit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2.03(b)(iii)</w:t>
      </w:r>
      <w:r>
        <w:rPr>
          <w:rFonts w:ascii="Arial" w:cs="Arial" w:eastAsia="Arial" w:hAnsi="Arial"/>
          <w:sz w:val="17"/>
          <w:szCs w:val="17"/>
          <w:color w:val="auto"/>
        </w:rPr>
        <w:t>.</w:t>
      </w:r>
    </w:p>
    <w:p>
      <w:pPr>
        <w:spacing w:after="0" w:line="191" w:lineRule="exact"/>
        <w:rPr>
          <w:sz w:val="20"/>
          <w:szCs w:val="20"/>
          <w:color w:val="auto"/>
        </w:rPr>
      </w:pPr>
    </w:p>
    <w:p>
      <w:pPr>
        <w:jc w:val="both"/>
        <w:ind w:firstLine="7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Availability Period</w:t>
      </w:r>
      <w:r>
        <w:rPr>
          <w:rFonts w:ascii="Arial" w:cs="Arial" w:eastAsia="Arial" w:hAnsi="Arial"/>
          <w:sz w:val="17"/>
          <w:szCs w:val="17"/>
          <w:color w:val="auto"/>
        </w:rPr>
        <w:t xml:space="preserve">” means the period from and including the Closing Date to the earliest of (a) the Maturity Date, (b) the date of termination of the Revolving Credit Commitments pursuant to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and (c) the date of termination of the commitment of each Lender to make Loans and of the obligation of the L/C Issuer to make L/C Credit Extensions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 of America</w:t>
      </w:r>
      <w:r>
        <w:rPr>
          <w:rFonts w:ascii="Arial" w:cs="Arial" w:eastAsia="Arial" w:hAnsi="Arial"/>
          <w:sz w:val="17"/>
          <w:szCs w:val="17"/>
          <w:color w:val="auto"/>
        </w:rPr>
        <w:t>” means Bank of America, N.A. and its successors.</w:t>
      </w:r>
    </w:p>
    <w:p>
      <w:pPr>
        <w:spacing w:after="0" w:line="191"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 of Nova Scotia/Global Credit Agreement</w:t>
      </w:r>
      <w:r>
        <w:rPr>
          <w:rFonts w:ascii="Arial" w:cs="Arial" w:eastAsia="Arial" w:hAnsi="Arial"/>
          <w:sz w:val="17"/>
          <w:szCs w:val="17"/>
          <w:color w:val="auto"/>
        </w:rPr>
        <w:t>” means that certain Second Amended and Restated Credit Agreement dated as of December 30, 2013, by and between Global and The Bank of Nova Scotia, as amended or otherwise modified.</w:t>
      </w:r>
    </w:p>
    <w:p>
      <w:pPr>
        <w:spacing w:after="0" w:line="145" w:lineRule="exact"/>
        <w:rPr>
          <w:sz w:val="20"/>
          <w:szCs w:val="20"/>
          <w:color w:val="auto"/>
        </w:rPr>
      </w:pPr>
    </w:p>
    <w:p>
      <w:pPr>
        <w:jc w:val="both"/>
        <w:ind w:firstLine="763"/>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xml:space="preserve">” means for any day a fluctuating rate per annum equal to the highest of (a) the Federal Funds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1/2 of 1%, (b) the rate of interest in effect for such day as publicly announced from time to time by Bank of America as its “prime rate,” and (c) the Eurocurrency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40"/>
          </w:cols>
          <w:pgMar w:left="240" w:top="312" w:right="219" w:bottom="1440" w:gutter="0" w:footer="0" w:header="0"/>
        </w:sectPr>
      </w:pPr>
    </w:p>
    <w:bookmarkStart w:id="14" w:name="page15"/>
    <w:bookmarkEnd w:id="14"/>
    <w:p>
      <w:pPr>
        <w:ind w:right="20"/>
        <w:spacing w:after="0" w:line="271" w:lineRule="auto"/>
        <w:rPr>
          <w:sz w:val="20"/>
          <w:szCs w:val="20"/>
          <w:color w:val="auto"/>
        </w:rPr>
      </w:pPr>
      <w:r>
        <w:rPr>
          <w:rFonts w:ascii="Arial" w:cs="Arial" w:eastAsia="Arial" w:hAnsi="Arial"/>
          <w:sz w:val="17"/>
          <w:szCs w:val="17"/>
          <w:color w:val="auto"/>
        </w:rPr>
        <w:t>Any change in such prime rate announced by Bank of America shall take effect at the opening of business on the day specified in the public announcement of such change.</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 Loan</w:t>
      </w:r>
      <w:r>
        <w:rPr>
          <w:rFonts w:ascii="Arial" w:cs="Arial" w:eastAsia="Arial" w:hAnsi="Arial"/>
          <w:sz w:val="17"/>
          <w:szCs w:val="17"/>
          <w:color w:val="auto"/>
        </w:rPr>
        <w:t>” means a Loan that bears interest based on the Base Rate. All Base Rate Loans shall be denominated in Dollars.</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w:t>
      </w:r>
      <w:r>
        <w:rPr>
          <w:rFonts w:ascii="Arial" w:cs="Arial" w:eastAsia="Arial" w:hAnsi="Arial"/>
          <w:sz w:val="17"/>
          <w:szCs w:val="17"/>
          <w:color w:val="auto"/>
        </w:rPr>
        <w:t>” and “</w:t>
      </w:r>
      <w:r>
        <w:rPr>
          <w:rFonts w:ascii="Arial" w:cs="Arial" w:eastAsia="Arial" w:hAnsi="Arial"/>
          <w:sz w:val="17"/>
          <w:szCs w:val="17"/>
          <w:u w:val="single" w:color="auto"/>
          <w:color w:val="auto"/>
        </w:rPr>
        <w:t>Borrowers</w:t>
      </w:r>
      <w:r>
        <w:rPr>
          <w:rFonts w:ascii="Arial" w:cs="Arial" w:eastAsia="Arial" w:hAnsi="Arial"/>
          <w:sz w:val="17"/>
          <w:szCs w:val="17"/>
          <w:color w:val="auto"/>
        </w:rPr>
        <w:t>” each has the meaning specified in the introductory paragraph hereto.</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 Materials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6.02</w:t>
      </w:r>
      <w:r>
        <w:rPr>
          <w:rFonts w:ascii="Arial" w:cs="Arial" w:eastAsia="Arial" w:hAnsi="Arial"/>
          <w:sz w:val="17"/>
          <w:szCs w:val="17"/>
          <w:color w:val="auto"/>
        </w:rPr>
        <w:t>.</w:t>
      </w:r>
    </w:p>
    <w:p>
      <w:pPr>
        <w:spacing w:after="0" w:line="191" w:lineRule="exact"/>
        <w:rPr>
          <w:sz w:val="20"/>
          <w:szCs w:val="20"/>
          <w:color w:val="auto"/>
        </w:rPr>
      </w:pPr>
    </w:p>
    <w:p>
      <w:pPr>
        <w:ind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w:t>
      </w:r>
      <w:r>
        <w:rPr>
          <w:rFonts w:ascii="Arial" w:cs="Arial" w:eastAsia="Arial" w:hAnsi="Arial"/>
          <w:sz w:val="17"/>
          <w:szCs w:val="17"/>
          <w:color w:val="auto"/>
        </w:rPr>
        <w:t>” means a Revolving Credit Borrowing, a Swing Line Borrowing, an Add-On Company Term Borrowing, a Company Term Borrowing or a Gentherm Germany Term Borrowing, as the context may require.</w:t>
      </w:r>
    </w:p>
    <w:p>
      <w:pPr>
        <w:spacing w:after="0" w:line="145" w:lineRule="exact"/>
        <w:rPr>
          <w:sz w:val="20"/>
          <w:szCs w:val="20"/>
          <w:color w:val="auto"/>
        </w:rPr>
      </w:pPr>
    </w:p>
    <w:p>
      <w:pPr>
        <w:ind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and:</w:t>
      </w:r>
    </w:p>
    <w:p>
      <w:pPr>
        <w:spacing w:after="0" w:line="145" w:lineRule="exact"/>
        <w:rPr>
          <w:sz w:val="20"/>
          <w:szCs w:val="20"/>
          <w:color w:val="auto"/>
        </w:rPr>
      </w:pPr>
    </w:p>
    <w:p>
      <w:pPr>
        <w:jc w:val="both"/>
        <w:ind w:left="760" w:right="20" w:firstLine="709"/>
        <w:spacing w:after="0" w:line="281" w:lineRule="auto"/>
        <w:tabs>
          <w:tab w:leader="none" w:pos="1736"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means any such day that is also a London Banking Day;</w:t>
      </w:r>
    </w:p>
    <w:p>
      <w:pPr>
        <w:spacing w:after="0" w:line="139" w:lineRule="exact"/>
        <w:rPr>
          <w:rFonts w:ascii="Arial" w:cs="Arial" w:eastAsia="Arial" w:hAnsi="Arial"/>
          <w:sz w:val="16"/>
          <w:szCs w:val="16"/>
          <w:color w:val="auto"/>
        </w:rPr>
      </w:pPr>
    </w:p>
    <w:p>
      <w:pPr>
        <w:jc w:val="both"/>
        <w:ind w:left="760" w:right="20" w:firstLine="709"/>
        <w:spacing w:after="0" w:line="257" w:lineRule="auto"/>
        <w:tabs>
          <w:tab w:leader="none" w:pos="1753"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such day relates to any interest rate settings as to a Eurocurrency Rate Loan denominated in Euro, any fundings, disbursements, settlements and payments in Euro in respect of any such Eurocurrency Rate Loan, or any other dealings in Euro to be carried out pursuant to this Agreement in respect of any such Eurocurrency Rate Loan, means a TARGET Day;</w:t>
      </w:r>
    </w:p>
    <w:p>
      <w:pPr>
        <w:spacing w:after="0" w:line="157" w:lineRule="exact"/>
        <w:rPr>
          <w:rFonts w:ascii="Arial" w:cs="Arial" w:eastAsia="Arial" w:hAnsi="Arial"/>
          <w:sz w:val="17"/>
          <w:szCs w:val="17"/>
          <w:color w:val="auto"/>
        </w:rPr>
      </w:pPr>
    </w:p>
    <w:p>
      <w:pPr>
        <w:jc w:val="both"/>
        <w:ind w:left="760" w:right="20" w:firstLine="709"/>
        <w:spacing w:after="0" w:line="257" w:lineRule="auto"/>
        <w:tabs>
          <w:tab w:leader="none" w:pos="1711"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such day relates to any interest rate settings as to a Eurocurrency Rate Loan denominated in a currency other than Dollars or Euro, means any such day on which dealings in deposits in the relevant currency are conducted by and between banks in the London or other applicable interbank market for such currency; and</w:t>
      </w:r>
    </w:p>
    <w:p>
      <w:pPr>
        <w:spacing w:after="0" w:line="157" w:lineRule="exact"/>
        <w:rPr>
          <w:rFonts w:ascii="Arial" w:cs="Arial" w:eastAsia="Arial" w:hAnsi="Arial"/>
          <w:sz w:val="17"/>
          <w:szCs w:val="17"/>
          <w:color w:val="auto"/>
        </w:rPr>
      </w:pPr>
    </w:p>
    <w:p>
      <w:pPr>
        <w:jc w:val="both"/>
        <w:ind w:left="760" w:firstLine="709"/>
        <w:spacing w:after="0" w:line="253" w:lineRule="auto"/>
        <w:tabs>
          <w:tab w:leader="none" w:pos="1743"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such day relates to any fundings, disbursements, settlements and payments in a currency other than Dollars or Euro in respect of a Eurocurrency Rate Loan denominated in a currency other than Dollars or Euro, or any other dealings in any currency other than Dollars or Euro to be carried out pursuant to this Agreement in respect of any such Eurocurrency Rate Loan (other than any interest rate settings), means any such day on which banks are open for foreign exchange business in the principal financial center of the country of such currency.</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Borrowers</w:t>
      </w:r>
      <w:r>
        <w:rPr>
          <w:rFonts w:ascii="Arial" w:cs="Arial" w:eastAsia="Arial" w:hAnsi="Arial"/>
          <w:sz w:val="17"/>
          <w:szCs w:val="17"/>
          <w:color w:val="auto"/>
        </w:rPr>
        <w:t>” has the meaning specified in the introductory paragraph hereto.</w:t>
      </w:r>
    </w:p>
    <w:p>
      <w:pPr>
        <w:spacing w:after="0" w:line="191"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Borrower Sublimit</w:t>
      </w:r>
      <w:r>
        <w:rPr>
          <w:rFonts w:ascii="Arial" w:cs="Arial" w:eastAsia="Arial" w:hAnsi="Arial"/>
          <w:sz w:val="17"/>
          <w:szCs w:val="17"/>
          <w:color w:val="auto"/>
        </w:rPr>
        <w:t>” means an amount equal to the lesser of (a) $10,000,000 and (b) the Revolving Credit Facility. The Canadian Borrower Sublimit is part of, and not in addition to, the Revolving Credit Facility.</w:t>
      </w:r>
    </w:p>
    <w:p>
      <w:pPr>
        <w:spacing w:after="0" w:line="145" w:lineRule="exact"/>
        <w:rPr>
          <w:sz w:val="20"/>
          <w:szCs w:val="20"/>
          <w:color w:val="auto"/>
        </w:rPr>
      </w:pPr>
    </w:p>
    <w:p>
      <w:pPr>
        <w:jc w:val="both"/>
        <w:ind w:firstLine="7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Defined Benefit Pension Plan</w:t>
      </w:r>
      <w:r>
        <w:rPr>
          <w:rFonts w:ascii="Arial" w:cs="Arial" w:eastAsia="Arial" w:hAnsi="Arial"/>
          <w:sz w:val="17"/>
          <w:szCs w:val="17"/>
          <w:color w:val="auto"/>
        </w:rPr>
        <w:t>” means a Foreign Plan that is subject to the Pension Benefits Act (Ontario) or any other similar legislation in any other jurisdiction of Canada that contains or has ever contained a “defined benefit provision” as such term is defined in Section 147.1(1) of the Income Tax Act (Canada).</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Dollar</w:t>
      </w:r>
      <w:r>
        <w:rPr>
          <w:rFonts w:ascii="Arial" w:cs="Arial" w:eastAsia="Arial" w:hAnsi="Arial"/>
          <w:sz w:val="17"/>
          <w:szCs w:val="17"/>
          <w:color w:val="auto"/>
        </w:rPr>
        <w:t>” and “</w:t>
      </w:r>
      <w:r>
        <w:rPr>
          <w:rFonts w:ascii="Arial" w:cs="Arial" w:eastAsia="Arial" w:hAnsi="Arial"/>
          <w:sz w:val="17"/>
          <w:szCs w:val="17"/>
          <w:u w:val="single" w:color="auto"/>
          <w:color w:val="auto"/>
        </w:rPr>
        <w:t>CAD</w:t>
      </w:r>
      <w:r>
        <w:rPr>
          <w:rFonts w:ascii="Arial" w:cs="Arial" w:eastAsia="Arial" w:hAnsi="Arial"/>
          <w:sz w:val="17"/>
          <w:szCs w:val="17"/>
          <w:color w:val="auto"/>
        </w:rPr>
        <w:t>” means the lawful currency of Canada.</w:t>
      </w:r>
    </w:p>
    <w:p>
      <w:pPr>
        <w:spacing w:after="0" w:line="191" w:lineRule="exact"/>
        <w:rPr>
          <w:sz w:val="20"/>
          <w:szCs w:val="20"/>
          <w:color w:val="auto"/>
        </w:rPr>
      </w:pPr>
    </w:p>
    <w:p>
      <w:pPr>
        <w:jc w:val="both"/>
        <w:ind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Expenditures</w:t>
      </w:r>
      <w:r>
        <w:rPr>
          <w:rFonts w:ascii="Arial" w:cs="Arial" w:eastAsia="Arial" w:hAnsi="Arial"/>
          <w:sz w:val="17"/>
          <w:szCs w:val="17"/>
          <w:color w:val="auto"/>
        </w:rPr>
        <w:t>” means, with respect to any Person for any period, any expenditure in respect of the purchase or other acquisition of any fixed or capital asset (excluding normal replacements and maintenance which are properly charged to current operations).</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Capitalized Leases</w:t>
      </w:r>
      <w:r>
        <w:rPr>
          <w:rFonts w:ascii="Arial" w:cs="Arial" w:eastAsia="Arial" w:hAnsi="Arial"/>
          <w:sz w:val="17"/>
          <w:szCs w:val="17"/>
          <w:color w:val="auto"/>
        </w:rPr>
        <w:t>” means all leases that have been or should be, in accordance with GAAP, recorded as capitalized leases.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40"/>
          </w:cols>
          <w:pgMar w:left="240" w:top="312" w:right="219" w:bottom="1440" w:gutter="0" w:footer="0" w:header="0"/>
        </w:sectPr>
      </w:pPr>
    </w:p>
    <w:bookmarkStart w:id="15" w:name="page16"/>
    <w:bookmarkEnd w:id="15"/>
    <w:p>
      <w:pPr>
        <w:jc w:val="both"/>
        <w:ind w:firstLine="763"/>
        <w:spacing w:after="0" w:line="24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Collateralize</w:t>
      </w:r>
      <w:r>
        <w:rPr>
          <w:rFonts w:ascii="Arial" w:cs="Arial" w:eastAsia="Arial" w:hAnsi="Arial"/>
          <w:sz w:val="17"/>
          <w:szCs w:val="17"/>
          <w:color w:val="auto"/>
        </w:rPr>
        <w:t>” means to pledge and deposit with or deliver to the Administrative Agent, for the benefit of the Administrative Agent, L/C Issuer or Swing Line Lender (as applicable) and the Lenders, as collateral for L/C Obligations, Obligations in respect of Swing Line Loans, or obligations of Lenders to fund participations in respect of either thereof (as the context may require), cash or deposit account balances or, if the L/C Issuer or Swing Line Lender benefitting from such collateral shall agree in its sole discretion, other credit support, in each case pursuant to documentation in form and substance reasonably satisfactory to (a) the Administrative Agent and (b) the L/C Issuer or the Swing Line Lender (as applicable). “</w:t>
      </w:r>
      <w:r>
        <w:rPr>
          <w:rFonts w:ascii="Arial" w:cs="Arial" w:eastAsia="Arial" w:hAnsi="Arial"/>
          <w:sz w:val="17"/>
          <w:szCs w:val="17"/>
          <w:u w:val="single" w:color="auto"/>
          <w:color w:val="auto"/>
        </w:rPr>
        <w:t>Cash Collateral</w:t>
      </w:r>
      <w:r>
        <w:rPr>
          <w:rFonts w:ascii="Arial" w:cs="Arial" w:eastAsia="Arial" w:hAnsi="Arial"/>
          <w:sz w:val="17"/>
          <w:szCs w:val="17"/>
          <w:color w:val="auto"/>
        </w:rPr>
        <w:t>” shall have a meaning correlative to the foregoing and shall include the proceeds of such cash collateral and other credit support.</w:t>
      </w:r>
    </w:p>
    <w:p>
      <w:pPr>
        <w:spacing w:after="0" w:line="166"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Equivalents</w:t>
      </w:r>
      <w:r>
        <w:rPr>
          <w:rFonts w:ascii="Arial" w:cs="Arial" w:eastAsia="Arial" w:hAnsi="Arial"/>
          <w:sz w:val="17"/>
          <w:szCs w:val="17"/>
          <w:color w:val="auto"/>
        </w:rPr>
        <w:t>” means any of the following types of Investments, to the extent owned by the Company or any of its Material Subsidiaries free and clear of all Liens (other than Liens created under the Collateral Documents and other Liens permitted hereunder):</w:t>
      </w:r>
    </w:p>
    <w:p>
      <w:pPr>
        <w:spacing w:after="0" w:line="145" w:lineRule="exact"/>
        <w:rPr>
          <w:sz w:val="20"/>
          <w:szCs w:val="20"/>
          <w:color w:val="auto"/>
        </w:rPr>
      </w:pPr>
    </w:p>
    <w:p>
      <w:pPr>
        <w:jc w:val="both"/>
        <w:ind w:left="760" w:right="20" w:firstLine="709"/>
        <w:spacing w:after="0" w:line="257" w:lineRule="auto"/>
        <w:tabs>
          <w:tab w:leader="none" w:pos="1743"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readily marketable obligations issued or directly and fully guaranteed or insured by the United States of America or any agency or instrumentality thereof having maturities of not more than 360 days from the date of acquisition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full faith and credit of the United States of America is pledged in support thereof;</w:t>
      </w:r>
    </w:p>
    <w:p>
      <w:pPr>
        <w:spacing w:after="0" w:line="157" w:lineRule="exact"/>
        <w:rPr>
          <w:rFonts w:ascii="Arial" w:cs="Arial" w:eastAsia="Arial" w:hAnsi="Arial"/>
          <w:sz w:val="17"/>
          <w:szCs w:val="17"/>
          <w:color w:val="auto"/>
        </w:rPr>
      </w:pPr>
    </w:p>
    <w:p>
      <w:pPr>
        <w:jc w:val="both"/>
        <w:ind w:left="760" w:firstLine="709"/>
        <w:spacing w:after="0" w:line="270" w:lineRule="auto"/>
        <w:tabs>
          <w:tab w:leader="none" w:pos="1737"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time deposits with, or insured certificates of deposit or bankers’ acceptances of, any commercial bank that (i) (A) 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(ii) issues (or the parent of which issues) commercial paper rated as described in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this definition and (iii) has combined capital and surplus of at least $1,000,000,000, in each case, with maturities of not more than 90 days from the date of acquisition thereof;</w:t>
      </w:r>
    </w:p>
    <w:p>
      <w:pPr>
        <w:spacing w:after="0" w:line="148" w:lineRule="exact"/>
        <w:rPr>
          <w:rFonts w:ascii="Arial" w:cs="Arial" w:eastAsia="Arial" w:hAnsi="Arial"/>
          <w:sz w:val="16"/>
          <w:szCs w:val="16"/>
          <w:color w:val="auto"/>
        </w:rPr>
      </w:pPr>
    </w:p>
    <w:p>
      <w:pPr>
        <w:jc w:val="both"/>
        <w:ind w:left="760" w:firstLine="709"/>
        <w:spacing w:after="0" w:line="257" w:lineRule="auto"/>
        <w:tabs>
          <w:tab w:leader="none" w:pos="1715"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commercial paper issued by any Person organized under the laws of any state of the United States of America and rated at least “Prime-1” (or the then equivalent grade) by Moody’s or at least “A-1” (or the then equivalent grade) by S&amp;P, in each case, with maturities of not more than 180 days from the date of acquisition thereof; and</w:t>
      </w:r>
    </w:p>
    <w:p>
      <w:pPr>
        <w:spacing w:after="0" w:line="157" w:lineRule="exact"/>
        <w:rPr>
          <w:rFonts w:ascii="Arial" w:cs="Arial" w:eastAsia="Arial" w:hAnsi="Arial"/>
          <w:sz w:val="17"/>
          <w:szCs w:val="17"/>
          <w:color w:val="auto"/>
        </w:rPr>
      </w:pPr>
    </w:p>
    <w:p>
      <w:pPr>
        <w:jc w:val="both"/>
        <w:ind w:left="760" w:right="20" w:firstLine="709"/>
        <w:spacing w:after="0" w:line="253" w:lineRule="auto"/>
        <w:tabs>
          <w:tab w:leader="none" w:pos="1733"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Investments, classified in accordance with GAAP as current assets of the Company or any of its Material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of this definition.</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CDOR</w:t>
      </w:r>
      <w:r>
        <w:rPr>
          <w:rFonts w:ascii="Arial" w:cs="Arial" w:eastAsia="Arial" w:hAnsi="Arial"/>
          <w:sz w:val="17"/>
          <w:szCs w:val="17"/>
          <w:color w:val="auto"/>
        </w:rPr>
        <w:t>” and “</w:t>
      </w:r>
      <w:r>
        <w:rPr>
          <w:rFonts w:ascii="Arial" w:cs="Arial" w:eastAsia="Arial" w:hAnsi="Arial"/>
          <w:sz w:val="17"/>
          <w:szCs w:val="17"/>
          <w:u w:val="single" w:color="auto"/>
          <w:color w:val="auto"/>
        </w:rPr>
        <w:t>CDOR Rate</w:t>
      </w:r>
      <w:r>
        <w:rPr>
          <w:rFonts w:ascii="Arial" w:cs="Arial" w:eastAsia="Arial" w:hAnsi="Arial"/>
          <w:sz w:val="17"/>
          <w:szCs w:val="17"/>
          <w:color w:val="auto"/>
        </w:rPr>
        <w:t>” have the meanings specified in the definition of “Eurocurrency Rate”.</w:t>
      </w:r>
    </w:p>
    <w:p>
      <w:pPr>
        <w:spacing w:after="0" w:line="191" w:lineRule="exact"/>
        <w:rPr>
          <w:sz w:val="20"/>
          <w:szCs w:val="20"/>
          <w:color w:val="auto"/>
        </w:rPr>
      </w:pPr>
    </w:p>
    <w:p>
      <w:pPr>
        <w:jc w:val="both"/>
        <w:ind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CERCLIS</w:t>
      </w:r>
      <w:r>
        <w:rPr>
          <w:rFonts w:ascii="Arial" w:cs="Arial" w:eastAsia="Arial" w:hAnsi="Arial"/>
          <w:sz w:val="17"/>
          <w:szCs w:val="17"/>
          <w:color w:val="auto"/>
        </w:rPr>
        <w:t>” means the Comprehensive Environmental Response, Compensation and Liability Information System maintained by the U.S. Environmental Protection Agency.</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CFC</w:t>
      </w:r>
      <w:r>
        <w:rPr>
          <w:rFonts w:ascii="Arial" w:cs="Arial" w:eastAsia="Arial" w:hAnsi="Arial"/>
          <w:sz w:val="17"/>
          <w:szCs w:val="17"/>
          <w:color w:val="auto"/>
        </w:rPr>
        <w:t>” means a Person that is a controlled foreign corporation under Section 957 of the Code.</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CFC Holdco</w:t>
      </w:r>
      <w:r>
        <w:rPr>
          <w:rFonts w:ascii="Arial" w:cs="Arial" w:eastAsia="Arial" w:hAnsi="Arial"/>
          <w:sz w:val="17"/>
          <w:szCs w:val="17"/>
          <w:color w:val="auto"/>
        </w:rPr>
        <w:t>” means a Subsidiary all or substantially all the assets of which consist of Equity Interests in one or more CFC’s.</w:t>
      </w:r>
    </w:p>
    <w:p>
      <w:pPr>
        <w:spacing w:after="0" w:line="191" w:lineRule="exact"/>
        <w:rPr>
          <w:sz w:val="20"/>
          <w:szCs w:val="20"/>
          <w:color w:val="auto"/>
        </w:rPr>
      </w:pPr>
    </w:p>
    <w:p>
      <w:pPr>
        <w:jc w:val="both"/>
        <w:ind w:firstLine="763"/>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40"/>
          </w:cols>
          <w:pgMar w:left="240" w:top="312" w:right="21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authorities, in each case pursuant to Basel III, shall in each case be deemed to be a “Change in Law”, regardless of the date enacted, adopted or issued.</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an event or series of events by which:</w:t>
      </w:r>
    </w:p>
    <w:p>
      <w:pPr>
        <w:spacing w:after="0" w:line="191" w:lineRule="exact"/>
        <w:rPr>
          <w:sz w:val="20"/>
          <w:szCs w:val="20"/>
          <w:color w:val="auto"/>
        </w:rPr>
      </w:pPr>
    </w:p>
    <w:p>
      <w:pPr>
        <w:jc w:val="both"/>
        <w:ind w:left="760" w:firstLine="709"/>
        <w:spacing w:after="0" w:line="267" w:lineRule="auto"/>
        <w:tabs>
          <w:tab w:leader="none" w:pos="1723"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Arial" w:cs="Arial" w:eastAsia="Arial" w:hAnsi="Arial"/>
          <w:sz w:val="16"/>
          <w:szCs w:val="16"/>
          <w:u w:val="single" w:color="auto"/>
          <w:color w:val="auto"/>
        </w:rPr>
        <w:t>option right</w:t>
      </w:r>
      <w:r>
        <w:rPr>
          <w:rFonts w:ascii="Arial" w:cs="Arial" w:eastAsia="Arial" w:hAnsi="Arial"/>
          <w:sz w:val="16"/>
          <w:szCs w:val="16"/>
          <w:color w:val="auto"/>
        </w:rPr>
        <w:t>”)), directly or indirectly, of 25% or more of the equity securities of the Company entitled to vote for members of the board of directors or equivalent governing body of the Company on a fully-diluted basis (and taking into account all such securities that such person or group has the right to acquire pursuant to any option right);</w:t>
      </w:r>
    </w:p>
    <w:p>
      <w:pPr>
        <w:spacing w:after="0" w:line="149" w:lineRule="exact"/>
        <w:rPr>
          <w:rFonts w:ascii="Arial" w:cs="Arial" w:eastAsia="Arial" w:hAnsi="Arial"/>
          <w:sz w:val="16"/>
          <w:szCs w:val="16"/>
          <w:color w:val="auto"/>
        </w:rPr>
      </w:pPr>
    </w:p>
    <w:p>
      <w:pPr>
        <w:jc w:val="both"/>
        <w:ind w:left="760" w:firstLine="709"/>
        <w:spacing w:after="0" w:line="247" w:lineRule="auto"/>
        <w:tabs>
          <w:tab w:leader="none" w:pos="1723"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during any period of 12 consecutive months, a majority of the members of the board of directors or other equivalent governing body of the Company cease to be composed of individuals (i) who were members of that board or equivalent governing body on the first day of such period, (ii) whose election or nomination to that board or equivalent governing body was approved by individuals referred to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constituting at the time of such election or nomination at least a majority of that board or equivalent governing body (excluding, in the case of both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clause (iii)</w:t>
      </w:r>
      <w:r>
        <w:rPr>
          <w:rFonts w:ascii="Arial" w:cs="Arial" w:eastAsia="Arial" w:hAnsi="Arial"/>
          <w:sz w:val="17"/>
          <w:szCs w:val="17"/>
          <w:color w:val="auto"/>
        </w:rPr>
        <w:t>, any individual whose initial nomination for, or assumption of office as, a member of that board or equivalent governing body occurs as a result of an actual or threatened solicitation of proxies or consents for the election or removal of one or more directors by any person or group other than a solicitation for the election of one or more directors by or on behalf of the board of directors);</w:t>
      </w:r>
    </w:p>
    <w:p>
      <w:pPr>
        <w:spacing w:after="0" w:line="170" w:lineRule="exact"/>
        <w:rPr>
          <w:rFonts w:ascii="Arial" w:cs="Arial" w:eastAsia="Arial" w:hAnsi="Arial"/>
          <w:sz w:val="17"/>
          <w:szCs w:val="17"/>
          <w:color w:val="auto"/>
        </w:rPr>
      </w:pPr>
    </w:p>
    <w:p>
      <w:pPr>
        <w:jc w:val="both"/>
        <w:ind w:left="760" w:firstLine="709"/>
        <w:spacing w:after="0" w:line="270" w:lineRule="auto"/>
        <w:tabs>
          <w:tab w:leader="none" w:pos="1719"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Person or two or more Persons acting in concert shall have acquired by contract or otherwise, or shall have entered into a contract or arrangement that, upon consummation thereof, will result in its or their acquisition of the power to exercise, directly or indirectly, a controlling influence over the management or policies of the Company, or control over the equity securities of the Company entitled to vote for members of the board of directors or equivalent governing body of the Company on a fully-diluted basis (and taking into account all such securities that such Person or group has the right to acquire pursuant to any option right) representing 25% or more of the combined voting power of such securities; or</w:t>
      </w:r>
    </w:p>
    <w:p>
      <w:pPr>
        <w:spacing w:after="0" w:line="148" w:lineRule="exact"/>
        <w:rPr>
          <w:rFonts w:ascii="Arial" w:cs="Arial" w:eastAsia="Arial" w:hAnsi="Arial"/>
          <w:sz w:val="16"/>
          <w:szCs w:val="16"/>
          <w:color w:val="auto"/>
        </w:rPr>
      </w:pPr>
    </w:p>
    <w:p>
      <w:pPr>
        <w:ind w:left="1720" w:hanging="251"/>
        <w:spacing w:after="0"/>
        <w:tabs>
          <w:tab w:leader="none" w:pos="17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Company shall cease to own, directly or indirectly, 100% of the outstanding Equity Interests of Gentherm Germany and each other Loan</w:t>
      </w:r>
    </w:p>
    <w:p>
      <w:pPr>
        <w:spacing w:after="0" w:line="40" w:lineRule="exact"/>
        <w:rPr>
          <w:rFonts w:ascii="Arial" w:cs="Arial" w:eastAsia="Arial" w:hAnsi="Arial"/>
          <w:sz w:val="15"/>
          <w:szCs w:val="15"/>
          <w:color w:val="auto"/>
        </w:rPr>
      </w:pPr>
    </w:p>
    <w:p>
      <w:pPr>
        <w:ind w:left="760"/>
        <w:spacing w:after="0"/>
        <w:rPr>
          <w:rFonts w:ascii="Arial" w:cs="Arial" w:eastAsia="Arial" w:hAnsi="Arial"/>
          <w:sz w:val="15"/>
          <w:szCs w:val="15"/>
          <w:color w:val="auto"/>
        </w:rPr>
      </w:pPr>
      <w:r>
        <w:rPr>
          <w:rFonts w:ascii="Arial" w:cs="Arial" w:eastAsia="Arial" w:hAnsi="Arial"/>
          <w:sz w:val="17"/>
          <w:szCs w:val="17"/>
          <w:color w:val="auto"/>
        </w:rPr>
        <w:t>Party.</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Date</w:t>
      </w:r>
      <w:r>
        <w:rPr>
          <w:rFonts w:ascii="Arial" w:cs="Arial" w:eastAsia="Arial" w:hAnsi="Arial"/>
          <w:sz w:val="17"/>
          <w:szCs w:val="17"/>
          <w:color w:val="auto"/>
        </w:rPr>
        <w:t>” means August 7, 2014.</w:t>
      </w:r>
    </w:p>
    <w:p>
      <w:pPr>
        <w:spacing w:after="0" w:line="191" w:lineRule="exact"/>
        <w:rPr>
          <w:sz w:val="20"/>
          <w:szCs w:val="20"/>
          <w:color w:val="auto"/>
        </w:rPr>
      </w:pPr>
    </w:p>
    <w:p>
      <w:pPr>
        <w:jc w:val="both"/>
        <w:ind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Date Guaranty</w:t>
      </w:r>
      <w:r>
        <w:rPr>
          <w:rFonts w:ascii="Arial" w:cs="Arial" w:eastAsia="Arial" w:hAnsi="Arial"/>
          <w:sz w:val="17"/>
          <w:szCs w:val="17"/>
          <w:color w:val="auto"/>
        </w:rPr>
        <w:t xml:space="preserve">” means that certain Guaranty made by the Guarantors in favor of the Administrative Agent, the Lenders and the other holders of the Obligations, and dated as of the Closing Date, substantially in the form of </w:t>
      </w:r>
      <w:r>
        <w:rPr>
          <w:rFonts w:ascii="Arial" w:cs="Arial" w:eastAsia="Arial" w:hAnsi="Arial"/>
          <w:sz w:val="17"/>
          <w:szCs w:val="17"/>
          <w:u w:val="single" w:color="auto"/>
          <w:color w:val="auto"/>
        </w:rPr>
        <w:t>Exhibit F</w:t>
      </w:r>
      <w:r>
        <w:rPr>
          <w:rFonts w:ascii="Arial" w:cs="Arial" w:eastAsia="Arial" w:hAnsi="Arial"/>
          <w:sz w:val="17"/>
          <w:szCs w:val="17"/>
          <w:color w:val="auto"/>
        </w:rPr>
        <w:t>.</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w:t>
      </w:r>
    </w:p>
    <w:p>
      <w:pPr>
        <w:spacing w:after="0" w:line="191"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w:t>
      </w:r>
      <w:r>
        <w:rPr>
          <w:rFonts w:ascii="Arial" w:cs="Arial" w:eastAsia="Arial" w:hAnsi="Arial"/>
          <w:sz w:val="17"/>
          <w:szCs w:val="17"/>
          <w:color w:val="auto"/>
        </w:rPr>
        <w:t>” means a collective reference to all real and personal property with respect to which Liens in favor of the Administrative Agent, for the benefit of the Secured Parties, are purported to be granted pursuant to and in accordance with the terms of the Collateral Documents.</w:t>
      </w:r>
    </w:p>
    <w:p>
      <w:pPr>
        <w:spacing w:after="0" w:line="145" w:lineRule="exact"/>
        <w:rPr>
          <w:sz w:val="20"/>
          <w:szCs w:val="20"/>
          <w:color w:val="auto"/>
        </w:rPr>
      </w:pPr>
    </w:p>
    <w:p>
      <w:pPr>
        <w:jc w:val="both"/>
        <w:ind w:firstLine="7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Documents</w:t>
      </w:r>
      <w:r>
        <w:rPr>
          <w:rFonts w:ascii="Arial" w:cs="Arial" w:eastAsia="Arial" w:hAnsi="Arial"/>
          <w:sz w:val="17"/>
          <w:szCs w:val="17"/>
          <w:color w:val="auto"/>
        </w:rPr>
        <w:t>” means, collectively, the Security Agreement, the German Share Pledge Agreement, the German Parallel Debt Agreement, the Account Control Agreements, each of the collateral assignments, Security Agreement Supplements, security agreements, pledge agreements or other similar agreements delivered to the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40"/>
          </w:cols>
          <w:pgMar w:left="240" w:top="312" w:right="219" w:bottom="1440" w:gutter="0" w:footer="0" w:header="0"/>
        </w:sectPr>
      </w:pPr>
    </w:p>
    <w:bookmarkStart w:id="17" w:name="page18"/>
    <w:bookmarkEnd w:id="17"/>
    <w:p>
      <w:pPr>
        <w:jc w:val="both"/>
        <w:ind w:right="20"/>
        <w:spacing w:after="0" w:line="251" w:lineRule="auto"/>
        <w:rPr>
          <w:sz w:val="20"/>
          <w:szCs w:val="20"/>
          <w:color w:val="auto"/>
        </w:rPr>
      </w:pPr>
      <w:r>
        <w:rPr>
          <w:rFonts w:ascii="Arial" w:cs="Arial" w:eastAsia="Arial" w:hAnsi="Arial"/>
          <w:sz w:val="17"/>
          <w:szCs w:val="17"/>
          <w:color w:val="auto"/>
        </w:rPr>
        <w:t xml:space="preserve">Administrative Agent pursuant to </w:t>
      </w:r>
      <w:r>
        <w:rPr>
          <w:rFonts w:ascii="Arial" w:cs="Arial" w:eastAsia="Arial" w:hAnsi="Arial"/>
          <w:sz w:val="15"/>
          <w:szCs w:val="15"/>
          <w:u w:val="single" w:color="auto"/>
          <w:color w:val="auto"/>
        </w:rPr>
        <w:t>Section 6.13</w:t>
      </w:r>
      <w:r>
        <w:rPr>
          <w:rFonts w:ascii="Arial" w:cs="Arial" w:eastAsia="Arial" w:hAnsi="Arial"/>
          <w:sz w:val="15"/>
          <w:szCs w:val="15"/>
          <w:color w:val="auto"/>
        </w:rPr>
        <w:t>, and each other agreement, instrument or document that creates or purports to create a Lien in favor of the Administrative Agent for</w:t>
      </w:r>
      <w:r>
        <w:rPr>
          <w:rFonts w:ascii="Arial" w:cs="Arial" w:eastAsia="Arial" w:hAnsi="Arial"/>
          <w:sz w:val="17"/>
          <w:szCs w:val="17"/>
          <w:color w:val="auto"/>
        </w:rPr>
        <w:t xml:space="preserve"> </w:t>
      </w:r>
      <w:r>
        <w:rPr>
          <w:rFonts w:ascii="Arial" w:cs="Arial" w:eastAsia="Arial" w:hAnsi="Arial"/>
          <w:sz w:val="15"/>
          <w:szCs w:val="15"/>
          <w:color w:val="auto"/>
        </w:rPr>
        <w:t>the benefit of the Secured Parties.</w:t>
      </w:r>
    </w:p>
    <w:p>
      <w:pPr>
        <w:spacing w:after="0" w:line="166"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means a Company Term Commitment, a Gentherm Germany Term Commitment, an Add-On Company Term Commitment or a Revolving Credit Commitment, as the context may require.</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 Fee</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2.09(a)</w:t>
      </w:r>
      <w:r>
        <w:rPr>
          <w:rFonts w:ascii="Arial" w:cs="Arial" w:eastAsia="Arial" w:hAnsi="Arial"/>
          <w:sz w:val="17"/>
          <w:szCs w:val="17"/>
          <w:color w:val="auto"/>
        </w:rPr>
        <w:t>.</w:t>
      </w:r>
    </w:p>
    <w:p>
      <w:pPr>
        <w:spacing w:after="0" w:line="191" w:lineRule="exact"/>
        <w:rPr>
          <w:sz w:val="20"/>
          <w:szCs w:val="20"/>
          <w:color w:val="auto"/>
        </w:rPr>
      </w:pPr>
    </w:p>
    <w:p>
      <w:pPr>
        <w:jc w:val="both"/>
        <w:ind w:firstLine="763"/>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Committed Loan Notice</w:t>
      </w:r>
      <w:r>
        <w:rPr>
          <w:rFonts w:ascii="Arial" w:cs="Arial" w:eastAsia="Arial" w:hAnsi="Arial"/>
          <w:sz w:val="17"/>
          <w:szCs w:val="17"/>
          <w:color w:val="auto"/>
        </w:rPr>
        <w:t xml:space="preserve">” means a notice of (a) a Gentherm Germany Term Borrowing, (b) a Company Term Borrowing, (c) an Add-On Company Term Borrowing, (d) a Revolving Credit Borrowing, (e) a conversion of Loans from one Type to the other, or (f) a continuation of Eurocurrency Rate Loans, pursuant to </w:t>
      </w:r>
      <w:r>
        <w:rPr>
          <w:rFonts w:ascii="Arial" w:cs="Arial" w:eastAsia="Arial" w:hAnsi="Arial"/>
          <w:sz w:val="17"/>
          <w:szCs w:val="17"/>
          <w:u w:val="single" w:color="auto"/>
          <w:color w:val="auto"/>
        </w:rPr>
        <w:t>Section 2.02(a)</w:t>
      </w:r>
      <w:r>
        <w:rPr>
          <w:rFonts w:ascii="Arial" w:cs="Arial" w:eastAsia="Arial" w:hAnsi="Arial"/>
          <w:sz w:val="17"/>
          <w:szCs w:val="17"/>
          <w:color w:val="auto"/>
        </w:rPr>
        <w:t xml:space="preserve">, which, if in writing, shall be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xml:space="preserve">” means the Commodity Exchange Act (7 U.S.C. § 1 </w:t>
      </w:r>
      <w:r>
        <w:rPr>
          <w:rFonts w:ascii="Arial" w:cs="Arial" w:eastAsia="Arial" w:hAnsi="Arial"/>
          <w:sz w:val="16"/>
          <w:szCs w:val="16"/>
          <w:i w:val="1"/>
          <w:iCs w:val="1"/>
          <w:color w:val="auto"/>
        </w:rPr>
        <w:t>et seq</w:t>
      </w:r>
      <w:r>
        <w:rPr>
          <w:rFonts w:ascii="Arial" w:cs="Arial" w:eastAsia="Arial" w:hAnsi="Arial"/>
          <w:sz w:val="16"/>
          <w:szCs w:val="16"/>
          <w:color w:val="auto"/>
        </w:rPr>
        <w:t>.) as amended or otherwise modified, and any successor statute.</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has the meaning specified in the introductory paragraph hereto.</w:t>
      </w:r>
    </w:p>
    <w:p>
      <w:pPr>
        <w:spacing w:after="0" w:line="191" w:lineRule="exact"/>
        <w:rPr>
          <w:sz w:val="20"/>
          <w:szCs w:val="20"/>
          <w:color w:val="auto"/>
        </w:rPr>
      </w:pPr>
    </w:p>
    <w:p>
      <w:pPr>
        <w:jc w:val="both"/>
        <w:ind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Term Borrowing</w:t>
      </w:r>
      <w:r>
        <w:rPr>
          <w:rFonts w:ascii="Arial" w:cs="Arial" w:eastAsia="Arial" w:hAnsi="Arial"/>
          <w:sz w:val="17"/>
          <w:szCs w:val="17"/>
          <w:color w:val="auto"/>
        </w:rPr>
        <w:t xml:space="preserve">” means a borrowing consisting of simultaneous Company Term Loans of the same Type and, in the case of Eurocurrency Rate Loans, having the same Interest Period made by each of the Company Term Lenders pursuant to </w:t>
      </w:r>
      <w:r>
        <w:rPr>
          <w:rFonts w:ascii="Arial" w:cs="Arial" w:eastAsia="Arial" w:hAnsi="Arial"/>
          <w:sz w:val="17"/>
          <w:szCs w:val="17"/>
          <w:u w:val="single" w:color="auto"/>
          <w:color w:val="auto"/>
        </w:rPr>
        <w:t>Section 2.01(a)</w:t>
      </w:r>
      <w:r>
        <w:rPr>
          <w:rFonts w:ascii="Arial" w:cs="Arial" w:eastAsia="Arial" w:hAnsi="Arial"/>
          <w:sz w:val="17"/>
          <w:szCs w:val="17"/>
          <w:color w:val="auto"/>
        </w:rPr>
        <w:t>.</w:t>
      </w:r>
    </w:p>
    <w:p>
      <w:pPr>
        <w:spacing w:after="0" w:line="145" w:lineRule="exact"/>
        <w:rPr>
          <w:sz w:val="20"/>
          <w:szCs w:val="20"/>
          <w:color w:val="auto"/>
        </w:rPr>
      </w:pPr>
    </w:p>
    <w:p>
      <w:pPr>
        <w:jc w:val="both"/>
        <w:ind w:firstLine="763"/>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Term Commitment</w:t>
      </w:r>
      <w:r>
        <w:rPr>
          <w:rFonts w:ascii="Arial" w:cs="Arial" w:eastAsia="Arial" w:hAnsi="Arial"/>
          <w:sz w:val="16"/>
          <w:szCs w:val="16"/>
          <w:color w:val="auto"/>
        </w:rPr>
        <w:t xml:space="preserve">” means, as to each Company Term Lender, its obligation to make Company Term Loans to the Company pursuant to </w:t>
      </w: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in an aggregate principal amount at any one time outstanding not to exceed the amount set forth opposite such Company Term Lender’s name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under the caption “Company Term Commitment” or opposite such caption in the Assignment and Assumption pursuant to which such Company Term Lender becomes a party hereto, as applicable, as such amount may be adjusted from time to time in accordance with this Agreement.</w:t>
      </w:r>
    </w:p>
    <w:p>
      <w:pPr>
        <w:spacing w:after="0" w:line="144" w:lineRule="exact"/>
        <w:rPr>
          <w:sz w:val="20"/>
          <w:szCs w:val="20"/>
          <w:color w:val="auto"/>
        </w:rPr>
      </w:pPr>
    </w:p>
    <w:p>
      <w:pPr>
        <w:jc w:val="both"/>
        <w:ind w:firstLine="7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Term Facility</w:t>
      </w:r>
      <w:r>
        <w:rPr>
          <w:rFonts w:ascii="Arial" w:cs="Arial" w:eastAsia="Arial" w:hAnsi="Arial"/>
          <w:sz w:val="17"/>
          <w:szCs w:val="17"/>
          <w:color w:val="auto"/>
        </w:rPr>
        <w:t>” means, at any time, (a) on or prior to the Closing Date, the aggregate amount of the Company Term Commitments at such time and (b) thereafter, the aggregate principal amount of the Company Term Loans of all Company Term Lenders outstanding at such time. The aggregate principal amount of the Company Term Facility as in effect on the Closing Date is FIFTY MILLION DOLLARS ($50,000,000).</w:t>
      </w:r>
    </w:p>
    <w:p>
      <w:pPr>
        <w:spacing w:after="0" w:line="157"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Term Lender</w:t>
      </w:r>
      <w:r>
        <w:rPr>
          <w:rFonts w:ascii="Arial" w:cs="Arial" w:eastAsia="Arial" w:hAnsi="Arial"/>
          <w:sz w:val="17"/>
          <w:szCs w:val="17"/>
          <w:color w:val="auto"/>
        </w:rPr>
        <w:t>” means (a) at any time on or prior to the Closing Date, any Lender that has a Company Term Commitment at such time and (b) at any time after the Closing Date, any Lender that holds Company Term Loans at such time.</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Term Loan</w:t>
      </w:r>
      <w:r>
        <w:rPr>
          <w:rFonts w:ascii="Arial" w:cs="Arial" w:eastAsia="Arial" w:hAnsi="Arial"/>
          <w:sz w:val="17"/>
          <w:szCs w:val="17"/>
          <w:color w:val="auto"/>
        </w:rPr>
        <w:t>” means an advance made by any Company Term Lender under the Company Term Facility.</w:t>
      </w:r>
    </w:p>
    <w:p>
      <w:pPr>
        <w:spacing w:after="0" w:line="191"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Term Note</w:t>
      </w:r>
      <w:r>
        <w:rPr>
          <w:rFonts w:ascii="Arial" w:cs="Arial" w:eastAsia="Arial" w:hAnsi="Arial"/>
          <w:sz w:val="17"/>
          <w:szCs w:val="17"/>
          <w:color w:val="auto"/>
        </w:rPr>
        <w:t xml:space="preserve">” means a promissory note made by the Company in favor of a Company Term Lender evidencing Company Term Loans made by such Company Term Lender,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xml:space="preserve">” means a certificate substantially in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w:t>
      </w:r>
    </w:p>
    <w:p>
      <w:pPr>
        <w:spacing w:after="0" w:line="191" w:lineRule="exact"/>
        <w:rPr>
          <w:sz w:val="20"/>
          <w:szCs w:val="20"/>
          <w:color w:val="auto"/>
        </w:rPr>
      </w:pPr>
    </w:p>
    <w:p>
      <w:pPr>
        <w:jc w:val="both"/>
        <w:ind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Connection Income Taxes</w:t>
      </w:r>
      <w:r>
        <w:rPr>
          <w:rFonts w:ascii="Arial" w:cs="Arial" w:eastAsia="Arial" w:hAnsi="Arial"/>
          <w:sz w:val="17"/>
          <w:szCs w:val="17"/>
          <w:color w:val="auto"/>
        </w:rPr>
        <w:t>” means Other Connection Taxes that are imposed on or measured by net income (however denominated) or that are franchise Taxes or branch profits Taxes.</w:t>
      </w:r>
    </w:p>
    <w:p>
      <w:pPr>
        <w:spacing w:after="0" w:line="145"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Capital Expenditures</w:t>
      </w:r>
      <w:r>
        <w:rPr>
          <w:rFonts w:ascii="Arial" w:cs="Arial" w:eastAsia="Arial" w:hAnsi="Arial"/>
          <w:sz w:val="17"/>
          <w:szCs w:val="17"/>
          <w:color w:val="auto"/>
        </w:rPr>
        <w:t>” means, for any Measurement Period, for the Company and its Subsidiaries on a consolidated basis, all Capital Expenditures, as determined in accordance with GAAP.</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40"/>
          </w:cols>
          <w:pgMar w:left="240" w:top="312" w:right="219" w:bottom="1440" w:gutter="0" w:footer="0" w:header="0"/>
        </w:sectPr>
      </w:pPr>
    </w:p>
    <w:bookmarkStart w:id="18" w:name="page19"/>
    <w:bookmarkEnd w:id="18"/>
    <w:p>
      <w:pPr>
        <w:jc w:val="both"/>
        <w:ind w:left="6"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Cash Taxes</w:t>
      </w:r>
      <w:r>
        <w:rPr>
          <w:rFonts w:ascii="Arial" w:cs="Arial" w:eastAsia="Arial" w:hAnsi="Arial"/>
          <w:sz w:val="17"/>
          <w:szCs w:val="17"/>
          <w:color w:val="auto"/>
        </w:rPr>
        <w:t>” means, for any Measurement Period, for the Company and its Subsidiaries on a consolidated basis, the aggregate of all taxes, as determined in accordance with GAAP, to the extent the same are paid in cash during such Measurement Period.</w:t>
      </w:r>
    </w:p>
    <w:p>
      <w:pPr>
        <w:spacing w:after="0" w:line="145" w:lineRule="exact"/>
        <w:rPr>
          <w:sz w:val="20"/>
          <w:szCs w:val="20"/>
          <w:color w:val="auto"/>
        </w:rPr>
      </w:pPr>
    </w:p>
    <w:p>
      <w:pPr>
        <w:jc w:val="both"/>
        <w:ind w:left="6" w:firstLine="763"/>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EBITDA</w:t>
      </w:r>
      <w:r>
        <w:rPr>
          <w:rFonts w:ascii="Arial" w:cs="Arial" w:eastAsia="Arial" w:hAnsi="Arial"/>
          <w:sz w:val="15"/>
          <w:szCs w:val="15"/>
          <w:color w:val="auto"/>
        </w:rPr>
        <w:t xml:space="preserve">” means, at any date of determination, an amount equal to Consolidated Net Income of the Company and its Subsidiaries for the most recently completed Measurement Period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(a) the following (without duplication) to the extent deducted in calculating such Consolidated Net Income: (i) Consolidated Interest Charges, (ii) the provision for federal, state, provincial, territorial, local and foreign income taxes payable, (iii) depreciation and amortization expense, (iv) non-cash unrealized losses on Swap Contracts, (v) non-cash unrealized losses attributable to foreign currency transactions, (vi) non-cash stock based compensation expense, (vii) transaction fees and expenses in connection with Permitted Acquisitions, in an aggregate amount not to exceed $3,000,000 for any Measurement Period and (viii) other non-recurring expenses, as approved by the Administrative Agent in its reasonable discretion, reducing such Consolidated Net Income which do not represent a cash item in such period or any future period (in each case of or by the Company and its Subsidiaries on a consolidated basis for such Measurement Period) and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(b) the following to the extent included in calculating such Consolidated Net Income: (i) federal, state, provincial, territorial, local and foreign income tax credits, (ii) non-cash unrealized gains on Swap Contracts, (iii) non-cash unrealized gains attributable to foreign currency transactions and (iv) all non-recurring, non-cash items increasing Consolidated Net Income (in each case, of or by the Company and its Subsidiaries for such Measurement Period).</w:t>
      </w:r>
    </w:p>
    <w:p>
      <w:pPr>
        <w:spacing w:after="0" w:line="139" w:lineRule="exact"/>
        <w:rPr>
          <w:sz w:val="20"/>
          <w:szCs w:val="20"/>
          <w:color w:val="auto"/>
        </w:rPr>
      </w:pPr>
    </w:p>
    <w:p>
      <w:pPr>
        <w:jc w:val="both"/>
        <w:ind w:left="6" w:right="20" w:firstLine="763"/>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Fixed Charge Coverage Ratio</w:t>
      </w:r>
      <w:r>
        <w:rPr>
          <w:rFonts w:ascii="Arial" w:cs="Arial" w:eastAsia="Arial" w:hAnsi="Arial"/>
          <w:sz w:val="16"/>
          <w:szCs w:val="16"/>
          <w:color w:val="auto"/>
        </w:rPr>
        <w:t xml:space="preserve">” means, at any date of determination, the ratio of (a) the total of (i) Consolidated EBITDA for the most recently completed Measurement Period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Consolidated Capital Expenditures for such Measurement Period to the extent not financed from proceeds of Consolidated Funded Indebtedness (excluding proceeds of the Revolving Credit Loans or Swing Line Loans)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(iii) Consolidated Cash Taxes for such Measurement Period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(iv) the aggregate amount of all Restricted Payments paid in cash during such Measurement Period to (b) the sum of (i) Consolidated Interest Charges for the most recently completed Measurement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Consolidated Scheduled Funded Debt Payments for such Measurement Period.</w:t>
      </w:r>
    </w:p>
    <w:p>
      <w:pPr>
        <w:spacing w:after="0" w:line="149" w:lineRule="exact"/>
        <w:rPr>
          <w:sz w:val="20"/>
          <w:szCs w:val="20"/>
          <w:color w:val="auto"/>
        </w:rPr>
      </w:pPr>
    </w:p>
    <w:p>
      <w:pPr>
        <w:jc w:val="both"/>
        <w:ind w:left="6" w:firstLine="763"/>
        <w:spacing w:after="0" w:line="27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Funded Indebtedness</w:t>
      </w:r>
      <w:r>
        <w:rPr>
          <w:rFonts w:ascii="Arial" w:cs="Arial" w:eastAsia="Arial" w:hAnsi="Arial"/>
          <w:sz w:val="15"/>
          <w:szCs w:val="15"/>
          <w:color w:val="auto"/>
        </w:rPr>
        <w:t xml:space="preserve">” means, as of any date of determination, for the Company and its Subsidiaries on a consolidated basis, the sum of (a) the outstanding principal amount of all obligations, whether current or long-term, for borrowed money (including the Obligations hereunder) and all obligations evidenced by bonds, debentures, notes, loan agreements or other similar instruments, (b) all purchase money Indebtedness, (c) all direct obligations arising under letters of credit (including standby and commercial), bankers’ acceptances, bank guaranties, surety bonds and similar instruments, (d) all obligations in respect of the deferred purchase price of property or services (other than trade accounts payable in the ordinary course of business but, for purposes of clarification, including earn out obligations), (e) all Attributable Indebtedness of Capitalized Leases, Synthetic Lease Obligations and Synthetic Debt, (f) all obligations to purchase, redeem, retire, defease or otherwise make any payment in respect of any Equity Interests in the Company or any other Person, valued, in the case of a redeemable preferred interest, at the greater of its voluntary or involuntary liquidation preference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accrued and unpaid dividends, (g) all Indebtedness of the types described in </w:t>
      </w:r>
      <w:r>
        <w:rPr>
          <w:rFonts w:ascii="Arial" w:cs="Arial" w:eastAsia="Arial" w:hAnsi="Arial"/>
          <w:sz w:val="15"/>
          <w:szCs w:val="15"/>
          <w:u w:val="single" w:color="auto"/>
          <w:color w:val="auto"/>
        </w:rPr>
        <w:t>clauses</w:t>
      </w:r>
    </w:p>
    <w:p>
      <w:pPr>
        <w:spacing w:after="0" w:line="4" w:lineRule="exact"/>
        <w:rPr>
          <w:sz w:val="20"/>
          <w:szCs w:val="20"/>
          <w:color w:val="auto"/>
        </w:rPr>
      </w:pPr>
    </w:p>
    <w:p>
      <w:pPr>
        <w:jc w:val="both"/>
        <w:ind w:left="6" w:hanging="6"/>
        <w:spacing w:after="0" w:line="263" w:lineRule="auto"/>
        <w:tabs>
          <w:tab w:leader="none" w:pos="240" w:val="left"/>
        </w:tabs>
        <w:numPr>
          <w:ilvl w:val="0"/>
          <w:numId w:val="12"/>
        </w:numPr>
        <w:rPr>
          <w:rFonts w:ascii="Arial" w:cs="Arial" w:eastAsia="Arial" w:hAnsi="Arial"/>
          <w:sz w:val="16"/>
          <w:szCs w:val="16"/>
          <w:u w:val="single" w:color="auto"/>
          <w:color w:val="auto"/>
        </w:rPr>
      </w:pPr>
      <w:r>
        <w:rPr>
          <w:rFonts w:ascii="Arial" w:cs="Arial" w:eastAsia="Arial" w:hAnsi="Arial"/>
          <w:sz w:val="16"/>
          <w:szCs w:val="16"/>
          <w:color w:val="auto"/>
        </w:rPr>
        <w:t xml:space="preserve">through </w:t>
      </w:r>
      <w:r>
        <w:rPr>
          <w:rFonts w:ascii="Arial" w:cs="Arial" w:eastAsia="Arial" w:hAnsi="Arial"/>
          <w:sz w:val="16"/>
          <w:szCs w:val="16"/>
          <w:u w:val="single" w:color="auto"/>
          <w:color w:val="auto"/>
        </w:rPr>
        <w:t>(f)</w:t>
      </w:r>
      <w:r>
        <w:rPr>
          <w:rFonts w:ascii="Arial" w:cs="Arial" w:eastAsia="Arial" w:hAnsi="Arial"/>
          <w:sz w:val="16"/>
          <w:szCs w:val="16"/>
          <w:color w:val="auto"/>
        </w:rPr>
        <w:t xml:space="preserve"> above of others secured by (or for which the holder of such Indebtedness has an existing right, contingent or otherwise, to be secured by) any Lien on, or payable out of the proceeds of production from, property owned or acquired by such Person, whether or not the obligations secured thereby have been assumed, (h) without duplication, all Guarantees with respect to outstanding Indebtedness of the types specified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(g)</w:t>
      </w:r>
      <w:r>
        <w:rPr>
          <w:rFonts w:ascii="Arial" w:cs="Arial" w:eastAsia="Arial" w:hAnsi="Arial"/>
          <w:sz w:val="16"/>
          <w:szCs w:val="16"/>
          <w:color w:val="auto"/>
        </w:rPr>
        <w:t xml:space="preserve"> above of Persons other than the Company or any Subsidiary, and (i) all Indebtedness of the types referred to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(h)</w:t>
      </w:r>
      <w:r>
        <w:rPr>
          <w:rFonts w:ascii="Arial" w:cs="Arial" w:eastAsia="Arial" w:hAnsi="Arial"/>
          <w:sz w:val="16"/>
          <w:szCs w:val="16"/>
          <w:color w:val="auto"/>
        </w:rPr>
        <w:t xml:space="preserve"> above of any partnership or joint venture (other than a joint venture that is itself a corporation or limited liability company) in which the Company or a Subsidiary is a general partner or joint venturer, unless such Indebtedness is expressly made non-recourse to the Company or such Subsidiary. For purposes hereof, as of any date of determination, the amount of any direct obligation arising under letters of credit (including standby and commercial), bankers’ acceptances, bank guaranties, surety bonds and similar instruments shall be the maximum amount available to be drawn thereunder as of such date of determination.</w:t>
      </w:r>
    </w:p>
    <w:p>
      <w:pPr>
        <w:spacing w:after="0" w:line="155" w:lineRule="exact"/>
        <w:rPr>
          <w:sz w:val="20"/>
          <w:szCs w:val="20"/>
          <w:color w:val="auto"/>
        </w:rPr>
      </w:pPr>
    </w:p>
    <w:p>
      <w:pPr>
        <w:jc w:val="both"/>
        <w:ind w:left="6" w:right="20" w:firstLine="763"/>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Interest Charges</w:t>
      </w:r>
      <w:r>
        <w:rPr>
          <w:rFonts w:ascii="Arial" w:cs="Arial" w:eastAsia="Arial" w:hAnsi="Arial"/>
          <w:sz w:val="15"/>
          <w:szCs w:val="15"/>
          <w:color w:val="auto"/>
        </w:rPr>
        <w:t xml:space="preserve">” means, for any Measurement Period, for the Company and its Subsidiaries on a consolidated basis, the sum of (a) all interest, premium payments, debt discount, fees, charges and related expenses of the Company and its Subsidiaries in connection with borrowed money (including capitalized interest), or in connection with the deferred purchase price of assets, in each case, to the extent treated as interest in accordance with GAAP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(b) all</w:t>
      </w:r>
    </w:p>
    <w:p>
      <w:pPr>
        <w:spacing w:after="0" w:line="121"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46"/>
          </w:cols>
          <w:pgMar w:left="234" w:top="312" w:right="219" w:bottom="1440" w:gutter="0" w:footer="0" w:header="0"/>
        </w:sectPr>
      </w:pPr>
    </w:p>
    <w:bookmarkStart w:id="19" w:name="page20"/>
    <w:bookmarkEnd w:id="19"/>
    <w:p>
      <w:pPr>
        <w:jc w:val="both"/>
        <w:spacing w:after="0" w:line="251" w:lineRule="auto"/>
        <w:rPr>
          <w:sz w:val="20"/>
          <w:szCs w:val="20"/>
          <w:color w:val="auto"/>
        </w:rPr>
      </w:pPr>
      <w:r>
        <w:rPr>
          <w:rFonts w:ascii="Arial" w:cs="Arial" w:eastAsia="Arial" w:hAnsi="Arial"/>
          <w:sz w:val="17"/>
          <w:szCs w:val="17"/>
          <w:color w:val="auto"/>
        </w:rPr>
        <w:t xml:space="preserve">interest paid or payable in connection with discontinued operations </w:t>
      </w:r>
      <w:r>
        <w:rPr>
          <w:rFonts w:ascii="Arial" w:cs="Arial" w:eastAsia="Arial" w:hAnsi="Arial"/>
          <w:sz w:val="15"/>
          <w:szCs w:val="15"/>
          <w:u w:val="single" w:color="auto"/>
          <w:color w:val="auto"/>
        </w:rPr>
        <w:t>plus</w:t>
      </w:r>
      <w:r>
        <w:rPr>
          <w:rFonts w:ascii="Arial" w:cs="Arial" w:eastAsia="Arial" w:hAnsi="Arial"/>
          <w:sz w:val="17"/>
          <w:szCs w:val="17"/>
          <w:color w:val="auto"/>
        </w:rPr>
        <w:t xml:space="preserve"> </w:t>
      </w:r>
      <w:r>
        <w:rPr>
          <w:rFonts w:ascii="Arial" w:cs="Arial" w:eastAsia="Arial" w:hAnsi="Arial"/>
          <w:sz w:val="15"/>
          <w:szCs w:val="15"/>
          <w:color w:val="auto"/>
        </w:rPr>
        <w:t>(c) the portion of rent expense under Capitalized Leases that is treated as interest in accordance with</w:t>
      </w:r>
      <w:r>
        <w:rPr>
          <w:rFonts w:ascii="Arial" w:cs="Arial" w:eastAsia="Arial" w:hAnsi="Arial"/>
          <w:sz w:val="17"/>
          <w:szCs w:val="17"/>
          <w:color w:val="auto"/>
        </w:rPr>
        <w:t xml:space="preserve"> </w:t>
      </w:r>
      <w:r>
        <w:rPr>
          <w:rFonts w:ascii="Arial" w:cs="Arial" w:eastAsia="Arial" w:hAnsi="Arial"/>
          <w:sz w:val="15"/>
          <w:szCs w:val="15"/>
          <w:color w:val="auto"/>
        </w:rPr>
        <w:t>GAAP.</w:t>
      </w:r>
    </w:p>
    <w:p>
      <w:pPr>
        <w:spacing w:after="0" w:line="166" w:lineRule="exact"/>
        <w:rPr>
          <w:sz w:val="20"/>
          <w:szCs w:val="20"/>
          <w:color w:val="auto"/>
        </w:rPr>
      </w:pPr>
    </w:p>
    <w:p>
      <w:pPr>
        <w:jc w:val="both"/>
        <w:ind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Leverage Ratio</w:t>
      </w:r>
      <w:r>
        <w:rPr>
          <w:rFonts w:ascii="Arial" w:cs="Arial" w:eastAsia="Arial" w:hAnsi="Arial"/>
          <w:sz w:val="17"/>
          <w:szCs w:val="17"/>
          <w:color w:val="auto"/>
        </w:rPr>
        <w:t>” means, as of any date of determination, the ratio of (a) Consolidated Funded Indebtedness as of such date to (b) Consolidated EBITDA of the Company and its Subsidiaries for the most recently completed Measurement Period.</w:t>
      </w:r>
    </w:p>
    <w:p>
      <w:pPr>
        <w:spacing w:after="0" w:line="145" w:lineRule="exact"/>
        <w:rPr>
          <w:sz w:val="20"/>
          <w:szCs w:val="20"/>
          <w:color w:val="auto"/>
        </w:rPr>
      </w:pPr>
    </w:p>
    <w:p>
      <w:pPr>
        <w:jc w:val="both"/>
        <w:ind w:firstLine="763"/>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xml:space="preserve">” means, at any date of determination, the net income (or loss) of the Company and its Subsidiaries on a consolidated basis for the most recently completed Measurement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Consolidated Net Income shall exclude (a) extraordinary gains and extraordinary losses for such Measurement Period, (b) the net income of any Subsidiary during such Measurement Period to the extent that the declaration or payment of dividends or similar distributions by such Subsidiary of such income is not permitted by operation of the terms of its Organization Documents or any agreement, instrument or Law applicable to such Subsidiary during such Measurement Period, except that the Company’s equity in any net loss of any such Subsidiary for such Measurement Period shall be included in determining Consolidated Net Income, and (c) any income (or loss) for such Measurement Period of any Person if such Person is not a Subsidiary, except that the Company’s equity in the net income of any such Person for such Measurement Period shall be included in Consolidated Net Income up to the aggregate amount of cash actually distributed by such Person during such Measurement Period to the Company or a Subsidiary as a dividend or other distribution (and in the case of a dividend or other distribution to a Subsidiary, such Subsidiary is not precluded from further distributing such amount to the Company as described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proviso).</w:t>
      </w:r>
    </w:p>
    <w:p>
      <w:pPr>
        <w:spacing w:after="0" w:line="156" w:lineRule="exact"/>
        <w:rPr>
          <w:sz w:val="20"/>
          <w:szCs w:val="20"/>
          <w:color w:val="auto"/>
        </w:rPr>
      </w:pPr>
    </w:p>
    <w:p>
      <w:pPr>
        <w:jc w:val="both"/>
        <w:ind w:firstLine="763"/>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Scheduled Funded Debt Payments</w:t>
      </w:r>
      <w:r>
        <w:rPr>
          <w:rFonts w:ascii="Arial" w:cs="Arial" w:eastAsia="Arial" w:hAnsi="Arial"/>
          <w:sz w:val="15"/>
          <w:szCs w:val="15"/>
          <w:color w:val="auto"/>
        </w:rPr>
        <w:t xml:space="preserve">” means for any period for the Company and its Subsidiaries on a consolidated basis, the sum of all scheduled payments of principal on Consolidated Funded Indebtedness, as determined in accordance with GAAP. For purposes of this definition, “scheduled payments of principal” (a) shall be determined without giving effect to any reduction of such scheduled payments resulting from the application of any voluntary or mandatory prepayments made during the applicable period, (b) shall be deemed to include the Attributable Indebtedness in respect of Capitalized Leases, Synthetic Lease Obligations and Synthetic Debt and (c) shall not include any voluntary prepayments or mandatory prepayments required pursuant to </w:t>
      </w:r>
      <w:r>
        <w:rPr>
          <w:rFonts w:ascii="Arial" w:cs="Arial" w:eastAsia="Arial" w:hAnsi="Arial"/>
          <w:sz w:val="15"/>
          <w:szCs w:val="15"/>
          <w:u w:val="single" w:color="auto"/>
          <w:color w:val="auto"/>
        </w:rPr>
        <w:t>Section 2.05</w:t>
      </w:r>
      <w:r>
        <w:rPr>
          <w:rFonts w:ascii="Arial" w:cs="Arial" w:eastAsia="Arial" w:hAnsi="Arial"/>
          <w:sz w:val="15"/>
          <w:szCs w:val="15"/>
          <w:color w:val="auto"/>
        </w:rPr>
        <w:t>.</w:t>
      </w:r>
    </w:p>
    <w:p>
      <w:pPr>
        <w:spacing w:after="0" w:line="135" w:lineRule="exact"/>
        <w:rPr>
          <w:sz w:val="20"/>
          <w:szCs w:val="20"/>
          <w:color w:val="auto"/>
        </w:rPr>
      </w:pPr>
    </w:p>
    <w:p>
      <w:pPr>
        <w:jc w:val="both"/>
        <w:ind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Contractual Obligation</w:t>
      </w:r>
      <w:r>
        <w:rPr>
          <w:rFonts w:ascii="Arial" w:cs="Arial" w:eastAsia="Arial" w:hAnsi="Arial"/>
          <w:sz w:val="17"/>
          <w:szCs w:val="17"/>
          <w:color w:val="auto"/>
        </w:rPr>
        <w:t>” means, as to any Person, any provision of any security issued by such Person or of any agreement, instrument or other undertaking to which such Person is a party or by which it or any of its property is bound.</w:t>
      </w:r>
    </w:p>
    <w:p>
      <w:pPr>
        <w:spacing w:after="0" w:line="145" w:lineRule="exact"/>
        <w:rPr>
          <w:sz w:val="20"/>
          <w:szCs w:val="20"/>
          <w:color w:val="auto"/>
        </w:rPr>
      </w:pPr>
    </w:p>
    <w:p>
      <w:pPr>
        <w:jc w:val="both"/>
        <w:ind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7"/>
          <w:szCs w:val="17"/>
          <w:u w:val="single" w:color="auto"/>
          <w:color w:val="auto"/>
        </w:rPr>
        <w:t>Controlling</w:t>
      </w:r>
      <w:r>
        <w:rPr>
          <w:rFonts w:ascii="Arial" w:cs="Arial" w:eastAsia="Arial" w:hAnsi="Arial"/>
          <w:sz w:val="17"/>
          <w:szCs w:val="17"/>
          <w:color w:val="auto"/>
        </w:rPr>
        <w:t>” and “</w:t>
      </w:r>
      <w:r>
        <w:rPr>
          <w:rFonts w:ascii="Arial" w:cs="Arial" w:eastAsia="Arial" w:hAnsi="Arial"/>
          <w:sz w:val="17"/>
          <w:szCs w:val="17"/>
          <w:u w:val="single" w:color="auto"/>
          <w:color w:val="auto"/>
        </w:rPr>
        <w:t>Controlled</w:t>
      </w:r>
      <w:r>
        <w:rPr>
          <w:rFonts w:ascii="Arial" w:cs="Arial" w:eastAsia="Arial" w:hAnsi="Arial"/>
          <w:sz w:val="17"/>
          <w:szCs w:val="17"/>
          <w:color w:val="auto"/>
        </w:rPr>
        <w:t>” have meanings correlative thereto.</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Extension</w:t>
      </w:r>
      <w:r>
        <w:rPr>
          <w:rFonts w:ascii="Arial" w:cs="Arial" w:eastAsia="Arial" w:hAnsi="Arial"/>
          <w:sz w:val="17"/>
          <w:szCs w:val="17"/>
          <w:color w:val="auto"/>
        </w:rPr>
        <w:t>” means each of the following: (a) a Borrowing and (b) an L/C Credit Extension.</w:t>
      </w:r>
    </w:p>
    <w:p>
      <w:pPr>
        <w:spacing w:after="0" w:line="191" w:lineRule="exact"/>
        <w:rPr>
          <w:sz w:val="20"/>
          <w:szCs w:val="20"/>
          <w:color w:val="auto"/>
        </w:rPr>
      </w:pPr>
    </w:p>
    <w:p>
      <w:pPr>
        <w:jc w:val="both"/>
        <w:ind w:firstLine="7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CRS Transaction</w:t>
      </w:r>
      <w:r>
        <w:rPr>
          <w:rFonts w:ascii="Arial" w:cs="Arial" w:eastAsia="Arial" w:hAnsi="Arial"/>
          <w:sz w:val="17"/>
          <w:szCs w:val="17"/>
          <w:color w:val="auto"/>
        </w:rPr>
        <w:t>” means (a) the transactions contemplated by the currency related swap entered into by Gentherm Germany in March 2008 with Bayerische Hypo- und Vereinsbank AG (HVB) with a notional principal amount of €10,000,000 and a maturity of ten years and (b) the related Euro/Swiss Franc counter-hedge derivatives entered into by Gentherm Germany.</w:t>
      </w:r>
    </w:p>
    <w:p>
      <w:pPr>
        <w:spacing w:after="0" w:line="157" w:lineRule="exact"/>
        <w:rPr>
          <w:sz w:val="20"/>
          <w:szCs w:val="20"/>
          <w:color w:val="auto"/>
        </w:rPr>
      </w:pPr>
    </w:p>
    <w:p>
      <w:pPr>
        <w:jc w:val="both"/>
        <w:ind w:firstLine="763"/>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Debtor Relief Laws</w:t>
      </w:r>
      <w:r>
        <w:rPr>
          <w:rFonts w:ascii="Arial" w:cs="Arial" w:eastAsia="Arial" w:hAnsi="Arial"/>
          <w:sz w:val="16"/>
          <w:szCs w:val="16"/>
          <w:color w:val="auto"/>
        </w:rPr>
        <w:t>” means the Bankruptcy Code of the United States, the Bankruptcy and Insolvency Act (Canada), the Companies’ Creditors Arrangement Act (Canada), the Winding-Up and Restructuring Act (Canada), the German Insolvency Code (</w:t>
      </w:r>
      <w:r>
        <w:rPr>
          <w:rFonts w:ascii="Arial" w:cs="Arial" w:eastAsia="Arial" w:hAnsi="Arial"/>
          <w:sz w:val="16"/>
          <w:szCs w:val="16"/>
          <w:i w:val="1"/>
          <w:iCs w:val="1"/>
          <w:color w:val="auto"/>
        </w:rPr>
        <w:t>Insolvenzordnung</w:t>
      </w:r>
      <w:r>
        <w:rPr>
          <w:rFonts w:ascii="Arial" w:cs="Arial" w:eastAsia="Arial" w:hAnsi="Arial"/>
          <w:sz w:val="16"/>
          <w:szCs w:val="16"/>
          <w:color w:val="auto"/>
        </w:rPr>
        <w:t>) and all other liquidation, conservatorship, bankruptcy, assignment for the benefit of creditors, moratorium, rearrangement, receivership, insolvency, reorganization, or similar debtor relief Laws of the United States, Canada, Germany or other applicable jurisdictions from time to time in effect and affecting the rights of creditors generally.</w:t>
      </w:r>
    </w:p>
    <w:p>
      <w:pPr>
        <w:spacing w:after="0" w:line="144"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w:t>
      </w:r>
      <w:r>
        <w:rPr>
          <w:rFonts w:ascii="Arial" w:cs="Arial" w:eastAsia="Arial" w:hAnsi="Arial"/>
          <w:sz w:val="17"/>
          <w:szCs w:val="17"/>
          <w:color w:val="auto"/>
        </w:rPr>
        <w:t>” means any event or condition that constitutes an Event of Default or that, with the giving of any notice, the passage of time, or both, would be an Event of Default.</w:t>
      </w:r>
    </w:p>
    <w:p>
      <w:pPr>
        <w:spacing w:after="0" w:line="145"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Rate</w:t>
      </w:r>
      <w:r>
        <w:rPr>
          <w:rFonts w:ascii="Arial" w:cs="Arial" w:eastAsia="Arial" w:hAnsi="Arial"/>
          <w:sz w:val="17"/>
          <w:szCs w:val="17"/>
          <w:color w:val="auto"/>
        </w:rPr>
        <w:t xml:space="preserve">” means (a) when used with respect to Obligations other than Letter of Credit Fees, an interest rate equal to (i)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Applicable Rate, if any, applicable to Base Rate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2% per annum;</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40"/>
          </w:cols>
          <w:pgMar w:left="240" w:top="312" w:right="219" w:bottom="1440" w:gutter="0" w:footer="0" w:header="0"/>
        </w:sectPr>
      </w:pPr>
    </w:p>
    <w:bookmarkStart w:id="20" w:name="page21"/>
    <w:bookmarkEnd w:id="20"/>
    <w:p>
      <w:pPr>
        <w:jc w:val="both"/>
        <w:ind w:right="20"/>
        <w:spacing w:after="0" w:line="256" w:lineRule="auto"/>
        <w:rPr>
          <w:sz w:val="20"/>
          <w:szCs w:val="20"/>
          <w:color w:val="auto"/>
        </w:rPr>
      </w:pPr>
      <w:r>
        <w:rPr>
          <w:rFonts w:ascii="Arial" w:cs="Arial" w:eastAsia="Arial" w:hAnsi="Arial"/>
          <w:sz w:val="17"/>
          <w:szCs w:val="17"/>
          <w:color w:val="auto"/>
        </w:rPr>
        <w:t>provided</w:t>
      </w:r>
      <w:r>
        <w:rPr>
          <w:rFonts w:ascii="Arial" w:cs="Arial" w:eastAsia="Arial" w:hAnsi="Arial"/>
          <w:sz w:val="15"/>
          <w:szCs w:val="15"/>
          <w:color w:val="auto"/>
        </w:rPr>
        <w:t>,</w:t>
      </w:r>
      <w:r>
        <w:rPr>
          <w:rFonts w:ascii="Arial" w:cs="Arial" w:eastAsia="Arial" w:hAnsi="Arial"/>
          <w:sz w:val="17"/>
          <w:szCs w:val="17"/>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with respect to a Eurocurrency Rate Loan, the Default Rate shall be an interest rate equal to the interest rate (including any Applicable Rate and any</w:t>
      </w:r>
      <w:r>
        <w:rPr>
          <w:rFonts w:ascii="Arial" w:cs="Arial" w:eastAsia="Arial" w:hAnsi="Arial"/>
          <w:sz w:val="17"/>
          <w:szCs w:val="17"/>
          <w:color w:val="auto"/>
        </w:rPr>
        <w:t xml:space="preserve"> </w:t>
      </w:r>
      <w:r>
        <w:rPr>
          <w:rFonts w:ascii="Arial" w:cs="Arial" w:eastAsia="Arial" w:hAnsi="Arial"/>
          <w:sz w:val="15"/>
          <w:szCs w:val="15"/>
          <w:color w:val="auto"/>
        </w:rPr>
        <w:t xml:space="preserve">Mandatory Cost) otherwise applicable to such Loan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2% per annum, and (b) when used with respect to Letter of Credit Fees, a rate equal to the Applicable Rate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2% per annum.</w:t>
      </w:r>
    </w:p>
    <w:p>
      <w:pPr>
        <w:spacing w:after="0" w:line="161" w:lineRule="exact"/>
        <w:rPr>
          <w:sz w:val="20"/>
          <w:szCs w:val="20"/>
          <w:color w:val="auto"/>
        </w:rPr>
      </w:pPr>
    </w:p>
    <w:p>
      <w:pPr>
        <w:jc w:val="both"/>
        <w:ind w:firstLine="763"/>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2.16(b)</w:t>
      </w:r>
      <w:r>
        <w:rPr>
          <w:rFonts w:ascii="Arial" w:cs="Arial" w:eastAsia="Arial" w:hAnsi="Arial"/>
          <w:sz w:val="16"/>
          <w:szCs w:val="16"/>
          <w:color w:val="auto"/>
        </w:rPr>
        <w:t>, any Lender that (a) has failed to (i) fund all or any portion of its Loans within three (3) Business Days of the date such Loans were required to be funded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 Line Lender or any other Lender any other amount required to be paid by it hereunder (including in respect of its participation in Letters of Credit or Swing Line Loans) within three (3) Business Days of the date when due, (b) has notified the Company, the Administrative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Company, to confirm in writing to the Administrative Agent and the Company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upon receipt of such written confirmation by the Administrative Agent and the Company), or (d) has, or has a direct or indirect parent company that has,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Interests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and of the effective date of such status, shall be conclusive and binding absent manifest error, and such Lender shall be deemed to be a Defaulting Lender (subject to </w:t>
      </w:r>
      <w:r>
        <w:rPr>
          <w:rFonts w:ascii="Arial" w:cs="Arial" w:eastAsia="Arial" w:hAnsi="Arial"/>
          <w:sz w:val="16"/>
          <w:szCs w:val="16"/>
          <w:u w:val="single" w:color="auto"/>
          <w:color w:val="auto"/>
        </w:rPr>
        <w:t>Section 2.16(b)</w:t>
      </w:r>
      <w:r>
        <w:rPr>
          <w:rFonts w:ascii="Arial" w:cs="Arial" w:eastAsia="Arial" w:hAnsi="Arial"/>
          <w:sz w:val="16"/>
          <w:szCs w:val="16"/>
          <w:color w:val="auto"/>
        </w:rPr>
        <w:t>) as of the date established therefor by the Administrative Agent in a written notice of such determination, which shall be delivered by the Administrative Agent to the Company, the L/C Issuer, the Swing Line Lender and each other Lender promptly following such determination.</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Demand</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2.14(d)</w:t>
      </w:r>
      <w:r>
        <w:rPr>
          <w:rFonts w:ascii="Arial" w:cs="Arial" w:eastAsia="Arial" w:hAnsi="Arial"/>
          <w:sz w:val="17"/>
          <w:szCs w:val="17"/>
          <w:color w:val="auto"/>
        </w:rPr>
        <w: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Lender</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2.18</w:t>
      </w:r>
      <w:r>
        <w:rPr>
          <w:rFonts w:ascii="Arial" w:cs="Arial" w:eastAsia="Arial" w:hAnsi="Arial"/>
          <w:sz w:val="17"/>
          <w:szCs w:val="17"/>
          <w:color w:val="auto"/>
        </w:rPr>
        <w:t>.</w:t>
      </w:r>
    </w:p>
    <w:p>
      <w:pPr>
        <w:spacing w:after="0" w:line="191" w:lineRule="exact"/>
        <w:rPr>
          <w:sz w:val="20"/>
          <w:szCs w:val="20"/>
          <w:color w:val="auto"/>
        </w:rPr>
      </w:pPr>
    </w:p>
    <w:p>
      <w:pPr>
        <w:jc w:val="both"/>
        <w:ind w:right="20" w:firstLine="7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w:t>
      </w:r>
      <w:r>
        <w:rPr>
          <w:rFonts w:ascii="Arial" w:cs="Arial" w:eastAsia="Arial" w:hAnsi="Arial"/>
          <w:sz w:val="17"/>
          <w:szCs w:val="17"/>
          <w:color w:val="auto"/>
        </w:rPr>
        <w:t>” or “</w:t>
      </w:r>
      <w:r>
        <w:rPr>
          <w:rFonts w:ascii="Arial" w:cs="Arial" w:eastAsia="Arial" w:hAnsi="Arial"/>
          <w:sz w:val="17"/>
          <w:szCs w:val="17"/>
          <w:u w:val="single" w:color="auto"/>
          <w:color w:val="auto"/>
        </w:rPr>
        <w:t>Dispose</w:t>
      </w:r>
      <w:r>
        <w:rPr>
          <w:rFonts w:ascii="Arial" w:cs="Arial" w:eastAsia="Arial" w:hAnsi="Arial"/>
          <w:sz w:val="17"/>
          <w:szCs w:val="17"/>
          <w:color w:val="auto"/>
        </w:rPr>
        <w:t>” means the sale, transfer, license, lease or other disposition (including any sale and leaseback transaction) of any property by any Person, including any sale, assignment, transfer or other disposal, with or without recourse, of any notes or accounts receivable or any rights and claims associated therewith.</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w:t>
      </w:r>
      <w:r>
        <w:rPr>
          <w:rFonts w:ascii="Arial" w:cs="Arial" w:eastAsia="Arial" w:hAnsi="Arial"/>
          <w:sz w:val="17"/>
          <w:szCs w:val="17"/>
          <w:color w:val="auto"/>
        </w:rPr>
        <w:t>” and “$” mean lawful money of the United States.</w:t>
      </w:r>
    </w:p>
    <w:p>
      <w:pPr>
        <w:spacing w:after="0" w:line="191" w:lineRule="exact"/>
        <w:rPr>
          <w:sz w:val="20"/>
          <w:szCs w:val="20"/>
          <w:color w:val="auto"/>
        </w:rPr>
      </w:pPr>
    </w:p>
    <w:p>
      <w:pPr>
        <w:jc w:val="both"/>
        <w:ind w:firstLine="763"/>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Dollar Equivalent</w:t>
      </w:r>
      <w:r>
        <w:rPr>
          <w:rFonts w:ascii="Arial" w:cs="Arial" w:eastAsia="Arial" w:hAnsi="Arial"/>
          <w:sz w:val="15"/>
          <w:szCs w:val="15"/>
          <w:color w:val="auto"/>
        </w:rPr>
        <w:t>” means, at any time, (a) with respect to any amount denominated in Dollars, such amount, and (b) with respect to any amount denominated in any Alternative Currency, the equivalent amount thereof in Dollars as determined by the Administrative Agent or the L/C Issuer, as the case may be, at such time on the basis of the Spot Rate (determined in respect of the most recent Revaluation Date) for the purchase of Dollars with such Alternative Currency.</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Loan Party</w:t>
      </w:r>
      <w:r>
        <w:rPr>
          <w:rFonts w:ascii="Arial" w:cs="Arial" w:eastAsia="Arial" w:hAnsi="Arial"/>
          <w:sz w:val="17"/>
          <w:szCs w:val="17"/>
          <w:color w:val="auto"/>
        </w:rPr>
        <w:t>” means each U.S. Borrower and any Domestic Subsidiary that is a Guarantor.</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Subsidiary</w:t>
      </w:r>
      <w:r>
        <w:rPr>
          <w:rFonts w:ascii="Arial" w:cs="Arial" w:eastAsia="Arial" w:hAnsi="Arial"/>
          <w:sz w:val="17"/>
          <w:szCs w:val="17"/>
          <w:color w:val="auto"/>
        </w:rPr>
        <w:t>” means any Subsidiary that is organized under the laws of any political subdivision of the United States.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40"/>
          </w:cols>
          <w:pgMar w:left="240" w:top="312" w:right="219" w:bottom="1440" w:gutter="0" w:footer="0" w:header="0"/>
        </w:sectPr>
      </w:pPr>
    </w:p>
    <w:bookmarkStart w:id="21" w:name="page22"/>
    <w:bookmarkEnd w:id="21"/>
    <w:p>
      <w:pPr>
        <w:jc w:val="both"/>
        <w:ind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Assignee</w:t>
      </w:r>
      <w:r>
        <w:rPr>
          <w:rFonts w:ascii="Arial" w:cs="Arial" w:eastAsia="Arial" w:hAnsi="Arial"/>
          <w:sz w:val="17"/>
          <w:szCs w:val="17"/>
          <w:color w:val="auto"/>
        </w:rPr>
        <w:t xml:space="preserve">” means any Person that meets the requirements to be an assignee under </w:t>
      </w:r>
      <w:r>
        <w:rPr>
          <w:rFonts w:ascii="Arial" w:cs="Arial" w:eastAsia="Arial" w:hAnsi="Arial"/>
          <w:sz w:val="17"/>
          <w:szCs w:val="17"/>
          <w:u w:val="single" w:color="auto"/>
          <w:color w:val="auto"/>
        </w:rPr>
        <w:t>Section 11.06(b)(iii)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w:t>
      </w:r>
      <w:r>
        <w:rPr>
          <w:rFonts w:ascii="Arial" w:cs="Arial" w:eastAsia="Arial" w:hAnsi="Arial"/>
          <w:sz w:val="17"/>
          <w:szCs w:val="17"/>
          <w:color w:val="auto"/>
        </w:rPr>
        <w:t xml:space="preserve"> (subject to such consents, if any, as may be required under </w:t>
      </w:r>
      <w:r>
        <w:rPr>
          <w:rFonts w:ascii="Arial" w:cs="Arial" w:eastAsia="Arial" w:hAnsi="Arial"/>
          <w:sz w:val="17"/>
          <w:szCs w:val="17"/>
          <w:u w:val="single" w:color="auto"/>
          <w:color w:val="auto"/>
        </w:rPr>
        <w:t>Section 11.06(b)(iii)</w:t>
      </w:r>
      <w:r>
        <w:rPr>
          <w:rFonts w:ascii="Arial" w:cs="Arial" w:eastAsia="Arial" w:hAnsi="Arial"/>
          <w:sz w:val="17"/>
          <w:szCs w:val="17"/>
          <w:color w:val="auto"/>
        </w:rPr>
        <w:t>).</w:t>
      </w:r>
    </w:p>
    <w:p>
      <w:pPr>
        <w:spacing w:after="0" w:line="145" w:lineRule="exact"/>
        <w:rPr>
          <w:sz w:val="20"/>
          <w:szCs w:val="20"/>
          <w:color w:val="auto"/>
        </w:rPr>
      </w:pPr>
    </w:p>
    <w:p>
      <w:pPr>
        <w:jc w:val="both"/>
        <w:ind w:firstLine="763"/>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Environmental Laws</w:t>
      </w:r>
      <w:r>
        <w:rPr>
          <w:rFonts w:ascii="Arial" w:cs="Arial" w:eastAsia="Arial" w:hAnsi="Arial"/>
          <w:sz w:val="15"/>
          <w:szCs w:val="15"/>
          <w:color w:val="auto"/>
        </w:rPr>
        <w:t>” means any and all federal, state, provincial, territorial,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Materials, air emissions and discharges to waste or public systems.</w:t>
      </w:r>
    </w:p>
    <w:p>
      <w:pPr>
        <w:spacing w:after="0" w:line="121" w:lineRule="exact"/>
        <w:rPr>
          <w:sz w:val="20"/>
          <w:szCs w:val="20"/>
          <w:color w:val="auto"/>
        </w:rPr>
      </w:pPr>
    </w:p>
    <w:p>
      <w:pPr>
        <w:jc w:val="both"/>
        <w:ind w:firstLine="763"/>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contingent or otherwise (including any liability for damages, costs of environmental remediation, fines, penalties or indemnities), of any Borrower, any other Loan Party or any of their respective Material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Permit</w:t>
      </w:r>
      <w:r>
        <w:rPr>
          <w:rFonts w:ascii="Arial" w:cs="Arial" w:eastAsia="Arial" w:hAnsi="Arial"/>
          <w:sz w:val="16"/>
          <w:szCs w:val="16"/>
          <w:color w:val="auto"/>
        </w:rPr>
        <w:t>” means any permit, approval, identification number, license or other authorization required under any Environmental Law.</w:t>
      </w:r>
    </w:p>
    <w:p>
      <w:pPr>
        <w:spacing w:after="0" w:line="203" w:lineRule="exact"/>
        <w:rPr>
          <w:sz w:val="20"/>
          <w:szCs w:val="20"/>
          <w:color w:val="auto"/>
        </w:rPr>
      </w:pPr>
    </w:p>
    <w:p>
      <w:pPr>
        <w:jc w:val="both"/>
        <w:ind w:firstLine="763"/>
        <w:spacing w:after="0" w:line="24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means the Employee Retirement Income Security Act of 1974.</w:t>
      </w:r>
    </w:p>
    <w:p>
      <w:pPr>
        <w:spacing w:after="0" w:line="191"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any trade or business (whether or not incorporated) under common control with any Borrower within the meaning of Section 414(b) or (c) of the Code (and Sections 414(m) and (o) of the Code for purposes of provisions relating to Section 412 of the Code).</w:t>
      </w:r>
    </w:p>
    <w:p>
      <w:pPr>
        <w:spacing w:after="0" w:line="145" w:lineRule="exact"/>
        <w:rPr>
          <w:sz w:val="20"/>
          <w:szCs w:val="20"/>
          <w:color w:val="auto"/>
        </w:rPr>
      </w:pPr>
    </w:p>
    <w:p>
      <w:pPr>
        <w:jc w:val="both"/>
        <w:ind w:firstLine="763"/>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 Reportable Event with respect to a Pension Plan; (b) the withdrawal of any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any Borrower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any Borrower or any ERISA Affiliate.</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w:t>
      </w:r>
      <w:r>
        <w:rPr>
          <w:rFonts w:ascii="Arial" w:cs="Arial" w:eastAsia="Arial" w:hAnsi="Arial"/>
          <w:sz w:val="17"/>
          <w:szCs w:val="17"/>
          <w:color w:val="auto"/>
        </w:rPr>
        <w:t>” and “</w:t>
      </w:r>
      <w:r>
        <w:rPr>
          <w:rFonts w:ascii="Arial" w:cs="Arial" w:eastAsia="Arial" w:hAnsi="Arial"/>
          <w:sz w:val="17"/>
          <w:szCs w:val="17"/>
          <w:u w:val="single" w:color="auto"/>
          <w:color w:val="auto"/>
        </w:rPr>
        <w:t>€</w:t>
      </w:r>
      <w:r>
        <w:rPr>
          <w:rFonts w:ascii="Arial" w:cs="Arial" w:eastAsia="Arial" w:hAnsi="Arial"/>
          <w:sz w:val="17"/>
          <w:szCs w:val="17"/>
          <w:color w:val="auto"/>
        </w:rPr>
        <w:t>” mean the single currency of the Participating Member States.</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Rate</w:t>
      </w:r>
      <w:r>
        <w:rPr>
          <w:rFonts w:ascii="Arial" w:cs="Arial" w:eastAsia="Arial" w:hAnsi="Arial"/>
          <w:sz w:val="17"/>
          <w:szCs w:val="17"/>
          <w:color w:val="auto"/>
        </w:rPr>
        <w:t>” means:</w:t>
      </w:r>
    </w:p>
    <w:p>
      <w:pPr>
        <w:spacing w:after="0" w:line="191" w:lineRule="exact"/>
        <w:rPr>
          <w:sz w:val="20"/>
          <w:szCs w:val="20"/>
          <w:color w:val="auto"/>
        </w:rPr>
      </w:pPr>
    </w:p>
    <w:p>
      <w:pPr>
        <w:jc w:val="both"/>
        <w:ind w:left="760" w:firstLine="709"/>
        <w:spacing w:after="0" w:line="281" w:lineRule="auto"/>
        <w:tabs>
          <w:tab w:leader="none" w:pos="171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 any Interest Period with respect to a Eurocurrency Rate Loan (i) denominated in a LIBOR Quoted Currency, the rate per annum equal to the London Interbank Offered Rate (“</w:t>
      </w:r>
      <w:r>
        <w:rPr>
          <w:rFonts w:ascii="Arial" w:cs="Arial" w:eastAsia="Arial" w:hAnsi="Arial"/>
          <w:sz w:val="16"/>
          <w:szCs w:val="16"/>
          <w:u w:val="single" w:color="auto"/>
          <w:color w:val="auto"/>
        </w:rPr>
        <w:t>LIBOR</w:t>
      </w:r>
      <w:r>
        <w:rPr>
          <w:rFonts w:ascii="Arial" w:cs="Arial" w:eastAsia="Arial" w:hAnsi="Arial"/>
          <w:sz w:val="16"/>
          <w:szCs w:val="16"/>
          <w:color w:val="auto"/>
        </w:rPr>
        <w:t>”) or a comparable or successor rate, which rate is approved by the Administrative Agent, as published on the applicable Bloomberg screen page (or such other commercially available source providing such quotations as may be designated by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40"/>
          </w:cols>
          <w:pgMar w:left="240" w:top="312" w:right="219" w:bottom="1440" w:gutter="0" w:footer="0" w:header="0"/>
        </w:sectPr>
      </w:pPr>
    </w:p>
    <w:bookmarkStart w:id="22" w:name="page23"/>
    <w:bookmarkEnd w:id="22"/>
    <w:p>
      <w:pPr>
        <w:jc w:val="both"/>
        <w:ind w:left="760" w:right="20"/>
        <w:spacing w:after="0" w:line="275" w:lineRule="auto"/>
        <w:rPr>
          <w:sz w:val="20"/>
          <w:szCs w:val="20"/>
          <w:color w:val="auto"/>
        </w:rPr>
      </w:pPr>
      <w:r>
        <w:rPr>
          <w:rFonts w:ascii="Arial" w:cs="Arial" w:eastAsia="Arial" w:hAnsi="Arial"/>
          <w:sz w:val="16"/>
          <w:szCs w:val="16"/>
          <w:color w:val="auto"/>
        </w:rPr>
        <w:t xml:space="preserve">Administrative Agent from time to time) at approximately 11:00 a.m., London time, on the Rate Determination Date, for deposits in the relevant LIBOR Quoted Currency (for delivery on the first day of such Interest Period) with a term equivalent to such Interest Period, (ii) </w:t>
      </w:r>
      <w:r>
        <w:rPr>
          <w:rFonts w:ascii="Arial" w:cs="Arial" w:eastAsia="Arial" w:hAnsi="Arial"/>
          <w:sz w:val="14"/>
          <w:szCs w:val="14"/>
          <w:color w:val="auto"/>
        </w:rPr>
        <w:t>denominated in Canadian Dollars,</w:t>
      </w:r>
      <w:r>
        <w:rPr>
          <w:rFonts w:ascii="Arial" w:cs="Arial" w:eastAsia="Arial" w:hAnsi="Arial"/>
          <w:sz w:val="16"/>
          <w:szCs w:val="16"/>
          <w:color w:val="auto"/>
        </w:rPr>
        <w:t xml:space="preserve"> </w:t>
      </w:r>
      <w:r>
        <w:rPr>
          <w:rFonts w:ascii="Arial" w:cs="Arial" w:eastAsia="Arial" w:hAnsi="Arial"/>
          <w:sz w:val="14"/>
          <w:szCs w:val="14"/>
          <w:color w:val="auto"/>
        </w:rPr>
        <w:t>the rate per annum equal to the Canadian Dealer Offered Rate (“</w:t>
      </w:r>
      <w:r>
        <w:rPr>
          <w:rFonts w:ascii="Arial" w:cs="Arial" w:eastAsia="Arial" w:hAnsi="Arial"/>
          <w:sz w:val="14"/>
          <w:szCs w:val="14"/>
          <w:u w:val="single" w:color="auto"/>
          <w:color w:val="auto"/>
        </w:rPr>
        <w:t>CDOR</w:t>
      </w:r>
      <w:r>
        <w:rPr>
          <w:rFonts w:ascii="Arial" w:cs="Arial" w:eastAsia="Arial" w:hAnsi="Arial"/>
          <w:sz w:val="14"/>
          <w:szCs w:val="14"/>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(in such case, the “</w:t>
      </w:r>
      <w:r>
        <w:rPr>
          <w:rFonts w:ascii="Arial" w:cs="Arial" w:eastAsia="Arial" w:hAnsi="Arial"/>
          <w:sz w:val="14"/>
          <w:szCs w:val="14"/>
          <w:u w:val="single" w:color="auto"/>
          <w:color w:val="auto"/>
        </w:rPr>
        <w:t>CDOR Rate</w:t>
      </w:r>
      <w:r>
        <w:rPr>
          <w:rFonts w:ascii="Arial" w:cs="Arial" w:eastAsia="Arial" w:hAnsi="Arial"/>
          <w:sz w:val="14"/>
          <w:szCs w:val="14"/>
          <w:color w:val="auto"/>
        </w:rPr>
        <w:t xml:space="preserve">”) at or about 10:00 a.m. (Toronto, Ontario time) on the Rate Determination Date with a term equivalent to such Interest Period and (iii) denominated in any Non-LIBOR Quoted Currency (other than Canadian Dollars), the rate per annum as designated with respect to such Alternative Currency at the time such Alternative Currency is approved by the Administrative Agent and the Lenders pursuant to </w:t>
      </w:r>
      <w:r>
        <w:rPr>
          <w:rFonts w:ascii="Arial" w:cs="Arial" w:eastAsia="Arial" w:hAnsi="Arial"/>
          <w:sz w:val="14"/>
          <w:szCs w:val="14"/>
          <w:u w:val="single" w:color="auto"/>
          <w:color w:val="auto"/>
        </w:rPr>
        <w:t>Section 1.09</w:t>
      </w:r>
      <w:r>
        <w:rPr>
          <w:rFonts w:ascii="Arial" w:cs="Arial" w:eastAsia="Arial" w:hAnsi="Arial"/>
          <w:sz w:val="14"/>
          <w:szCs w:val="14"/>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6213475</wp:posOffset>
            </wp:positionH>
            <wp:positionV relativeFrom="paragraph">
              <wp:posOffset>-272415</wp:posOffset>
            </wp:positionV>
            <wp:extent cx="247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765" cy="7620"/>
                    </a:xfrm>
                    <a:prstGeom prst="rect">
                      <a:avLst/>
                    </a:prstGeom>
                    <a:noFill/>
                  </pic:spPr>
                </pic:pic>
              </a:graphicData>
            </a:graphic>
          </wp:anchor>
        </w:drawing>
      </w:r>
    </w:p>
    <w:p>
      <w:pPr>
        <w:spacing w:after="0" w:line="133" w:lineRule="exact"/>
        <w:rPr>
          <w:sz w:val="20"/>
          <w:szCs w:val="20"/>
          <w:color w:val="auto"/>
        </w:rPr>
      </w:pPr>
    </w:p>
    <w:p>
      <w:pPr>
        <w:ind w:left="760" w:right="20" w:firstLine="709"/>
        <w:spacing w:after="0" w:line="303" w:lineRule="auto"/>
        <w:tabs>
          <w:tab w:leader="none" w:pos="1725"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any interest rate calculation with respect to a Base Rate Loan on any date, the rate per annum equal to LIBOR, at approximately 11:00 a.m., London time, determined two Business Days prior to such date for Dollar deposits with a term of one month commencing that date;</w:t>
      </w:r>
    </w:p>
    <w:p>
      <w:pPr>
        <w:spacing w:after="0" w:line="122" w:lineRule="exact"/>
        <w:rPr>
          <w:sz w:val="20"/>
          <w:szCs w:val="20"/>
          <w:color w:val="auto"/>
        </w:rPr>
      </w:pPr>
    </w:p>
    <w:p>
      <w:pPr>
        <w:jc w:val="both"/>
        <w:ind w:firstLine="763"/>
        <w:spacing w:after="0" w:line="274"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 to the extent a comparable or successor rate is approved by the Administrative Agent in connection herewith, the approved rate shall be applied to the applicable Interest Period in a manner consistent with market practice;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to the extent such market practice is not administratively feasible for the Administrative Agent, such approved rate shall be applied to the applicable Interest Period as otherwise reasonably determined by the Administrative Agent and (ii) if the Eurocurrency Rate shall be less than zero, such rate shall be deemed to be zero for purposes of this Agreement.</w:t>
      </w:r>
    </w:p>
    <w:p>
      <w:pPr>
        <w:spacing w:after="0" w:line="144" w:lineRule="exact"/>
        <w:rPr>
          <w:sz w:val="20"/>
          <w:szCs w:val="20"/>
          <w:color w:val="auto"/>
        </w:rPr>
      </w:pPr>
    </w:p>
    <w:p>
      <w:pPr>
        <w:jc w:val="both"/>
        <w:ind w:firstLine="7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Rate Loan</w:t>
      </w:r>
      <w:r>
        <w:rPr>
          <w:rFonts w:ascii="Arial" w:cs="Arial" w:eastAsia="Arial" w:hAnsi="Arial"/>
          <w:sz w:val="17"/>
          <w:szCs w:val="17"/>
          <w:color w:val="auto"/>
        </w:rPr>
        <w:t xml:space="preserve">” means a Revolving Credit Loan, a Company Term Loan or a Gentherm Germany Term Loan that bears interest at a rate based on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the definition of “Eurocurrency Rate”. Eurocurrency Rate Loans may be denominated in Dollars or in an Alternative Currency. All Loans denominated in an Alternative Currency must be Eurocurrency Rate Loans.</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Event of Default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8.01</w:t>
      </w:r>
      <w:r>
        <w:rPr>
          <w:rFonts w:ascii="Arial" w:cs="Arial" w:eastAsia="Arial" w:hAnsi="Arial"/>
          <w:sz w:val="17"/>
          <w:szCs w:val="17"/>
          <w:color w:val="auto"/>
        </w:rPr>
        <w:t>.</w:t>
      </w:r>
    </w:p>
    <w:p>
      <w:pPr>
        <w:spacing w:after="0" w:line="191" w:lineRule="exact"/>
        <w:rPr>
          <w:sz w:val="20"/>
          <w:szCs w:val="20"/>
          <w:color w:val="auto"/>
        </w:rPr>
      </w:pPr>
    </w:p>
    <w:p>
      <w:pPr>
        <w:jc w:val="both"/>
        <w:ind w:firstLine="763"/>
        <w:spacing w:after="0" w:line="24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Subsidiary</w:t>
      </w:r>
      <w:r>
        <w:rPr>
          <w:rFonts w:ascii="Arial" w:cs="Arial" w:eastAsia="Arial" w:hAnsi="Arial"/>
          <w:sz w:val="17"/>
          <w:szCs w:val="17"/>
          <w:color w:val="auto"/>
        </w:rPr>
        <w:t>” means (a) Gentherm Electronics (Shenzen) Ltd., (b) W.E.T. Automotive Systems (China) Ltd., (c) Gentherm Automotive Technologies (Shanghai) Co. Ltd., (d) W.E.T. Automotiv Ukraine TOV, (e) Gentherm Korea Inc., (f) Gentherm Vietnam Co. Ltd., (g) any Foreign Subsidiary that is prohibited by applicable Law from providing a Guaranty or if the provision of such Guaranty by such Foreign Subsidiary would require governmental consent, approval, license or authorization and (h) any other Foreign Subsidiary with respect to which, in the reasonable judgment of the Administrative Agent (confirmed in writing by notice to the Company), the cost or other consequences of providing a Guaranty would be excessive in view of the benefits to be obtained by the Lenders therefrom.</w:t>
      </w:r>
    </w:p>
    <w:p>
      <w:pPr>
        <w:spacing w:after="0" w:line="166" w:lineRule="exact"/>
        <w:rPr>
          <w:sz w:val="20"/>
          <w:szCs w:val="20"/>
          <w:color w:val="auto"/>
        </w:rPr>
      </w:pPr>
    </w:p>
    <w:p>
      <w:pPr>
        <w:jc w:val="both"/>
        <w:ind w:firstLine="763"/>
        <w:spacing w:after="0" w:line="24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xml:space="preserve">” means, with respect to any Loan Party, any Swap Obligation if, and to the extent that, all or a portion of the Guaranty of such Loan Party of, or the grant under a Loan Document by such Loan Party of a security interest to secure, such Swap Obligation (or any Guarantee thereof) is or becomes illegal under the Commodity Exchange Act or any rule, regulation or order of the Commodity Futures Trading Commission (or the application or official interpretation thereof) by virtue of such Loan Party failure for any reason to constitute an “eligible contract participant” as defined in the Commodity Exchange Act (determined after giving effect to </w:t>
      </w:r>
      <w:r>
        <w:rPr>
          <w:rFonts w:ascii="Arial" w:cs="Arial" w:eastAsia="Arial" w:hAnsi="Arial"/>
          <w:sz w:val="17"/>
          <w:szCs w:val="17"/>
          <w:u w:val="single" w:color="auto"/>
          <w:color w:val="auto"/>
        </w:rPr>
        <w:t>Section 10.08</w:t>
      </w:r>
      <w:r>
        <w:rPr>
          <w:rFonts w:ascii="Arial" w:cs="Arial" w:eastAsia="Arial" w:hAnsi="Arial"/>
          <w:sz w:val="17"/>
          <w:szCs w:val="17"/>
          <w:color w:val="auto"/>
        </w:rPr>
        <w:t xml:space="preserve"> of this Agreement (and any comparable provision of any Guaranty) and any and all guarantees of such Loan Party’s Swap Obligations by other Loan Parties) at the time the Guaranty of such Loan Party, or grant by such Loan Party of a security interest,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security interest becomes excluded in accordance with the first sentence of this definition.</w:t>
      </w:r>
    </w:p>
    <w:p>
      <w:pPr>
        <w:spacing w:after="0" w:line="170" w:lineRule="exact"/>
        <w:rPr>
          <w:sz w:val="20"/>
          <w:szCs w:val="20"/>
          <w:color w:val="auto"/>
        </w:rPr>
      </w:pPr>
    </w:p>
    <w:p>
      <w:pPr>
        <w:jc w:val="both"/>
        <w:ind w:firstLine="763"/>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means any of the following Taxes imposed on or with respect to any Recipient or required to be withheld or deducted from a payment to a Recipient, (a) taxes imposed on or measured by its overall net income (however denominated), franchise taxes imposed on it (in lieu of net income taxes) and branch profit taxes, in each case, (i) imposed by the jurisdiction (or any political subdivision thereof) under the Laws of which such recipient is organized or in which its principal office is located or, in the case of any Lender, in which its applicable Lending Office is located or (ii) that are Other Connection Taxes, (b) any backup withholding tax that is required by the Code to be withheld from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40"/>
          </w:cols>
          <w:pgMar w:left="240" w:top="312" w:right="219" w:bottom="1440" w:gutter="0" w:footer="0" w:header="0"/>
        </w:sectPr>
      </w:pPr>
    </w:p>
    <w:bookmarkStart w:id="23" w:name="page24"/>
    <w:bookmarkEnd w:id="23"/>
    <w:p>
      <w:pPr>
        <w:jc w:val="both"/>
        <w:spacing w:after="0" w:line="254" w:lineRule="auto"/>
        <w:rPr>
          <w:sz w:val="20"/>
          <w:szCs w:val="20"/>
          <w:color w:val="auto"/>
        </w:rPr>
      </w:pPr>
      <w:r>
        <w:rPr>
          <w:rFonts w:ascii="Arial" w:cs="Arial" w:eastAsia="Arial" w:hAnsi="Arial"/>
          <w:sz w:val="17"/>
          <w:szCs w:val="17"/>
          <w:color w:val="auto"/>
        </w:rPr>
        <w:t xml:space="preserve">amounts payable to a Lender, (c) in the case of any Lender, any United States federal withholding tax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w:t>
      </w:r>
      <w:r>
        <w:rPr>
          <w:rFonts w:ascii="Arial" w:cs="Arial" w:eastAsia="Arial" w:hAnsi="Arial"/>
          <w:sz w:val="15"/>
          <w:szCs w:val="15"/>
          <w:u w:val="single" w:color="auto"/>
          <w:color w:val="auto"/>
        </w:rPr>
        <w:t>Section 11.13</w:t>
      </w:r>
      <w:r>
        <w:rPr>
          <w:rFonts w:ascii="Arial" w:cs="Arial" w:eastAsia="Arial" w:hAnsi="Arial"/>
          <w:sz w:val="15"/>
          <w:szCs w:val="15"/>
          <w:color w:val="auto"/>
        </w:rPr>
        <w:t>) or (ii) such Lender changes its Lending Office, except in each case</w:t>
      </w:r>
      <w:r>
        <w:rPr>
          <w:rFonts w:ascii="Arial" w:cs="Arial" w:eastAsia="Arial" w:hAnsi="Arial"/>
          <w:sz w:val="17"/>
          <w:szCs w:val="17"/>
          <w:color w:val="auto"/>
        </w:rPr>
        <w:t xml:space="preserve"> </w:t>
      </w:r>
      <w:r>
        <w:rPr>
          <w:rFonts w:ascii="Arial" w:cs="Arial" w:eastAsia="Arial" w:hAnsi="Arial"/>
          <w:sz w:val="15"/>
          <w:szCs w:val="15"/>
          <w:color w:val="auto"/>
        </w:rPr>
        <w:t xml:space="preserve">to the extent that, pursuant to Section 3.01, amounts with respect to such Taxes were payable either to such Lender’s assignor immediately before such Lender became party hereto or to such Lender immediately before it changed its Lending Office, (d) Taxes attributable to such Recipient’s failure to comply with </w:t>
      </w:r>
      <w:r>
        <w:rPr>
          <w:rFonts w:ascii="Arial" w:cs="Arial" w:eastAsia="Arial" w:hAnsi="Arial"/>
          <w:sz w:val="15"/>
          <w:szCs w:val="15"/>
          <w:u w:val="single" w:color="auto"/>
          <w:color w:val="auto"/>
        </w:rPr>
        <w:t>Section 3.01(e)</w:t>
      </w:r>
      <w:r>
        <w:rPr>
          <w:rFonts w:ascii="Arial" w:cs="Arial" w:eastAsia="Arial" w:hAnsi="Arial"/>
          <w:sz w:val="15"/>
          <w:szCs w:val="15"/>
          <w:color w:val="auto"/>
        </w:rPr>
        <w:t xml:space="preserve">, and (e) any United States federal withholding taxes imposed under FATCA. Notwithstanding anything to the contrary contained in this definition, “Excluded Taxes” shall not include any withholding tax imposed at any time on payments made by or on behalf of a Foreign Obligor to any Lender hereunder or under any other Loan Document,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Lender shall have complied with </w:t>
      </w:r>
      <w:r>
        <w:rPr>
          <w:rFonts w:ascii="Arial" w:cs="Arial" w:eastAsia="Arial" w:hAnsi="Arial"/>
          <w:sz w:val="15"/>
          <w:szCs w:val="15"/>
          <w:u w:val="single" w:color="auto"/>
          <w:color w:val="auto"/>
        </w:rPr>
        <w:t>Section 3.01(e)(i)</w:t>
      </w:r>
      <w:r>
        <w:rPr>
          <w:rFonts w:ascii="Arial" w:cs="Arial" w:eastAsia="Arial" w:hAnsi="Arial"/>
          <w:sz w:val="15"/>
          <w:szCs w:val="15"/>
          <w:color w:val="auto"/>
        </w:rPr>
        <w:t>.</w:t>
      </w:r>
    </w:p>
    <w:p>
      <w:pPr>
        <w:spacing w:after="0" w:line="165" w:lineRule="exact"/>
        <w:rPr>
          <w:sz w:val="20"/>
          <w:szCs w:val="20"/>
          <w:color w:val="auto"/>
        </w:rPr>
      </w:pPr>
    </w:p>
    <w:p>
      <w:pPr>
        <w:jc w:val="both"/>
        <w:ind w:firstLine="763"/>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Credit Agreements</w:t>
      </w:r>
      <w:r>
        <w:rPr>
          <w:rFonts w:ascii="Arial" w:cs="Arial" w:eastAsia="Arial" w:hAnsi="Arial"/>
          <w:sz w:val="16"/>
          <w:szCs w:val="16"/>
          <w:color w:val="auto"/>
        </w:rPr>
        <w:t>” means (a) that certain Credit Agreement dated as of March 30, 2011 among the Company, Gentherm Germany, each lender from time to time party thereto and Bank of America, as administrative agent, swing line lender and l/c issuer, as amended or otherwise modified and (b) that certain Credit Agreement dated as of March 30, 2011 among W.E.T. Automotive Systems AG, W.E.T. Automotive Systems Ltd., Bank of America Securities Limited, as administrative agent and Bank of America, as swing line lender and l/c issuer, as amended or otherwise modified.</w:t>
      </w:r>
    </w:p>
    <w:p>
      <w:pPr>
        <w:spacing w:after="0" w:line="144" w:lineRule="exact"/>
        <w:rPr>
          <w:sz w:val="20"/>
          <w:szCs w:val="20"/>
          <w:color w:val="auto"/>
        </w:rPr>
      </w:pPr>
    </w:p>
    <w:p>
      <w:pPr>
        <w:jc w:val="both"/>
        <w:ind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Letters of Credit</w:t>
      </w:r>
      <w:r>
        <w:rPr>
          <w:rFonts w:ascii="Arial" w:cs="Arial" w:eastAsia="Arial" w:hAnsi="Arial"/>
          <w:sz w:val="17"/>
          <w:szCs w:val="17"/>
          <w:color w:val="auto"/>
        </w:rPr>
        <w:t xml:space="preserve">” means the letters of credit described by date of issuance, letter of credit number, undrawn amount, name of beneficiary and date of expiry on </w:t>
      </w:r>
      <w:r>
        <w:rPr>
          <w:rFonts w:ascii="Arial" w:cs="Arial" w:eastAsia="Arial" w:hAnsi="Arial"/>
          <w:sz w:val="17"/>
          <w:szCs w:val="17"/>
          <w:u w:val="single" w:color="auto"/>
          <w:color w:val="auto"/>
        </w:rPr>
        <w:t>Schedule 1.01(b)</w:t>
      </w:r>
      <w:r>
        <w:rPr>
          <w:rFonts w:ascii="Arial" w:cs="Arial" w:eastAsia="Arial" w:hAnsi="Arial"/>
          <w:sz w:val="17"/>
          <w:szCs w:val="17"/>
          <w:color w:val="auto"/>
        </w:rPr>
        <w:t>.</w:t>
      </w:r>
    </w:p>
    <w:p>
      <w:pPr>
        <w:spacing w:after="0" w:line="145" w:lineRule="exact"/>
        <w:rPr>
          <w:sz w:val="20"/>
          <w:szCs w:val="20"/>
          <w:color w:val="auto"/>
        </w:rPr>
      </w:pPr>
    </w:p>
    <w:p>
      <w:pPr>
        <w:jc w:val="both"/>
        <w:ind w:firstLine="763"/>
        <w:spacing w:after="0" w:line="28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Extraordinary Receipt</w:t>
      </w:r>
      <w:r>
        <w:rPr>
          <w:rFonts w:ascii="Arial" w:cs="Arial" w:eastAsia="Arial" w:hAnsi="Arial"/>
          <w:sz w:val="15"/>
          <w:szCs w:val="15"/>
          <w:color w:val="auto"/>
        </w:rPr>
        <w:t xml:space="preserve">” means any cash received by or paid to or for the account of any Person not in the ordinary course of business, including pension plan reversions, proceeds of insurance (other than proceeds of business interruption insurance to the extent such proceeds constitute compensation for lost earnings), condemnation awards (and payments in lieu thereof), indemnity payments and any purchase price adjustments;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an Extraordinary Receipt shall not include cash receipts from proceeds of (x) insurance, condemnation awards (or payments in lieu thereof) or indemnity payments to the extent that such proceeds, awards or payments in respect of loss or damage to equipment, fixed assets or real property are applied (or in respect of which expenditures were previously incurred) to replace or repair the equipment, fixed assets or real property in respect of which such proceeds were received in accordance with the terms of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2.05(b)(iv)</w:t>
      </w:r>
      <w:r>
        <w:rPr>
          <w:rFonts w:ascii="Arial" w:cs="Arial" w:eastAsia="Arial" w:hAnsi="Arial"/>
          <w:sz w:val="15"/>
          <w:szCs w:val="15"/>
          <w:color w:val="auto"/>
        </w:rPr>
        <w:t xml:space="preserve"> or (y) indemnity payments to the extent such payments are to reimburse the recipient thereof for amounts previously paid to third parties or are projected to be used by the recipient thereof to pay amounts to third parties, in each case, within three hundred and sixty-five (365) days after receipt thereof by the recipient.</w:t>
      </w:r>
    </w:p>
    <w:p>
      <w:pPr>
        <w:spacing w:after="0" w:line="137"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w:t>
      </w:r>
      <w:r>
        <w:rPr>
          <w:rFonts w:ascii="Arial" w:cs="Arial" w:eastAsia="Arial" w:hAnsi="Arial"/>
          <w:sz w:val="17"/>
          <w:szCs w:val="17"/>
          <w:color w:val="auto"/>
        </w:rPr>
        <w:t>” means the Company Term Facility, the Gentherm Germany Term Facility, an Add-On Company Term Facility or the Revolving Credit Facility, as the context may require.</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 Office</w:t>
      </w:r>
      <w:r>
        <w:rPr>
          <w:rFonts w:ascii="Arial" w:cs="Arial" w:eastAsia="Arial" w:hAnsi="Arial"/>
          <w:sz w:val="17"/>
          <w:szCs w:val="17"/>
          <w:color w:val="auto"/>
        </w:rPr>
        <w:t>” means the office through which such Lender will perform its obligations under this Agreement.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FASB ASC</w:t>
      </w:r>
      <w:r>
        <w:rPr>
          <w:rFonts w:ascii="Arial" w:cs="Arial" w:eastAsia="Arial" w:hAnsi="Arial"/>
          <w:sz w:val="17"/>
          <w:szCs w:val="17"/>
          <w:color w:val="auto"/>
        </w:rPr>
        <w:t>” means the Accounting Standards Codification of the Financial Accounting Standards Board.</w:t>
      </w:r>
    </w:p>
    <w:p>
      <w:pPr>
        <w:spacing w:after="0" w:line="191" w:lineRule="exact"/>
        <w:rPr>
          <w:sz w:val="20"/>
          <w:szCs w:val="20"/>
          <w:color w:val="auto"/>
        </w:rPr>
      </w:pPr>
    </w:p>
    <w:p>
      <w:pPr>
        <w:jc w:val="both"/>
        <w:ind w:right="20" w:firstLine="7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and not materially more onerous to comply with), any treasury regulations or official interpretations thereof, any agreements entered into pursuant to Section 1471(b)(1) of the Code, and any applicable intergovernmental agreements.</w:t>
      </w:r>
    </w:p>
    <w:p>
      <w:pPr>
        <w:spacing w:after="0" w:line="157" w:lineRule="exact"/>
        <w:rPr>
          <w:sz w:val="20"/>
          <w:szCs w:val="20"/>
          <w:color w:val="auto"/>
        </w:rPr>
      </w:pPr>
    </w:p>
    <w:p>
      <w:pPr>
        <w:jc w:val="both"/>
        <w:ind w:firstLine="763"/>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40"/>
          </w:cols>
          <w:pgMar w:left="240" w:top="312" w:right="219" w:bottom="1440" w:gutter="0" w:footer="0" w:header="0"/>
        </w:sectPr>
      </w:pPr>
    </w:p>
    <w:bookmarkStart w:id="24" w:name="page25"/>
    <w:bookmarkEnd w:id="24"/>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Fee Letter</w:t>
      </w:r>
      <w:r>
        <w:rPr>
          <w:rFonts w:ascii="Arial" w:cs="Arial" w:eastAsia="Arial" w:hAnsi="Arial"/>
          <w:sz w:val="17"/>
          <w:szCs w:val="17"/>
          <w:color w:val="auto"/>
        </w:rPr>
        <w:t>” means that certain letter agreement dated June 3, 2014, among the Company, the Administrative Agent and the Arranger.</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Borrower</w:t>
      </w:r>
      <w:r>
        <w:rPr>
          <w:rFonts w:ascii="Arial" w:cs="Arial" w:eastAsia="Arial" w:hAnsi="Arial"/>
          <w:sz w:val="16"/>
          <w:szCs w:val="16"/>
          <w:color w:val="auto"/>
        </w:rPr>
        <w:t>” means any Borrower that is organized under the laws of a jurisdiction other than the United States, a state thereof or the District of</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Columbia.</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Disposition</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2.05</w:t>
      </w:r>
      <w:r>
        <w:rPr>
          <w:rFonts w:ascii="Arial" w:cs="Arial" w:eastAsia="Arial" w:hAnsi="Arial"/>
          <w:sz w:val="17"/>
          <w:szCs w:val="17"/>
          <w:color w:val="auto"/>
        </w:rPr>
        <w: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Equity Issuance</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2.05</w:t>
      </w:r>
      <w:r>
        <w:rPr>
          <w:rFonts w:ascii="Arial" w:cs="Arial" w:eastAsia="Arial" w:hAnsi="Arial"/>
          <w:sz w:val="17"/>
          <w:szCs w:val="17"/>
          <w:color w:val="auto"/>
        </w:rPr>
        <w: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Extraordinary Receipt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2.05</w:t>
      </w:r>
      <w:r>
        <w:rPr>
          <w:rFonts w:ascii="Arial" w:cs="Arial" w:eastAsia="Arial" w:hAnsi="Arial"/>
          <w:sz w:val="17"/>
          <w:szCs w:val="17"/>
          <w:color w:val="auto"/>
        </w:rPr>
        <w: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Government Scheme or Arrangement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5.12(d)</w:t>
      </w:r>
      <w:r>
        <w:rPr>
          <w:rFonts w:ascii="Arial" w:cs="Arial" w:eastAsia="Arial" w:hAnsi="Arial"/>
          <w:sz w:val="17"/>
          <w:szCs w:val="17"/>
          <w:color w:val="auto"/>
        </w:rPr>
        <w:t>.</w:t>
      </w:r>
    </w:p>
    <w:p>
      <w:pPr>
        <w:spacing w:after="0" w:line="191" w:lineRule="exact"/>
        <w:rPr>
          <w:sz w:val="20"/>
          <w:szCs w:val="20"/>
          <w:color w:val="auto"/>
        </w:rPr>
      </w:pPr>
    </w:p>
    <w:p>
      <w:pPr>
        <w:jc w:val="both"/>
        <w:ind w:right="20" w:firstLine="763"/>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Lender</w:t>
      </w:r>
      <w:r>
        <w:rPr>
          <w:rFonts w:ascii="Arial" w:cs="Arial" w:eastAsia="Arial" w:hAnsi="Arial"/>
          <w:sz w:val="16"/>
          <w:szCs w:val="16"/>
          <w:color w:val="auto"/>
        </w:rPr>
        <w:t>” means, with respect to any Borrower, (a) if such Borrower is a U.S. Person, a Lender that is not a U.S. Person, and (b) if such Borrower is a Foreign Borrower, a Lender that is resident or organized under the laws of a jurisdiction other than that in which such Borrower is resident for tax purposes. For purposes of this definition, the United States, each State thereof and the District of Columbia shall be deemed to constitute a single jurisdiction.</w:t>
      </w:r>
    </w:p>
    <w:p>
      <w:pPr>
        <w:spacing w:after="0" w:line="139" w:lineRule="exact"/>
        <w:rPr>
          <w:sz w:val="20"/>
          <w:szCs w:val="20"/>
          <w:color w:val="auto"/>
        </w:rPr>
      </w:pPr>
    </w:p>
    <w:p>
      <w:pPr>
        <w:jc w:val="both"/>
        <w:ind w:firstLine="763"/>
        <w:spacing w:after="0" w:line="24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Obligations</w:t>
      </w:r>
      <w:r>
        <w:rPr>
          <w:rFonts w:ascii="Arial" w:cs="Arial" w:eastAsia="Arial" w:hAnsi="Arial"/>
          <w:sz w:val="17"/>
          <w:szCs w:val="17"/>
          <w:color w:val="auto"/>
        </w:rPr>
        <w:t xml:space="preserve">” means with respect to each Foreign Obligor, (a) all advances to, and debts, liabilities, obligations, covenants and duties of, any Foreign Obligor arising under any Loan Document or otherwise with respect to any Loan or Letter of Credit, and (b) all Additional Secured Obligations of any Foreign Obligor, in the case of each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whether direct or indirect (including those acquired by assumption), absolute or contingent, due or to become due, now existing or hereafter arising and including interest and fees that accrue after the commencement by or against any Foreign Obligor or any Affiliate thereof of any proceeding under any Debtor Relief Laws naming such Person as the debtor in such proceeding, regardless of whether such interest and fees are allowed claims in such proceeding.</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Obligor</w:t>
      </w:r>
      <w:r>
        <w:rPr>
          <w:rFonts w:ascii="Arial" w:cs="Arial" w:eastAsia="Arial" w:hAnsi="Arial"/>
          <w:sz w:val="17"/>
          <w:szCs w:val="17"/>
          <w:color w:val="auto"/>
        </w:rPr>
        <w:t>” means a Loan Party that is not a U.S. Person.</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Plan</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5.12(d)</w:t>
      </w:r>
      <w:r>
        <w:rPr>
          <w:rFonts w:ascii="Arial" w:cs="Arial" w:eastAsia="Arial" w:hAnsi="Arial"/>
          <w:sz w:val="17"/>
          <w:szCs w:val="17"/>
          <w:color w:val="auto"/>
        </w:rPr>
        <w:t>.</w:t>
      </w:r>
    </w:p>
    <w:p>
      <w:pPr>
        <w:spacing w:after="0" w:line="191" w:lineRule="exact"/>
        <w:rPr>
          <w:sz w:val="20"/>
          <w:szCs w:val="20"/>
          <w:color w:val="auto"/>
        </w:rPr>
      </w:pPr>
    </w:p>
    <w:p>
      <w:pPr>
        <w:jc w:val="both"/>
        <w:ind w:right="20" w:firstLine="763"/>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Plan Event</w:t>
      </w:r>
      <w:r>
        <w:rPr>
          <w:rFonts w:ascii="Arial" w:cs="Arial" w:eastAsia="Arial" w:hAnsi="Arial"/>
          <w:sz w:val="17"/>
          <w:szCs w:val="17"/>
          <w:color w:val="auto"/>
        </w:rPr>
        <w:t>” means (a) termination in whole of a Foreign Plan by the Company or any of its Subsidiaries (other than Excluded Subsidiaries); (b) commencement of proceedings by the applicable pension regulator to terminate in whole a Foreign Plan; (c) withdrawal by the Company or any of its Subsidiaries from a “multi-employer pension plan,” as defined under any applicable Foreign Government Scheme or Arrangement; (d) an event which constitutes grounds under any applicable Foreign Government Scheme or Arrangement for the applicable pension regulator to remove the administrator of a Foreign Plan; or (e) failure to make a legally required contribution to the Foreign Plan.</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Foreign Subsidiary</w:t>
      </w:r>
      <w:r>
        <w:rPr>
          <w:rFonts w:ascii="Arial" w:cs="Arial" w:eastAsia="Arial" w:hAnsi="Arial"/>
          <w:sz w:val="15"/>
          <w:szCs w:val="15"/>
          <w:color w:val="auto"/>
        </w:rPr>
        <w:t>” means any Subsidiary that is organized under the laws of a jurisdiction other than the United States, a State thereof or the District of</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Columbia.</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FRB</w:t>
      </w:r>
      <w:r>
        <w:rPr>
          <w:rFonts w:ascii="Arial" w:cs="Arial" w:eastAsia="Arial" w:hAnsi="Arial"/>
          <w:sz w:val="17"/>
          <w:szCs w:val="17"/>
          <w:color w:val="auto"/>
        </w:rPr>
        <w:t>” means the Board of Governors of the Federal Reserve System of the United States.</w:t>
      </w:r>
    </w:p>
    <w:p>
      <w:pPr>
        <w:spacing w:after="0" w:line="191" w:lineRule="exact"/>
        <w:rPr>
          <w:sz w:val="20"/>
          <w:szCs w:val="20"/>
          <w:color w:val="auto"/>
        </w:rPr>
      </w:pPr>
    </w:p>
    <w:p>
      <w:pPr>
        <w:jc w:val="both"/>
        <w:ind w:firstLine="763"/>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Fronting Exposure</w:t>
      </w:r>
      <w:r>
        <w:rPr>
          <w:rFonts w:ascii="Arial" w:cs="Arial" w:eastAsia="Arial" w:hAnsi="Arial"/>
          <w:sz w:val="17"/>
          <w:szCs w:val="17"/>
          <w:color w:val="auto"/>
        </w:rPr>
        <w:t>” means, at any time there is a Defaulting Lender, (a) with respect to the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or Cash Collateralized in accordance with the terms hereof.</w:t>
      </w:r>
    </w:p>
    <w:p>
      <w:pPr>
        <w:spacing w:after="0" w:line="162" w:lineRule="exact"/>
        <w:rPr>
          <w:sz w:val="20"/>
          <w:szCs w:val="20"/>
          <w:color w:val="auto"/>
        </w:rPr>
      </w:pPr>
    </w:p>
    <w:p>
      <w:pPr>
        <w:jc w:val="both"/>
        <w:ind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w:t>
      </w:r>
      <w:r>
        <w:rPr>
          <w:rFonts w:ascii="Arial" w:cs="Arial" w:eastAsia="Arial" w:hAnsi="Arial"/>
          <w:sz w:val="17"/>
          <w:szCs w:val="17"/>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45"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means generally accepted accounting principles in the United States set forth in the opinions and pronouncements of the Accounting Principles Board and the American Institute of Certified Public Accountants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40"/>
          </w:cols>
          <w:pgMar w:left="240" w:top="312" w:right="219" w:bottom="1440" w:gutter="0" w:footer="0" w:header="0"/>
        </w:sectPr>
      </w:pPr>
    </w:p>
    <w:bookmarkStart w:id="25" w:name="page26"/>
    <w:bookmarkEnd w:id="25"/>
    <w:p>
      <w:pPr>
        <w:jc w:val="both"/>
        <w:spacing w:after="0" w:line="271" w:lineRule="auto"/>
        <w:rPr>
          <w:sz w:val="20"/>
          <w:szCs w:val="20"/>
          <w:color w:val="auto"/>
        </w:rPr>
      </w:pPr>
      <w:r>
        <w:rPr>
          <w:rFonts w:ascii="Arial" w:cs="Arial" w:eastAsia="Arial" w:hAnsi="Arial"/>
          <w:sz w:val="17"/>
          <w:szCs w:val="17"/>
          <w:color w:val="auto"/>
        </w:rPr>
        <w:t>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Gentherm Canada</w:t>
      </w:r>
      <w:r>
        <w:rPr>
          <w:rFonts w:ascii="Arial" w:cs="Arial" w:eastAsia="Arial" w:hAnsi="Arial"/>
          <w:sz w:val="17"/>
          <w:szCs w:val="17"/>
          <w:color w:val="auto"/>
        </w:rPr>
        <w:t>” has the meaning specified in the introductory paragraph hereto.</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Gentherm Company</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5.26</w:t>
      </w:r>
      <w:r>
        <w:rPr>
          <w:rFonts w:ascii="Arial" w:cs="Arial" w:eastAsia="Arial" w:hAnsi="Arial"/>
          <w:sz w:val="17"/>
          <w:szCs w:val="17"/>
          <w:color w:val="auto"/>
        </w:rPr>
        <w: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Gentherm Germany</w:t>
      </w:r>
      <w:r>
        <w:rPr>
          <w:rFonts w:ascii="Arial" w:cs="Arial" w:eastAsia="Arial" w:hAnsi="Arial"/>
          <w:sz w:val="17"/>
          <w:szCs w:val="17"/>
          <w:color w:val="auto"/>
        </w:rPr>
        <w:t>” has the meaning specified in the introductory paragraph hereto.</w:t>
      </w:r>
    </w:p>
    <w:p>
      <w:pPr>
        <w:spacing w:after="0" w:line="191"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Gentherm Germany Sublimit</w:t>
      </w:r>
      <w:r>
        <w:rPr>
          <w:rFonts w:ascii="Arial" w:cs="Arial" w:eastAsia="Arial" w:hAnsi="Arial"/>
          <w:sz w:val="17"/>
          <w:szCs w:val="17"/>
          <w:color w:val="auto"/>
        </w:rPr>
        <w:t>” means an amount equal to the lesser of (a) $25,000,000 and (b) the Revolving Credit Facility. The Gentherm Germany Sublimit is part of, and not in addition to, the Revolving Credit Facility.</w:t>
      </w:r>
    </w:p>
    <w:p>
      <w:pPr>
        <w:spacing w:after="0" w:line="145" w:lineRule="exact"/>
        <w:rPr>
          <w:sz w:val="20"/>
          <w:szCs w:val="20"/>
          <w:color w:val="auto"/>
        </w:rPr>
      </w:pPr>
    </w:p>
    <w:p>
      <w:pPr>
        <w:jc w:val="both"/>
        <w:ind w:firstLine="763"/>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Gentherm Germany Term Borrowing</w:t>
      </w:r>
      <w:r>
        <w:rPr>
          <w:rFonts w:ascii="Arial" w:cs="Arial" w:eastAsia="Arial" w:hAnsi="Arial"/>
          <w:sz w:val="16"/>
          <w:szCs w:val="16"/>
          <w:color w:val="auto"/>
        </w:rPr>
        <w:t xml:space="preserve">” means a borrowing consisting of simultaneous Gentherm Germany Term Loans of the same Type and, in the case of Eurocurrency Rate Loans, having the same Interest Period made by each of the Gentherm Germany Term Lenders pursuant to </w:t>
      </w:r>
      <w:r>
        <w:rPr>
          <w:rFonts w:ascii="Arial" w:cs="Arial" w:eastAsia="Arial" w:hAnsi="Arial"/>
          <w:sz w:val="16"/>
          <w:szCs w:val="16"/>
          <w:u w:val="single" w:color="auto"/>
          <w:color w:val="auto"/>
        </w:rPr>
        <w:t>Section 2.01(b)</w:t>
      </w:r>
      <w:r>
        <w:rPr>
          <w:rFonts w:ascii="Arial" w:cs="Arial" w:eastAsia="Arial" w:hAnsi="Arial"/>
          <w:sz w:val="16"/>
          <w:szCs w:val="16"/>
          <w:color w:val="auto"/>
        </w:rPr>
        <w:t>.</w:t>
      </w:r>
    </w:p>
    <w:p>
      <w:pPr>
        <w:spacing w:after="0" w:line="122" w:lineRule="exact"/>
        <w:rPr>
          <w:sz w:val="20"/>
          <w:szCs w:val="20"/>
          <w:color w:val="auto"/>
        </w:rPr>
      </w:pPr>
    </w:p>
    <w:p>
      <w:pPr>
        <w:jc w:val="both"/>
        <w:ind w:firstLine="763"/>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Gentherm Germany Term Commitment</w:t>
      </w:r>
      <w:r>
        <w:rPr>
          <w:rFonts w:ascii="Arial" w:cs="Arial" w:eastAsia="Arial" w:hAnsi="Arial"/>
          <w:sz w:val="17"/>
          <w:szCs w:val="17"/>
          <w:color w:val="auto"/>
        </w:rPr>
        <w:t xml:space="preserve">” means, as to each Gentherm Germany Term Lender, its obligation to make Gentherm Germany Term Loans to Gentherm Germany pursuant to </w:t>
      </w:r>
      <w:r>
        <w:rPr>
          <w:rFonts w:ascii="Arial" w:cs="Arial" w:eastAsia="Arial" w:hAnsi="Arial"/>
          <w:sz w:val="17"/>
          <w:szCs w:val="17"/>
          <w:u w:val="single" w:color="auto"/>
          <w:color w:val="auto"/>
        </w:rPr>
        <w:t>Section 2.01(b)</w:t>
      </w:r>
      <w:r>
        <w:rPr>
          <w:rFonts w:ascii="Arial" w:cs="Arial" w:eastAsia="Arial" w:hAnsi="Arial"/>
          <w:sz w:val="17"/>
          <w:szCs w:val="17"/>
          <w:color w:val="auto"/>
        </w:rPr>
        <w:t xml:space="preserve"> in an aggregate principal amount at any one time outstanding not to exceed the amount set forth opposite such Lender’s name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under the caption “Gentherm Germany Term Commitment” or opposite such caption in the Assignment and Assumption pursuant to which such Gentherm Germany Term Lender becomes a party hereto, as applicable, as such amount may be adjusted from time to time in accordance with this Agreement.</w:t>
      </w:r>
    </w:p>
    <w:p>
      <w:pPr>
        <w:spacing w:after="0" w:line="162" w:lineRule="exact"/>
        <w:rPr>
          <w:sz w:val="20"/>
          <w:szCs w:val="20"/>
          <w:color w:val="auto"/>
        </w:rPr>
      </w:pPr>
    </w:p>
    <w:p>
      <w:pPr>
        <w:jc w:val="both"/>
        <w:ind w:right="20" w:firstLine="763"/>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Gentherm Germany Term Facility</w:t>
      </w:r>
      <w:r>
        <w:rPr>
          <w:rFonts w:ascii="Arial" w:cs="Arial" w:eastAsia="Arial" w:hAnsi="Arial"/>
          <w:sz w:val="17"/>
          <w:szCs w:val="17"/>
          <w:color w:val="auto"/>
        </w:rPr>
        <w:t>” means, at any time, (a) on or prior to the Closing Date, the aggregate amount of the Gentherm Germany Term Commitments at such time and (b) thereafter, the aggregate principal amount of the Gentherm Germany Term Loans of all Gentherm Germany Term Lenders outstanding at such time. The aggregate principal amount of the Gentherm Germany Term Facility as in effect on the Closing Date is TWENTY MILLION EURO (€20,000,000).</w:t>
      </w:r>
    </w:p>
    <w:p>
      <w:pPr>
        <w:spacing w:after="0" w:line="160"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Gentherm Germany Term Lender</w:t>
      </w:r>
      <w:r>
        <w:rPr>
          <w:rFonts w:ascii="Arial" w:cs="Arial" w:eastAsia="Arial" w:hAnsi="Arial"/>
          <w:sz w:val="17"/>
          <w:szCs w:val="17"/>
          <w:color w:val="auto"/>
        </w:rPr>
        <w:t>” means at any time, (a) on or prior to the Closing Date, any Lender that has a Gentherm Germany Commitment at such time and (b) thereafter, any Lender that holds Gentherm Germany Term Loans at such time.</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Gentherm Germany Term Loan</w:t>
      </w:r>
      <w:r>
        <w:rPr>
          <w:rFonts w:ascii="Arial" w:cs="Arial" w:eastAsia="Arial" w:hAnsi="Arial"/>
          <w:sz w:val="16"/>
          <w:szCs w:val="16"/>
          <w:color w:val="auto"/>
        </w:rPr>
        <w:t>” means an advance made by any Gentherm Germany Term Lender under the Gentherm Germany Term Facility.</w:t>
      </w:r>
    </w:p>
    <w:p>
      <w:pPr>
        <w:spacing w:after="0" w:line="203"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Gentherm Germany Term Note</w:t>
      </w:r>
      <w:r>
        <w:rPr>
          <w:rFonts w:ascii="Arial" w:cs="Arial" w:eastAsia="Arial" w:hAnsi="Arial"/>
          <w:sz w:val="17"/>
          <w:szCs w:val="17"/>
          <w:color w:val="auto"/>
        </w:rPr>
        <w:t xml:space="preserve">” means a promissory note made by Gentherm Germany in favor of a Gentherm Germany Term Lender, evidencing Gentherm Germany Term Loans made by such Gentherm Germany Term Lender,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Gentherm Texas</w:t>
      </w:r>
      <w:r>
        <w:rPr>
          <w:rFonts w:ascii="Arial" w:cs="Arial" w:eastAsia="Arial" w:hAnsi="Arial"/>
          <w:sz w:val="17"/>
          <w:szCs w:val="17"/>
          <w:color w:val="auto"/>
        </w:rPr>
        <w:t>” has the meaning specified in the introductory paragraph hereto.</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German Civil Code</w:t>
      </w:r>
      <w:r>
        <w:rPr>
          <w:rFonts w:ascii="Arial" w:cs="Arial" w:eastAsia="Arial" w:hAnsi="Arial"/>
          <w:sz w:val="17"/>
          <w:szCs w:val="17"/>
          <w:color w:val="auto"/>
        </w:rPr>
        <w:t xml:space="preserve">” means </w:t>
      </w:r>
      <w:r>
        <w:rPr>
          <w:rFonts w:ascii="Arial" w:cs="Arial" w:eastAsia="Arial" w:hAnsi="Arial"/>
          <w:sz w:val="17"/>
          <w:szCs w:val="17"/>
          <w:i w:val="1"/>
          <w:iCs w:val="1"/>
          <w:color w:val="auto"/>
        </w:rPr>
        <w:t>Bürgerliches Gesetzbuch</w:t>
      </w:r>
      <w:r>
        <w:rPr>
          <w:rFonts w:ascii="Arial" w:cs="Arial" w:eastAsia="Arial" w:hAnsi="Arial"/>
          <w:sz w:val="17"/>
          <w:szCs w:val="17"/>
          <w:color w:val="auto"/>
        </w:rPr>
        <w:t xml:space="preserve"> (</w:t>
      </w:r>
      <w:r>
        <w:rPr>
          <w:rFonts w:ascii="Arial" w:cs="Arial" w:eastAsia="Arial" w:hAnsi="Arial"/>
          <w:sz w:val="17"/>
          <w:szCs w:val="17"/>
          <w:i w:val="1"/>
          <w:iCs w:val="1"/>
          <w:color w:val="auto"/>
        </w:rPr>
        <w:t>BGB</w:t>
      </w:r>
      <w:r>
        <w:rPr>
          <w:rFonts w:ascii="Arial" w:cs="Arial" w:eastAsia="Arial" w:hAnsi="Arial"/>
          <w:sz w:val="17"/>
          <w:szCs w:val="17"/>
          <w:color w:val="auto"/>
        </w:rPr>
        <w:t>) as amended, supplemented and/or restated from time to time.</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German Law</w:t>
      </w:r>
      <w:r>
        <w:rPr>
          <w:rFonts w:ascii="Arial" w:cs="Arial" w:eastAsia="Arial" w:hAnsi="Arial"/>
          <w:sz w:val="17"/>
          <w:szCs w:val="17"/>
          <w:color w:val="auto"/>
        </w:rPr>
        <w:t>” means the Laws of Germany.</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German Loan Party</w:t>
      </w:r>
      <w:r>
        <w:rPr>
          <w:rFonts w:ascii="Arial" w:cs="Arial" w:eastAsia="Arial" w:hAnsi="Arial"/>
          <w:sz w:val="17"/>
          <w:szCs w:val="17"/>
          <w:color w:val="auto"/>
        </w:rPr>
        <w:t>” means Gentherm Germany and any other Subsidiary of the Company incorporated or established in Germany.</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German Obligation</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2.14(a)</w:t>
      </w:r>
      <w:r>
        <w:rPr>
          <w:rFonts w:ascii="Arial" w:cs="Arial" w:eastAsia="Arial" w:hAnsi="Arial"/>
          <w:sz w:val="17"/>
          <w:szCs w:val="17"/>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40"/>
          </w:cols>
          <w:pgMar w:left="240" w:top="312" w:right="219" w:bottom="1440" w:gutter="0" w:footer="0" w:header="0"/>
        </w:sectPr>
      </w:pPr>
    </w:p>
    <w:bookmarkStart w:id="26" w:name="page27"/>
    <w:bookmarkEnd w:id="26"/>
    <w:p>
      <w:pPr>
        <w:jc w:val="both"/>
        <w:ind w:firstLine="763"/>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German Parallel Debt Agreement</w:t>
      </w:r>
      <w:r>
        <w:rPr>
          <w:rFonts w:ascii="Arial" w:cs="Arial" w:eastAsia="Arial" w:hAnsi="Arial"/>
          <w:sz w:val="16"/>
          <w:szCs w:val="16"/>
          <w:color w:val="auto"/>
        </w:rPr>
        <w:t xml:space="preserve">” means that certain parallel debt and security trust agreement among the Administrative Agent and the other Secured Parties from time to time party thereto, as beneficiaries, and the Loan Parties from time to time party thereto, substantially in the form of </w:t>
      </w:r>
      <w:r>
        <w:rPr>
          <w:rFonts w:ascii="Arial" w:cs="Arial" w:eastAsia="Arial" w:hAnsi="Arial"/>
          <w:sz w:val="16"/>
          <w:szCs w:val="16"/>
          <w:u w:val="single" w:color="auto"/>
          <w:color w:val="auto"/>
        </w:rPr>
        <w:t>Exhibit K</w:t>
      </w:r>
      <w:r>
        <w:rPr>
          <w:rFonts w:ascii="Arial" w:cs="Arial" w:eastAsia="Arial" w:hAnsi="Arial"/>
          <w:sz w:val="16"/>
          <w:szCs w:val="16"/>
          <w:color w:val="auto"/>
        </w:rPr>
        <w:t>.</w:t>
      </w:r>
    </w:p>
    <w:p>
      <w:pPr>
        <w:spacing w:after="0" w:line="122" w:lineRule="exact"/>
        <w:rPr>
          <w:sz w:val="20"/>
          <w:szCs w:val="20"/>
          <w:color w:val="auto"/>
        </w:rPr>
      </w:pPr>
    </w:p>
    <w:p>
      <w:pPr>
        <w:jc w:val="both"/>
        <w:ind w:right="20" w:firstLine="763"/>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German Share Pledge Agreement</w:t>
      </w:r>
      <w:r>
        <w:rPr>
          <w:rFonts w:ascii="Arial" w:cs="Arial" w:eastAsia="Arial" w:hAnsi="Arial"/>
          <w:sz w:val="15"/>
          <w:szCs w:val="15"/>
          <w:color w:val="auto"/>
        </w:rPr>
        <w:t xml:space="preserve">” means that certain share pledge agreement among the Company, as pledger, Gentherm Germany, as pledged company, the Administrative Agent, as collateral agent and original pledgee and the other Secured Parties party thereto as pledgees, substantially in the form of </w:t>
      </w:r>
      <w:r>
        <w:rPr>
          <w:rFonts w:ascii="Arial" w:cs="Arial" w:eastAsia="Arial" w:hAnsi="Arial"/>
          <w:sz w:val="15"/>
          <w:szCs w:val="15"/>
          <w:u w:val="single" w:color="auto"/>
          <w:color w:val="auto"/>
        </w:rPr>
        <w:t>Exhibit J</w:t>
      </w:r>
      <w:r>
        <w:rPr>
          <w:rFonts w:ascii="Arial" w:cs="Arial" w:eastAsia="Arial" w:hAnsi="Arial"/>
          <w:sz w:val="15"/>
          <w:szCs w:val="15"/>
          <w:color w:val="auto"/>
        </w:rPr>
        <w:t>.</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Germany</w:t>
      </w:r>
      <w:r>
        <w:rPr>
          <w:rFonts w:ascii="Arial" w:cs="Arial" w:eastAsia="Arial" w:hAnsi="Arial"/>
          <w:sz w:val="17"/>
          <w:szCs w:val="17"/>
          <w:color w:val="auto"/>
        </w:rPr>
        <w:t>” means the Federal Republic of Germany.</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Global</w:t>
      </w:r>
      <w:r>
        <w:rPr>
          <w:rFonts w:ascii="Arial" w:cs="Arial" w:eastAsia="Arial" w:hAnsi="Arial"/>
          <w:sz w:val="17"/>
          <w:szCs w:val="17"/>
          <w:color w:val="auto"/>
        </w:rPr>
        <w:t>” has the meaning specified in the introductory paragraph hereto.</w:t>
      </w:r>
    </w:p>
    <w:p>
      <w:pPr>
        <w:spacing w:after="0" w:line="191" w:lineRule="exact"/>
        <w:rPr>
          <w:sz w:val="20"/>
          <w:szCs w:val="20"/>
          <w:color w:val="auto"/>
        </w:rPr>
      </w:pPr>
    </w:p>
    <w:p>
      <w:pPr>
        <w:jc w:val="both"/>
        <w:ind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Global Acquisition</w:t>
      </w:r>
      <w:r>
        <w:rPr>
          <w:rFonts w:ascii="Arial" w:cs="Arial" w:eastAsia="Arial" w:hAnsi="Arial"/>
          <w:sz w:val="17"/>
          <w:szCs w:val="17"/>
          <w:color w:val="auto"/>
        </w:rPr>
        <w:t>” means the acquisition on April 1, 2014 by the Company of one hundred percent (100%) of the Equity Interests of Global pursuant to the terms the Global Acquisition Agreement.</w:t>
      </w:r>
    </w:p>
    <w:p>
      <w:pPr>
        <w:spacing w:after="0" w:line="145"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Global Acquisition Agreement</w:t>
      </w:r>
      <w:r>
        <w:rPr>
          <w:rFonts w:ascii="Arial" w:cs="Arial" w:eastAsia="Arial" w:hAnsi="Arial"/>
          <w:sz w:val="17"/>
          <w:szCs w:val="17"/>
          <w:color w:val="auto"/>
        </w:rPr>
        <w:t>” means that certain Share Purchase Agreement dated as of April 1, 2014, by and among Global, Rockwood Equity Partners, LLC, the Shareholders and Warrantholders of Global listed on the signature pages thereto, 1804376 Alberta Ltd. and the Company.</w:t>
      </w:r>
    </w:p>
    <w:p>
      <w:pPr>
        <w:spacing w:after="0" w:line="145" w:lineRule="exact"/>
        <w:rPr>
          <w:sz w:val="20"/>
          <w:szCs w:val="20"/>
          <w:color w:val="auto"/>
        </w:rPr>
      </w:pPr>
    </w:p>
    <w:p>
      <w:pPr>
        <w:jc w:val="both"/>
        <w:ind w:right="20" w:firstLine="763"/>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Global Letters of Guarantee</w:t>
      </w:r>
      <w:r>
        <w:rPr>
          <w:rFonts w:ascii="Arial" w:cs="Arial" w:eastAsia="Arial" w:hAnsi="Arial"/>
          <w:sz w:val="16"/>
          <w:szCs w:val="16"/>
          <w:color w:val="auto"/>
        </w:rPr>
        <w:t>” means those certain one or more letters of guarantee issued by The Bank of Nova Scotia under the Bank of Nova Scotia/Global Credit Agreement in support of certain of Global’s performance obligations, in an aggregate amount not to exceed $2,500,000 at any one time.</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Global Partnership</w:t>
      </w:r>
      <w:r>
        <w:rPr>
          <w:rFonts w:ascii="Arial" w:cs="Arial" w:eastAsia="Arial" w:hAnsi="Arial"/>
          <w:sz w:val="17"/>
          <w:szCs w:val="17"/>
          <w:color w:val="auto"/>
        </w:rPr>
        <w:t>” has the meaning specified in the definition of “Material Subsidiary”.</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GmbH</w:t>
      </w:r>
      <w:r>
        <w:rPr>
          <w:rFonts w:ascii="Arial" w:cs="Arial" w:eastAsia="Arial" w:hAnsi="Arial"/>
          <w:sz w:val="17"/>
          <w:szCs w:val="17"/>
          <w:color w:val="auto"/>
        </w:rPr>
        <w:t>” means a limited liability company under the Laws of Germany (</w:t>
      </w:r>
      <w:r>
        <w:rPr>
          <w:rFonts w:ascii="Arial" w:cs="Arial" w:eastAsia="Arial" w:hAnsi="Arial"/>
          <w:sz w:val="17"/>
          <w:szCs w:val="17"/>
          <w:i w:val="1"/>
          <w:iCs w:val="1"/>
          <w:color w:val="auto"/>
        </w:rPr>
        <w:t>Gesellschaft mit beschränkter Haftung</w:t>
      </w:r>
      <w:r>
        <w:rPr>
          <w:rFonts w:ascii="Arial" w:cs="Arial" w:eastAsia="Arial" w:hAnsi="Arial"/>
          <w:sz w:val="17"/>
          <w:szCs w:val="17"/>
          <w:color w:val="auto"/>
        </w:rPr>
        <w:t>).</w:t>
      </w:r>
    </w:p>
    <w:p>
      <w:pPr>
        <w:spacing w:after="0" w:line="191" w:lineRule="exact"/>
        <w:rPr>
          <w:sz w:val="20"/>
          <w:szCs w:val="20"/>
          <w:color w:val="auto"/>
        </w:rPr>
      </w:pPr>
    </w:p>
    <w:p>
      <w:pPr>
        <w:jc w:val="both"/>
        <w:ind w:firstLine="763"/>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the government of the United States, Canada, Germany or any other nation, or of any political subdivision thereof, whether state, provincial, territorial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60" w:lineRule="exact"/>
        <w:rPr>
          <w:sz w:val="20"/>
          <w:szCs w:val="20"/>
          <w:color w:val="auto"/>
        </w:rPr>
      </w:pPr>
    </w:p>
    <w:p>
      <w:pPr>
        <w:jc w:val="both"/>
        <w:ind w:firstLine="763"/>
        <w:spacing w:after="0" w:line="28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Guarantee</w:t>
      </w:r>
      <w:r>
        <w:rPr>
          <w:rFonts w:ascii="Arial" w:cs="Arial" w:eastAsia="Arial" w:hAnsi="Arial"/>
          <w:sz w:val="15"/>
          <w:szCs w:val="15"/>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47"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Guarantors</w:t>
      </w:r>
      <w:r>
        <w:rPr>
          <w:rFonts w:ascii="Arial" w:cs="Arial" w:eastAsia="Arial" w:hAnsi="Arial"/>
          <w:sz w:val="17"/>
          <w:szCs w:val="17"/>
          <w:color w:val="auto"/>
        </w:rPr>
        <w:t xml:space="preserve">” means, collectively, each Subsidiary of the Company that is either (a) party to the Closing Date Guaranty or (b) who has executed and delivered a guaranty or guaranty supplement pursuant to </w:t>
      </w:r>
      <w:r>
        <w:rPr>
          <w:rFonts w:ascii="Arial" w:cs="Arial" w:eastAsia="Arial" w:hAnsi="Arial"/>
          <w:sz w:val="17"/>
          <w:szCs w:val="17"/>
          <w:u w:val="single" w:color="auto"/>
          <w:color w:val="auto"/>
        </w:rPr>
        <w:t>Section 6.13</w:t>
      </w:r>
      <w:r>
        <w:rPr>
          <w:rFonts w:ascii="Arial" w:cs="Arial" w:eastAsia="Arial" w:hAnsi="Arial"/>
          <w:sz w:val="17"/>
          <w:szCs w:val="17"/>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40"/>
          </w:cols>
          <w:pgMar w:left="240" w:top="312" w:right="219" w:bottom="1440" w:gutter="0" w:footer="0" w:header="0"/>
        </w:sectPr>
      </w:pPr>
    </w:p>
    <w:bookmarkStart w:id="27" w:name="page28"/>
    <w:bookmarkEnd w:id="27"/>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Guaranty</w:t>
      </w:r>
      <w:r>
        <w:rPr>
          <w:rFonts w:ascii="Arial" w:cs="Arial" w:eastAsia="Arial" w:hAnsi="Arial"/>
          <w:sz w:val="17"/>
          <w:szCs w:val="17"/>
          <w:color w:val="auto"/>
        </w:rPr>
        <w:t xml:space="preserve">” means (a) the Closing Date Guaranty, (b) the guaranty made by the Borrowers pursuant to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of this Agreement and (c) any other guaranty or guaranty supplement delivered by any direct or indirect Subsidiary of the Company pursuant to </w:t>
      </w:r>
      <w:r>
        <w:rPr>
          <w:rFonts w:ascii="Arial" w:cs="Arial" w:eastAsia="Arial" w:hAnsi="Arial"/>
          <w:sz w:val="17"/>
          <w:szCs w:val="17"/>
          <w:u w:val="single" w:color="auto"/>
          <w:color w:val="auto"/>
        </w:rPr>
        <w:t>Section 6.13</w:t>
      </w:r>
      <w:r>
        <w:rPr>
          <w:rFonts w:ascii="Arial" w:cs="Arial" w:eastAsia="Arial" w:hAnsi="Arial"/>
          <w:sz w:val="17"/>
          <w:szCs w:val="17"/>
          <w:color w:val="auto"/>
        </w:rPr>
        <w:t>.</w:t>
      </w:r>
    </w:p>
    <w:p>
      <w:pPr>
        <w:spacing w:after="0" w:line="145" w:lineRule="exact"/>
        <w:rPr>
          <w:sz w:val="20"/>
          <w:szCs w:val="20"/>
          <w:color w:val="auto"/>
        </w:rPr>
      </w:pPr>
    </w:p>
    <w:p>
      <w:pPr>
        <w:jc w:val="both"/>
        <w:ind w:right="20" w:firstLine="7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Materials</w:t>
      </w:r>
      <w:r>
        <w:rPr>
          <w:rFonts w:ascii="Arial" w:cs="Arial" w:eastAsia="Arial" w:hAnsi="Arial"/>
          <w:sz w:val="17"/>
          <w:szCs w:val="17"/>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Honor Date</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2.03(c)(i)</w:t>
      </w:r>
      <w:r>
        <w:rPr>
          <w:rFonts w:ascii="Arial" w:cs="Arial" w:eastAsia="Arial" w:hAnsi="Arial"/>
          <w:sz w:val="17"/>
          <w:szCs w:val="17"/>
          <w:color w:val="auto"/>
        </w:rPr>
        <w:t>.</w:t>
      </w:r>
    </w:p>
    <w:p>
      <w:pPr>
        <w:spacing w:after="0" w:line="191"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IFRS</w:t>
      </w:r>
      <w:r>
        <w:rPr>
          <w:rFonts w:ascii="Arial" w:cs="Arial" w:eastAsia="Arial" w:hAnsi="Arial"/>
          <w:sz w:val="17"/>
          <w:szCs w:val="17"/>
          <w:color w:val="auto"/>
        </w:rPr>
        <w:t>” means international accounting standards within the meaning of IAS Regulation 1606/2002 to the extent applicable to the relevant financial statements delivered under or referred to herein.</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Impacted Loans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3.03(a)</w:t>
      </w:r>
      <w:r>
        <w:rPr>
          <w:rFonts w:ascii="Arial" w:cs="Arial" w:eastAsia="Arial" w:hAnsi="Arial"/>
          <w:sz w:val="17"/>
          <w:szCs w:val="17"/>
          <w:color w:val="auto"/>
        </w:rPr>
        <w:t>.</w:t>
      </w:r>
    </w:p>
    <w:p>
      <w:pPr>
        <w:spacing w:after="0" w:line="191" w:lineRule="exact"/>
        <w:rPr>
          <w:sz w:val="20"/>
          <w:szCs w:val="20"/>
          <w:color w:val="auto"/>
        </w:rPr>
      </w:pPr>
    </w:p>
    <w:p>
      <w:pPr>
        <w:jc w:val="both"/>
        <w:ind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means, as to any Person at a particular time, without duplication, all of the following, whether or not included as indebtedness or liabilities in accordance with GAAP:</w:t>
      </w:r>
    </w:p>
    <w:p>
      <w:pPr>
        <w:spacing w:after="0" w:line="145" w:lineRule="exact"/>
        <w:rPr>
          <w:sz w:val="20"/>
          <w:szCs w:val="20"/>
          <w:color w:val="auto"/>
        </w:rPr>
      </w:pPr>
    </w:p>
    <w:p>
      <w:pPr>
        <w:ind w:left="760" w:firstLine="709"/>
        <w:spacing w:after="0" w:line="271" w:lineRule="auto"/>
        <w:tabs>
          <w:tab w:leader="none" w:pos="1746"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all obligations of such Person for borrowed money and all obligations of such Person evidenced by bonds, debentures, notes, loan agreements or other similar instruments;</w:t>
      </w:r>
    </w:p>
    <w:p>
      <w:pPr>
        <w:spacing w:after="0" w:line="144" w:lineRule="exact"/>
        <w:rPr>
          <w:rFonts w:ascii="Arial" w:cs="Arial" w:eastAsia="Arial" w:hAnsi="Arial"/>
          <w:sz w:val="17"/>
          <w:szCs w:val="17"/>
          <w:color w:val="auto"/>
        </w:rPr>
      </w:pPr>
    </w:p>
    <w:p>
      <w:pPr>
        <w:ind w:left="760" w:right="20" w:firstLine="709"/>
        <w:spacing w:after="0" w:line="271" w:lineRule="auto"/>
        <w:tabs>
          <w:tab w:leader="none" w:pos="1723"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all direct or contingent obligations of such Person arising under letters of credit (including standby and commercial), bankers’ acceptances, bank guaranties, surety bonds and similar instruments;</w:t>
      </w:r>
    </w:p>
    <w:p>
      <w:pPr>
        <w:spacing w:after="0" w:line="144" w:lineRule="exact"/>
        <w:rPr>
          <w:rFonts w:ascii="Arial" w:cs="Arial" w:eastAsia="Arial" w:hAnsi="Arial"/>
          <w:sz w:val="17"/>
          <w:szCs w:val="17"/>
          <w:color w:val="auto"/>
        </w:rPr>
      </w:pPr>
    </w:p>
    <w:p>
      <w:pPr>
        <w:ind w:left="1700" w:hanging="231"/>
        <w:spacing w:after="0"/>
        <w:tabs>
          <w:tab w:leader="none" w:pos="1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net obligations of such Person under any Swap Contract (excluding the CRS Transaction);</w:t>
      </w:r>
    </w:p>
    <w:p>
      <w:pPr>
        <w:spacing w:after="0" w:line="191" w:lineRule="exact"/>
        <w:rPr>
          <w:rFonts w:ascii="Arial" w:cs="Arial" w:eastAsia="Arial" w:hAnsi="Arial"/>
          <w:sz w:val="17"/>
          <w:szCs w:val="17"/>
          <w:color w:val="auto"/>
        </w:rPr>
      </w:pPr>
    </w:p>
    <w:p>
      <w:pPr>
        <w:ind w:left="760" w:right="20" w:firstLine="709"/>
        <w:spacing w:after="0" w:line="303" w:lineRule="auto"/>
        <w:tabs>
          <w:tab w:leader="none" w:pos="1727"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obligations of such Person to pay the deferred purchase price of property or services (other than trade accounts payable in the ordinary course of business and, in each case, not past due for more than 150 days after the date on which such trade account payable was created);</w:t>
      </w:r>
    </w:p>
    <w:p>
      <w:pPr>
        <w:spacing w:after="0" w:line="121" w:lineRule="exact"/>
        <w:rPr>
          <w:rFonts w:ascii="Arial" w:cs="Arial" w:eastAsia="Arial" w:hAnsi="Arial"/>
          <w:sz w:val="16"/>
          <w:szCs w:val="16"/>
          <w:color w:val="auto"/>
        </w:rPr>
      </w:pPr>
    </w:p>
    <w:p>
      <w:pPr>
        <w:jc w:val="both"/>
        <w:ind w:left="760" w:right="20" w:firstLine="709"/>
        <w:spacing w:after="0" w:line="257" w:lineRule="auto"/>
        <w:tabs>
          <w:tab w:leader="none" w:pos="17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57" w:lineRule="exact"/>
        <w:rPr>
          <w:rFonts w:ascii="Arial" w:cs="Arial" w:eastAsia="Arial" w:hAnsi="Arial"/>
          <w:sz w:val="17"/>
          <w:szCs w:val="17"/>
          <w:color w:val="auto"/>
        </w:rPr>
      </w:pPr>
    </w:p>
    <w:p>
      <w:pPr>
        <w:ind w:left="1680" w:hanging="211"/>
        <w:spacing w:after="0"/>
        <w:tabs>
          <w:tab w:leader="none" w:pos="1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Capitalized Leases and Synthetic Lease Obligations;</w:t>
      </w:r>
    </w:p>
    <w:p>
      <w:pPr>
        <w:spacing w:after="0" w:line="191" w:lineRule="exact"/>
        <w:rPr>
          <w:rFonts w:ascii="Arial" w:cs="Arial" w:eastAsia="Arial" w:hAnsi="Arial"/>
          <w:sz w:val="17"/>
          <w:szCs w:val="17"/>
          <w:color w:val="auto"/>
        </w:rPr>
      </w:pPr>
    </w:p>
    <w:p>
      <w:pPr>
        <w:jc w:val="both"/>
        <w:ind w:left="760" w:right="20" w:firstLine="709"/>
        <w:spacing w:after="0" w:line="257" w:lineRule="auto"/>
        <w:tabs>
          <w:tab w:leader="none" w:pos="1724"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all obligations of such Person to purchase, redeem, retire, defease or otherwise make any payment in respect of any Equity Interest in such Person or any other Person or any warrant, right or option to acquire such Equity Interest, valued, in the case of a redeemable preferred interest, at the greater of its voluntary or involuntary liquidation preference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accrued and unpaid dividends; and</w:t>
      </w:r>
    </w:p>
    <w:p>
      <w:pPr>
        <w:spacing w:after="0" w:line="157" w:lineRule="exact"/>
        <w:rPr>
          <w:rFonts w:ascii="Arial" w:cs="Arial" w:eastAsia="Arial" w:hAnsi="Arial"/>
          <w:sz w:val="17"/>
          <w:szCs w:val="17"/>
          <w:color w:val="auto"/>
        </w:rPr>
      </w:pPr>
    </w:p>
    <w:p>
      <w:pPr>
        <w:ind w:left="1720" w:hanging="251"/>
        <w:spacing w:after="0"/>
        <w:tabs>
          <w:tab w:leader="none" w:pos="1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all Guarantees of such Person in respect of any of the foregoing.</w:t>
      </w:r>
    </w:p>
    <w:p>
      <w:pPr>
        <w:spacing w:after="0" w:line="191" w:lineRule="exact"/>
        <w:rPr>
          <w:sz w:val="20"/>
          <w:szCs w:val="20"/>
          <w:color w:val="auto"/>
        </w:rPr>
      </w:pPr>
    </w:p>
    <w:p>
      <w:pPr>
        <w:jc w:val="both"/>
        <w:ind w:right="20" w:firstLine="763"/>
        <w:spacing w:after="0" w:line="251" w:lineRule="auto"/>
        <w:rPr>
          <w:sz w:val="20"/>
          <w:szCs w:val="20"/>
          <w:color w:val="auto"/>
        </w:rPr>
      </w:pPr>
      <w:r>
        <w:rPr>
          <w:rFonts w:ascii="Arial" w:cs="Arial" w:eastAsia="Arial" w:hAnsi="Arial"/>
          <w:sz w:val="17"/>
          <w:szCs w:val="17"/>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Capitalized Lease or Synthetic Lease Obligation as of any date shall be deemed to be the amount of Attributable Indebtedness in respect thereof as of such date.</w:t>
      </w:r>
    </w:p>
    <w:p>
      <w:pPr>
        <w:spacing w:after="0" w:line="162"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any Loan Party under any Loan Document and (b) to the extent not otherwise described in clause (a) of this definition, Other Taxes.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40"/>
          </w:cols>
          <w:pgMar w:left="240" w:top="312" w:right="219" w:bottom="1440" w:gutter="0" w:footer="0" w:header="0"/>
        </w:sectPr>
      </w:pPr>
    </w:p>
    <w:bookmarkStart w:id="28" w:name="page29"/>
    <w:bookmarkEnd w:id="28"/>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Indemnitee</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11.04(b)</w:t>
      </w:r>
      <w:r>
        <w:rPr>
          <w:rFonts w:ascii="Arial" w:cs="Arial" w:eastAsia="Arial" w:hAnsi="Arial"/>
          <w:sz w:val="17"/>
          <w:szCs w:val="17"/>
          <w:color w:val="auto"/>
        </w:rPr>
        <w: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11.07</w:t>
      </w:r>
      <w:r>
        <w:rPr>
          <w:rFonts w:ascii="Arial" w:cs="Arial" w:eastAsia="Arial" w:hAnsi="Arial"/>
          <w:sz w:val="17"/>
          <w:szCs w:val="17"/>
          <w:color w:val="auto"/>
        </w:rPr>
        <w:t>.</w:t>
      </w:r>
    </w:p>
    <w:p>
      <w:pPr>
        <w:spacing w:after="0" w:line="191" w:lineRule="exact"/>
        <w:rPr>
          <w:sz w:val="20"/>
          <w:szCs w:val="20"/>
          <w:color w:val="auto"/>
        </w:rPr>
      </w:pPr>
    </w:p>
    <w:p>
      <w:pPr>
        <w:jc w:val="both"/>
        <w:ind w:right="20" w:firstLine="763"/>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xml:space="preserve">” means, (a) as to any Loan other than a Base Rate Loan, the last day of each Interest Period applicable to such Loan and the Maturity Date or the applicable Add-On Company Term Maturity Date,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Interest Period for a Eurocurrency Rate Loan exceeds three months, the respective dates that fall every three months after the beginning of such Interest Period shall also be Interest Payment Dates; and (b) as to any Base Rate Loan (including a Swing Line Loan), the last Business Day of each March, June, September and December and the Maturity Date or the Add-On Company Term Maturity Date, as the case may be.</w:t>
      </w:r>
    </w:p>
    <w:p>
      <w:pPr>
        <w:spacing w:after="0" w:line="162" w:lineRule="exact"/>
        <w:rPr>
          <w:sz w:val="20"/>
          <w:szCs w:val="20"/>
          <w:color w:val="auto"/>
        </w:rPr>
      </w:pPr>
    </w:p>
    <w:p>
      <w:pPr>
        <w:jc w:val="both"/>
        <w:ind w:right="20" w:firstLine="763"/>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Interest Period</w:t>
      </w:r>
      <w:r>
        <w:rPr>
          <w:rFonts w:ascii="Arial" w:cs="Arial" w:eastAsia="Arial" w:hAnsi="Arial"/>
          <w:sz w:val="15"/>
          <w:szCs w:val="15"/>
          <w:color w:val="auto"/>
        </w:rPr>
        <w:t xml:space="preserve">” means, as to each Eurocurrency Rate Loan, the period commencing on the date such Eurocurrency Rate Loan is disbursed or converted to or continued as a Eurocurrency Rate Loan and ending on the date one, two, three or six months thereafter, as selected by the applicable Borrower in its Committed Loan Notice or such other period that is twelve months or less requested by the applicable Borrower and consented to by all the Appropriate Lenders;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w:t>
      </w:r>
    </w:p>
    <w:p>
      <w:pPr>
        <w:spacing w:after="0" w:line="121" w:lineRule="exact"/>
        <w:rPr>
          <w:sz w:val="20"/>
          <w:szCs w:val="20"/>
          <w:color w:val="auto"/>
        </w:rPr>
      </w:pPr>
    </w:p>
    <w:p>
      <w:pPr>
        <w:jc w:val="both"/>
        <w:ind w:left="1520" w:right="20" w:firstLine="660"/>
        <w:spacing w:after="0" w:line="257" w:lineRule="auto"/>
        <w:tabs>
          <w:tab w:leader="none" w:pos="2389"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57" w:lineRule="exact"/>
        <w:rPr>
          <w:rFonts w:ascii="Arial" w:cs="Arial" w:eastAsia="Arial" w:hAnsi="Arial"/>
          <w:sz w:val="17"/>
          <w:szCs w:val="17"/>
          <w:color w:val="auto"/>
        </w:rPr>
      </w:pPr>
    </w:p>
    <w:p>
      <w:pPr>
        <w:jc w:val="both"/>
        <w:ind w:left="1520" w:firstLine="660"/>
        <w:spacing w:after="0" w:line="257" w:lineRule="auto"/>
        <w:tabs>
          <w:tab w:leader="none" w:pos="2458"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spacing w:after="0" w:line="157" w:lineRule="exact"/>
        <w:rPr>
          <w:rFonts w:ascii="Arial" w:cs="Arial" w:eastAsia="Arial" w:hAnsi="Arial"/>
          <w:sz w:val="17"/>
          <w:szCs w:val="17"/>
          <w:color w:val="auto"/>
        </w:rPr>
      </w:pPr>
    </w:p>
    <w:p>
      <w:pPr>
        <w:ind w:left="1520" w:firstLine="660"/>
        <w:spacing w:after="0" w:line="271" w:lineRule="auto"/>
        <w:tabs>
          <w:tab w:leader="none" w:pos="2502"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 Interest Period shall extend beyond the Maturity Date of the Facility under which such Loan was made (with Swing Line Loans being deemed made under the Revolving Credit Facility for purposes of this definition); and</w:t>
      </w:r>
    </w:p>
    <w:p>
      <w:pPr>
        <w:spacing w:after="0" w:line="144" w:lineRule="exact"/>
        <w:rPr>
          <w:rFonts w:ascii="Arial" w:cs="Arial" w:eastAsia="Arial" w:hAnsi="Arial"/>
          <w:sz w:val="17"/>
          <w:szCs w:val="17"/>
          <w:color w:val="auto"/>
        </w:rPr>
      </w:pPr>
    </w:p>
    <w:p>
      <w:pPr>
        <w:ind w:left="1520" w:firstLine="660"/>
        <w:spacing w:after="0" w:line="271" w:lineRule="auto"/>
        <w:tabs>
          <w:tab w:leader="none" w:pos="2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 Interest Period with respect to any Add-On Company Term Loan shall extend beyond the applicable Add-On Company Term Maturity Date.</w:t>
      </w:r>
    </w:p>
    <w:p>
      <w:pPr>
        <w:spacing w:after="0" w:line="145"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Interim Financial Statements</w:t>
      </w:r>
      <w:r>
        <w:rPr>
          <w:rFonts w:ascii="Arial" w:cs="Arial" w:eastAsia="Arial" w:hAnsi="Arial"/>
          <w:sz w:val="17"/>
          <w:szCs w:val="17"/>
          <w:color w:val="auto"/>
        </w:rPr>
        <w:t>” means unaudited consolidated financial statements of the Company and its Subsidiaries for the fiscal quarter ended March 31, 2014, including balance sheets and statements of income or operations, shareholders’ equity and cash flows.</w:t>
      </w:r>
    </w:p>
    <w:p>
      <w:pPr>
        <w:spacing w:after="0" w:line="145" w:lineRule="exact"/>
        <w:rPr>
          <w:sz w:val="20"/>
          <w:szCs w:val="20"/>
          <w:color w:val="auto"/>
        </w:rPr>
      </w:pPr>
    </w:p>
    <w:p>
      <w:pPr>
        <w:jc w:val="both"/>
        <w:ind w:firstLine="763"/>
        <w:spacing w:after="0" w:line="28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Investment</w:t>
      </w:r>
      <w:r>
        <w:rPr>
          <w:rFonts w:ascii="Arial" w:cs="Arial" w:eastAsia="Arial" w:hAnsi="Arial"/>
          <w:sz w:val="15"/>
          <w:szCs w:val="15"/>
          <w:color w:val="auto"/>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 or all or a substantial part of the business, of such Person. For purposes of covenant compliance, the amount of any Investment shall be the amount actually invested, without adjustment for subsequent increases or decreases in the value of such Investment.</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IP Rights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5.17</w:t>
      </w:r>
      <w:r>
        <w:rPr>
          <w:rFonts w:ascii="Arial" w:cs="Arial" w:eastAsia="Arial" w:hAnsi="Arial"/>
          <w:sz w:val="17"/>
          <w:szCs w:val="17"/>
          <w:color w:val="auto"/>
        </w:rPr>
        <w: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IRS</w:t>
      </w:r>
      <w:r>
        <w:rPr>
          <w:rFonts w:ascii="Arial" w:cs="Arial" w:eastAsia="Arial" w:hAnsi="Arial"/>
          <w:sz w:val="17"/>
          <w:szCs w:val="17"/>
          <w:color w:val="auto"/>
        </w:rPr>
        <w:t>” means the United States Internal Revenue Service.</w:t>
      </w:r>
    </w:p>
    <w:p>
      <w:pPr>
        <w:spacing w:after="0" w:line="191"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ISP</w:t>
      </w:r>
      <w:r>
        <w:rPr>
          <w:rFonts w:ascii="Arial" w:cs="Arial" w:eastAsia="Arial" w:hAnsi="Arial"/>
          <w:sz w:val="17"/>
          <w:szCs w:val="17"/>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40"/>
          </w:cols>
          <w:pgMar w:left="240" w:top="312" w:right="219" w:bottom="1440" w:gutter="0" w:footer="0" w:header="0"/>
        </w:sectPr>
      </w:pPr>
    </w:p>
    <w:bookmarkStart w:id="29" w:name="page30"/>
    <w:bookmarkEnd w:id="29"/>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Issuer Documents</w:t>
      </w:r>
      <w:r>
        <w:rPr>
          <w:rFonts w:ascii="Arial" w:cs="Arial" w:eastAsia="Arial" w:hAnsi="Arial"/>
          <w:sz w:val="17"/>
          <w:szCs w:val="17"/>
          <w:color w:val="auto"/>
        </w:rPr>
        <w:t>” means with respect to any Letter of Credit, the Letter of Credit Application, and any other document, agreement and instrument entered into by the L/C Issuer and the Company (or any Subsidiary) or in favor of the L/C Issuer and relating to such Letter of Credit.</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Judgment Currency</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11.19</w:t>
      </w:r>
      <w:r>
        <w:rPr>
          <w:rFonts w:ascii="Arial" w:cs="Arial" w:eastAsia="Arial" w:hAnsi="Arial"/>
          <w:sz w:val="17"/>
          <w:szCs w:val="17"/>
          <w:color w:val="auto"/>
        </w:rPr>
        <w:t>.</w:t>
      </w:r>
    </w:p>
    <w:p>
      <w:pPr>
        <w:spacing w:after="0" w:line="191" w:lineRule="exact"/>
        <w:rPr>
          <w:sz w:val="20"/>
          <w:szCs w:val="20"/>
          <w:color w:val="auto"/>
        </w:rPr>
      </w:pPr>
    </w:p>
    <w:p>
      <w:pPr>
        <w:jc w:val="both"/>
        <w:ind w:firstLine="763"/>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Laws</w:t>
      </w:r>
      <w:r>
        <w:rPr>
          <w:rFonts w:ascii="Arial" w:cs="Arial" w:eastAsia="Arial" w:hAnsi="Arial"/>
          <w:sz w:val="16"/>
          <w:szCs w:val="16"/>
          <w:color w:val="auto"/>
        </w:rPr>
        <w:t>” means, collectively, all international, foreign, federal, state, provincial, territorial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44"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Advance</w:t>
      </w:r>
      <w:r>
        <w:rPr>
          <w:rFonts w:ascii="Arial" w:cs="Arial" w:eastAsia="Arial" w:hAnsi="Arial"/>
          <w:sz w:val="17"/>
          <w:szCs w:val="17"/>
          <w:color w:val="auto"/>
        </w:rPr>
        <w:t>” means, with respect to each Revolving Credit Lender, such Lender’s funding of its participation in any L/C Borrowing in accordance with its Applicable Revolving Credit Percentage. All L/C Advances shall be denominated in Dollars.</w:t>
      </w:r>
    </w:p>
    <w:p>
      <w:pPr>
        <w:spacing w:after="0" w:line="145" w:lineRule="exact"/>
        <w:rPr>
          <w:sz w:val="20"/>
          <w:szCs w:val="20"/>
          <w:color w:val="auto"/>
        </w:rPr>
      </w:pPr>
    </w:p>
    <w:p>
      <w:pPr>
        <w:jc w:val="both"/>
        <w:ind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Borrowing</w:t>
      </w:r>
      <w:r>
        <w:rPr>
          <w:rFonts w:ascii="Arial" w:cs="Arial" w:eastAsia="Arial" w:hAnsi="Arial"/>
          <w:sz w:val="17"/>
          <w:szCs w:val="17"/>
          <w:color w:val="auto"/>
        </w:rPr>
        <w:t>” means an extension of credit resulting from a drawing under any Letter of Credit which has not been reimbursed on the date when made or refinanced as a Revolving Credit Borrowing. All L/C Borrowings shall be denominated in Dollars.</w:t>
      </w:r>
    </w:p>
    <w:p>
      <w:pPr>
        <w:spacing w:after="0" w:line="145"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Credit Extension</w:t>
      </w:r>
      <w:r>
        <w:rPr>
          <w:rFonts w:ascii="Arial" w:cs="Arial" w:eastAsia="Arial" w:hAnsi="Arial"/>
          <w:sz w:val="17"/>
          <w:szCs w:val="17"/>
          <w:color w:val="auto"/>
        </w:rPr>
        <w:t>” means, with respect to any Letter of Credit, the issuance thereof or extension of the expiry date thereof, or the increase of the amount thereof.</w:t>
      </w:r>
    </w:p>
    <w:p>
      <w:pPr>
        <w:spacing w:after="0" w:line="145" w:lineRule="exact"/>
        <w:rPr>
          <w:sz w:val="20"/>
          <w:szCs w:val="20"/>
          <w:color w:val="auto"/>
        </w:rPr>
      </w:pPr>
    </w:p>
    <w:p>
      <w:pPr>
        <w:jc w:val="both"/>
        <w:ind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Issuer</w:t>
      </w:r>
      <w:r>
        <w:rPr>
          <w:rFonts w:ascii="Arial" w:cs="Arial" w:eastAsia="Arial" w:hAnsi="Arial"/>
          <w:sz w:val="17"/>
          <w:szCs w:val="17"/>
          <w:color w:val="auto"/>
        </w:rPr>
        <w:t>” means Bank of America in its capacity as issuer of Letters of Credit hereunder, or any successor issuer of Letters of Credit hereunder. Bank of America shall be the L/C Issuer with respect to the Existing Letters of Credit.</w:t>
      </w:r>
    </w:p>
    <w:p>
      <w:pPr>
        <w:spacing w:after="0" w:line="145" w:lineRule="exact"/>
        <w:rPr>
          <w:sz w:val="20"/>
          <w:szCs w:val="20"/>
          <w:color w:val="auto"/>
        </w:rPr>
      </w:pPr>
    </w:p>
    <w:p>
      <w:pPr>
        <w:jc w:val="both"/>
        <w:ind w:firstLine="763"/>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Obligations</w:t>
      </w:r>
      <w:r>
        <w:rPr>
          <w:rFonts w:ascii="Arial" w:cs="Arial" w:eastAsia="Arial" w:hAnsi="Arial"/>
          <w:sz w:val="17"/>
          <w:szCs w:val="17"/>
          <w:color w:val="auto"/>
        </w:rPr>
        <w:t xml:space="preserve">” means, as at any date of determination, the aggregate amount available to be drawn under all outstanding Letters of Credit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1.08</w:t>
      </w:r>
      <w:r>
        <w:rPr>
          <w:rFonts w:ascii="Arial" w:cs="Arial" w:eastAsia="Arial" w:hAnsi="Arial"/>
          <w:sz w:val="17"/>
          <w:szCs w:val="17"/>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62" w:lineRule="exact"/>
        <w:rPr>
          <w:sz w:val="20"/>
          <w:szCs w:val="20"/>
          <w:color w:val="auto"/>
        </w:rPr>
      </w:pPr>
    </w:p>
    <w:p>
      <w:pPr>
        <w:jc w:val="both"/>
        <w:ind w:right="20" w:firstLine="763"/>
        <w:spacing w:after="0" w:line="208" w:lineRule="exact"/>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w:t>
      </w:r>
      <w:r>
        <w:rPr>
          <w:rFonts w:ascii="Arial" w:cs="Arial" w:eastAsia="Arial" w:hAnsi="Arial"/>
          <w:sz w:val="17"/>
          <w:szCs w:val="17"/>
          <w:color w:val="auto"/>
        </w:rPr>
        <w:t>” has the meaning specified in the introductory paragraph hereto (and, for the avoidance of doubt, shall include each Add</w:t>
      </w:r>
      <w:r>
        <w:rPr>
          <w:rFonts w:ascii="MS PGothic" w:cs="MS PGothic" w:eastAsia="MS PGothic" w:hAnsi="MS PGothic"/>
          <w:sz w:val="17"/>
          <w:szCs w:val="17"/>
          <w:color w:val="auto"/>
        </w:rPr>
        <w:t>‑</w:t>
      </w:r>
      <w:r>
        <w:rPr>
          <w:rFonts w:ascii="Arial" w:cs="Arial" w:eastAsia="Arial" w:hAnsi="Arial"/>
          <w:sz w:val="17"/>
          <w:szCs w:val="17"/>
          <w:color w:val="auto"/>
        </w:rPr>
        <w:t>On Company Term Lender) and, as the context requires, includes the Swing Line Lender.</w:t>
      </w:r>
    </w:p>
    <w:p>
      <w:pPr>
        <w:spacing w:after="0" w:line="171" w:lineRule="exact"/>
        <w:rPr>
          <w:sz w:val="20"/>
          <w:szCs w:val="20"/>
          <w:color w:val="auto"/>
        </w:rPr>
      </w:pPr>
    </w:p>
    <w:p>
      <w:pPr>
        <w:jc w:val="both"/>
        <w:ind w:right="20" w:firstLine="7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Lending Office</w:t>
      </w:r>
      <w:r>
        <w:rPr>
          <w:rFonts w:ascii="Arial" w:cs="Arial" w:eastAsia="Arial" w:hAnsi="Arial"/>
          <w:sz w:val="17"/>
          <w:szCs w:val="17"/>
          <w:color w:val="auto"/>
        </w:rPr>
        <w:t>” means, as to the Administrative Agent, the L/C Issuer or any Lender, the office or offices of such Person described as such in such Person’s Administrative Questionnaire, or such other office or offices as such Person may from time to time notify the Company and the Administrative Agent; which office may include any Affiliate of such Person or any domestic or foreign branch of such Person or such Affiliate.</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of Credit</w:t>
      </w:r>
      <w:r>
        <w:rPr>
          <w:rFonts w:ascii="Arial" w:cs="Arial" w:eastAsia="Arial" w:hAnsi="Arial"/>
          <w:sz w:val="16"/>
          <w:szCs w:val="16"/>
          <w:color w:val="auto"/>
        </w:rPr>
        <w:t>” means any standby letter of credit issued hereunder. Letters of Credit may be issued in Dollars or in any Alternative Currency.</w:t>
      </w:r>
    </w:p>
    <w:p>
      <w:pPr>
        <w:spacing w:after="0" w:line="203" w:lineRule="exact"/>
        <w:rPr>
          <w:sz w:val="20"/>
          <w:szCs w:val="20"/>
          <w:color w:val="auto"/>
        </w:rPr>
      </w:pPr>
    </w:p>
    <w:p>
      <w:pPr>
        <w:jc w:val="both"/>
        <w:ind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Application</w:t>
      </w:r>
      <w:r>
        <w:rPr>
          <w:rFonts w:ascii="Arial" w:cs="Arial" w:eastAsia="Arial" w:hAnsi="Arial"/>
          <w:sz w:val="17"/>
          <w:szCs w:val="17"/>
          <w:color w:val="auto"/>
        </w:rPr>
        <w:t>” means an application and agreement for the issuance or amendment of a Letter of Credit in the form from time to time in use by the L/C Issuer.</w:t>
      </w:r>
    </w:p>
    <w:p>
      <w:pPr>
        <w:spacing w:after="0" w:line="145"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Expiration Date</w:t>
      </w:r>
      <w:r>
        <w:rPr>
          <w:rFonts w:ascii="Arial" w:cs="Arial" w:eastAsia="Arial" w:hAnsi="Arial"/>
          <w:sz w:val="17"/>
          <w:szCs w:val="17"/>
          <w:color w:val="auto"/>
        </w:rPr>
        <w:t>” means the day that is seven days prior to the Maturity Date (or, if such day is not a Business Day, the next preceding Business Day).</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Fee</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2.03(h)</w:t>
      </w:r>
      <w:r>
        <w:rPr>
          <w:rFonts w:ascii="Arial" w:cs="Arial" w:eastAsia="Arial" w:hAnsi="Arial"/>
          <w:sz w:val="17"/>
          <w:szCs w:val="17"/>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40"/>
          </w:cols>
          <w:pgMar w:left="240" w:top="312" w:right="219" w:bottom="1440" w:gutter="0" w:footer="0" w:header="0"/>
        </w:sectPr>
      </w:pPr>
    </w:p>
    <w:bookmarkStart w:id="30" w:name="page31"/>
    <w:bookmarkEnd w:id="30"/>
    <w:p>
      <w:pPr>
        <w:jc w:val="both"/>
        <w:ind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Sublimit</w:t>
      </w:r>
      <w:r>
        <w:rPr>
          <w:rFonts w:ascii="Arial" w:cs="Arial" w:eastAsia="Arial" w:hAnsi="Arial"/>
          <w:sz w:val="17"/>
          <w:szCs w:val="17"/>
          <w:color w:val="auto"/>
        </w:rPr>
        <w:t>” means an amount equal to the lesser of (a) $15,000,000 and (b) the Revolving Credit Facility. The Letter of Credit Sublimit is part of, and not in addition to, the Revolving Credit Facility.</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Leverage Increase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7.11(b)</w:t>
      </w:r>
      <w:r>
        <w:rPr>
          <w:rFonts w:ascii="Arial" w:cs="Arial" w:eastAsia="Arial" w:hAnsi="Arial"/>
          <w:sz w:val="17"/>
          <w:szCs w:val="17"/>
          <w:color w:val="auto"/>
        </w:rPr>
        <w: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w:t>
      </w:r>
      <w:r>
        <w:rPr>
          <w:rFonts w:ascii="Arial" w:cs="Arial" w:eastAsia="Arial" w:hAnsi="Arial"/>
          <w:sz w:val="17"/>
          <w:szCs w:val="17"/>
          <w:color w:val="auto"/>
        </w:rPr>
        <w:t>” has the meaning set forth in the definition of “Eurocurrency Rate”.</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 Quoted Currency</w:t>
      </w:r>
      <w:r>
        <w:rPr>
          <w:rFonts w:ascii="Arial" w:cs="Arial" w:eastAsia="Arial" w:hAnsi="Arial"/>
          <w:sz w:val="16"/>
          <w:szCs w:val="16"/>
          <w:color w:val="auto"/>
        </w:rPr>
        <w:t>” means Dollars, Euro, Sterling and Yen, in each case as long as there is a published LIBOR rate with respect thereto.</w:t>
      </w:r>
    </w:p>
    <w:p>
      <w:pPr>
        <w:spacing w:after="0" w:line="203" w:lineRule="exact"/>
        <w:rPr>
          <w:sz w:val="20"/>
          <w:szCs w:val="20"/>
          <w:color w:val="auto"/>
        </w:rPr>
      </w:pPr>
    </w:p>
    <w:p>
      <w:pPr>
        <w:jc w:val="both"/>
        <w:ind w:firstLine="763"/>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Loan</w:t>
      </w:r>
      <w:r>
        <w:rPr>
          <w:rFonts w:ascii="Arial" w:cs="Arial" w:eastAsia="Arial" w:hAnsi="Arial"/>
          <w:sz w:val="15"/>
          <w:szCs w:val="15"/>
          <w:color w:val="auto"/>
        </w:rPr>
        <w:t xml:space="preserve">” means an extension of credit by a Lender to a Borrower under </w:t>
      </w:r>
      <w:r>
        <w:rPr>
          <w:rFonts w:ascii="Arial" w:cs="Arial" w:eastAsia="Arial" w:hAnsi="Arial"/>
          <w:sz w:val="15"/>
          <w:szCs w:val="15"/>
          <w:u w:val="single" w:color="auto"/>
          <w:color w:val="auto"/>
        </w:rPr>
        <w:t>Article II</w:t>
      </w:r>
      <w:r>
        <w:rPr>
          <w:rFonts w:ascii="Arial" w:cs="Arial" w:eastAsia="Arial" w:hAnsi="Arial"/>
          <w:sz w:val="15"/>
          <w:szCs w:val="15"/>
          <w:color w:val="auto"/>
        </w:rPr>
        <w:t xml:space="preserve"> in the form of a Term Loan, Revolving Credit Loan or a Swing Line Loan.</w:t>
      </w:r>
    </w:p>
    <w:p>
      <w:pPr>
        <w:spacing w:after="0" w:line="214" w:lineRule="exact"/>
        <w:rPr>
          <w:sz w:val="20"/>
          <w:szCs w:val="20"/>
          <w:color w:val="auto"/>
        </w:rPr>
      </w:pPr>
    </w:p>
    <w:p>
      <w:pPr>
        <w:jc w:val="both"/>
        <w:ind w:right="20" w:firstLine="763"/>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xml:space="preserve">” means this Agreement, each Note, each Guaranty, each Issuer Document, each Joinder Agreement, any agreement creating or perfecting rights in Cash Collateral pursuant to the provisions of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of this Agreement, each Collateral Document, each Add-On Company Term Lender Joinder Agreement and the Fee Letter (but specifically excluding Secured Swap Agreements and Secured Treasury Management Agreements).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Parties</w:t>
      </w:r>
      <w:r>
        <w:rPr>
          <w:rFonts w:ascii="Arial" w:cs="Arial" w:eastAsia="Arial" w:hAnsi="Arial"/>
          <w:sz w:val="17"/>
          <w:szCs w:val="17"/>
          <w:color w:val="auto"/>
        </w:rPr>
        <w:t>” means, collectively, each Borrower and each Guarantor.</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London Banking Day</w:t>
      </w:r>
      <w:r>
        <w:rPr>
          <w:rFonts w:ascii="Arial" w:cs="Arial" w:eastAsia="Arial" w:hAnsi="Arial"/>
          <w:sz w:val="16"/>
          <w:szCs w:val="16"/>
          <w:color w:val="auto"/>
        </w:rPr>
        <w:t>” means any day on which dealings in Dollar deposits are conducted by and between banks in the London interbank eurodollar</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market.</w:t>
      </w:r>
    </w:p>
    <w:p>
      <w:pPr>
        <w:spacing w:after="0" w:line="177"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Luxembourg Reorganization Subsidiaries</w:t>
      </w:r>
      <w:r>
        <w:rPr>
          <w:rFonts w:ascii="Arial" w:cs="Arial" w:eastAsia="Arial" w:hAnsi="Arial"/>
          <w:sz w:val="17"/>
          <w:szCs w:val="17"/>
          <w:color w:val="auto"/>
        </w:rPr>
        <w:t>” means those certain wholly-owned Subsidiaries of the Company organized (or to be organized) in Luxembourg in anticipation of the Reorganization.</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Management Determination</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2.14(d)</w:t>
      </w:r>
      <w:r>
        <w:rPr>
          <w:rFonts w:ascii="Arial" w:cs="Arial" w:eastAsia="Arial" w:hAnsi="Arial"/>
          <w:sz w:val="17"/>
          <w:szCs w:val="17"/>
          <w:color w:val="auto"/>
        </w:rPr>
        <w:t>.</w:t>
      </w:r>
    </w:p>
    <w:p>
      <w:pPr>
        <w:spacing w:after="0" w:line="191" w:lineRule="exact"/>
        <w:rPr>
          <w:sz w:val="20"/>
          <w:szCs w:val="20"/>
          <w:color w:val="auto"/>
        </w:rPr>
      </w:pPr>
    </w:p>
    <w:p>
      <w:pPr>
        <w:jc w:val="both"/>
        <w:ind w:right="20" w:firstLine="763"/>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Mandatory Cost</w:t>
      </w:r>
      <w:r>
        <w:rPr>
          <w:rFonts w:ascii="Arial" w:cs="Arial" w:eastAsia="Arial" w:hAnsi="Arial"/>
          <w:sz w:val="16"/>
          <w:szCs w:val="16"/>
          <w:color w:val="auto"/>
        </w:rPr>
        <w:t>” means any amount incurred periodically by any Lender during the term of this Agreement which constitutes fees, costs or charges imposed on lenders generally in the jurisdiction in which such Lender is domiciled, subject to regulation, or has its Facility Office by any Governmental Authority.</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Master Agreement</w:t>
      </w:r>
      <w:r>
        <w:rPr>
          <w:rFonts w:ascii="Arial" w:cs="Arial" w:eastAsia="Arial" w:hAnsi="Arial"/>
          <w:sz w:val="17"/>
          <w:szCs w:val="17"/>
          <w:color w:val="auto"/>
        </w:rPr>
        <w:t>” has the meaning specified in the definition of “Swap Contract”.</w:t>
      </w:r>
    </w:p>
    <w:p>
      <w:pPr>
        <w:spacing w:after="0" w:line="191" w:lineRule="exact"/>
        <w:rPr>
          <w:sz w:val="20"/>
          <w:szCs w:val="20"/>
          <w:color w:val="auto"/>
        </w:rPr>
      </w:pPr>
    </w:p>
    <w:p>
      <w:pPr>
        <w:jc w:val="both"/>
        <w:ind w:firstLine="7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Acquisition</w:t>
      </w:r>
      <w:r>
        <w:rPr>
          <w:rFonts w:ascii="Arial" w:cs="Arial" w:eastAsia="Arial" w:hAnsi="Arial"/>
          <w:sz w:val="17"/>
          <w:szCs w:val="17"/>
          <w:color w:val="auto"/>
        </w:rPr>
        <w:t>” means any Permitted Acquisition for which the aggregate consideration (including cash and non-cash consideration (including assumed Indebtedness and the good faith estimate by the Company of the maximum amount of any deferred purchase price obligations (including any earn out obligations))) exceeds $50,000,000.</w:t>
      </w:r>
    </w:p>
    <w:p>
      <w:pPr>
        <w:spacing w:after="0" w:line="157" w:lineRule="exact"/>
        <w:rPr>
          <w:sz w:val="20"/>
          <w:szCs w:val="20"/>
          <w:color w:val="auto"/>
        </w:rPr>
      </w:pPr>
    </w:p>
    <w:p>
      <w:pPr>
        <w:jc w:val="both"/>
        <w:ind w:firstLine="763"/>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a material adverse change in, or a material adverse effect upon, the operations, business, properties, liabilities (actual or contingent) or condition (financial or otherwise) of any Borrower or the Company and its Material Subsidiaries taken as a whole; (b) a material impairment on the rights and remedies of the Administrative Agent or any Lender under any Loan Document or the ability of any Loan Party to perform its obligations under any Loan Document to which it is a party; or (c) a material adverse effect upon the legality, validity, binding effect or enforceability against any Loan Party of any Loan Document to which it is a party.</w:t>
      </w:r>
    </w:p>
    <w:p>
      <w:pPr>
        <w:spacing w:after="0" w:line="162" w:lineRule="exact"/>
        <w:rPr>
          <w:sz w:val="20"/>
          <w:szCs w:val="20"/>
          <w:color w:val="auto"/>
        </w:rPr>
      </w:pPr>
    </w:p>
    <w:p>
      <w:pPr>
        <w:jc w:val="both"/>
        <w:ind w:firstLine="763"/>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Material Contract</w:t>
      </w:r>
      <w:r>
        <w:rPr>
          <w:rFonts w:ascii="Arial" w:cs="Arial" w:eastAsia="Arial" w:hAnsi="Arial"/>
          <w:sz w:val="15"/>
          <w:szCs w:val="15"/>
          <w:color w:val="auto"/>
        </w:rPr>
        <w:t>” means (a) the agreements, contracts and other documents as filed with the SEC as exhibits to the Company’s Form 10-K for the fiscal year ended December 31, 2013, whether actually attached as an exhibit or incorporated by reference to any earlier filings with the SEC, (b) any of the Company’s Forms 10-K or Forms 10-Q and all exhibits attached thereto whether actually attached as an exhibit or incorporated by reference to any earlier filings with</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40"/>
          </w:cols>
          <w:pgMar w:left="240" w:top="312" w:right="219" w:bottom="1440" w:gutter="0" w:footer="0" w:header="0"/>
        </w:sectPr>
      </w:pPr>
    </w:p>
    <w:bookmarkStart w:id="31" w:name="page32"/>
    <w:bookmarkEnd w:id="31"/>
    <w:p>
      <w:pPr>
        <w:jc w:val="both"/>
        <w:spacing w:after="0" w:line="253" w:lineRule="auto"/>
        <w:rPr>
          <w:sz w:val="20"/>
          <w:szCs w:val="20"/>
          <w:color w:val="auto"/>
        </w:rPr>
      </w:pPr>
      <w:r>
        <w:rPr>
          <w:rFonts w:ascii="Arial" w:cs="Arial" w:eastAsia="Arial" w:hAnsi="Arial"/>
          <w:sz w:val="17"/>
          <w:szCs w:val="17"/>
          <w:color w:val="auto"/>
        </w:rPr>
        <w:t>the SEC filed after the date hereof, in each case, in accordance with Item 601(b)(4) and Item 601(b)(10) (or their equivalents) of Regulation S-K, as promulgated under the Securities Exchange Act of 1934 as amended, (c) any Form 8-K, Form S-3 or Form S-4 and all exhibits attached thereto whether actually attached as an exhibit or incorporated by reference to any earlier filings with the SEC filed after the date hereof filed after the date hereof and (d) any “material contract” as defined in Item 601(b)(10) of SEC Regulation S-K.</w:t>
      </w:r>
    </w:p>
    <w:p>
      <w:pPr>
        <w:spacing w:after="0" w:line="160" w:lineRule="exact"/>
        <w:rPr>
          <w:sz w:val="20"/>
          <w:szCs w:val="20"/>
          <w:color w:val="auto"/>
        </w:rPr>
      </w:pPr>
    </w:p>
    <w:p>
      <w:pPr>
        <w:jc w:val="both"/>
        <w:ind w:firstLine="763"/>
        <w:spacing w:after="0" w:line="27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Material Subsidiary</w:t>
      </w:r>
      <w:r>
        <w:rPr>
          <w:rFonts w:ascii="Arial" w:cs="Arial" w:eastAsia="Arial" w:hAnsi="Arial"/>
          <w:sz w:val="15"/>
          <w:szCs w:val="15"/>
          <w:color w:val="auto"/>
        </w:rPr>
        <w:t xml:space="preserve">” means, as of any date of determination, any Subsidiary (a) which, as of the end of the then most recently ended fiscal quarter of the Company, for the Measurement Period then ended, contributed greater than five percent (5.00%) of Consolidated EBITDA (adjusted to eliminate the effect of intercompany transactions) for such period, (b) the total assets (excluding Investments in other Subsidiaries) of which reflected on the balance sheet of such Subsidiary as of the end of such fiscal quarter were greater than five percent (5.00%) of the consolidated total assets of the Company and its Subsidiaries as of such date, (c) which, as of the end of such fiscal quarter for the Measurement Period then ended, contributed greater than five percent (5.00%) of the total revenue (adjusted to eliminate the effect of intercompany transactions) of the Company and its Subsidiaries on a consolidated basis for such period or (d) the IP Rights of which are material to the operation of the business of the Company and its Subsidiaries taken as a whole; </w:t>
      </w:r>
      <w:r>
        <w:rPr>
          <w:rFonts w:ascii="Arial" w:cs="Arial" w:eastAsia="Arial" w:hAnsi="Arial"/>
          <w:sz w:val="15"/>
          <w:szCs w:val="15"/>
          <w:u w:val="single" w:color="auto"/>
          <w:color w:val="auto"/>
        </w:rPr>
        <w:t>provided however</w:t>
      </w:r>
      <w:r>
        <w:rPr>
          <w:rFonts w:ascii="Arial" w:cs="Arial" w:eastAsia="Arial" w:hAnsi="Arial"/>
          <w:sz w:val="15"/>
          <w:szCs w:val="15"/>
          <w:color w:val="auto"/>
        </w:rPr>
        <w:t xml:space="preserve">, that any Subsidiary that was not previously a Material Subsidiary shall not be deemed a Material Subsidiary until the date which is ninety (90) days after the date that the Loan Parties were required to deliver financial statements for the Measurement Period most recently ended prior to satisfaction of the applicable condition set forth in clause (a), (b) (c) or (d) above with respect to such Subsidiary (or such longer period as the Administrative Agent may agree in its sole discretion);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for clarity, any newly formed or acquired Material Subsidiary shall be deemed a Material Subsidiary on the date of such formation or acquisition (or as of such later date as the Administrative Agent may agree in its sole discretion); </w:t>
      </w:r>
      <w:r>
        <w:rPr>
          <w:rFonts w:ascii="Arial" w:cs="Arial" w:eastAsia="Arial" w:hAnsi="Arial"/>
          <w:sz w:val="15"/>
          <w:szCs w:val="15"/>
          <w:u w:val="single" w:color="auto"/>
          <w:color w:val="auto"/>
        </w:rPr>
        <w:t>further provided</w:t>
      </w:r>
      <w:r>
        <w:rPr>
          <w:rFonts w:ascii="Arial" w:cs="Arial" w:eastAsia="Arial" w:hAnsi="Arial"/>
          <w:sz w:val="15"/>
          <w:szCs w:val="15"/>
          <w:color w:val="auto"/>
        </w:rPr>
        <w:t xml:space="preserve">, that at any time that any two or more Subsidiaries (other than (i) Material Subsidiaries and (ii) Excluded Subsidiaries) of the Company (x) as of the end of any fiscal quarter, for the Measurement Period then ended, contributed greater than seven and one-half percent (7.50%) of Consolidated EBITDA (adjusted to eliminate the effect of intercompany transactions) for such period; (y) have total assets (excluding Investments in other Subsidiaries) reflected on the balance sheet of such Subsidiaries as of the end of any fiscal quarter greater than seven and one-half percent (7.50%) of the consolidated total assets of the Company and its Subsidiaries as of the end of such fiscal quarter or (z) as of the end of any fiscal quarter, for the Measurement Period then ended, contribute greater than seven and one-half percent (7.50%) of the total revenue (adjusted to eliminate the effect of intercompany transactions) of the Company and its Subsidiaries on a consolidated basis for such period, then, in each case, the Company shall have ninety (90) days after the date that the Loan Parties were required to deliver financial statements for the Measurement Period most recently ended prior to satisfaction of the applicable condition set forth in clause (x), (y) or (z) of this proviso (or such longer period as the Administrative Agent may agree in its sole discretion) to designate in writing to the Administrative Agent one or more additional Subsidiaries as “Material Subsidiaries” so that, following such written designation, none of the conditions set forth in clause (x), (y) or (z) are thereafter satisfied. Within the time period and subject to the limitations and exclusions set forth in Section 6.13, the Company shall cause new Material Subsidiaries to become “Guarantors” pursuant to, and in accordance with the terms of, the Loan Documents. Notwithstanding the foregoing, (A) each of (i) Gentherm Holding (Malta) Limited, (ii) Gentherm Automotive Systems (Malta) Ltd., (iii) Gentherm Hungary Kft., (iv) each Luxembourg Reorganization Subsidiary and (v) each Loan Party (other than, for purposes of clarification, the Company) shall be deemed to be a “Material Subsidiary” at all times and (B) Global Thermoelectric, a general partnership existing under the laws of the Province of Alberta, Canada (“Global Partnership”), shall not be deemed to be a “Material Subsidiary” so long as Global Partnership is wholly-owned by Global. It is understood and agreed that, with respect to any Subsidiary that is not a “Material Subsidiary” as of the Closing Date, the references to “the then most recently ended fiscal quarter of the Company” set forth in clauses (a), (b) and (c) of this definition shall refer to the then most recently ended fiscal quarter for which the Company was required to deliver financial statements pursuant to </w:t>
      </w:r>
      <w:r>
        <w:rPr>
          <w:rFonts w:ascii="Arial" w:cs="Arial" w:eastAsia="Arial" w:hAnsi="Arial"/>
          <w:sz w:val="15"/>
          <w:szCs w:val="15"/>
          <w:u w:val="single" w:color="auto"/>
          <w:color w:val="auto"/>
        </w:rPr>
        <w:t>Section 6.01(a)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w:t>
      </w:r>
    </w:p>
    <w:p>
      <w:pPr>
        <w:spacing w:after="0" w:line="35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Subsidiary Date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6.13</w:t>
      </w:r>
      <w:r>
        <w:rPr>
          <w:rFonts w:ascii="Arial" w:cs="Arial" w:eastAsia="Arial" w:hAnsi="Arial"/>
          <w:sz w:val="17"/>
          <w:szCs w:val="17"/>
          <w:color w:val="auto"/>
        </w:rPr>
        <w: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 Date</w:t>
      </w:r>
      <w:r>
        <w:rPr>
          <w:rFonts w:ascii="Arial" w:cs="Arial" w:eastAsia="Arial" w:hAnsi="Arial"/>
          <w:sz w:val="16"/>
          <w:szCs w:val="16"/>
          <w:color w:val="auto"/>
        </w:rPr>
        <w:t xml:space="preserve">” means August 7, 2019;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if such day is not a Business Day, the Maturity Date shall be the next preceding Business Day.</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Maximum Rate</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11.09</w:t>
      </w:r>
      <w:r>
        <w:rPr>
          <w:rFonts w:ascii="Arial" w:cs="Arial" w:eastAsia="Arial" w:hAnsi="Arial"/>
          <w:sz w:val="17"/>
          <w:szCs w:val="17"/>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40"/>
          </w:cols>
          <w:pgMar w:left="240" w:top="312" w:right="219" w:bottom="1440" w:gutter="0" w:footer="0" w:header="0"/>
        </w:sectPr>
      </w:pPr>
    </w:p>
    <w:bookmarkStart w:id="32" w:name="page33"/>
    <w:bookmarkEnd w:id="32"/>
    <w:p>
      <w:pPr>
        <w:jc w:val="both"/>
        <w:ind w:firstLine="763"/>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Measurement Period</w:t>
      </w:r>
      <w:r>
        <w:rPr>
          <w:rFonts w:ascii="Arial" w:cs="Arial" w:eastAsia="Arial" w:hAnsi="Arial"/>
          <w:sz w:val="16"/>
          <w:szCs w:val="16"/>
          <w:color w:val="auto"/>
        </w:rPr>
        <w:t xml:space="preserve">” means, at any date of determination, the most recently completed four consecutive fiscal quarters of the Company ended on or prior to such date (taken as one accounting period) in respect of which financial statements have been or are required to be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prior to the first date that financial statements have been or are required to have been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the Measurement Period in effect shall be the period of four consecutive fiscal quarters of the Company ended March 31, 2014.</w:t>
      </w:r>
    </w:p>
    <w:p>
      <w:pPr>
        <w:spacing w:after="0" w:line="144" w:lineRule="exact"/>
        <w:rPr>
          <w:sz w:val="20"/>
          <w:szCs w:val="20"/>
          <w:color w:val="auto"/>
        </w:rPr>
      </w:pPr>
    </w:p>
    <w:p>
      <w:pPr>
        <w:jc w:val="both"/>
        <w:ind w:firstLine="763"/>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Collateral Amount</w:t>
      </w:r>
      <w:r>
        <w:rPr>
          <w:rFonts w:ascii="Arial" w:cs="Arial" w:eastAsia="Arial" w:hAnsi="Arial"/>
          <w:sz w:val="17"/>
          <w:szCs w:val="17"/>
          <w:color w:val="auto"/>
        </w:rPr>
        <w:t xml:space="preserve">” means, at any time, (a) with respect to Cash Collateral consisting of cash or deposit account balances provided to reduce or eliminate Fronting Exposure during the existence of a Defaulting Lender, an amount equal to 102% of the Fronting Exposure of the L/C Issuer with respect to Letters of Credit issued and outstanding at such time, (b) with respect to Cash Collateral consisting of cash or deposit account balances provided in accordance with the provisions of </w:t>
      </w:r>
      <w:r>
        <w:rPr>
          <w:rFonts w:ascii="Arial" w:cs="Arial" w:eastAsia="Arial" w:hAnsi="Arial"/>
          <w:sz w:val="17"/>
          <w:szCs w:val="17"/>
          <w:u w:val="single" w:color="auto"/>
          <w:color w:val="auto"/>
        </w:rPr>
        <w:t>Section 2.15(a)(i)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(a)(ii)</w:t>
      </w:r>
      <w:r>
        <w:rPr>
          <w:rFonts w:ascii="Arial" w:cs="Arial" w:eastAsia="Arial" w:hAnsi="Arial"/>
          <w:sz w:val="17"/>
          <w:szCs w:val="17"/>
          <w:color w:val="auto"/>
        </w:rPr>
        <w:t>, an amount equal to 102% of the Outstanding Amount of all L/C Obligations, and (c) otherwise, an amount determined by the Administrative Agent and the L/C Issuer in their sole discretion.</w:t>
      </w:r>
    </w:p>
    <w:p>
      <w:pPr>
        <w:spacing w:after="0" w:line="162"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means any employee benefit plan of the type described in Section 4001(a)(3) of ERISA, to which any Borrower or any ERISA Affiliate makes or is obligated to make contributions, or during the preceding five plan years, has made or been obligated to make contributions.</w:t>
      </w:r>
    </w:p>
    <w:p>
      <w:pPr>
        <w:spacing w:after="0" w:line="145"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Multiple Employer Plan</w:t>
      </w:r>
      <w:r>
        <w:rPr>
          <w:rFonts w:ascii="Arial" w:cs="Arial" w:eastAsia="Arial" w:hAnsi="Arial"/>
          <w:sz w:val="17"/>
          <w:szCs w:val="17"/>
          <w:color w:val="auto"/>
        </w:rPr>
        <w:t>” means a Plan which has two or more contributing sponsors (including any Borrower or any ERISA Affiliate) at least two of whom are not under common control, as such a plan is described in Section 4064 of ERISA.</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Assets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2.14(a)</w:t>
      </w:r>
      <w:r>
        <w:rPr>
          <w:rFonts w:ascii="Arial" w:cs="Arial" w:eastAsia="Arial" w:hAnsi="Arial"/>
          <w:sz w:val="17"/>
          <w:szCs w:val="17"/>
          <w:color w:val="auto"/>
        </w:rPr>
        <w: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Cash Proceeds</w:t>
      </w:r>
      <w:r>
        <w:rPr>
          <w:rFonts w:ascii="Arial" w:cs="Arial" w:eastAsia="Arial" w:hAnsi="Arial"/>
          <w:sz w:val="17"/>
          <w:szCs w:val="17"/>
          <w:color w:val="auto"/>
        </w:rPr>
        <w:t>” means:</w:t>
      </w:r>
    </w:p>
    <w:p>
      <w:pPr>
        <w:spacing w:after="0" w:line="191" w:lineRule="exact"/>
        <w:rPr>
          <w:sz w:val="20"/>
          <w:szCs w:val="20"/>
          <w:color w:val="auto"/>
        </w:rPr>
      </w:pPr>
    </w:p>
    <w:p>
      <w:pPr>
        <w:jc w:val="both"/>
        <w:ind w:left="760" w:firstLine="709"/>
        <w:spacing w:after="0" w:line="265" w:lineRule="auto"/>
        <w:tabs>
          <w:tab w:leader="none" w:pos="1715"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with respect to any Disposition by the Company or any of its Subsidiaries, or any Extraordinary Receipt received or paid to the account of the Company or any of its Subsidiaries, the excess, if any, of (i) the sum of cash and Cash Equivalents received in connection with such transaction (including any cash or Cash Equivalents received by way of deferred payment pursuant to, or by monetization of, a note receivable or otherwise, but only as and when so received)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(ii) the sum of (A) the principal amount of any Indebtedness that is secured by the applicable asset and that is required to be repaid in connection with such transaction (other than Indebtedness under the Loan Documents), (B) the reasonable and customary out-of-pocket expenses incurred by the Company or such Subsidiary in connection with such transaction and (C) income taxes reasonably estimated to be actually payable within two years of the date of the relevant transaction as a result of any gain recognized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amount of any estimated taxes pursuant to </w:t>
      </w:r>
      <w:r>
        <w:rPr>
          <w:rFonts w:ascii="Arial" w:cs="Arial" w:eastAsia="Arial" w:hAnsi="Arial"/>
          <w:sz w:val="16"/>
          <w:szCs w:val="16"/>
          <w:u w:val="single" w:color="auto"/>
          <w:color w:val="auto"/>
        </w:rPr>
        <w:t>subclause (C)</w:t>
      </w:r>
      <w:r>
        <w:rPr>
          <w:rFonts w:ascii="Arial" w:cs="Arial" w:eastAsia="Arial" w:hAnsi="Arial"/>
          <w:sz w:val="16"/>
          <w:szCs w:val="16"/>
          <w:color w:val="auto"/>
        </w:rPr>
        <w:t xml:space="preserve"> exceeds the amount of taxes actually required to be paid in cash in respect of such Disposition, the aggregate amount of such excess shall constitute Net Cash Proceeds; and</w:t>
      </w:r>
    </w:p>
    <w:p>
      <w:pPr>
        <w:spacing w:after="0" w:line="152" w:lineRule="exact"/>
        <w:rPr>
          <w:rFonts w:ascii="Arial" w:cs="Arial" w:eastAsia="Arial" w:hAnsi="Arial"/>
          <w:sz w:val="16"/>
          <w:szCs w:val="16"/>
          <w:color w:val="auto"/>
        </w:rPr>
      </w:pPr>
    </w:p>
    <w:p>
      <w:pPr>
        <w:jc w:val="both"/>
        <w:ind w:left="760" w:right="20" w:firstLine="709"/>
        <w:spacing w:after="0" w:line="253" w:lineRule="auto"/>
        <w:tabs>
          <w:tab w:leader="none" w:pos="17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with respect to the sale or issuance of any Equity Interest by the Company or any of its Subsidiaries, or the incurrence or issuance of any Indebtedness by the Company or any of its Subsidiaries, the excess of (i) the sum of the cash and Cash Equivalents received in connection with such transaction </w:t>
      </w:r>
      <w:r>
        <w:rPr>
          <w:rFonts w:ascii="Arial" w:cs="Arial" w:eastAsia="Arial" w:hAnsi="Arial"/>
          <w:sz w:val="17"/>
          <w:szCs w:val="17"/>
          <w:u w:val="single" w:color="auto"/>
          <w:color w:val="auto"/>
        </w:rPr>
        <w:t>over</w:t>
      </w:r>
      <w:r>
        <w:rPr>
          <w:rFonts w:ascii="Arial" w:cs="Arial" w:eastAsia="Arial" w:hAnsi="Arial"/>
          <w:sz w:val="17"/>
          <w:szCs w:val="17"/>
          <w:color w:val="auto"/>
        </w:rPr>
        <w:t xml:space="preserve"> (ii) the underwriting discounts and commissions, and other reasonable and customary out-of-pocket expenses, incurred by the Company or such Subsidiary in connection therewith.</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New Guarantor</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6.13(a)</w:t>
      </w:r>
      <w:r>
        <w:rPr>
          <w:rFonts w:ascii="Arial" w:cs="Arial" w:eastAsia="Arial" w:hAnsi="Arial"/>
          <w:sz w:val="17"/>
          <w:szCs w:val="17"/>
          <w:color w:val="auto"/>
        </w:rPr>
        <w:t>.</w:t>
      </w:r>
    </w:p>
    <w:p>
      <w:pPr>
        <w:spacing w:after="0" w:line="191" w:lineRule="exact"/>
        <w:rPr>
          <w:sz w:val="20"/>
          <w:szCs w:val="20"/>
          <w:color w:val="auto"/>
        </w:rPr>
      </w:pPr>
    </w:p>
    <w:p>
      <w:pPr>
        <w:jc w:val="both"/>
        <w:ind w:firstLine="7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Non-Consenting Lender</w:t>
      </w:r>
      <w:r>
        <w:rPr>
          <w:rFonts w:ascii="Arial" w:cs="Arial" w:eastAsia="Arial" w:hAnsi="Arial"/>
          <w:sz w:val="17"/>
          <w:szCs w:val="17"/>
          <w:color w:val="auto"/>
        </w:rPr>
        <w:t xml:space="preserve">” means any Lender that does not approve any consent, waiver or amendment that (a) requires the approval of all Lenders or all affected Lenders, or all Lenders or all affected Lenders in a Facility, in accordance with the terms of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and (b) has been approved by the Required Lenders.</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Non-Defaulting Lender</w:t>
      </w:r>
      <w:r>
        <w:rPr>
          <w:rFonts w:ascii="Arial" w:cs="Arial" w:eastAsia="Arial" w:hAnsi="Arial"/>
          <w:sz w:val="17"/>
          <w:szCs w:val="17"/>
          <w:color w:val="auto"/>
        </w:rPr>
        <w:t>” means, at any time, each Lender that is not a Defaulting Lender at such time.</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Non-Extension Notice Date</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2.03(b)(iii)</w:t>
      </w:r>
      <w:r>
        <w:rPr>
          <w:rFonts w:ascii="Arial" w:cs="Arial" w:eastAsia="Arial" w:hAnsi="Arial"/>
          <w:sz w:val="17"/>
          <w:szCs w:val="17"/>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40"/>
          </w:cols>
          <w:pgMar w:left="240" w:top="312" w:right="219" w:bottom="1440" w:gutter="0" w:footer="0" w:header="0"/>
        </w:sectPr>
      </w:pPr>
    </w:p>
    <w:bookmarkStart w:id="33" w:name="page34"/>
    <w:bookmarkEnd w:id="33"/>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Non-LIBOR Quoted Currency</w:t>
      </w:r>
      <w:r>
        <w:rPr>
          <w:rFonts w:ascii="Arial" w:cs="Arial" w:eastAsia="Arial" w:hAnsi="Arial"/>
          <w:sz w:val="17"/>
          <w:szCs w:val="17"/>
          <w:color w:val="auto"/>
        </w:rPr>
        <w:t>” means any currency other than a LIBOR Quoted Currency.</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Note</w:t>
      </w:r>
      <w:r>
        <w:rPr>
          <w:rFonts w:ascii="Arial" w:cs="Arial" w:eastAsia="Arial" w:hAnsi="Arial"/>
          <w:sz w:val="15"/>
          <w:szCs w:val="15"/>
          <w:color w:val="auto"/>
        </w:rPr>
        <w:t>” means a Company Term Note, a Gentherm Germany Term Note, an Add-On Company Term Note or a Revolving Credit Note, as the context may</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require.</w:t>
      </w:r>
    </w:p>
    <w:p>
      <w:pPr>
        <w:spacing w:after="0" w:line="177" w:lineRule="exact"/>
        <w:rPr>
          <w:sz w:val="20"/>
          <w:szCs w:val="20"/>
          <w:color w:val="auto"/>
        </w:rPr>
      </w:pPr>
    </w:p>
    <w:p>
      <w:pPr>
        <w:jc w:val="both"/>
        <w:ind w:firstLine="763"/>
        <w:spacing w:after="0" w:line="28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Obligations</w:t>
      </w:r>
      <w:r>
        <w:rPr>
          <w:rFonts w:ascii="Arial" w:cs="Arial" w:eastAsia="Arial" w:hAnsi="Arial"/>
          <w:sz w:val="15"/>
          <w:szCs w:val="15"/>
          <w:color w:val="auto"/>
        </w:rPr>
        <w:t xml:space="preserve">” means with respect to each Borrower and each Guarantor, (a) all advances to, and debts, liabilities, obligations, covenants and duties of, any Loan Party arising under any Loan Document or otherwise with respect to any Loan or Letter of Credit, and (b) all Additional Secured Obligations of any Loan Party, in the case of each of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xml:space="preserv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“Obligations” of a Loan Party shall exclude any Excluded Swap Obligations with respect to such Loan Party.</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OFAC</w:t>
      </w:r>
      <w:r>
        <w:rPr>
          <w:rFonts w:ascii="Arial" w:cs="Arial" w:eastAsia="Arial" w:hAnsi="Arial"/>
          <w:sz w:val="17"/>
          <w:szCs w:val="17"/>
          <w:color w:val="auto"/>
        </w:rPr>
        <w:t>” means the Office of Foreign Assets Control of the United States Department of the Treasury.</w:t>
      </w:r>
    </w:p>
    <w:p>
      <w:pPr>
        <w:spacing w:after="0" w:line="191" w:lineRule="exact"/>
        <w:rPr>
          <w:sz w:val="20"/>
          <w:szCs w:val="20"/>
          <w:color w:val="auto"/>
        </w:rPr>
      </w:pPr>
    </w:p>
    <w:p>
      <w:pPr>
        <w:jc w:val="both"/>
        <w:ind w:firstLine="763"/>
        <w:spacing w:after="0" w:line="24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 Documents</w:t>
      </w:r>
      <w:r>
        <w:rPr>
          <w:rFonts w:ascii="Arial" w:cs="Arial" w:eastAsia="Arial" w:hAnsi="Arial"/>
          <w:sz w:val="17"/>
          <w:szCs w:val="17"/>
          <w:color w:val="auto"/>
        </w:rPr>
        <w:t>” means, (a)(i) with respect to any corporation, the certificate or articles of incorporation and the bylaws (or equivalent or comparable constitutive documents with respect to any non-U.S. jurisdiction); (ii) with respect to any limited liability company, the certificate or articles of formation or organization and operating agreement; and (iii)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(b) with regards to a Person organized under German Law (i) the articles of association or partnership agreement (</w:t>
      </w:r>
      <w:r>
        <w:rPr>
          <w:rFonts w:ascii="Arial" w:cs="Arial" w:eastAsia="Arial" w:hAnsi="Arial"/>
          <w:sz w:val="17"/>
          <w:szCs w:val="17"/>
          <w:i w:val="1"/>
          <w:iCs w:val="1"/>
          <w:color w:val="auto"/>
        </w:rPr>
        <w:t>Satzung</w:t>
      </w:r>
      <w:r>
        <w:rPr>
          <w:rFonts w:ascii="Arial" w:cs="Arial" w:eastAsia="Arial" w:hAnsi="Arial"/>
          <w:sz w:val="17"/>
          <w:szCs w:val="17"/>
          <w:color w:val="auto"/>
        </w:rPr>
        <w:t xml:space="preserve"> or </w:t>
      </w:r>
      <w:r>
        <w:rPr>
          <w:rFonts w:ascii="Arial" w:cs="Arial" w:eastAsia="Arial" w:hAnsi="Arial"/>
          <w:sz w:val="17"/>
          <w:szCs w:val="17"/>
          <w:i w:val="1"/>
          <w:iCs w:val="1"/>
          <w:color w:val="auto"/>
        </w:rPr>
        <w:t>Gesellschaftsvertrag</w:t>
      </w:r>
      <w:r>
        <w:rPr>
          <w:rFonts w:ascii="Arial" w:cs="Arial" w:eastAsia="Arial" w:hAnsi="Arial"/>
          <w:sz w:val="17"/>
          <w:szCs w:val="17"/>
          <w:color w:val="auto"/>
        </w:rPr>
        <w:t>), (ii) to the extent applicable, a current excerpt of the entry of such Person in the commercial register (</w:t>
      </w:r>
      <w:r>
        <w:rPr>
          <w:rFonts w:ascii="Arial" w:cs="Arial" w:eastAsia="Arial" w:hAnsi="Arial"/>
          <w:sz w:val="17"/>
          <w:szCs w:val="17"/>
          <w:i w:val="1"/>
          <w:iCs w:val="1"/>
          <w:color w:val="auto"/>
        </w:rPr>
        <w:t>Handelsregisterauszug</w:t>
      </w:r>
      <w:r>
        <w:rPr>
          <w:rFonts w:ascii="Arial" w:cs="Arial" w:eastAsia="Arial" w:hAnsi="Arial"/>
          <w:sz w:val="17"/>
          <w:szCs w:val="17"/>
          <w:color w:val="auto"/>
        </w:rPr>
        <w:t>) and list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w:t>
      </w:r>
      <w:r>
        <w:rPr>
          <w:rFonts w:ascii="Arial" w:cs="Arial" w:eastAsia="Arial" w:hAnsi="Arial"/>
          <w:sz w:val="17"/>
          <w:szCs w:val="17"/>
          <w:i w:val="1"/>
          <w:iCs w:val="1"/>
          <w:color w:val="auto"/>
        </w:rPr>
        <w:t>Gesellschafterliste</w:t>
      </w:r>
      <w:r>
        <w:rPr>
          <w:rFonts w:ascii="Arial" w:cs="Arial" w:eastAsia="Arial" w:hAnsi="Arial"/>
          <w:sz w:val="17"/>
          <w:szCs w:val="17"/>
          <w:color w:val="auto"/>
        </w:rPr>
        <w:t>) and (iii) any standing orders, by-laws or internal guidelines of or applicable to such Person and (c) with regards to a Person organized under the laws of Hungary, the articles of association or partnership agreement (</w:t>
      </w:r>
      <w:r>
        <w:rPr>
          <w:rFonts w:ascii="Arial" w:cs="Arial" w:eastAsia="Arial" w:hAnsi="Arial"/>
          <w:sz w:val="17"/>
          <w:szCs w:val="17"/>
          <w:i w:val="1"/>
          <w:iCs w:val="1"/>
          <w:color w:val="auto"/>
        </w:rPr>
        <w:t>létesitö okirat</w:t>
      </w:r>
      <w:r>
        <w:rPr>
          <w:rFonts w:ascii="Arial" w:cs="Arial" w:eastAsia="Arial" w:hAnsi="Arial"/>
          <w:sz w:val="17"/>
          <w:szCs w:val="17"/>
          <w:color w:val="auto"/>
        </w:rPr>
        <w:t>) and a current excerpt of the entry of such Person in the court of registration (</w:t>
      </w:r>
      <w:r>
        <w:rPr>
          <w:rFonts w:ascii="Arial" w:cs="Arial" w:eastAsia="Arial" w:hAnsi="Arial"/>
          <w:sz w:val="17"/>
          <w:szCs w:val="17"/>
          <w:i w:val="1"/>
          <w:iCs w:val="1"/>
          <w:color w:val="auto"/>
        </w:rPr>
        <w:t>cégkivonat</w:t>
      </w:r>
      <w:r>
        <w:rPr>
          <w:rFonts w:ascii="Arial" w:cs="Arial" w:eastAsia="Arial" w:hAnsi="Arial"/>
          <w:sz w:val="17"/>
          <w:szCs w:val="17"/>
          <w:color w:val="auto"/>
        </w:rPr>
        <w:t>).</w:t>
      </w:r>
    </w:p>
    <w:p>
      <w:pPr>
        <w:spacing w:after="0" w:line="169" w:lineRule="exact"/>
        <w:rPr>
          <w:sz w:val="20"/>
          <w:szCs w:val="20"/>
          <w:color w:val="auto"/>
        </w:rPr>
      </w:pPr>
    </w:p>
    <w:p>
      <w:pPr>
        <w:jc w:val="both"/>
        <w:ind w:firstLine="763"/>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60" w:lineRule="exact"/>
        <w:rPr>
          <w:sz w:val="20"/>
          <w:szCs w:val="20"/>
          <w:color w:val="auto"/>
        </w:rPr>
      </w:pPr>
    </w:p>
    <w:p>
      <w:pPr>
        <w:jc w:val="both"/>
        <w:ind w:firstLine="763"/>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Taxes</w:t>
      </w:r>
      <w:r>
        <w:rPr>
          <w:rFonts w:ascii="Arial" w:cs="Arial" w:eastAsia="Arial" w:hAnsi="Arial"/>
          <w:sz w:val="17"/>
          <w:szCs w:val="17"/>
          <w:color w:val="auto"/>
        </w:rPr>
        <w:t xml:space="preserve">” means all present or future stamp or documentary taxes or any other excise taxes, charges or similar levies arising from any payment made hereunder or under any other Loan Document or from the execution, delivery or enforcement of, or otherwise with respect to, this Agreement or any other Loan Document, except any such Taxes that are Other Connection Taxes imposed with respect to an assignment or participation (other than an assignment made pursuant to </w:t>
      </w:r>
      <w:r>
        <w:rPr>
          <w:rFonts w:ascii="Arial" w:cs="Arial" w:eastAsia="Arial" w:hAnsi="Arial"/>
          <w:sz w:val="17"/>
          <w:szCs w:val="17"/>
          <w:u w:val="single" w:color="auto"/>
          <w:color w:val="auto"/>
        </w:rPr>
        <w:t>Section 11.13</w:t>
      </w:r>
      <w:r>
        <w:rPr>
          <w:rFonts w:ascii="Arial" w:cs="Arial" w:eastAsia="Arial" w:hAnsi="Arial"/>
          <w:sz w:val="17"/>
          <w:szCs w:val="17"/>
          <w:color w:val="auto"/>
        </w:rPr>
        <w:t>).</w:t>
      </w:r>
    </w:p>
    <w:p>
      <w:pPr>
        <w:spacing w:after="0" w:line="160" w:lineRule="exact"/>
        <w:rPr>
          <w:sz w:val="20"/>
          <w:szCs w:val="20"/>
          <w:color w:val="auto"/>
        </w:rPr>
      </w:pPr>
    </w:p>
    <w:p>
      <w:pPr>
        <w:jc w:val="both"/>
        <w:ind w:firstLine="763"/>
        <w:spacing w:after="0" w:line="28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Outstanding Amount</w:t>
      </w:r>
      <w:r>
        <w:rPr>
          <w:rFonts w:ascii="Arial" w:cs="Arial" w:eastAsia="Arial" w:hAnsi="Arial"/>
          <w:sz w:val="15"/>
          <w:szCs w:val="15"/>
          <w:color w:val="auto"/>
        </w:rPr>
        <w:t>” means (a) with respect to Term Loans and Revolving Credit Loans on any date, the Dollar Equivalent amount of the aggregate outstanding principal amount thereof after giving effect to any borrowings and prepayments or repayments of such Term Loans and Revolving Credit Loans occurring on such date; (b) with respect to Swing Line Loans on any date, the aggregate outstanding principal amount thereof after giving effect to any borrowings and prepayments or repayments of such Swing Line Loans occurring on such date; and (c)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the Company of Unreimbursed Amounts.</w:t>
      </w:r>
    </w:p>
    <w:p>
      <w:pPr>
        <w:spacing w:after="0" w:line="137" w:lineRule="exact"/>
        <w:rPr>
          <w:sz w:val="20"/>
          <w:szCs w:val="20"/>
          <w:color w:val="auto"/>
        </w:rPr>
      </w:pPr>
    </w:p>
    <w:p>
      <w:pPr>
        <w:jc w:val="both"/>
        <w:ind w:right="20" w:firstLine="7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Overnight Rate</w:t>
      </w:r>
      <w:r>
        <w:rPr>
          <w:rFonts w:ascii="Arial" w:cs="Arial" w:eastAsia="Arial" w:hAnsi="Arial"/>
          <w:sz w:val="17"/>
          <w:szCs w:val="17"/>
          <w:color w:val="auto"/>
        </w:rPr>
        <w:t>” means, for any day, (a) with respect to any amount denominated in Dollars, the greater of (i) the Federal Funds Rate and (ii) an overnight rate determined by the Administrative Agent, the L/C Issuer, or the Swing Line Lender, as the case may be, in accordance with banking industry rules on interbank compensation, and (b) with respect to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40"/>
          </w:cols>
          <w:pgMar w:left="240" w:top="312" w:right="219" w:bottom="1440" w:gutter="0" w:footer="0" w:header="0"/>
        </w:sectPr>
      </w:pPr>
    </w:p>
    <w:bookmarkStart w:id="34" w:name="page35"/>
    <w:bookmarkEnd w:id="34"/>
    <w:p>
      <w:pPr>
        <w:jc w:val="both"/>
        <w:spacing w:after="0" w:line="257" w:lineRule="auto"/>
        <w:rPr>
          <w:sz w:val="20"/>
          <w:szCs w:val="20"/>
          <w:color w:val="auto"/>
        </w:rPr>
      </w:pPr>
      <w:r>
        <w:rPr>
          <w:rFonts w:ascii="Arial" w:cs="Arial" w:eastAsia="Arial" w:hAnsi="Arial"/>
          <w:sz w:val="17"/>
          <w:szCs w:val="17"/>
          <w:color w:val="auto"/>
        </w:rPr>
        <w:t>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Bank of America in the applicable interbank market for such currency to major banks in such interbank market.</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11.06(d)</w:t>
      </w:r>
      <w:r>
        <w:rPr>
          <w:rFonts w:ascii="Arial" w:cs="Arial" w:eastAsia="Arial" w:hAnsi="Arial"/>
          <w:sz w:val="17"/>
          <w:szCs w:val="17"/>
          <w:color w:val="auto"/>
        </w:rPr>
        <w: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11.06(d)</w:t>
      </w:r>
      <w:r>
        <w:rPr>
          <w:rFonts w:ascii="Arial" w:cs="Arial" w:eastAsia="Arial" w:hAnsi="Arial"/>
          <w:sz w:val="17"/>
          <w:szCs w:val="17"/>
          <w:color w:val="auto"/>
        </w:rPr>
        <w:t>.</w:t>
      </w:r>
    </w:p>
    <w:p>
      <w:pPr>
        <w:spacing w:after="0" w:line="191"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Participating Member State</w:t>
      </w:r>
      <w:r>
        <w:rPr>
          <w:rFonts w:ascii="Arial" w:cs="Arial" w:eastAsia="Arial" w:hAnsi="Arial"/>
          <w:sz w:val="17"/>
          <w:szCs w:val="17"/>
          <w:color w:val="auto"/>
        </w:rPr>
        <w:t>” means any member state of the European Union that adopts or has adopted the Euro as its lawful currency in accordance with legislation of the European Union relating to Economic and Monetary Union.</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PBGC</w:t>
      </w:r>
      <w:r>
        <w:rPr>
          <w:rFonts w:ascii="Arial" w:cs="Arial" w:eastAsia="Arial" w:hAnsi="Arial"/>
          <w:sz w:val="17"/>
          <w:szCs w:val="17"/>
          <w:color w:val="auto"/>
        </w:rPr>
        <w:t>” means the Pension Benefit Guaranty Corporation.</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Pension Act</w:t>
      </w:r>
      <w:r>
        <w:rPr>
          <w:rFonts w:ascii="Arial" w:cs="Arial" w:eastAsia="Arial" w:hAnsi="Arial"/>
          <w:sz w:val="17"/>
          <w:szCs w:val="17"/>
          <w:color w:val="auto"/>
        </w:rPr>
        <w:t>” means the Pension Protection Act of 2006.</w:t>
      </w:r>
    </w:p>
    <w:p>
      <w:pPr>
        <w:spacing w:after="0" w:line="191" w:lineRule="exact"/>
        <w:rPr>
          <w:sz w:val="20"/>
          <w:szCs w:val="20"/>
          <w:color w:val="auto"/>
        </w:rPr>
      </w:pPr>
    </w:p>
    <w:p>
      <w:pPr>
        <w:jc w:val="both"/>
        <w:ind w:right="20" w:firstLine="763"/>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Pension Funding Rules</w:t>
      </w:r>
      <w:r>
        <w:rPr>
          <w:rFonts w:ascii="Arial" w:cs="Arial" w:eastAsia="Arial" w:hAnsi="Arial"/>
          <w:sz w:val="15"/>
          <w:szCs w:val="15"/>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21" w:lineRule="exact"/>
        <w:rPr>
          <w:sz w:val="20"/>
          <w:szCs w:val="20"/>
          <w:color w:val="auto"/>
        </w:rPr>
      </w:pPr>
    </w:p>
    <w:p>
      <w:pPr>
        <w:jc w:val="both"/>
        <w:ind w:firstLine="7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Pension Plan</w:t>
      </w:r>
      <w:r>
        <w:rPr>
          <w:rFonts w:ascii="Arial" w:cs="Arial" w:eastAsia="Arial" w:hAnsi="Arial"/>
          <w:sz w:val="17"/>
          <w:szCs w:val="17"/>
          <w:color w:val="auto"/>
        </w:rPr>
        <w:t>” means any employee pension benefit plan (including a Multiple Employer Plan or a Multiemployer Plan) that is maintained or is contributed to by a Borrower and any ERISA Affiliate and is either covered by Title IV of ERISA or is subject to the minimum funding standards under Section 412 of the Code.</w:t>
      </w:r>
    </w:p>
    <w:p>
      <w:pPr>
        <w:spacing w:after="0" w:line="157" w:lineRule="exact"/>
        <w:rPr>
          <w:sz w:val="20"/>
          <w:szCs w:val="20"/>
          <w:color w:val="auto"/>
        </w:rPr>
      </w:pPr>
    </w:p>
    <w:p>
      <w:pPr>
        <w:jc w:val="both"/>
        <w:ind w:firstLine="763"/>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Acquisitions</w:t>
      </w:r>
      <w:r>
        <w:rPr>
          <w:rFonts w:ascii="Arial" w:cs="Arial" w:eastAsia="Arial" w:hAnsi="Arial"/>
          <w:sz w:val="16"/>
          <w:szCs w:val="16"/>
          <w:color w:val="auto"/>
        </w:rPr>
        <w:t xml:space="preserve">” means Investments consisting of an Acquisition by any Loan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 Default shall have occurred and be continuing or would result from such Acquisition, (b) the property acquired (or the property of the Person acquired) in such Acquisition is used or useful in the same or a related line of business as the Company and its Subsidiaries were engaged in on the Closing Date (or any reasonable extensions or expansions thereof), (c) the Administrative Agent shall have received all items in respect of the Equity Interests or property acquired in such Acquisition required to be delivered by the terms of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(d) in the case of an Acquisition of the Equity Interests of another Person, the board of directors (or other comparable governing body) of such other Person shall have duly approved such Acquisition, (e) the Company shall have delivered to the Administrative Agent a Pro Forma Compliance Certificate demonstrating that, upon giving effect to such Acquisition on a Pro Forma Basis, (i) the Loan Parties would be in compliance with the financial covenants set forth in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as of the most recent fiscal quarter end for which the Borrower was required to deliver financial statements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(ii) the Consolidated Leverage Ratio is at least 0.25 less than the ratio required to be maintained at such time by </w:t>
      </w:r>
      <w:r>
        <w:rPr>
          <w:rFonts w:ascii="Arial" w:cs="Arial" w:eastAsia="Arial" w:hAnsi="Arial"/>
          <w:sz w:val="16"/>
          <w:szCs w:val="16"/>
          <w:u w:val="single" w:color="auto"/>
          <w:color w:val="auto"/>
        </w:rPr>
        <w:t>Section 7.11(b)</w:t>
      </w:r>
      <w:r>
        <w:rPr>
          <w:rFonts w:ascii="Arial" w:cs="Arial" w:eastAsia="Arial" w:hAnsi="Arial"/>
          <w:sz w:val="16"/>
          <w:szCs w:val="16"/>
          <w:color w:val="auto"/>
        </w:rPr>
        <w:t xml:space="preserve">, (f) the Company shall have delivered to the Administrative Agent pro forma financial statements for the Company and its Subsidiaries after giving effect to such Acquisition for the twelve month period ending as of the most recent fiscal quarter in a form satisfactory to the Administrative Agent, (g) the representations and warranties made by the Loan Parties in each Loan Document shall be true and correct in all material respects (and in all respects if any such representation or warranty is already qualified by materiality) at and as if made as of the date of such Acquisition (after giving effect thereto) except to the extent such representations and warranties expressly relate to an earlier date in which case they shall be true and correct in all material respects (and in all respects if any such representation or warranty is already qualified by materiality) as of such earlier date and except that for purposes of this </w:t>
      </w:r>
      <w:r>
        <w:rPr>
          <w:rFonts w:ascii="Arial" w:cs="Arial" w:eastAsia="Arial" w:hAnsi="Arial"/>
          <w:sz w:val="16"/>
          <w:szCs w:val="16"/>
          <w:u w:val="single" w:color="auto"/>
          <w:color w:val="auto"/>
        </w:rPr>
        <w:t>clause (g)</w:t>
      </w:r>
      <w:r>
        <w:rPr>
          <w:rFonts w:ascii="Arial" w:cs="Arial" w:eastAsia="Arial" w:hAnsi="Arial"/>
          <w:sz w:val="16"/>
          <w:szCs w:val="16"/>
          <w:color w:val="auto"/>
        </w:rPr>
        <w:t xml:space="preserve">, the representations and warranties contained in subsections (a) and (b) of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shall be deemed to refer to the most recent statements furnished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 (h) if such transaction involves the purchase of an interest in a partnership between the Company (or a Subsidiary) as a general partner and entities unaffiliated with the Company or such Subsidiary as the other partners, such transaction shall be effected by having such equity interest acquired by a corporate holding company directly or indirectly wholly-owned by the Company newly formed for the sole purpose of effecting such transaction and (i) immediately after giving effect to such Acquisition, there shall be at least $10,000,000 of availability under the Revolving Credit Facility.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40"/>
          </w:cols>
          <w:pgMar w:left="240" w:top="312" w:right="219" w:bottom="1440" w:gutter="0" w:footer="0" w:header="0"/>
        </w:sectPr>
      </w:pPr>
    </w:p>
    <w:bookmarkStart w:id="35" w:name="page36"/>
    <w:bookmarkEnd w:id="35"/>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natural person, corporation, limited liability company, trust, joint venture, association, company, partnership, Governmental Authority or other entity.</w:t>
      </w:r>
    </w:p>
    <w:p>
      <w:pPr>
        <w:spacing w:after="0" w:line="145" w:lineRule="exact"/>
        <w:rPr>
          <w:sz w:val="20"/>
          <w:szCs w:val="20"/>
          <w:color w:val="auto"/>
        </w:rPr>
      </w:pPr>
    </w:p>
    <w:p>
      <w:pPr>
        <w:jc w:val="both"/>
        <w:ind w:right="20" w:firstLine="763"/>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any employee benefit plan within the meaning of Section 3(3) of ERISA (including a Pension Plan), maintained for employees of any Borrower or any ERISA Affiliate or any such Plan to which any Borrower or any ERISA Affiliate is required to contribute on behalf of any of its employees.</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Platform</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6.02</w:t>
      </w:r>
      <w:r>
        <w:rPr>
          <w:rFonts w:ascii="Arial" w:cs="Arial" w:eastAsia="Arial" w:hAnsi="Arial"/>
          <w:sz w:val="17"/>
          <w:szCs w:val="17"/>
          <w:color w:val="auto"/>
        </w:rPr>
        <w:t>.</w:t>
      </w:r>
    </w:p>
    <w:p>
      <w:pPr>
        <w:spacing w:after="0" w:line="191" w:lineRule="exact"/>
        <w:rPr>
          <w:sz w:val="20"/>
          <w:szCs w:val="20"/>
          <w:color w:val="auto"/>
        </w:rPr>
      </w:pPr>
    </w:p>
    <w:p>
      <w:pPr>
        <w:jc w:val="both"/>
        <w:ind w:firstLine="763"/>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Basis</w:t>
      </w:r>
      <w:r>
        <w:rPr>
          <w:rFonts w:ascii="Arial" w:cs="Arial" w:eastAsia="Arial" w:hAnsi="Arial"/>
          <w:sz w:val="16"/>
          <w:szCs w:val="16"/>
          <w:color w:val="auto"/>
        </w:rPr>
        <w:t>”, “</w:t>
      </w:r>
      <w:r>
        <w:rPr>
          <w:rFonts w:ascii="Arial" w:cs="Arial" w:eastAsia="Arial" w:hAnsi="Arial"/>
          <w:sz w:val="16"/>
          <w:szCs w:val="16"/>
          <w:u w:val="single" w:color="auto"/>
          <w:color w:val="auto"/>
        </w:rPr>
        <w:t>Pro Forma Compliance</w:t>
      </w:r>
      <w:r>
        <w:rPr>
          <w:rFonts w:ascii="Arial" w:cs="Arial" w:eastAsia="Arial" w:hAnsi="Arial"/>
          <w:sz w:val="16"/>
          <w:szCs w:val="16"/>
          <w:color w:val="auto"/>
        </w:rPr>
        <w:t>” and “</w:t>
      </w:r>
      <w:r>
        <w:rPr>
          <w:rFonts w:ascii="Arial" w:cs="Arial" w:eastAsia="Arial" w:hAnsi="Arial"/>
          <w:sz w:val="16"/>
          <w:szCs w:val="16"/>
          <w:u w:val="single" w:color="auto"/>
          <w:color w:val="auto"/>
        </w:rPr>
        <w:t>Pro Forma Effect</w:t>
      </w:r>
      <w:r>
        <w:rPr>
          <w:rFonts w:ascii="Arial" w:cs="Arial" w:eastAsia="Arial" w:hAnsi="Arial"/>
          <w:sz w:val="16"/>
          <w:szCs w:val="16"/>
          <w:color w:val="auto"/>
        </w:rPr>
        <w:t xml:space="preserve">” means, in respect of a Specified Transaction, that such Specified Transaction and the following transactions in connection therewith (to the extent applicable) shall be deemed to have occurred as of the first day of the applicable period of measurement for the applicable covenant or requirement: (a) (i) with respect to any Disposition, income statement and cash flow statement items (whether positive or negative) attributable to the Person or property disposed of shall be excluded and (ii) with respect to any Acquisition or Investment, income statement and cash flow statement items (whether positive or negative) attributable to the Person or property acquired shall be included to the extent relating to any period applicable in such calculations to the extent (A) such items are not otherwise included in such income statement items for the Company and its Subsidiaries in accordance with GAAP or in accordance with any defined terms set forth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and (B) such items are supported by financial statements or other information satisfactory to the Administrative Agent, (b) any retirement of Indebtedness and (c) any incurrence or assumption of Indebtedness by the Company or any Subsidiary (and if such Indebtedness has a floating or formula rate, such Indebtedness shall have an implied rate of interest for the applicable period for purposes of this definition determined by utilizing the rate which is or would be in effect with respect to such Indebtedness as at the relevant date of determination);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Pro Forma Basis, Pro Forma Compliance and Pro Forma Effect in respect of any Specified Transaction shall be calculated in a reasonable, quantifiable and factually supportable manner and certified by a Responsible Officer of the Company in good faith.</w:t>
      </w:r>
    </w:p>
    <w:p>
      <w:pPr>
        <w:spacing w:after="0" w:line="159" w:lineRule="exact"/>
        <w:rPr>
          <w:sz w:val="20"/>
          <w:szCs w:val="20"/>
          <w:color w:val="auto"/>
        </w:rPr>
      </w:pPr>
    </w:p>
    <w:p>
      <w:pPr>
        <w:jc w:val="both"/>
        <w:ind w:firstLine="7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Compliance Certificate</w:t>
      </w:r>
      <w:r>
        <w:rPr>
          <w:rFonts w:ascii="Arial" w:cs="Arial" w:eastAsia="Arial" w:hAnsi="Arial"/>
          <w:sz w:val="17"/>
          <w:szCs w:val="17"/>
          <w:color w:val="auto"/>
        </w:rPr>
        <w:t xml:space="preserve">” means a certificate of a Responsible Officer of the Company containing reasonably detailed calculations of the Consolidated Leverage Ratio and the Consolidated Fixed Charge Coverage Ratio as of the most recent fiscal quarter end for which the Company was required to deliver financial statements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after giving Pro Forma Effect to the applicable Specified Transaction.</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Public Lender</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6.02</w:t>
      </w:r>
      <w:r>
        <w:rPr>
          <w:rFonts w:ascii="Arial" w:cs="Arial" w:eastAsia="Arial" w:hAnsi="Arial"/>
          <w:sz w:val="17"/>
          <w:szCs w:val="17"/>
          <w:color w:val="auto"/>
        </w:rPr>
        <w:t>.</w:t>
      </w:r>
    </w:p>
    <w:p>
      <w:pPr>
        <w:spacing w:after="0" w:line="191" w:lineRule="exact"/>
        <w:rPr>
          <w:sz w:val="20"/>
          <w:szCs w:val="20"/>
          <w:color w:val="auto"/>
        </w:rPr>
      </w:pPr>
    </w:p>
    <w:p>
      <w:pPr>
        <w:jc w:val="both"/>
        <w:ind w:firstLine="7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ECP Guarantor</w:t>
      </w:r>
      <w:r>
        <w:rPr>
          <w:rFonts w:ascii="Arial" w:cs="Arial" w:eastAsia="Arial" w:hAnsi="Arial"/>
          <w:sz w:val="17"/>
          <w:szCs w:val="17"/>
          <w:color w:val="auto"/>
        </w:rPr>
        <w:t>” means, at any time, each Loan Party with total assets exceeding $10,000,000 or that qualified at such time as an “eligible contract participant” under the Commodity Exchange Act and can cause another Person to qualify as an “eligible contract participant” at such time under Section 1a(18)(A)(v)(II) of the Commodity Exchange Act.</w:t>
      </w:r>
    </w:p>
    <w:p>
      <w:pPr>
        <w:spacing w:after="0" w:line="157" w:lineRule="exact"/>
        <w:rPr>
          <w:sz w:val="20"/>
          <w:szCs w:val="20"/>
          <w:color w:val="auto"/>
        </w:rPr>
      </w:pPr>
    </w:p>
    <w:p>
      <w:pPr>
        <w:jc w:val="both"/>
        <w:ind w:firstLine="763"/>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Rate Determination Date</w:t>
      </w:r>
      <w:r>
        <w:rPr>
          <w:rFonts w:ascii="Arial" w:cs="Arial" w:eastAsia="Arial" w:hAnsi="Arial"/>
          <w:sz w:val="17"/>
          <w:szCs w:val="17"/>
          <w:color w:val="auto"/>
        </w:rPr>
        <w:t xml:space="preserve">” means two (2) Business Days prior to the commencement of such Interest Period (or such other day as is generally treated as the rate fixing day by market practice in such interbank market, as determined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such market practice is not administratively feasible for the Administrative Agent, then “Rate Determination Date” means such other day as otherwise reasonably determined by the Administrative Agent).</w:t>
      </w:r>
    </w:p>
    <w:p>
      <w:pPr>
        <w:spacing w:after="0" w:line="3" w:lineRule="exact"/>
        <w:rPr>
          <w:sz w:val="20"/>
          <w:szCs w:val="20"/>
          <w:color w:val="auto"/>
        </w:rPr>
      </w:pPr>
    </w:p>
    <w:p>
      <w:pPr>
        <w:jc w:val="both"/>
        <w:ind w:right="20" w:firstLine="763"/>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Recipient</w:t>
      </w:r>
      <w:r>
        <w:rPr>
          <w:rFonts w:ascii="Arial" w:cs="Arial" w:eastAsia="Arial" w:hAnsi="Arial"/>
          <w:sz w:val="17"/>
          <w:szCs w:val="17"/>
          <w:color w:val="auto"/>
        </w:rPr>
        <w:t>” means the Administrative Agent, any Lender, the L/C Issuer or any other recipient of any payment to be made by or on account of any obligation of any Loan Party hereunder.</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Register</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11.06(c)</w:t>
      </w:r>
      <w:r>
        <w:rPr>
          <w:rFonts w:ascii="Arial" w:cs="Arial" w:eastAsia="Arial" w:hAnsi="Arial"/>
          <w:sz w:val="17"/>
          <w:szCs w:val="17"/>
          <w:color w:val="auto"/>
        </w:rPr>
        <w: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Regulation</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5.21(f)</w:t>
      </w:r>
      <w:r>
        <w:rPr>
          <w:rFonts w:ascii="Arial" w:cs="Arial" w:eastAsia="Arial" w:hAnsi="Arial"/>
          <w:sz w:val="17"/>
          <w:szCs w:val="17"/>
          <w:color w:val="auto"/>
        </w:rPr>
        <w:t>.</w:t>
      </w:r>
    </w:p>
    <w:p>
      <w:pPr>
        <w:spacing w:after="0" w:line="191" w:lineRule="exact"/>
        <w:rPr>
          <w:sz w:val="20"/>
          <w:szCs w:val="20"/>
          <w:color w:val="auto"/>
        </w:rPr>
      </w:pPr>
    </w:p>
    <w:p>
      <w:pPr>
        <w:jc w:val="both"/>
        <w:ind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Parties</w:t>
      </w:r>
      <w:r>
        <w:rPr>
          <w:rFonts w:ascii="Arial" w:cs="Arial" w:eastAsia="Arial" w:hAnsi="Arial"/>
          <w:sz w:val="17"/>
          <w:szCs w:val="17"/>
          <w:color w:val="auto"/>
        </w:rPr>
        <w:t>” means, with respect to any Person, such Person’s Affiliates and the partners, directors, officers, employees, agents, trustees and advisors of such Person and of such Person’s Affiliates.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40"/>
          </w:cols>
          <w:pgMar w:left="240" w:top="312" w:right="219" w:bottom="1440" w:gutter="0" w:footer="0" w:header="0"/>
        </w:sectPr>
      </w:pPr>
    </w:p>
    <w:bookmarkStart w:id="36" w:name="page37"/>
    <w:bookmarkEnd w:id="36"/>
    <w:p>
      <w:pPr>
        <w:jc w:val="both"/>
        <w:ind w:firstLine="763"/>
        <w:spacing w:after="0" w:line="24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Reorganization</w:t>
      </w:r>
      <w:r>
        <w:rPr>
          <w:rFonts w:ascii="Arial" w:cs="Arial" w:eastAsia="Arial" w:hAnsi="Arial"/>
          <w:sz w:val="17"/>
          <w:szCs w:val="17"/>
          <w:color w:val="auto"/>
        </w:rPr>
        <w:t xml:space="preserve">” means that certain corporate reorganization of the Company and its Subsidiaries described on </w:t>
      </w:r>
      <w:r>
        <w:rPr>
          <w:rFonts w:ascii="Arial" w:cs="Arial" w:eastAsia="Arial" w:hAnsi="Arial"/>
          <w:sz w:val="17"/>
          <w:szCs w:val="17"/>
          <w:u w:val="single" w:color="auto"/>
          <w:color w:val="auto"/>
        </w:rPr>
        <w:t>Schedule 1.01(a)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(a) as a result of such corporate reorganization, the top tier Luxembourg Reorganization Subsidiary shall be a direct Subsidiary of the Company, (b) each Luxembourg Reorganization Subsidiary simultaneously with consummation of the Reorganization shall become (regardless of whether or not any such Subsidiary meets the criteria to be a “Material Subsidiary” at such time in accordance with the definition thereof), a Guarantor under the Loan Documents and shall deliver all items required to be delivered by the terms of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in connection therewith, in each case in form and substance reasonably satisfactory to the Administrative Agent and (c) the Borrowers shall have delivered to the Administrative Agent such other items and documentation evidencing the Reorganization as the Administrative Agent shall reasonably request.</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Reportable Event</w:t>
      </w:r>
      <w:r>
        <w:rPr>
          <w:rFonts w:ascii="Arial" w:cs="Arial" w:eastAsia="Arial" w:hAnsi="Arial"/>
          <w:sz w:val="15"/>
          <w:szCs w:val="15"/>
          <w:color w:val="auto"/>
        </w:rPr>
        <w:t>” means any of the events set forth in Section 4043(c) of ERISA, other than events for which the 30 day notice period has been waived.</w:t>
      </w:r>
    </w:p>
    <w:p>
      <w:pPr>
        <w:spacing w:after="0" w:line="214" w:lineRule="exact"/>
        <w:rPr>
          <w:sz w:val="20"/>
          <w:szCs w:val="20"/>
          <w:color w:val="auto"/>
        </w:rPr>
      </w:pPr>
    </w:p>
    <w:p>
      <w:pPr>
        <w:jc w:val="both"/>
        <w:ind w:firstLine="763"/>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Request for Credit Extension</w:t>
      </w:r>
      <w:r>
        <w:rPr>
          <w:rFonts w:ascii="Arial" w:cs="Arial" w:eastAsia="Arial" w:hAnsi="Arial"/>
          <w:sz w:val="15"/>
          <w:szCs w:val="15"/>
          <w:color w:val="auto"/>
        </w:rPr>
        <w:t>” means (a) with respect to a Borrowing, conversion or continuation of Term Loans or Revolving Credit Loans, a Committed Loan Notice, (b) with respect to an L/C Credit Extension, a Letter of Credit Application, and (c) with respect to a Swing Line Loan, a Swing Line Loan Notice.</w:t>
      </w:r>
    </w:p>
    <w:p>
      <w:pPr>
        <w:spacing w:after="0" w:line="99" w:lineRule="exact"/>
        <w:rPr>
          <w:sz w:val="20"/>
          <w:szCs w:val="20"/>
          <w:color w:val="auto"/>
        </w:rPr>
      </w:pPr>
    </w:p>
    <w:p>
      <w:pPr>
        <w:jc w:val="both"/>
        <w:ind w:firstLine="763"/>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Add-On Company Term Lenders</w:t>
      </w:r>
      <w:r>
        <w:rPr>
          <w:rFonts w:ascii="Arial" w:cs="Arial" w:eastAsia="Arial" w:hAnsi="Arial"/>
          <w:sz w:val="17"/>
          <w:szCs w:val="17"/>
          <w:color w:val="auto"/>
        </w:rPr>
        <w:t>” means, at any time, with respect to any Add-On Company Term Facility, Add-On Company Term Lenders having Total Add-On Company Term Credit Exposures representing more than 50% of the Total Add-On Company Term Credit Exposures of all Add-On Company Term Lenders, in each case, with respect to such Add-On Company Term Facility. The Total Add-On Company Term Credit Exposure of any Defaulting Lender shall be disregarded in determining Required Add-On Company Term Lenders at any time.</w:t>
      </w:r>
    </w:p>
    <w:p>
      <w:pPr>
        <w:spacing w:after="0" w:line="160" w:lineRule="exact"/>
        <w:rPr>
          <w:sz w:val="20"/>
          <w:szCs w:val="20"/>
          <w:color w:val="auto"/>
        </w:rPr>
      </w:pPr>
    </w:p>
    <w:p>
      <w:pPr>
        <w:jc w:val="both"/>
        <w:ind w:firstLine="7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Company Term Lenders</w:t>
      </w:r>
      <w:r>
        <w:rPr>
          <w:rFonts w:ascii="Arial" w:cs="Arial" w:eastAsia="Arial" w:hAnsi="Arial"/>
          <w:sz w:val="17"/>
          <w:szCs w:val="17"/>
          <w:color w:val="auto"/>
        </w:rPr>
        <w:t>” means, at any time, Company Term Lenders having Total Company Term Credit Exposures representing more than 50% of the Total Company Term Credit Exposures of all Company Term Lenders. The Total Company Term Credit Exposure of any Defaulting Lender shall be disregarded in determining Required Company Term Lenders at any time.</w:t>
      </w:r>
    </w:p>
    <w:p>
      <w:pPr>
        <w:spacing w:after="0" w:line="157" w:lineRule="exact"/>
        <w:rPr>
          <w:sz w:val="20"/>
          <w:szCs w:val="20"/>
          <w:color w:val="auto"/>
        </w:rPr>
      </w:pPr>
    </w:p>
    <w:p>
      <w:pPr>
        <w:jc w:val="both"/>
        <w:ind w:firstLine="763"/>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Gentherm Germany Term Lenders</w:t>
      </w:r>
      <w:r>
        <w:rPr>
          <w:rFonts w:ascii="Arial" w:cs="Arial" w:eastAsia="Arial" w:hAnsi="Arial"/>
          <w:sz w:val="16"/>
          <w:szCs w:val="16"/>
          <w:color w:val="auto"/>
        </w:rPr>
        <w:t>” means, at any time, Gentherm Germany Term Lenders having Total Gentherm Germany Term Credit Exposures representing more than 50% of the Total Gentherm Germany Term Credit Exposures of all Gentherm Germany Term Lenders. The Total Term Gentherm Germany Credit Exposure of any Defaulting Lender shall be disregarded in determining Required Gentherm Germany Term Lenders at any time.</w:t>
      </w:r>
    </w:p>
    <w:p>
      <w:pPr>
        <w:spacing w:after="0" w:line="139" w:lineRule="exact"/>
        <w:rPr>
          <w:sz w:val="20"/>
          <w:szCs w:val="20"/>
          <w:color w:val="auto"/>
        </w:rPr>
      </w:pPr>
    </w:p>
    <w:p>
      <w:pPr>
        <w:jc w:val="both"/>
        <w:ind w:firstLine="763"/>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at any time, Lenders having Total Credit Exposures representing more than 50% of the Total Credit Exposures of all Lenders. The Total Credit Exposure of any Defaulting Lender shall be disregarded in determining Required Lenders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any participation in any Swing Line Loan and Unreimbursed Amounts that such Defaulting Lender has failed to fund that have not been reallocated to and funded by another Lender shall be deemed to be held by the Lender that is the Swing Line Lender or L/C Issuer, as the case may be, in making such determination.</w:t>
      </w:r>
    </w:p>
    <w:p>
      <w:pPr>
        <w:spacing w:after="0" w:line="144" w:lineRule="exact"/>
        <w:rPr>
          <w:sz w:val="20"/>
          <w:szCs w:val="20"/>
          <w:color w:val="auto"/>
        </w:rPr>
      </w:pPr>
    </w:p>
    <w:p>
      <w:pPr>
        <w:jc w:val="both"/>
        <w:ind w:firstLine="763"/>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Revolving Lenders</w:t>
      </w:r>
      <w:r>
        <w:rPr>
          <w:rFonts w:ascii="Arial" w:cs="Arial" w:eastAsia="Arial" w:hAnsi="Arial"/>
          <w:sz w:val="17"/>
          <w:szCs w:val="17"/>
          <w:color w:val="auto"/>
        </w:rPr>
        <w:t xml:space="preserve">” means, at any time, Revolving Credit Lenders having Total Revolving Credit Exposures representing more than 50% of the Total Revolving Credit Exposures of all Revolving Credit Lenders. The Total Revolving Credit Exposure of any Defaulting Lender shall be disregarded in determining Required Revolving Lenders at any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any participation in any Swing Line Loan and Unreimbursed Amounts that such Defaulting Lender has failed to fund that have not been reallocated to and funded by another Lender shall be deemed to be held by the Revolving Credit Lender that is the Swing Line Lender or L/C Issuer, as the case may be, in making such determination.</w:t>
      </w:r>
    </w:p>
    <w:p>
      <w:pPr>
        <w:spacing w:after="0" w:line="162" w:lineRule="exact"/>
        <w:rPr>
          <w:sz w:val="20"/>
          <w:szCs w:val="20"/>
          <w:color w:val="auto"/>
        </w:rPr>
      </w:pPr>
    </w:p>
    <w:p>
      <w:pPr>
        <w:jc w:val="both"/>
        <w:ind w:firstLine="763"/>
        <w:spacing w:after="0" w:line="24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means the chief executive officer, president, chief financial officer, treasurer, general counsel, managing director (</w:t>
      </w:r>
      <w:r>
        <w:rPr>
          <w:rFonts w:ascii="Arial" w:cs="Arial" w:eastAsia="Arial" w:hAnsi="Arial"/>
          <w:sz w:val="17"/>
          <w:szCs w:val="17"/>
          <w:i w:val="1"/>
          <w:iCs w:val="1"/>
          <w:color w:val="auto"/>
        </w:rPr>
        <w:t>Geschäftsführer</w:t>
      </w:r>
      <w:r>
        <w:rPr>
          <w:rFonts w:ascii="Arial" w:cs="Arial" w:eastAsia="Arial" w:hAnsi="Arial"/>
          <w:sz w:val="17"/>
          <w:szCs w:val="17"/>
          <w:color w:val="auto"/>
        </w:rPr>
        <w:t xml:space="preserve">), assistant treasurer, senior referent treasurer or controller of a Loan Party and, solely for purposes of notices given pursuant to Article II, any other officer (including any </w:t>
      </w:r>
      <w:r>
        <w:rPr>
          <w:rFonts w:ascii="Arial" w:cs="Arial" w:eastAsia="Arial" w:hAnsi="Arial"/>
          <w:sz w:val="17"/>
          <w:szCs w:val="17"/>
          <w:i w:val="1"/>
          <w:iCs w:val="1"/>
          <w:color w:val="auto"/>
        </w:rPr>
        <w:t>Prokurist</w:t>
      </w:r>
      <w:r>
        <w:rPr>
          <w:rFonts w:ascii="Arial" w:cs="Arial" w:eastAsia="Arial" w:hAnsi="Arial"/>
          <w:sz w:val="17"/>
          <w:szCs w:val="17"/>
          <w:color w:val="auto"/>
        </w:rPr>
        <w:t>)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40"/>
          </w:cols>
          <w:pgMar w:left="240" w:top="312" w:right="219" w:bottom="1440" w:gutter="0" w:footer="0" w:header="0"/>
        </w:sectPr>
      </w:pPr>
    </w:p>
    <w:bookmarkStart w:id="37" w:name="page38"/>
    <w:bookmarkEnd w:id="37"/>
    <w:p>
      <w:pPr>
        <w:jc w:val="both"/>
        <w:ind w:left="6"/>
        <w:spacing w:after="0" w:line="257" w:lineRule="auto"/>
        <w:rPr>
          <w:sz w:val="20"/>
          <w:szCs w:val="20"/>
          <w:color w:val="auto"/>
        </w:rPr>
      </w:pPr>
      <w:r>
        <w:rPr>
          <w:rFonts w:ascii="Arial" w:cs="Arial" w:eastAsia="Arial" w:hAnsi="Arial"/>
          <w:sz w:val="17"/>
          <w:szCs w:val="17"/>
          <w:color w:val="auto"/>
        </w:rPr>
        <w:t>action on the part of such Loan Party and such Responsible Officer shall be conclusively presumed to have acted on behalf of such Loan Party. To the extent requested by the Administrative Agent, each Responsible Officer will provide an incumbency certificate and appropriate authorization documentation, in each case, in form and substance satisfactory to the Administrative Agent.</w:t>
      </w:r>
    </w:p>
    <w:p>
      <w:pPr>
        <w:spacing w:after="0" w:line="157" w:lineRule="exact"/>
        <w:rPr>
          <w:sz w:val="20"/>
          <w:szCs w:val="20"/>
          <w:color w:val="auto"/>
        </w:rPr>
      </w:pPr>
    </w:p>
    <w:p>
      <w:pPr>
        <w:jc w:val="both"/>
        <w:ind w:left="6" w:firstLine="763"/>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Payment</w:t>
      </w:r>
      <w:r>
        <w:rPr>
          <w:rFonts w:ascii="Arial" w:cs="Arial" w:eastAsia="Arial" w:hAnsi="Arial"/>
          <w:sz w:val="17"/>
          <w:szCs w:val="17"/>
          <w:color w:val="auto"/>
        </w:rPr>
        <w:t>” means any dividend or other distribution (whether in cash, securities or other property) with respect to any capital stock or other Equity Interest of the Company or any of its Subsidiaries, or any payment (whether in cash, securities or other property), including any sinking fund or similar deposit, on account of the purchase, redemption, retirement, defeasance, acquisition, cancellation or termination of any such capital stock or other Equity Interest, or on account of any return of capital to any Person’s stockholders, partners or members (or the equivalent thereof) or any option, warrant or other right to acquire any such dividend or other distribution or payment.</w:t>
      </w:r>
    </w:p>
    <w:p>
      <w:pPr>
        <w:spacing w:after="0" w:line="162" w:lineRule="exact"/>
        <w:rPr>
          <w:sz w:val="20"/>
          <w:szCs w:val="20"/>
          <w:color w:val="auto"/>
        </w:rPr>
      </w:pPr>
    </w:p>
    <w:p>
      <w:pPr>
        <w:jc w:val="both"/>
        <w:ind w:left="6" w:firstLine="763"/>
        <w:spacing w:after="0" w:line="28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Revaluation Date</w:t>
      </w:r>
      <w:r>
        <w:rPr>
          <w:rFonts w:ascii="Arial" w:cs="Arial" w:eastAsia="Arial" w:hAnsi="Arial"/>
          <w:sz w:val="15"/>
          <w:szCs w:val="15"/>
          <w:color w:val="auto"/>
        </w:rPr>
        <w:t xml:space="preserve">” means (a) with respect to any Loan, each of the following: (i) each date of a Borrowing of a Eurocurrency Rate Loan denominated in an Alternative Currency, (ii) each date of a continuation of a Eurocurrency Rate Loan denominated in an Alternative Currency pursuant to </w:t>
      </w:r>
      <w:r>
        <w:rPr>
          <w:rFonts w:ascii="Arial" w:cs="Arial" w:eastAsia="Arial" w:hAnsi="Arial"/>
          <w:sz w:val="15"/>
          <w:szCs w:val="15"/>
          <w:u w:val="single" w:color="auto"/>
          <w:color w:val="auto"/>
        </w:rPr>
        <w:t>Section 2.02</w:t>
      </w:r>
      <w:r>
        <w:rPr>
          <w:rFonts w:ascii="Arial" w:cs="Arial" w:eastAsia="Arial" w:hAnsi="Arial"/>
          <w:sz w:val="15"/>
          <w:szCs w:val="15"/>
          <w:color w:val="auto"/>
        </w:rPr>
        <w:t>, and (iii) such additional dates as the Administrative Agent shall determine or the Required Lenders shall require and (b) with respect to any Letter of Credit, each of the following:</w:t>
      </w:r>
    </w:p>
    <w:p>
      <w:pPr>
        <w:spacing w:after="0" w:line="2" w:lineRule="exact"/>
        <w:rPr>
          <w:sz w:val="20"/>
          <w:szCs w:val="20"/>
          <w:color w:val="auto"/>
        </w:rPr>
      </w:pPr>
    </w:p>
    <w:p>
      <w:pPr>
        <w:jc w:val="both"/>
        <w:ind w:left="6" w:hanging="6"/>
        <w:spacing w:after="0" w:line="247" w:lineRule="auto"/>
        <w:tabs>
          <w:tab w:leader="none" w:pos="211" w:val="left"/>
        </w:tabs>
        <w:numPr>
          <w:ilvl w:val="0"/>
          <w:numId w:val="18"/>
        </w:numPr>
        <w:rPr>
          <w:rFonts w:ascii="Arial" w:cs="Arial" w:eastAsia="Arial" w:hAnsi="Arial"/>
          <w:sz w:val="17"/>
          <w:szCs w:val="17"/>
          <w:color w:val="auto"/>
        </w:rPr>
      </w:pPr>
      <w:r>
        <w:rPr>
          <w:rFonts w:ascii="Arial" w:cs="Arial" w:eastAsia="Arial" w:hAnsi="Arial"/>
          <w:sz w:val="17"/>
          <w:szCs w:val="17"/>
          <w:color w:val="auto"/>
        </w:rPr>
        <w:t>each date of issuance or extension of a Letter of Credit denominated in an Alternative Currency, (ii) each date of an amendment of any such Letter of Credit having the effect of increasing the amount thereof (solely with respect to the increased amount), (iii) each date of any payment by the L/C Issuer under any Letter of Credit denominated in an Alternative Currency and (iv) such additional dates as the Administrative Agent or the L/C Issuer shall determine or the Required Lenders shall require.</w:t>
      </w:r>
    </w:p>
    <w:p>
      <w:pPr>
        <w:spacing w:after="0" w:line="166" w:lineRule="exact"/>
        <w:rPr>
          <w:sz w:val="20"/>
          <w:szCs w:val="20"/>
          <w:color w:val="auto"/>
        </w:rPr>
      </w:pPr>
    </w:p>
    <w:p>
      <w:pPr>
        <w:jc w:val="both"/>
        <w:ind w:left="6"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Borrowing</w:t>
      </w:r>
      <w:r>
        <w:rPr>
          <w:rFonts w:ascii="Arial" w:cs="Arial" w:eastAsia="Arial" w:hAnsi="Arial"/>
          <w:sz w:val="17"/>
          <w:szCs w:val="17"/>
          <w:color w:val="auto"/>
        </w:rPr>
        <w:t xml:space="preserve">” means a borrowing consisting of simultaneous Revolving Credit Loans of the same Type and, in the case of Eurocurrency Rate Loans, having the same Interest Period made by each of the Revolving Credit Lenders pursuant to </w:t>
      </w:r>
      <w:r>
        <w:rPr>
          <w:rFonts w:ascii="Arial" w:cs="Arial" w:eastAsia="Arial" w:hAnsi="Arial"/>
          <w:sz w:val="17"/>
          <w:szCs w:val="17"/>
          <w:u w:val="single" w:color="auto"/>
          <w:color w:val="auto"/>
        </w:rPr>
        <w:t>Section 2.01(c)</w:t>
      </w:r>
      <w:r>
        <w:rPr>
          <w:rFonts w:ascii="Arial" w:cs="Arial" w:eastAsia="Arial" w:hAnsi="Arial"/>
          <w:sz w:val="17"/>
          <w:szCs w:val="17"/>
          <w:color w:val="auto"/>
        </w:rPr>
        <w:t>.</w:t>
      </w:r>
    </w:p>
    <w:p>
      <w:pPr>
        <w:spacing w:after="0" w:line="145" w:lineRule="exact"/>
        <w:rPr>
          <w:sz w:val="20"/>
          <w:szCs w:val="20"/>
          <w:color w:val="auto"/>
        </w:rPr>
      </w:pPr>
    </w:p>
    <w:p>
      <w:pPr>
        <w:jc w:val="both"/>
        <w:ind w:left="6" w:firstLine="763"/>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Commitment</w:t>
      </w:r>
      <w:r>
        <w:rPr>
          <w:rFonts w:ascii="Arial" w:cs="Arial" w:eastAsia="Arial" w:hAnsi="Arial"/>
          <w:sz w:val="17"/>
          <w:szCs w:val="17"/>
          <w:color w:val="auto"/>
        </w:rPr>
        <w:t xml:space="preserve">” means, as to each Revolving Credit Lender, its obligation to (a) make Revolving Credit Loans to each Borrower pursuant to </w:t>
      </w:r>
      <w:r>
        <w:rPr>
          <w:rFonts w:ascii="Arial" w:cs="Arial" w:eastAsia="Arial" w:hAnsi="Arial"/>
          <w:sz w:val="17"/>
          <w:szCs w:val="17"/>
          <w:u w:val="single" w:color="auto"/>
          <w:color w:val="auto"/>
        </w:rPr>
        <w:t>Section 2.01(c)</w:t>
      </w:r>
      <w:r>
        <w:rPr>
          <w:rFonts w:ascii="Arial" w:cs="Arial" w:eastAsia="Arial" w:hAnsi="Arial"/>
          <w:sz w:val="17"/>
          <w:szCs w:val="17"/>
          <w:color w:val="auto"/>
        </w:rPr>
        <w:t xml:space="preserve">, (b) purchase participations in L/C Obligations, and (c) purchase participations in Swing Line Loans, in an aggregate principal amount at any one time outstanding not to exceed the amount set forth opposite such Lender’s name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under the caption “Revolving Credit Commitment” or opposite such caption in the Assignment and Assumption pursuant to which such Lender becomes a party hereto, as applicable, as such amount may be adjusted from time to time in accordance with this Agreement.</w:t>
      </w:r>
    </w:p>
    <w:p>
      <w:pPr>
        <w:spacing w:after="0" w:line="162" w:lineRule="exact"/>
        <w:rPr>
          <w:sz w:val="20"/>
          <w:szCs w:val="20"/>
          <w:color w:val="auto"/>
        </w:rPr>
      </w:pPr>
    </w:p>
    <w:p>
      <w:pPr>
        <w:jc w:val="both"/>
        <w:ind w:left="6"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Exposure</w:t>
      </w:r>
      <w:r>
        <w:rPr>
          <w:rFonts w:ascii="Arial" w:cs="Arial" w:eastAsia="Arial" w:hAnsi="Arial"/>
          <w:sz w:val="17"/>
          <w:szCs w:val="17"/>
          <w:color w:val="auto"/>
        </w:rPr>
        <w:t>” means, as to any Revolving Credit Lender at any time, the aggregate principal amount at such time of its outstanding Revolving Credit Loans and such Revolving Credit Lender’s participation in L/C Obligations and Swing Line Loans at such time.</w:t>
      </w:r>
    </w:p>
    <w:p>
      <w:pPr>
        <w:spacing w:after="0" w:line="145" w:lineRule="exact"/>
        <w:rPr>
          <w:sz w:val="20"/>
          <w:szCs w:val="20"/>
          <w:color w:val="auto"/>
        </w:rPr>
      </w:pPr>
    </w:p>
    <w:p>
      <w:pPr>
        <w:jc w:val="both"/>
        <w:ind w:left="6" w:firstLine="763"/>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Facility</w:t>
      </w:r>
      <w:r>
        <w:rPr>
          <w:rFonts w:ascii="Arial" w:cs="Arial" w:eastAsia="Arial" w:hAnsi="Arial"/>
          <w:sz w:val="16"/>
          <w:szCs w:val="16"/>
          <w:color w:val="auto"/>
        </w:rPr>
        <w:t>” means, at any time, the aggregate amount of the Revolving Credit Lenders’ Revolving Credit Commitments at such time. The aggregate principal amount of the Revolving Credit Facility in effect on the Closing Date is ONE HUNDRED MILLION DOLLARS ($100,000,000).</w:t>
      </w:r>
    </w:p>
    <w:p>
      <w:pPr>
        <w:spacing w:after="0" w:line="122" w:lineRule="exact"/>
        <w:rPr>
          <w:sz w:val="20"/>
          <w:szCs w:val="20"/>
          <w:color w:val="auto"/>
        </w:rPr>
      </w:pPr>
    </w:p>
    <w:p>
      <w:pPr>
        <w:ind w:left="7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Lender</w:t>
      </w:r>
      <w:r>
        <w:rPr>
          <w:rFonts w:ascii="Arial" w:cs="Arial" w:eastAsia="Arial" w:hAnsi="Arial"/>
          <w:sz w:val="17"/>
          <w:szCs w:val="17"/>
          <w:color w:val="auto"/>
        </w:rPr>
        <w:t>” means, at any time, any Lender that has a Revolving Credit Commitment at such time.</w:t>
      </w:r>
    </w:p>
    <w:p>
      <w:pPr>
        <w:spacing w:after="0" w:line="191" w:lineRule="exact"/>
        <w:rPr>
          <w:sz w:val="20"/>
          <w:szCs w:val="20"/>
          <w:color w:val="auto"/>
        </w:rPr>
      </w:pPr>
    </w:p>
    <w:p>
      <w:pPr>
        <w:ind w:left="7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Loan</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2.01(c)</w:t>
      </w:r>
      <w:r>
        <w:rPr>
          <w:rFonts w:ascii="Arial" w:cs="Arial" w:eastAsia="Arial" w:hAnsi="Arial"/>
          <w:sz w:val="17"/>
          <w:szCs w:val="17"/>
          <w:color w:val="auto"/>
        </w:rPr>
        <w:t>.</w:t>
      </w:r>
    </w:p>
    <w:p>
      <w:pPr>
        <w:spacing w:after="0" w:line="191" w:lineRule="exact"/>
        <w:rPr>
          <w:sz w:val="20"/>
          <w:szCs w:val="20"/>
          <w:color w:val="auto"/>
        </w:rPr>
      </w:pPr>
    </w:p>
    <w:p>
      <w:pPr>
        <w:jc w:val="both"/>
        <w:ind w:left="6"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Note</w:t>
      </w:r>
      <w:r>
        <w:rPr>
          <w:rFonts w:ascii="Arial" w:cs="Arial" w:eastAsia="Arial" w:hAnsi="Arial"/>
          <w:sz w:val="17"/>
          <w:szCs w:val="17"/>
          <w:color w:val="auto"/>
        </w:rPr>
        <w:t xml:space="preserve">” means a promissory note made by each Borrower in favor of a Revolving Credit Lender evidencing Revolving Credit Loans or Swing Line Loans, as the case may be, made by such Revolving Credit Lender,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w:t>
      </w:r>
    </w:p>
    <w:p>
      <w:pPr>
        <w:spacing w:after="0" w:line="145" w:lineRule="exact"/>
        <w:rPr>
          <w:sz w:val="20"/>
          <w:szCs w:val="20"/>
          <w:color w:val="auto"/>
        </w:rPr>
      </w:pPr>
    </w:p>
    <w:p>
      <w:pPr>
        <w:jc w:val="both"/>
        <w:ind w:left="6" w:firstLine="763"/>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Same Day Funds</w:t>
      </w:r>
      <w:r>
        <w:rPr>
          <w:rFonts w:ascii="Arial" w:cs="Arial" w:eastAsia="Arial" w:hAnsi="Arial"/>
          <w:sz w:val="15"/>
          <w:szCs w:val="15"/>
          <w:color w:val="auto"/>
        </w:rPr>
        <w:t>” means (a) with respect to disbursements and payments in Dollars, immediately available funds, and (b) with respect to disbursements and payments in an Alternative Currency, same day or other funds as may be determined by the Administrative Agent or the L/C Issuer, as the case may be, to be customary in the place of disbursement or payment for the settlement of international banking transactions in the relevant Alternative Currency.</w:t>
      </w:r>
    </w:p>
    <w:p>
      <w:pPr>
        <w:spacing w:after="0" w:line="121" w:lineRule="exact"/>
        <w:rPr>
          <w:sz w:val="20"/>
          <w:szCs w:val="20"/>
          <w:color w:val="auto"/>
        </w:rPr>
      </w:pPr>
    </w:p>
    <w:p>
      <w:pPr>
        <w:ind w:left="7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5.26</w:t>
      </w:r>
      <w:r>
        <w:rPr>
          <w:rFonts w:ascii="Arial" w:cs="Arial" w:eastAsia="Arial" w:hAnsi="Arial"/>
          <w:sz w:val="17"/>
          <w:szCs w:val="17"/>
          <w:color w:val="auto"/>
        </w:rPr>
        <w:t>.</w:t>
      </w:r>
    </w:p>
    <w:p>
      <w:pPr>
        <w:spacing w:after="0" w:line="191"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46"/>
          </w:cols>
          <w:pgMar w:left="234" w:top="312" w:right="219" w:bottom="1440" w:gutter="0" w:footer="0" w:header="0"/>
        </w:sectPr>
      </w:pPr>
    </w:p>
    <w:bookmarkStart w:id="38" w:name="page39"/>
    <w:bookmarkEnd w:id="38"/>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w:t>
      </w:r>
      <w:r>
        <w:rPr>
          <w:rFonts w:ascii="Arial" w:cs="Arial" w:eastAsia="Arial" w:hAnsi="Arial"/>
          <w:sz w:val="17"/>
          <w:szCs w:val="17"/>
          <w:color w:val="auto"/>
        </w:rPr>
        <w:t>” means the Securities and Exchange Commission, or any Governmental Authority succeeding to any of its principal functions.</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Party Designation Notice</w:t>
      </w:r>
      <w:r>
        <w:rPr>
          <w:rFonts w:ascii="Arial" w:cs="Arial" w:eastAsia="Arial" w:hAnsi="Arial"/>
          <w:sz w:val="17"/>
          <w:szCs w:val="17"/>
          <w:color w:val="auto"/>
        </w:rPr>
        <w:t xml:space="preserve">” means a notice from any Swap Bank or Treasury Management Bank substantially in the form of </w:t>
      </w:r>
      <w:r>
        <w:rPr>
          <w:rFonts w:ascii="Arial" w:cs="Arial" w:eastAsia="Arial" w:hAnsi="Arial"/>
          <w:sz w:val="17"/>
          <w:szCs w:val="17"/>
          <w:u w:val="single" w:color="auto"/>
          <w:color w:val="auto"/>
        </w:rPr>
        <w:t>Exhibit G</w:t>
      </w:r>
      <w:r>
        <w:rPr>
          <w:rFonts w:ascii="Arial" w:cs="Arial" w:eastAsia="Arial" w:hAnsi="Arial"/>
          <w:sz w:val="17"/>
          <w:szCs w:val="17"/>
          <w:color w:val="auto"/>
        </w:rPr>
        <w:t>.</w:t>
      </w:r>
    </w:p>
    <w:p>
      <w:pPr>
        <w:spacing w:after="0" w:line="191" w:lineRule="exact"/>
        <w:rPr>
          <w:sz w:val="20"/>
          <w:szCs w:val="20"/>
          <w:color w:val="auto"/>
        </w:rPr>
      </w:pPr>
    </w:p>
    <w:p>
      <w:pPr>
        <w:jc w:val="both"/>
        <w:ind w:firstLine="763"/>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Treasury Management Agreement</w:t>
      </w:r>
      <w:r>
        <w:rPr>
          <w:rFonts w:ascii="Arial" w:cs="Arial" w:eastAsia="Arial" w:hAnsi="Arial"/>
          <w:sz w:val="17"/>
          <w:szCs w:val="17"/>
          <w:color w:val="auto"/>
        </w:rPr>
        <w:t xml:space="preserve">” means any Treasury Management Agreement between any Loan Party and any Treasury Management Bank; </w:t>
      </w:r>
      <w:r>
        <w:rPr>
          <w:rFonts w:ascii="Arial" w:cs="Arial" w:eastAsia="Arial" w:hAnsi="Arial"/>
          <w:sz w:val="17"/>
          <w:szCs w:val="17"/>
          <w:u w:val="single" w:color="auto"/>
          <w:color w:val="auto"/>
        </w:rPr>
        <w:t>provided</w:t>
      </w:r>
      <w:r>
        <w:rPr>
          <w:rFonts w:ascii="Arial" w:cs="Arial" w:eastAsia="Arial" w:hAnsi="Arial"/>
          <w:sz w:val="17"/>
          <w:szCs w:val="17"/>
          <w:color w:val="auto"/>
        </w:rPr>
        <w:t>, that for any of the foregoing to be included as a “Secured Treasury Management Agreement” on any date of determination by the Administrative Agent, the applicable Treasury Management Bank (other than the Administrative Agent or an Affiliate of the Administrative Agent) must have delivered a Secured Party Designation Notice to the Administrative Agent prior to such date of determination.</w:t>
      </w:r>
    </w:p>
    <w:p>
      <w:pPr>
        <w:spacing w:after="0" w:line="160" w:lineRule="exact"/>
        <w:rPr>
          <w:sz w:val="20"/>
          <w:szCs w:val="20"/>
          <w:color w:val="auto"/>
        </w:rPr>
      </w:pPr>
    </w:p>
    <w:p>
      <w:pPr>
        <w:jc w:val="both"/>
        <w:ind w:right="20" w:firstLine="763"/>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Swap Agreement</w:t>
      </w:r>
      <w:r>
        <w:rPr>
          <w:rFonts w:ascii="Arial" w:cs="Arial" w:eastAsia="Arial" w:hAnsi="Arial"/>
          <w:sz w:val="17"/>
          <w:szCs w:val="17"/>
          <w:color w:val="auto"/>
        </w:rPr>
        <w:t xml:space="preserve">” means any Swap Contract permitted under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between any Loan Party and any Swap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any of the foregoing to be included as a “Secured Swap Agreement” on any date of determination by the Administrative Agent, the applicable Swap Bank (other than the Administrative Agent or an Affiliate of the Administrative Agent) must have delivered a Secured Party Designation Notice to the Administrative Agent prior to such date of determination.</w:t>
      </w:r>
    </w:p>
    <w:p>
      <w:pPr>
        <w:spacing w:after="0" w:line="160" w:lineRule="exact"/>
        <w:rPr>
          <w:sz w:val="20"/>
          <w:szCs w:val="20"/>
          <w:color w:val="auto"/>
        </w:rPr>
      </w:pPr>
    </w:p>
    <w:p>
      <w:pPr>
        <w:jc w:val="both"/>
        <w:ind w:firstLine="7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Parties</w:t>
      </w:r>
      <w:r>
        <w:rPr>
          <w:rFonts w:ascii="Arial" w:cs="Arial" w:eastAsia="Arial" w:hAnsi="Arial"/>
          <w:sz w:val="17"/>
          <w:szCs w:val="17"/>
          <w:color w:val="auto"/>
        </w:rPr>
        <w:t xml:space="preserve">” means, collectively, the Administrative Agent, the Lenders, the L/C Issuer, the Swap Banks, the Treasury Management Banks, each co-agent or sub-agent appointed by the Administrative Agent from time to time pursuant to </w:t>
      </w:r>
      <w:r>
        <w:rPr>
          <w:rFonts w:ascii="Arial" w:cs="Arial" w:eastAsia="Arial" w:hAnsi="Arial"/>
          <w:sz w:val="17"/>
          <w:szCs w:val="17"/>
          <w:u w:val="single" w:color="auto"/>
          <w:color w:val="auto"/>
        </w:rPr>
        <w:t>Section 9.05</w:t>
      </w:r>
      <w:r>
        <w:rPr>
          <w:rFonts w:ascii="Arial" w:cs="Arial" w:eastAsia="Arial" w:hAnsi="Arial"/>
          <w:sz w:val="17"/>
          <w:szCs w:val="17"/>
          <w:color w:val="auto"/>
        </w:rPr>
        <w:t>, and the other Persons the Obligations owing to which are or are purported to be secured by the Collateral under the terms of the Collateral Documents.</w:t>
      </w:r>
    </w:p>
    <w:p>
      <w:pPr>
        <w:spacing w:after="0" w:line="157"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Agreement</w:t>
      </w:r>
      <w:r>
        <w:rPr>
          <w:rFonts w:ascii="Arial" w:cs="Arial" w:eastAsia="Arial" w:hAnsi="Arial"/>
          <w:sz w:val="17"/>
          <w:szCs w:val="17"/>
          <w:color w:val="auto"/>
        </w:rPr>
        <w:t>” means that certain pledge and security agreement dated as of the Closing Date, executed in favor of the Administrative Agent, for the benefit of the Secured Parties, by each Domestic Loan Party.</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Agreement Supplement</w:t>
      </w:r>
      <w:r>
        <w:rPr>
          <w:rFonts w:ascii="Arial" w:cs="Arial" w:eastAsia="Arial" w:hAnsi="Arial"/>
          <w:sz w:val="17"/>
          <w:szCs w:val="17"/>
          <w:color w:val="auto"/>
        </w:rPr>
        <w:t>” has the meaning specified in Section 1.1 of the Security Agreement.</w:t>
      </w:r>
    </w:p>
    <w:p>
      <w:pPr>
        <w:spacing w:after="0" w:line="191" w:lineRule="exact"/>
        <w:rPr>
          <w:sz w:val="20"/>
          <w:szCs w:val="20"/>
          <w:color w:val="auto"/>
        </w:rPr>
      </w:pPr>
    </w:p>
    <w:p>
      <w:pPr>
        <w:jc w:val="both"/>
        <w:ind w:firstLine="763"/>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and “</w:t>
      </w:r>
      <w:r>
        <w:rPr>
          <w:rFonts w:ascii="Arial" w:cs="Arial" w:eastAsia="Arial" w:hAnsi="Arial"/>
          <w:sz w:val="16"/>
          <w:szCs w:val="16"/>
          <w:u w:val="single" w:color="auto"/>
          <w:color w:val="auto"/>
        </w:rPr>
        <w:t>Solvency</w:t>
      </w:r>
      <w:r>
        <w:rPr>
          <w:rFonts w:ascii="Arial" w:cs="Arial" w:eastAsia="Arial" w:hAnsi="Arial"/>
          <w:sz w:val="16"/>
          <w:szCs w:val="16"/>
          <w:color w:val="auto"/>
        </w:rPr>
        <w:t>” mean, with respect to any Person on any date of determination, that on such date (a) the fair value of the property and assets of such Person is greater than the total amount of liabilities, including contingent liabilities, of such Person, (b) the present fair salable value of the property and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and assets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50" w:lineRule="exact"/>
        <w:rPr>
          <w:sz w:val="20"/>
          <w:szCs w:val="20"/>
          <w:color w:val="auto"/>
        </w:rPr>
      </w:pPr>
    </w:p>
    <w:p>
      <w:pPr>
        <w:jc w:val="both"/>
        <w:ind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Special Notice Currency</w:t>
      </w:r>
      <w:r>
        <w:rPr>
          <w:rFonts w:ascii="Arial" w:cs="Arial" w:eastAsia="Arial" w:hAnsi="Arial"/>
          <w:sz w:val="17"/>
          <w:szCs w:val="17"/>
          <w:color w:val="auto"/>
        </w:rPr>
        <w:t>” means at any time an Alternative Currency, other than the currency of a country that is a member of the Organization for Economic Cooperation and Development at such time located in North America or Europe.</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Loan Party</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10.08</w:t>
      </w:r>
      <w:r>
        <w:rPr>
          <w:rFonts w:ascii="Arial" w:cs="Arial" w:eastAsia="Arial" w:hAnsi="Arial"/>
          <w:sz w:val="17"/>
          <w:szCs w:val="17"/>
          <w:color w:val="auto"/>
        </w:rPr>
        <w:t>.</w:t>
      </w:r>
    </w:p>
    <w:p>
      <w:pPr>
        <w:spacing w:after="0" w:line="191" w:lineRule="exact"/>
        <w:rPr>
          <w:sz w:val="20"/>
          <w:szCs w:val="20"/>
          <w:color w:val="auto"/>
        </w:rPr>
      </w:pPr>
    </w:p>
    <w:p>
      <w:pPr>
        <w:jc w:val="both"/>
        <w:ind w:firstLine="763"/>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Transaction</w:t>
      </w:r>
      <w:r>
        <w:rPr>
          <w:rFonts w:ascii="Arial" w:cs="Arial" w:eastAsia="Arial" w:hAnsi="Arial"/>
          <w:sz w:val="17"/>
          <w:szCs w:val="17"/>
          <w:color w:val="auto"/>
        </w:rPr>
        <w:t>” means (a) any Acquisition, any Disposition, any sale or other transfer that results in a Person ceasing to be a Subsidiary, any Investment that results in a Person becoming a Subsidiary, in each case, whether by merger, amalgamation, consolidation or otherwise, or any incurrence or repayment of Indebtedness or (b) any other event that by the terms of the Loan Documents requires Pro Forma Compliance with a test or covenant or requires such test or covenant to be calculated on a Pro Forma Basis.</w:t>
      </w:r>
    </w:p>
    <w:p>
      <w:pPr>
        <w:spacing w:after="0" w:line="160" w:lineRule="exact"/>
        <w:rPr>
          <w:sz w:val="20"/>
          <w:szCs w:val="20"/>
          <w:color w:val="auto"/>
        </w:rPr>
      </w:pPr>
    </w:p>
    <w:p>
      <w:pPr>
        <w:jc w:val="both"/>
        <w:ind w:right="20" w:firstLine="7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Spot Rate</w:t>
      </w:r>
      <w:r>
        <w:rPr>
          <w:rFonts w:ascii="Arial" w:cs="Arial" w:eastAsia="Arial" w:hAnsi="Arial"/>
          <w:sz w:val="17"/>
          <w:szCs w:val="17"/>
          <w:color w:val="auto"/>
        </w:rPr>
        <w:t>” for a currency means the rate determined by the Administrative Agent or the L/C Issuer, as applicable, to be the rate quoted by the Person acting in such capacity as the spot rate for the purchase by such Person of such currency with another currency through its principal foreign exchange trading office at approximately 11:00 a.m. 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40"/>
          </w:cols>
          <w:pgMar w:left="240" w:top="312" w:right="219" w:bottom="1440" w:gutter="0" w:footer="0" w:header="0"/>
        </w:sectPr>
      </w:pPr>
    </w:p>
    <w:bookmarkStart w:id="39" w:name="page40"/>
    <w:bookmarkEnd w:id="39"/>
    <w:p>
      <w:pPr>
        <w:jc w:val="both"/>
        <w:ind w:right="20"/>
        <w:spacing w:after="0" w:line="256" w:lineRule="auto"/>
        <w:rPr>
          <w:sz w:val="20"/>
          <w:szCs w:val="20"/>
          <w:color w:val="auto"/>
        </w:rPr>
      </w:pPr>
      <w:r>
        <w:rPr>
          <w:rFonts w:ascii="Arial" w:cs="Arial" w:eastAsia="Arial" w:hAnsi="Arial"/>
          <w:sz w:val="17"/>
          <w:szCs w:val="17"/>
          <w:color w:val="auto"/>
        </w:rPr>
        <w:t xml:space="preserve">the date two Business Days prior to the date as of which the foreign exchange computation is made; </w:t>
      </w:r>
      <w:r>
        <w:rPr>
          <w:rFonts w:ascii="Arial" w:cs="Arial" w:eastAsia="Arial" w:hAnsi="Arial"/>
          <w:sz w:val="15"/>
          <w:szCs w:val="15"/>
          <w:u w:val="single" w:color="auto"/>
          <w:color w:val="auto"/>
        </w:rPr>
        <w:t>provided</w:t>
      </w:r>
      <w:r>
        <w:rPr>
          <w:rFonts w:ascii="Arial" w:cs="Arial" w:eastAsia="Arial" w:hAnsi="Arial"/>
          <w:sz w:val="17"/>
          <w:szCs w:val="17"/>
          <w:color w:val="auto"/>
        </w:rPr>
        <w:t xml:space="preserve"> </w:t>
      </w:r>
      <w:r>
        <w:rPr>
          <w:rFonts w:ascii="Arial" w:cs="Arial" w:eastAsia="Arial" w:hAnsi="Arial"/>
          <w:sz w:val="15"/>
          <w:szCs w:val="15"/>
          <w:color w:val="auto"/>
        </w:rPr>
        <w:t>that the Administrative Agent or the L/C Issuer may obtain</w:t>
      </w:r>
      <w:r>
        <w:rPr>
          <w:rFonts w:ascii="Arial" w:cs="Arial" w:eastAsia="Arial" w:hAnsi="Arial"/>
          <w:sz w:val="17"/>
          <w:szCs w:val="17"/>
          <w:color w:val="auto"/>
        </w:rPr>
        <w:t xml:space="preserve"> </w:t>
      </w:r>
      <w:r>
        <w:rPr>
          <w:rFonts w:ascii="Arial" w:cs="Arial" w:eastAsia="Arial" w:hAnsi="Arial"/>
          <w:sz w:val="15"/>
          <w:szCs w:val="15"/>
          <w:color w:val="auto"/>
        </w:rPr>
        <w:t xml:space="preserve">such spot rate from another financial institution designated by the Administrative Agent or the L/C Issuer if the Person acting in such capacity does not have as of the date of determination a spot buying rate for any such currency; and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the L/C Issuer may use such spot rate quoted on the date as of which the foreign exchange computation is made in the case of any Letter of Credit denominated in an Alternative Currency.</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Sterling</w:t>
      </w:r>
      <w:r>
        <w:rPr>
          <w:rFonts w:ascii="Arial" w:cs="Arial" w:eastAsia="Arial" w:hAnsi="Arial"/>
          <w:sz w:val="17"/>
          <w:szCs w:val="17"/>
          <w:color w:val="auto"/>
        </w:rPr>
        <w:t>” and “</w:t>
      </w:r>
      <w:r>
        <w:rPr>
          <w:rFonts w:ascii="Arial" w:cs="Arial" w:eastAsia="Arial" w:hAnsi="Arial"/>
          <w:sz w:val="17"/>
          <w:szCs w:val="17"/>
          <w:u w:val="single" w:color="auto"/>
          <w:color w:val="auto"/>
        </w:rPr>
        <w:t>£</w:t>
      </w:r>
      <w:r>
        <w:rPr>
          <w:rFonts w:ascii="Arial" w:cs="Arial" w:eastAsia="Arial" w:hAnsi="Arial"/>
          <w:sz w:val="17"/>
          <w:szCs w:val="17"/>
          <w:color w:val="auto"/>
        </w:rPr>
        <w:t>” mean the lawful currency of the United Kingdom.</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Subordinated Provisions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8.01(m)</w:t>
      </w:r>
      <w:r>
        <w:rPr>
          <w:rFonts w:ascii="Arial" w:cs="Arial" w:eastAsia="Arial" w:hAnsi="Arial"/>
          <w:sz w:val="17"/>
          <w:szCs w:val="17"/>
          <w:color w:val="auto"/>
        </w:rPr>
        <w:t>.</w:t>
      </w:r>
    </w:p>
    <w:p>
      <w:pPr>
        <w:spacing w:after="0" w:line="191" w:lineRule="exact"/>
        <w:rPr>
          <w:sz w:val="20"/>
          <w:szCs w:val="20"/>
          <w:color w:val="auto"/>
        </w:rPr>
      </w:pPr>
    </w:p>
    <w:p>
      <w:pPr>
        <w:jc w:val="both"/>
        <w:ind w:firstLine="763"/>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Company.</w:t>
      </w:r>
    </w:p>
    <w:p>
      <w:pPr>
        <w:spacing w:after="0" w:line="162" w:lineRule="exact"/>
        <w:rPr>
          <w:sz w:val="20"/>
          <w:szCs w:val="20"/>
          <w:color w:val="auto"/>
        </w:rPr>
      </w:pPr>
    </w:p>
    <w:p>
      <w:pPr>
        <w:jc w:val="both"/>
        <w:ind w:firstLine="763"/>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Bank</w:t>
      </w:r>
      <w:r>
        <w:rPr>
          <w:rFonts w:ascii="Arial" w:cs="Arial" w:eastAsia="Arial" w:hAnsi="Arial"/>
          <w:sz w:val="17"/>
          <w:szCs w:val="17"/>
          <w:color w:val="auto"/>
        </w:rPr>
        <w:t>” means any Person that (a) at the time it enters into a Swap Contract with a Loan Party, is a Lender or the Administrative Agent or an Affiliate of a Lender or the Administrative Agent, (b) in the case of any Swap Contract with a Loan Party in effect on or prior to the Closing Date, is, as of the Closing Date or within 30 days thereafter, a Lender or the Administrative Agent or an Affiliate of a Lender or the Administrative Agent and a party to a Swap Contract or (c) within 30 days after the time it enters into the applicable Swap Contract with a Loan Party, becomes a Lender, the Administrative Agent or an Affiliate of a Lender or the Administrative Agent, in each case, in its capacity as a party to such Swap Contract.</w:t>
      </w:r>
    </w:p>
    <w:p>
      <w:pPr>
        <w:spacing w:after="0" w:line="162" w:lineRule="exact"/>
        <w:rPr>
          <w:sz w:val="20"/>
          <w:szCs w:val="20"/>
          <w:color w:val="auto"/>
        </w:rPr>
      </w:pPr>
    </w:p>
    <w:p>
      <w:pPr>
        <w:jc w:val="both"/>
        <w:ind w:firstLine="763"/>
        <w:spacing w:after="0" w:line="24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Contract</w:t>
      </w:r>
      <w:r>
        <w:rPr>
          <w:rFonts w:ascii="Arial" w:cs="Arial" w:eastAsia="Arial" w:hAnsi="Arial"/>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7"/>
          <w:szCs w:val="17"/>
          <w:u w:val="single" w:color="auto"/>
          <w:color w:val="auto"/>
        </w:rPr>
        <w:t>Master Agreement</w:t>
      </w:r>
      <w:r>
        <w:rPr>
          <w:rFonts w:ascii="Arial" w:cs="Arial" w:eastAsia="Arial" w:hAnsi="Arial"/>
          <w:sz w:val="17"/>
          <w:szCs w:val="17"/>
          <w:color w:val="auto"/>
        </w:rPr>
        <w:t>”), including any such obligations or liabilities under any Master Agreement.</w:t>
      </w:r>
    </w:p>
    <w:p>
      <w:pPr>
        <w:spacing w:after="0" w:line="170" w:lineRule="exact"/>
        <w:rPr>
          <w:sz w:val="20"/>
          <w:szCs w:val="20"/>
          <w:color w:val="auto"/>
        </w:rPr>
      </w:pPr>
    </w:p>
    <w:p>
      <w:pPr>
        <w:jc w:val="both"/>
        <w:ind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Obligation</w:t>
      </w:r>
      <w:r>
        <w:rPr>
          <w:rFonts w:ascii="Arial" w:cs="Arial" w:eastAsia="Arial" w:hAnsi="Arial"/>
          <w:sz w:val="17"/>
          <w:szCs w:val="17"/>
          <w:color w:val="auto"/>
        </w:rPr>
        <w:t>” means with respect to any Loan Party any obligation to pay or perform under any agreement, contract or transaction that constitutes a “swap” within the meaning of Section 1a(47) of the Commodity Exchange Act.</w:t>
      </w:r>
    </w:p>
    <w:p>
      <w:pPr>
        <w:spacing w:after="0" w:line="145" w:lineRule="exact"/>
        <w:rPr>
          <w:sz w:val="20"/>
          <w:szCs w:val="20"/>
          <w:color w:val="auto"/>
        </w:rPr>
      </w:pPr>
    </w:p>
    <w:p>
      <w:pPr>
        <w:jc w:val="both"/>
        <w:ind w:firstLine="763"/>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Termination Value</w:t>
      </w:r>
      <w:r>
        <w:rPr>
          <w:rFonts w:ascii="Arial" w:cs="Arial" w:eastAsia="Arial" w:hAnsi="Arial"/>
          <w:sz w:val="17"/>
          <w:szCs w:val="17"/>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17"/>
          <w:szCs w:val="17"/>
          <w:u w:val="single" w:color="auto"/>
          <w:color w:val="auto"/>
        </w:rPr>
        <w:t>clause (a)</w:t>
      </w:r>
      <w:r>
        <w:rPr>
          <w:rFonts w:ascii="Arial" w:cs="Arial" w:eastAsia="Arial" w:hAnsi="Arial"/>
          <w:sz w:val="17"/>
          <w:szCs w:val="17"/>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 Line Borrowing</w:t>
      </w:r>
      <w:r>
        <w:rPr>
          <w:rFonts w:ascii="Arial" w:cs="Arial" w:eastAsia="Arial" w:hAnsi="Arial"/>
          <w:sz w:val="17"/>
          <w:szCs w:val="17"/>
          <w:color w:val="auto"/>
        </w:rPr>
        <w:t xml:space="preserve">” means a borrowing of a Swing Line Loan pursuant to </w:t>
      </w:r>
      <w:r>
        <w:rPr>
          <w:rFonts w:ascii="Arial" w:cs="Arial" w:eastAsia="Arial" w:hAnsi="Arial"/>
          <w:sz w:val="17"/>
          <w:szCs w:val="17"/>
          <w:u w:val="single" w:color="auto"/>
          <w:color w:val="auto"/>
        </w:rPr>
        <w:t>Section 2.04</w:t>
      </w:r>
      <w:r>
        <w:rPr>
          <w:rFonts w:ascii="Arial" w:cs="Arial" w:eastAsia="Arial" w:hAnsi="Arial"/>
          <w:sz w:val="17"/>
          <w:szCs w:val="17"/>
          <w:color w:val="auto"/>
        </w:rPr>
        <w: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 Line Lender</w:t>
      </w:r>
      <w:r>
        <w:rPr>
          <w:rFonts w:ascii="Arial" w:cs="Arial" w:eastAsia="Arial" w:hAnsi="Arial"/>
          <w:sz w:val="17"/>
          <w:szCs w:val="17"/>
          <w:color w:val="auto"/>
        </w:rPr>
        <w:t>” means Bank of America in its capacity as provider of Swing Line Loans, or any successor swing line lender hereunder.</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 Line Loan</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2.04(a)</w:t>
      </w:r>
      <w:r>
        <w:rPr>
          <w:rFonts w:ascii="Arial" w:cs="Arial" w:eastAsia="Arial" w:hAnsi="Arial"/>
          <w:sz w:val="17"/>
          <w:szCs w:val="17"/>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40"/>
          </w:cols>
          <w:pgMar w:left="240" w:top="312" w:right="219" w:bottom="1440" w:gutter="0" w:footer="0" w:header="0"/>
        </w:sectPr>
      </w:pPr>
    </w:p>
    <w:bookmarkStart w:id="40" w:name="page41"/>
    <w:bookmarkEnd w:id="40"/>
    <w:p>
      <w:pPr>
        <w:jc w:val="both"/>
        <w:ind w:firstLine="7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 Line Loan Notice</w:t>
      </w:r>
      <w:r>
        <w:rPr>
          <w:rFonts w:ascii="Arial" w:cs="Arial" w:eastAsia="Arial" w:hAnsi="Arial"/>
          <w:sz w:val="17"/>
          <w:szCs w:val="17"/>
          <w:color w:val="auto"/>
        </w:rPr>
        <w:t xml:space="preserve">” means a notice of a Swing Line Borrowing pursuant to </w:t>
      </w:r>
      <w:r>
        <w:rPr>
          <w:rFonts w:ascii="Arial" w:cs="Arial" w:eastAsia="Arial" w:hAnsi="Arial"/>
          <w:sz w:val="17"/>
          <w:szCs w:val="17"/>
          <w:u w:val="single" w:color="auto"/>
          <w:color w:val="auto"/>
        </w:rPr>
        <w:t>Section 2.04(b)</w:t>
      </w:r>
      <w:r>
        <w:rPr>
          <w:rFonts w:ascii="Arial" w:cs="Arial" w:eastAsia="Arial" w:hAnsi="Arial"/>
          <w:sz w:val="17"/>
          <w:szCs w:val="17"/>
          <w:color w:val="auto"/>
        </w:rPr>
        <w:t xml:space="preserve">, which, if in writing, shall be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or such other form as approved by the Administrative Agent (including any form on an electronic platform or electronic transmission system as shall be approve by the Administrative Agent), appropriately completed and signed by a Responsible Officer.</w:t>
      </w:r>
    </w:p>
    <w:p>
      <w:pPr>
        <w:spacing w:after="0" w:line="157" w:lineRule="exact"/>
        <w:rPr>
          <w:sz w:val="20"/>
          <w:szCs w:val="20"/>
          <w:color w:val="auto"/>
        </w:rPr>
      </w:pPr>
    </w:p>
    <w:p>
      <w:pPr>
        <w:jc w:val="both"/>
        <w:ind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 Line Sublimit</w:t>
      </w:r>
      <w:r>
        <w:rPr>
          <w:rFonts w:ascii="Arial" w:cs="Arial" w:eastAsia="Arial" w:hAnsi="Arial"/>
          <w:sz w:val="17"/>
          <w:szCs w:val="17"/>
          <w:color w:val="auto"/>
        </w:rPr>
        <w:t>” means an amount equal to the lesser of (a) $5,000,000 and (b) the Revolving Credit Facility. The Swing Line Sublimit is part of, and not in addition to, the Revolving Credit Facility.</w:t>
      </w:r>
    </w:p>
    <w:p>
      <w:pPr>
        <w:spacing w:after="0" w:line="145" w:lineRule="exact"/>
        <w:rPr>
          <w:sz w:val="20"/>
          <w:szCs w:val="20"/>
          <w:color w:val="auto"/>
        </w:rPr>
      </w:pPr>
    </w:p>
    <w:p>
      <w:pPr>
        <w:jc w:val="both"/>
        <w:ind w:firstLine="763"/>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Synthetic Debt</w:t>
      </w:r>
      <w:r>
        <w:rPr>
          <w:rFonts w:ascii="Arial" w:cs="Arial" w:eastAsia="Arial" w:hAnsi="Arial"/>
          <w:sz w:val="17"/>
          <w:szCs w:val="17"/>
          <w:color w:val="auto"/>
        </w:rPr>
        <w:t xml:space="preserve">” 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 borrowing) but are not otherwise included in the definition of “Indebtedness” or as a liability on the consolidated balance sheet of such Person and its Subsidiaries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for the avoidance of doubt Synthetic Debt shall not include any obligation arising under any Swap Contract including any CRS Transaction.</w:t>
      </w:r>
    </w:p>
    <w:p>
      <w:pPr>
        <w:spacing w:after="0" w:line="162" w:lineRule="exact"/>
        <w:rPr>
          <w:sz w:val="20"/>
          <w:szCs w:val="20"/>
          <w:color w:val="auto"/>
        </w:rPr>
      </w:pPr>
    </w:p>
    <w:p>
      <w:pPr>
        <w:jc w:val="both"/>
        <w:ind w:firstLine="763"/>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Synthetic Lease Obligation</w:t>
      </w:r>
      <w:r>
        <w:rPr>
          <w:rFonts w:ascii="Arial" w:cs="Arial" w:eastAsia="Arial" w:hAnsi="Arial"/>
          <w:sz w:val="17"/>
          <w:szCs w:val="17"/>
          <w:color w:val="auto"/>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60"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TARGET2</w:t>
      </w:r>
      <w:r>
        <w:rPr>
          <w:rFonts w:ascii="Arial" w:cs="Arial" w:eastAsia="Arial" w:hAnsi="Arial"/>
          <w:sz w:val="17"/>
          <w:szCs w:val="17"/>
          <w:color w:val="auto"/>
        </w:rPr>
        <w:t>” means the Trans-European Automated Real-time Gross Settlement Express Transfer payment system which utilizes a single shared platform and which was launched on November 19, 2007.</w:t>
      </w:r>
    </w:p>
    <w:p>
      <w:pPr>
        <w:spacing w:after="0" w:line="145"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TARGET Day</w:t>
      </w:r>
      <w:r>
        <w:rPr>
          <w:rFonts w:ascii="Arial" w:cs="Arial" w:eastAsia="Arial" w:hAnsi="Arial"/>
          <w:sz w:val="17"/>
          <w:szCs w:val="17"/>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45" w:lineRule="exact"/>
        <w:rPr>
          <w:sz w:val="20"/>
          <w:szCs w:val="20"/>
          <w:color w:val="auto"/>
        </w:rPr>
      </w:pPr>
    </w:p>
    <w:p>
      <w:pPr>
        <w:jc w:val="both"/>
        <w:ind w:firstLine="763"/>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all present or future taxes, levies, imposts, duties, deductions, withholdings (including backup withholding), assessments, fees, value added taxes, including without limitation, as provided for in the Value Added Tax Act (</w:t>
      </w:r>
      <w:r>
        <w:rPr>
          <w:rFonts w:ascii="Arial" w:cs="Arial" w:eastAsia="Arial" w:hAnsi="Arial"/>
          <w:sz w:val="16"/>
          <w:szCs w:val="16"/>
          <w:i w:val="1"/>
          <w:iCs w:val="1"/>
          <w:color w:val="auto"/>
        </w:rPr>
        <w:t>Umsatzsteuergesetz</w:t>
      </w:r>
      <w:r>
        <w:rPr>
          <w:rFonts w:ascii="Arial" w:cs="Arial" w:eastAsia="Arial" w:hAnsi="Arial"/>
          <w:sz w:val="16"/>
          <w:szCs w:val="16"/>
          <w:color w:val="auto"/>
        </w:rPr>
        <w:t>) of Germany and the Excise Tax Act (Canada) and any other tax of a similar nature or other charges imposed by any Governmental Authority, including any interest, additions to tax or penalties applicable thereto.</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w:t>
      </w:r>
      <w:r>
        <w:rPr>
          <w:rFonts w:ascii="Arial" w:cs="Arial" w:eastAsia="Arial" w:hAnsi="Arial"/>
          <w:sz w:val="17"/>
          <w:szCs w:val="17"/>
          <w:color w:val="auto"/>
        </w:rPr>
        <w:t>” means a Company Term Loan, a Gentherm Germany Term Loan or an Add-On Company Term Loan.</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Threshold Amount</w:t>
      </w:r>
      <w:r>
        <w:rPr>
          <w:rFonts w:ascii="Arial" w:cs="Arial" w:eastAsia="Arial" w:hAnsi="Arial"/>
          <w:sz w:val="17"/>
          <w:szCs w:val="17"/>
          <w:color w:val="auto"/>
        </w:rPr>
        <w:t>” means $1,000,000.</w:t>
      </w:r>
    </w:p>
    <w:p>
      <w:pPr>
        <w:spacing w:after="0" w:line="191" w:lineRule="exact"/>
        <w:rPr>
          <w:sz w:val="20"/>
          <w:szCs w:val="20"/>
          <w:color w:val="auto"/>
        </w:rPr>
      </w:pPr>
    </w:p>
    <w:p>
      <w:pPr>
        <w:jc w:val="both"/>
        <w:ind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Credit Exposure</w:t>
      </w:r>
      <w:r>
        <w:rPr>
          <w:rFonts w:ascii="Arial" w:cs="Arial" w:eastAsia="Arial" w:hAnsi="Arial"/>
          <w:sz w:val="17"/>
          <w:szCs w:val="17"/>
          <w:color w:val="auto"/>
        </w:rPr>
        <w:t>” means, as to any Lender at any time, the unused Commitments, Revolving Credit Exposure, and Outstanding Amount of all Term Loans of such Lender at such time.</w:t>
      </w:r>
    </w:p>
    <w:p>
      <w:pPr>
        <w:spacing w:after="0" w:line="145"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Revolving Credit Exposure</w:t>
      </w:r>
      <w:r>
        <w:rPr>
          <w:rFonts w:ascii="Arial" w:cs="Arial" w:eastAsia="Arial" w:hAnsi="Arial"/>
          <w:sz w:val="17"/>
          <w:szCs w:val="17"/>
          <w:color w:val="auto"/>
        </w:rPr>
        <w:t>” means, as to any Revolving Credit Lender at any time, the unused Revolving Credit Commitments and Revolving Credit Exposure of such Revolving Credit Lender at such time.</w:t>
      </w:r>
    </w:p>
    <w:p>
      <w:pPr>
        <w:spacing w:after="0" w:line="145" w:lineRule="exact"/>
        <w:rPr>
          <w:sz w:val="20"/>
          <w:szCs w:val="20"/>
          <w:color w:val="auto"/>
        </w:rPr>
      </w:pPr>
    </w:p>
    <w:p>
      <w:pPr>
        <w:jc w:val="both"/>
        <w:ind w:right="20" w:firstLine="7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Add-On Company Term Credit Exposure</w:t>
      </w:r>
      <w:r>
        <w:rPr>
          <w:rFonts w:ascii="Arial" w:cs="Arial" w:eastAsia="Arial" w:hAnsi="Arial"/>
          <w:sz w:val="17"/>
          <w:szCs w:val="17"/>
          <w:color w:val="auto"/>
        </w:rPr>
        <w:t>” means, as to any Add-On Company Term Lender at any time with respect to any Add-On Company Term Facility, the Outstanding Amount of all Add-On Company Term Loans with respect to such Add-On Company Term Facility, of such Add-On Company Term Lender at such time.</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Revolving Credit Outstandings</w:t>
      </w:r>
      <w:r>
        <w:rPr>
          <w:rFonts w:ascii="Arial" w:cs="Arial" w:eastAsia="Arial" w:hAnsi="Arial"/>
          <w:sz w:val="16"/>
          <w:szCs w:val="16"/>
          <w:color w:val="auto"/>
        </w:rPr>
        <w:t>” means the aggregate Outstanding Amount of all Revolving Credit Loans, Swing Line Loans and L/C Obligations.</w:t>
      </w:r>
    </w:p>
    <w:p>
      <w:pPr>
        <w:spacing w:after="0" w:line="203" w:lineRule="exact"/>
        <w:rPr>
          <w:sz w:val="20"/>
          <w:szCs w:val="20"/>
          <w:color w:val="auto"/>
        </w:rPr>
      </w:pPr>
    </w:p>
    <w:p>
      <w:pPr>
        <w:jc w:val="both"/>
        <w:ind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Company Term Credit Exposure</w:t>
      </w:r>
      <w:r>
        <w:rPr>
          <w:rFonts w:ascii="Arial" w:cs="Arial" w:eastAsia="Arial" w:hAnsi="Arial"/>
          <w:sz w:val="17"/>
          <w:szCs w:val="17"/>
          <w:color w:val="auto"/>
        </w:rPr>
        <w:t>” means, as to any Company Term Lender at any time, the Outstanding Amount of all Company Term Loans of such Company Term Lender at such time.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40"/>
          </w:cols>
          <w:pgMar w:left="240" w:top="312" w:right="219" w:bottom="1440" w:gutter="0" w:footer="0" w:header="0"/>
        </w:sectPr>
      </w:pPr>
    </w:p>
    <w:bookmarkStart w:id="41" w:name="page42"/>
    <w:bookmarkEnd w:id="41"/>
    <w:p>
      <w:pPr>
        <w:jc w:val="both"/>
        <w:ind w:firstLine="76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Gentherm Germany Term Credit Exposure</w:t>
      </w:r>
      <w:r>
        <w:rPr>
          <w:rFonts w:ascii="Arial" w:cs="Arial" w:eastAsia="Arial" w:hAnsi="Arial"/>
          <w:sz w:val="17"/>
          <w:szCs w:val="17"/>
          <w:color w:val="auto"/>
        </w:rPr>
        <w:t>” means, as to any Gentherm Germany Term Lender at any time, the Outstanding Amount of all Gentherm Germany Term Loans of such Gentherm Germany Term Lender at such time.</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Outstandings</w:t>
      </w:r>
      <w:r>
        <w:rPr>
          <w:rFonts w:ascii="Arial" w:cs="Arial" w:eastAsia="Arial" w:hAnsi="Arial"/>
          <w:sz w:val="17"/>
          <w:szCs w:val="17"/>
          <w:color w:val="auto"/>
        </w:rPr>
        <w:t>” means the aggregate Outstanding Amount of all Loans and all L/C Obligations.</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 Date</w:t>
      </w:r>
      <w:r>
        <w:rPr>
          <w:rFonts w:ascii="Arial" w:cs="Arial" w:eastAsia="Arial" w:hAnsi="Arial"/>
          <w:sz w:val="17"/>
          <w:szCs w:val="17"/>
          <w:color w:val="auto"/>
        </w:rPr>
        <w:t>” has the meaning specified in an Assignment and Assumption.</w:t>
      </w:r>
    </w:p>
    <w:p>
      <w:pPr>
        <w:spacing w:after="0" w:line="191" w:lineRule="exact"/>
        <w:rPr>
          <w:sz w:val="20"/>
          <w:szCs w:val="20"/>
          <w:color w:val="auto"/>
        </w:rPr>
      </w:pPr>
    </w:p>
    <w:p>
      <w:pPr>
        <w:jc w:val="both"/>
        <w:ind w:firstLine="7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Treasury Management Agreement</w:t>
      </w:r>
      <w:r>
        <w:rPr>
          <w:rFonts w:ascii="Arial" w:cs="Arial" w:eastAsia="Arial" w:hAnsi="Arial"/>
          <w:sz w:val="17"/>
          <w:szCs w:val="17"/>
          <w:color w:val="auto"/>
        </w:rPr>
        <w:t>” means any agreement governing the provision of treasury or cash management services, including deposit accounts, overdraft, credit or debit card, funds transfer, automated clearinghouse, zero balance accounts, returned check concentration, controlled disbursement, lockbox, account reconciliation and reporting and trade finance services and other cash management services.</w:t>
      </w:r>
    </w:p>
    <w:p>
      <w:pPr>
        <w:spacing w:after="0" w:line="157" w:lineRule="exact"/>
        <w:rPr>
          <w:sz w:val="20"/>
          <w:szCs w:val="20"/>
          <w:color w:val="auto"/>
        </w:rPr>
      </w:pPr>
    </w:p>
    <w:p>
      <w:pPr>
        <w:jc w:val="both"/>
        <w:ind w:firstLine="763"/>
        <w:spacing w:after="0" w:line="24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Treasury Management Bank</w:t>
      </w:r>
      <w:r>
        <w:rPr>
          <w:rFonts w:ascii="Arial" w:cs="Arial" w:eastAsia="Arial" w:hAnsi="Arial"/>
          <w:sz w:val="17"/>
          <w:szCs w:val="17"/>
          <w:color w:val="auto"/>
        </w:rPr>
        <w:t>” means any Person that (a) at the time it enters into a Treasury Management Agreement with a Loan Party, is a Lender or the Administrative Agent or an Affiliate of a Lender or the Administrative Agent, (b) in the case of any Treasury Management Agreement with a Loan Party in effect on or prior to the Closing Date, is, as of the Closing Date or within 30 days thereafter, a Lender or the Administrative Agent or an Affiliate of a Lender or the Administrative Agent and a party to a Treasury Management Agreement or (c) within 30 days after the time it enters into the applicable Treasury Management Agreement with a Loan Party, becomes a Lender, the Administrative Agent or an Affiliate of a Lender or the Administrative Agent, in each case, in its capacity as a party to such Treasury Management Agreement.</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Type</w:t>
      </w:r>
      <w:r>
        <w:rPr>
          <w:rFonts w:ascii="Arial" w:cs="Arial" w:eastAsia="Arial" w:hAnsi="Arial"/>
          <w:sz w:val="17"/>
          <w:szCs w:val="17"/>
          <w:color w:val="auto"/>
        </w:rPr>
        <w:t>” means, with respect to a Loan, its character as a Base Rate Loan or a Eurocurrency Rate Loan.</w:t>
      </w:r>
    </w:p>
    <w:p>
      <w:pPr>
        <w:spacing w:after="0" w:line="191" w:lineRule="exact"/>
        <w:rPr>
          <w:sz w:val="20"/>
          <w:szCs w:val="20"/>
          <w:color w:val="auto"/>
        </w:rPr>
      </w:pPr>
    </w:p>
    <w:p>
      <w:pPr>
        <w:jc w:val="both"/>
        <w:ind w:firstLine="763"/>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UCC</w:t>
      </w:r>
      <w:r>
        <w:rPr>
          <w:rFonts w:ascii="Arial" w:cs="Arial" w:eastAsia="Arial" w:hAnsi="Arial"/>
          <w:sz w:val="17"/>
          <w:szCs w:val="17"/>
          <w:color w:val="auto"/>
        </w:rPr>
        <w:t xml:space="preserve">” means the Uniform Commercial Code as in effect in the State of New York;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if perfection or the effect of perfection or non-perfection or the priority of any security interest in any Collateral is governed by the Uniform Commercial Code as in effect in a jurisdiction other than the State of New York, “UCC” means the Uniform Commercial Code as in effect from time to time in such other jurisdiction for purposes of the provisions hereof relating to such perfection, effect of perfection or non-perfection or priority.</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United States</w:t>
      </w:r>
      <w:r>
        <w:rPr>
          <w:rFonts w:ascii="Arial" w:cs="Arial" w:eastAsia="Arial" w:hAnsi="Arial"/>
          <w:sz w:val="17"/>
          <w:szCs w:val="17"/>
          <w:color w:val="auto"/>
        </w:rPr>
        <w:t>” and “</w:t>
      </w:r>
      <w:r>
        <w:rPr>
          <w:rFonts w:ascii="Arial" w:cs="Arial" w:eastAsia="Arial" w:hAnsi="Arial"/>
          <w:sz w:val="17"/>
          <w:szCs w:val="17"/>
          <w:u w:val="single" w:color="auto"/>
          <w:color w:val="auto"/>
        </w:rPr>
        <w:t>U.S.</w:t>
      </w:r>
      <w:r>
        <w:rPr>
          <w:rFonts w:ascii="Arial" w:cs="Arial" w:eastAsia="Arial" w:hAnsi="Arial"/>
          <w:sz w:val="17"/>
          <w:szCs w:val="17"/>
          <w:color w:val="auto"/>
        </w:rPr>
        <w:t>” mean the United States of America.</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Unreimbursed Amount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2.03(c)(i)</w:t>
      </w:r>
      <w:r>
        <w:rPr>
          <w:rFonts w:ascii="Arial" w:cs="Arial" w:eastAsia="Arial" w:hAnsi="Arial"/>
          <w:sz w:val="17"/>
          <w:szCs w:val="17"/>
          <w:color w:val="auto"/>
        </w:rPr>
        <w:t>.</w:t>
      </w:r>
    </w:p>
    <w:p>
      <w:pPr>
        <w:spacing w:after="0" w:line="191" w:lineRule="exact"/>
        <w:rPr>
          <w:sz w:val="20"/>
          <w:szCs w:val="20"/>
          <w:color w:val="auto"/>
        </w:rPr>
      </w:pPr>
    </w:p>
    <w:p>
      <w:pPr>
        <w:jc w:val="both"/>
        <w:ind w:firstLine="7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Borrower Guaranteed Obligations</w:t>
      </w:r>
      <w:r>
        <w:rPr>
          <w:rFonts w:ascii="Arial" w:cs="Arial" w:eastAsia="Arial" w:hAnsi="Arial"/>
          <w:sz w:val="17"/>
          <w:szCs w:val="17"/>
          <w:color w:val="auto"/>
        </w:rPr>
        <w:t xml:space="preserve">” means the collective reference to (a) all Obligations, (b) all Additional Secured Obligations owing by any Loan Party or any of its Subsidiaries and (c) any Swap Obligation of a Specified Loan Party (determined before giving effect to </w:t>
      </w:r>
      <w:r>
        <w:rPr>
          <w:rFonts w:ascii="Arial" w:cs="Arial" w:eastAsia="Arial" w:hAnsi="Arial"/>
          <w:sz w:val="17"/>
          <w:szCs w:val="17"/>
          <w:u w:val="single" w:color="auto"/>
          <w:color w:val="auto"/>
        </w:rPr>
        <w:t>Sections 10.01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10.08</w:t>
      </w:r>
      <w:r>
        <w:rPr>
          <w:rFonts w:ascii="Arial" w:cs="Arial" w:eastAsia="Arial" w:hAnsi="Arial"/>
          <w:sz w:val="17"/>
          <w:szCs w:val="17"/>
          <w:color w:val="auto"/>
        </w:rPr>
        <w:t xml:space="preserve"> under this Agreement).</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Borrowers</w:t>
      </w:r>
      <w:r>
        <w:rPr>
          <w:rFonts w:ascii="Arial" w:cs="Arial" w:eastAsia="Arial" w:hAnsi="Arial"/>
          <w:sz w:val="17"/>
          <w:szCs w:val="17"/>
          <w:color w:val="auto"/>
        </w:rPr>
        <w:t>” has the meaning specified in the introductory paragraph hereto.</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Person</w:t>
      </w:r>
      <w:r>
        <w:rPr>
          <w:rFonts w:ascii="Arial" w:cs="Arial" w:eastAsia="Arial" w:hAnsi="Arial"/>
          <w:sz w:val="17"/>
          <w:szCs w:val="17"/>
          <w:color w:val="auto"/>
        </w:rPr>
        <w:t>” means any Person that is a “United States person” as defined in Section 7701(a)(30) of the Code.</w:t>
      </w:r>
    </w:p>
    <w:p>
      <w:pPr>
        <w:spacing w:after="0" w:line="191" w:lineRule="exact"/>
        <w:rPr>
          <w:sz w:val="20"/>
          <w:szCs w:val="20"/>
          <w:color w:val="auto"/>
        </w:rPr>
      </w:pPr>
    </w:p>
    <w:p>
      <w:pPr>
        <w:jc w:val="both"/>
        <w:ind w:firstLine="763"/>
        <w:spacing w:after="0" w:line="204" w:lineRule="exact"/>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Life to Maturity</w:t>
      </w:r>
      <w:r>
        <w:rPr>
          <w:rFonts w:ascii="Arial" w:cs="Arial" w:eastAsia="Arial" w:hAnsi="Arial"/>
          <w:sz w:val="17"/>
          <w:szCs w:val="17"/>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w:t>
      </w:r>
      <w:r>
        <w:rPr>
          <w:rFonts w:ascii="MS PGothic" w:cs="MS PGothic" w:eastAsia="MS PGothic" w:hAnsi="MS PGothic"/>
          <w:sz w:val="17"/>
          <w:szCs w:val="17"/>
          <w:color w:val="auto"/>
        </w:rPr>
        <w:t>‑</w:t>
      </w:r>
      <w:r>
        <w:rPr>
          <w:rFonts w:ascii="Arial" w:cs="Arial" w:eastAsia="Arial" w:hAnsi="Arial"/>
          <w:sz w:val="17"/>
          <w:szCs w:val="17"/>
          <w:color w:val="auto"/>
        </w:rPr>
        <w:t>twelfth) that will elapse between such date and the making of such payment; by (b) the then outstanding principal amount of such Indebtedness.</w:t>
      </w:r>
    </w:p>
    <w:p>
      <w:pPr>
        <w:spacing w:after="0" w:line="170" w:lineRule="exact"/>
        <w:rPr>
          <w:sz w:val="20"/>
          <w:szCs w:val="20"/>
          <w:color w:val="auto"/>
        </w:rPr>
      </w:pPr>
    </w:p>
    <w:p>
      <w:pPr>
        <w:jc w:val="both"/>
        <w:ind w:firstLine="76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Voting Stock</w:t>
      </w:r>
      <w:r>
        <w:rPr>
          <w:rFonts w:ascii="Arial" w:cs="Arial" w:eastAsia="Arial" w:hAnsi="Arial"/>
          <w:sz w:val="17"/>
          <w:szCs w:val="17"/>
          <w:color w:val="auto"/>
        </w:rPr>
        <w:t>” means, with respect to any Person, Equity Interests issued by such Person the holders of which are ordinarily, in the absence of contingencies, entitled to vote for the election of directors (or persons performing similar functions) of such Person, even though the right so to vote has been suspended by the happening of such a contingency.</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Yen</w:t>
      </w:r>
      <w:r>
        <w:rPr>
          <w:rFonts w:ascii="Arial" w:cs="Arial" w:eastAsia="Arial" w:hAnsi="Arial"/>
          <w:sz w:val="17"/>
          <w:szCs w:val="17"/>
          <w:color w:val="auto"/>
        </w:rPr>
        <w:t>” means the lawful currency of Japan.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40"/>
          </w:cols>
          <w:pgMar w:left="240" w:top="312" w:right="21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color w:val="auto"/>
        </w:rPr>
        <w:t>1.02 Other Interpretive Provisions</w:t>
      </w:r>
      <w:r>
        <w:rPr>
          <w:rFonts w:ascii="Arial" w:cs="Arial" w:eastAsia="Arial" w:hAnsi="Arial"/>
          <w:sz w:val="17"/>
          <w:szCs w:val="17"/>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With reference to this Agreement and each other Loan Document, unless otherwise specified herein or in such other Loan Document:</w:t>
      </w:r>
    </w:p>
    <w:p>
      <w:pPr>
        <w:spacing w:after="0" w:line="191" w:lineRule="exact"/>
        <w:rPr>
          <w:sz w:val="20"/>
          <w:szCs w:val="20"/>
          <w:color w:val="auto"/>
        </w:rPr>
      </w:pPr>
    </w:p>
    <w:p>
      <w:pPr>
        <w:jc w:val="both"/>
        <w:ind w:firstLine="709"/>
        <w:spacing w:after="0" w:line="263" w:lineRule="auto"/>
        <w:tabs>
          <w:tab w:leader="none" w:pos="9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6"/>
          <w:szCs w:val="16"/>
          <w:u w:val="single" w:color="auto"/>
          <w:color w:val="auto"/>
        </w:rPr>
        <w:t>include</w:t>
      </w:r>
      <w:r>
        <w:rPr>
          <w:rFonts w:ascii="Arial" w:cs="Arial" w:eastAsia="Arial" w:hAnsi="Arial"/>
          <w:sz w:val="16"/>
          <w:szCs w:val="16"/>
          <w:color w:val="auto"/>
        </w:rPr>
        <w:t>,” “</w:t>
      </w:r>
      <w:r>
        <w:rPr>
          <w:rFonts w:ascii="Arial" w:cs="Arial" w:eastAsia="Arial" w:hAnsi="Arial"/>
          <w:sz w:val="16"/>
          <w:szCs w:val="16"/>
          <w:u w:val="single" w:color="auto"/>
          <w:color w:val="auto"/>
        </w:rPr>
        <w:t>includes</w:t>
      </w:r>
      <w:r>
        <w:rPr>
          <w:rFonts w:ascii="Arial" w:cs="Arial" w:eastAsia="Arial" w:hAnsi="Arial"/>
          <w:sz w:val="16"/>
          <w:szCs w:val="16"/>
          <w:color w:val="auto"/>
        </w:rPr>
        <w:t>” and “</w:t>
      </w:r>
      <w:r>
        <w:rPr>
          <w:rFonts w:ascii="Arial" w:cs="Arial" w:eastAsia="Arial" w:hAnsi="Arial"/>
          <w:sz w:val="16"/>
          <w:szCs w:val="16"/>
          <w:u w:val="single" w:color="auto"/>
          <w:color w:val="auto"/>
        </w:rPr>
        <w:t>including</w:t>
      </w:r>
      <w:r>
        <w:rPr>
          <w:rFonts w:ascii="Arial" w:cs="Arial" w:eastAsia="Arial" w:hAnsi="Arial"/>
          <w:sz w:val="16"/>
          <w:szCs w:val="16"/>
          <w:color w:val="auto"/>
        </w:rPr>
        <w:t>” shall be deemed to be followed by the phrase “without limitation.” The word “</w:t>
      </w:r>
      <w:r>
        <w:rPr>
          <w:rFonts w:ascii="Arial" w:cs="Arial" w:eastAsia="Arial" w:hAnsi="Arial"/>
          <w:sz w:val="16"/>
          <w:szCs w:val="16"/>
          <w:u w:val="single" w:color="auto"/>
          <w:color w:val="auto"/>
        </w:rPr>
        <w:t>will</w:t>
      </w:r>
      <w:r>
        <w:rPr>
          <w:rFonts w:ascii="Arial" w:cs="Arial" w:eastAsia="Arial" w:hAnsi="Arial"/>
          <w:sz w:val="16"/>
          <w:szCs w:val="16"/>
          <w:color w:val="auto"/>
        </w:rPr>
        <w:t>” shall be construed to have the same meaning and effect as the word “</w:t>
      </w:r>
      <w:r>
        <w:rPr>
          <w:rFonts w:ascii="Arial" w:cs="Arial" w:eastAsia="Arial" w:hAnsi="Arial"/>
          <w:sz w:val="16"/>
          <w:szCs w:val="16"/>
          <w:u w:val="single" w:color="auto"/>
          <w:color w:val="auto"/>
        </w:rPr>
        <w:t>shall</w:t>
      </w:r>
      <w:r>
        <w:rPr>
          <w:rFonts w:ascii="Arial" w:cs="Arial" w:eastAsia="Arial" w:hAnsi="Arial"/>
          <w:sz w:val="16"/>
          <w:szCs w:val="16"/>
          <w:color w:val="auto"/>
        </w:rPr>
        <w:t>.”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modified, 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w:t>
      </w:r>
      <w:r>
        <w:rPr>
          <w:rFonts w:ascii="Arial" w:cs="Arial" w:eastAsia="Arial" w:hAnsi="Arial"/>
          <w:sz w:val="16"/>
          <w:szCs w:val="16"/>
          <w:u w:val="single" w:color="auto"/>
          <w:color w:val="auto"/>
        </w:rPr>
        <w:t>hereto</w:t>
      </w:r>
      <w:r>
        <w:rPr>
          <w:rFonts w:ascii="Arial" w:cs="Arial" w:eastAsia="Arial" w:hAnsi="Arial"/>
          <w:sz w:val="16"/>
          <w:szCs w:val="16"/>
          <w:color w:val="auto"/>
        </w:rPr>
        <w:t>”, “</w:t>
      </w:r>
      <w:r>
        <w:rPr>
          <w:rFonts w:ascii="Arial" w:cs="Arial" w:eastAsia="Arial" w:hAnsi="Arial"/>
          <w:sz w:val="16"/>
          <w:szCs w:val="16"/>
          <w:u w:val="single" w:color="auto"/>
          <w:color w:val="auto"/>
        </w:rPr>
        <w:t>herein</w:t>
      </w:r>
      <w:r>
        <w:rPr>
          <w:rFonts w:ascii="Arial" w:cs="Arial" w:eastAsia="Arial" w:hAnsi="Arial"/>
          <w:sz w:val="16"/>
          <w:szCs w:val="16"/>
          <w:color w:val="auto"/>
        </w:rPr>
        <w:t>,” “</w:t>
      </w:r>
      <w:r>
        <w:rPr>
          <w:rFonts w:ascii="Arial" w:cs="Arial" w:eastAsia="Arial" w:hAnsi="Arial"/>
          <w:sz w:val="16"/>
          <w:szCs w:val="16"/>
          <w:u w:val="single" w:color="auto"/>
          <w:color w:val="auto"/>
        </w:rPr>
        <w:t>hereof</w:t>
      </w:r>
      <w:r>
        <w:rPr>
          <w:rFonts w:ascii="Arial" w:cs="Arial" w:eastAsia="Arial" w:hAnsi="Arial"/>
          <w:sz w:val="16"/>
          <w:szCs w:val="16"/>
          <w:color w:val="auto"/>
        </w:rPr>
        <w:t>” and “</w:t>
      </w:r>
      <w:r>
        <w:rPr>
          <w:rFonts w:ascii="Arial" w:cs="Arial" w:eastAsia="Arial" w:hAnsi="Arial"/>
          <w:sz w:val="16"/>
          <w:szCs w:val="16"/>
          <w:u w:val="single" w:color="auto"/>
          <w:color w:val="auto"/>
        </w:rPr>
        <w:t>hereunder</w:t>
      </w:r>
      <w:r>
        <w:rPr>
          <w:rFonts w:ascii="Arial" w:cs="Arial" w:eastAsia="Arial" w:hAnsi="Arial"/>
          <w:sz w:val="16"/>
          <w:szCs w:val="16"/>
          <w:color w:val="auto"/>
        </w:rPr>
        <w:t>,”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rules, regulations, orders and provisions consolidating, amending, replacing or interpreting such law and any reference to any law or regulation shall, unless otherwise specified, refer to such law or regulation as amended, modified, extended, restated, replaced or supplemented from time to time, and (vi) the words “</w:t>
      </w:r>
      <w:r>
        <w:rPr>
          <w:rFonts w:ascii="Arial" w:cs="Arial" w:eastAsia="Arial" w:hAnsi="Arial"/>
          <w:sz w:val="16"/>
          <w:szCs w:val="16"/>
          <w:u w:val="single" w:color="auto"/>
          <w:color w:val="auto"/>
        </w:rPr>
        <w:t>asset</w:t>
      </w:r>
      <w:r>
        <w:rPr>
          <w:rFonts w:ascii="Arial" w:cs="Arial" w:eastAsia="Arial" w:hAnsi="Arial"/>
          <w:sz w:val="16"/>
          <w:szCs w:val="16"/>
          <w:color w:val="auto"/>
        </w:rPr>
        <w:t>” and “</w:t>
      </w:r>
      <w:r>
        <w:rPr>
          <w:rFonts w:ascii="Arial" w:cs="Arial" w:eastAsia="Arial" w:hAnsi="Arial"/>
          <w:sz w:val="16"/>
          <w:szCs w:val="16"/>
          <w:u w:val="single" w:color="auto"/>
          <w:color w:val="auto"/>
        </w:rPr>
        <w:t>property</w:t>
      </w:r>
      <w:r>
        <w:rPr>
          <w:rFonts w:ascii="Arial" w:cs="Arial" w:eastAsia="Arial" w:hAnsi="Arial"/>
          <w:sz w:val="16"/>
          <w:szCs w:val="16"/>
          <w:color w:val="auto"/>
        </w:rPr>
        <w:t>” shall be construed to have the same meaning and effect and to refer to any and all real and personal property and tangible and intangible assets and properties, including cash, securities, accounts and contract rights.</w:t>
      </w:r>
    </w:p>
    <w:p>
      <w:pPr>
        <w:spacing w:after="0" w:line="152" w:lineRule="exact"/>
        <w:rPr>
          <w:rFonts w:ascii="Arial" w:cs="Arial" w:eastAsia="Arial" w:hAnsi="Arial"/>
          <w:sz w:val="16"/>
          <w:szCs w:val="16"/>
          <w:color w:val="auto"/>
        </w:rPr>
      </w:pPr>
    </w:p>
    <w:p>
      <w:pPr>
        <w:ind w:right="20" w:firstLine="709"/>
        <w:spacing w:after="0" w:line="271" w:lineRule="auto"/>
        <w:tabs>
          <w:tab w:leader="none" w:pos="957"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the computation of periods of time from a specified date to a later specified date, the word “</w:t>
      </w:r>
      <w:r>
        <w:rPr>
          <w:rFonts w:ascii="Arial" w:cs="Arial" w:eastAsia="Arial" w:hAnsi="Arial"/>
          <w:sz w:val="17"/>
          <w:szCs w:val="17"/>
          <w:u w:val="single" w:color="auto"/>
          <w:color w:val="auto"/>
        </w:rPr>
        <w:t>from</w:t>
      </w:r>
      <w:r>
        <w:rPr>
          <w:rFonts w:ascii="Arial" w:cs="Arial" w:eastAsia="Arial" w:hAnsi="Arial"/>
          <w:sz w:val="17"/>
          <w:szCs w:val="17"/>
          <w:color w:val="auto"/>
        </w:rPr>
        <w:t>” means “from and including;” the words “</w:t>
      </w:r>
      <w:r>
        <w:rPr>
          <w:rFonts w:ascii="Arial" w:cs="Arial" w:eastAsia="Arial" w:hAnsi="Arial"/>
          <w:sz w:val="17"/>
          <w:szCs w:val="17"/>
          <w:u w:val="single" w:color="auto"/>
          <w:color w:val="auto"/>
        </w:rPr>
        <w:t>to</w:t>
      </w:r>
      <w:r>
        <w:rPr>
          <w:rFonts w:ascii="Arial" w:cs="Arial" w:eastAsia="Arial" w:hAnsi="Arial"/>
          <w:sz w:val="17"/>
          <w:szCs w:val="17"/>
          <w:color w:val="auto"/>
        </w:rPr>
        <w:t>” and “</w:t>
      </w:r>
      <w:r>
        <w:rPr>
          <w:rFonts w:ascii="Arial" w:cs="Arial" w:eastAsia="Arial" w:hAnsi="Arial"/>
          <w:sz w:val="17"/>
          <w:szCs w:val="17"/>
          <w:u w:val="single" w:color="auto"/>
          <w:color w:val="auto"/>
        </w:rPr>
        <w:t>until</w:t>
      </w:r>
      <w:r>
        <w:rPr>
          <w:rFonts w:ascii="Arial" w:cs="Arial" w:eastAsia="Arial" w:hAnsi="Arial"/>
          <w:sz w:val="17"/>
          <w:szCs w:val="17"/>
          <w:color w:val="auto"/>
        </w:rPr>
        <w:t>” each mean “to but excluding;” and the word “</w:t>
      </w:r>
      <w:r>
        <w:rPr>
          <w:rFonts w:ascii="Arial" w:cs="Arial" w:eastAsia="Arial" w:hAnsi="Arial"/>
          <w:sz w:val="17"/>
          <w:szCs w:val="17"/>
          <w:u w:val="single" w:color="auto"/>
          <w:color w:val="auto"/>
        </w:rPr>
        <w:t>through</w:t>
      </w:r>
      <w:r>
        <w:rPr>
          <w:rFonts w:ascii="Arial" w:cs="Arial" w:eastAsia="Arial" w:hAnsi="Arial"/>
          <w:sz w:val="17"/>
          <w:szCs w:val="17"/>
          <w:color w:val="auto"/>
        </w:rPr>
        <w:t>” means “to and including.”</w:t>
      </w:r>
    </w:p>
    <w:p>
      <w:pPr>
        <w:spacing w:after="0" w:line="144" w:lineRule="exact"/>
        <w:rPr>
          <w:rFonts w:ascii="Arial" w:cs="Arial" w:eastAsia="Arial" w:hAnsi="Arial"/>
          <w:sz w:val="17"/>
          <w:szCs w:val="17"/>
          <w:color w:val="auto"/>
        </w:rPr>
      </w:pPr>
    </w:p>
    <w:p>
      <w:pPr>
        <w:ind w:right="20" w:firstLine="709"/>
        <w:spacing w:after="0" w:line="271" w:lineRule="auto"/>
        <w:tabs>
          <w:tab w:leader="none" w:pos="988"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Section headings herein and in the other Loan Documents are included for convenience of reference only and shall not affect the interpretation of this Agreement or any other Loan Document.</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1.03 Accounting Terms</w:t>
      </w:r>
      <w:r>
        <w:rPr>
          <w:rFonts w:ascii="Arial" w:cs="Arial" w:eastAsia="Arial" w:hAnsi="Arial"/>
          <w:sz w:val="17"/>
          <w:szCs w:val="17"/>
          <w:color w:val="auto"/>
        </w:rPr>
        <w:t>.</w:t>
      </w:r>
    </w:p>
    <w:p>
      <w:pPr>
        <w:spacing w:after="0" w:line="197" w:lineRule="exact"/>
        <w:rPr>
          <w:sz w:val="20"/>
          <w:szCs w:val="20"/>
          <w:color w:val="auto"/>
        </w:rPr>
      </w:pPr>
    </w:p>
    <w:p>
      <w:pPr>
        <w:jc w:val="both"/>
        <w:ind w:firstLine="709"/>
        <w:spacing w:after="0" w:line="289" w:lineRule="auto"/>
        <w:tabs>
          <w:tab w:leader="none" w:pos="957" w:val="left"/>
        </w:tabs>
        <w:numPr>
          <w:ilvl w:val="0"/>
          <w:numId w:val="20"/>
        </w:numPr>
        <w:rPr>
          <w:rFonts w:ascii="Arial" w:cs="Arial" w:eastAsia="Arial" w:hAnsi="Arial"/>
          <w:sz w:val="15"/>
          <w:szCs w:val="15"/>
          <w:color w:val="auto"/>
        </w:rPr>
      </w:pPr>
      <w:r>
        <w:rPr>
          <w:rFonts w:ascii="Arial" w:cs="Arial" w:eastAsia="Arial" w:hAnsi="Arial"/>
          <w:sz w:val="15"/>
          <w:szCs w:val="15"/>
          <w:u w:val="single" w:color="auto"/>
          <w:color w:val="auto"/>
        </w:rPr>
        <w:t>Generally</w:t>
      </w:r>
      <w:r>
        <w:rPr>
          <w:rFonts w:ascii="Arial" w:cs="Arial" w:eastAsia="Arial" w:hAnsi="Arial"/>
          <w:sz w:val="15"/>
          <w:szCs w:val="15"/>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 Indebtedness of the Company and its Subsidiaries shall be deemed to be carried at 100% of the outstanding principal amount thereof, and the effects of FASB ASC 825 and FASB ASC 470-20 on financial liabilities shall be disregarded.</w:t>
      </w:r>
    </w:p>
    <w:p>
      <w:pPr>
        <w:spacing w:after="0" w:line="136" w:lineRule="exact"/>
        <w:rPr>
          <w:rFonts w:ascii="Arial" w:cs="Arial" w:eastAsia="Arial" w:hAnsi="Arial"/>
          <w:sz w:val="15"/>
          <w:szCs w:val="15"/>
          <w:color w:val="auto"/>
        </w:rPr>
      </w:pPr>
    </w:p>
    <w:p>
      <w:pPr>
        <w:jc w:val="both"/>
        <w:ind w:firstLine="709"/>
        <w:spacing w:after="0" w:line="267" w:lineRule="auto"/>
        <w:tabs>
          <w:tab w:leader="none" w:pos="955"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Changes in GAAP</w:t>
      </w:r>
      <w:r>
        <w:rPr>
          <w:rFonts w:ascii="Arial" w:cs="Arial" w:eastAsia="Arial" w:hAnsi="Arial"/>
          <w:sz w:val="16"/>
          <w:szCs w:val="16"/>
          <w:color w:val="auto"/>
        </w:rPr>
        <w:t xml:space="preserve">. If at any time any change in GAAP (including the adoption of IFRS)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Arial" w:cs="Arial" w:eastAsia="Arial" w:hAnsi="Arial"/>
          <w:sz w:val="16"/>
          <w:szCs w:val="16"/>
          <w:u w:val="single" w:color="auto"/>
          <w:color w:val="auto"/>
        </w:rPr>
        <w:t>provided that</w:t>
      </w:r>
      <w:r>
        <w:rPr>
          <w:rFonts w:ascii="Arial" w:cs="Arial" w:eastAsia="Arial" w:hAnsi="Arial"/>
          <w:sz w:val="16"/>
          <w:szCs w:val="16"/>
          <w:color w:val="auto"/>
        </w:rPr>
        <w:t>, until so amended, (i) such ratio or requirement shall continue to be computed in accordance with GAAP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50"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680"/>
          </w:cols>
          <w:pgMar w:left="1000" w:top="306" w:right="219" w:bottom="1440" w:gutter="0" w:footer="0" w:header="0"/>
        </w:sectPr>
      </w:pPr>
    </w:p>
    <w:bookmarkStart w:id="43" w:name="page44"/>
    <w:bookmarkEnd w:id="43"/>
    <w:p>
      <w:pPr>
        <w:jc w:val="both"/>
        <w:ind w:left="760" w:firstLine="709"/>
        <w:spacing w:after="0" w:line="263" w:lineRule="auto"/>
        <w:tabs>
          <w:tab w:leader="none" w:pos="1717"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Pro Forma Calculations</w:t>
      </w:r>
      <w:r>
        <w:rPr>
          <w:rFonts w:ascii="Arial" w:cs="Arial" w:eastAsia="Arial" w:hAnsi="Arial"/>
          <w:sz w:val="16"/>
          <w:szCs w:val="16"/>
          <w:color w:val="auto"/>
        </w:rPr>
        <w:t xml:space="preserve">. Notwithstanding anything to the contrary contained herein, all calculations of the Consolidated Leverage Ratio (including for purposes of determining the Applicable Rate) and the Consolidated Fixed Charge Coverage Ratio shall be made on a Pro Forma Basis with respect to all Specified Transactions occurring during the applicable four quarter period to which such calculation relates, and/or subsequent to the end of such four quarter period but not later than the date of such calculation;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notwithstanding the foregoing, when calculating the Consolidated Leverage Ratio and/or the Consolidated Fixed Charge Coverage Ratio for purposes of determining (x) compliance with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and/or (y) the Applicable Rate, any Specified Transaction and any related adjustment contemplated in the definition of Pro Forma Basis that occurred subsequent to the end of the applicable four quarter period shall not be given Pro Forma Effect. For purposes of determining compliance with any provision of this Agreement which requires Pro Forma Compliance with any financial covenant set forth in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(x) in the case of any such compliance required after delivery of financial statements for the fiscal quarter ending September 30, 2014, such Pro Forma Compliance shall be determined by reference to the maximum Consolidated Leverage Ratio and/or minimum Consolidated Fixed Charge Coverage Ratio, as applicable, permitted for the fiscal quarter most recently then ended for which financial statements have been delivered (or were required to have been delivered) in accordance with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(y) in the case of any such compliance required prior to the delivery referred to in </w:t>
      </w:r>
      <w:r>
        <w:rPr>
          <w:rFonts w:ascii="Arial" w:cs="Arial" w:eastAsia="Arial" w:hAnsi="Arial"/>
          <w:sz w:val="16"/>
          <w:szCs w:val="16"/>
          <w:u w:val="single" w:color="auto"/>
          <w:color w:val="auto"/>
        </w:rPr>
        <w:t>clause (x)</w:t>
      </w:r>
      <w:r>
        <w:rPr>
          <w:rFonts w:ascii="Arial" w:cs="Arial" w:eastAsia="Arial" w:hAnsi="Arial"/>
          <w:sz w:val="16"/>
          <w:szCs w:val="16"/>
          <w:color w:val="auto"/>
        </w:rPr>
        <w:t xml:space="preserve"> above, such Pro Forma Compliance shall be determined by reference to the maximum Consolidated Leverage Ratio and/or minimum Consolidated Fixed Charge Coverage Ratio, as applicable, permitted for the fiscal quarter ending September 30, 2014.</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1.04 Rounding</w:t>
      </w:r>
      <w:r>
        <w:rPr>
          <w:rFonts w:ascii="Arial" w:cs="Arial" w:eastAsia="Arial" w:hAnsi="Arial"/>
          <w:sz w:val="17"/>
          <w:szCs w:val="17"/>
          <w:color w:val="auto"/>
        </w:rPr>
        <w:t>.</w:t>
      </w:r>
    </w:p>
    <w:p>
      <w:pPr>
        <w:spacing w:after="0" w:line="197" w:lineRule="exact"/>
        <w:rPr>
          <w:sz w:val="20"/>
          <w:szCs w:val="20"/>
          <w:color w:val="auto"/>
        </w:rPr>
      </w:pPr>
    </w:p>
    <w:p>
      <w:pPr>
        <w:jc w:val="both"/>
        <w:ind w:right="20" w:firstLine="381"/>
        <w:spacing w:after="0" w:line="257" w:lineRule="auto"/>
        <w:rPr>
          <w:sz w:val="20"/>
          <w:szCs w:val="20"/>
          <w:color w:val="auto"/>
        </w:rPr>
      </w:pPr>
      <w:r>
        <w:rPr>
          <w:rFonts w:ascii="Arial" w:cs="Arial" w:eastAsia="Arial" w:hAnsi="Arial"/>
          <w:sz w:val="17"/>
          <w:szCs w:val="17"/>
          <w:color w:val="auto"/>
        </w:rPr>
        <w:t>Any financial ratios required to be maintained by the Borrowers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1.05 Exchange Rates; Currency Equivalents</w:t>
      </w:r>
      <w:r>
        <w:rPr>
          <w:rFonts w:ascii="Arial" w:cs="Arial" w:eastAsia="Arial" w:hAnsi="Arial"/>
          <w:sz w:val="17"/>
          <w:szCs w:val="17"/>
          <w:color w:val="auto"/>
        </w:rPr>
        <w:t>.</w:t>
      </w:r>
    </w:p>
    <w:p>
      <w:pPr>
        <w:spacing w:after="0" w:line="197" w:lineRule="exact"/>
        <w:rPr>
          <w:sz w:val="20"/>
          <w:szCs w:val="20"/>
          <w:color w:val="auto"/>
        </w:rPr>
      </w:pPr>
    </w:p>
    <w:p>
      <w:pPr>
        <w:jc w:val="both"/>
        <w:ind w:left="660" w:firstLine="719"/>
        <w:spacing w:after="0" w:line="268" w:lineRule="auto"/>
        <w:tabs>
          <w:tab w:leader="none" w:pos="16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Administrative Agent or the L/C Issuer, as applicable, shall determine the Spot Rates as of each Revaluation Date to be used for calculating Dollar Equivalent amounts of Credit Extensions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the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L/C Issuer, as applicable.</w:t>
      </w:r>
    </w:p>
    <w:p>
      <w:pPr>
        <w:spacing w:after="0" w:line="150" w:lineRule="exact"/>
        <w:rPr>
          <w:rFonts w:ascii="Arial" w:cs="Arial" w:eastAsia="Arial" w:hAnsi="Arial"/>
          <w:sz w:val="16"/>
          <w:szCs w:val="16"/>
          <w:color w:val="auto"/>
        </w:rPr>
      </w:pPr>
    </w:p>
    <w:p>
      <w:pPr>
        <w:jc w:val="both"/>
        <w:ind w:left="660" w:firstLine="719"/>
        <w:spacing w:after="0" w:line="251" w:lineRule="auto"/>
        <w:tabs>
          <w:tab w:leader="none" w:pos="1638" w:val="left"/>
        </w:tabs>
        <w:numPr>
          <w:ilvl w:val="0"/>
          <w:numId w:val="22"/>
        </w:numPr>
        <w:rPr>
          <w:rFonts w:ascii="Arial" w:cs="Arial" w:eastAsia="Arial" w:hAnsi="Arial"/>
          <w:sz w:val="17"/>
          <w:szCs w:val="17"/>
          <w:color w:val="auto"/>
        </w:rPr>
      </w:pPr>
      <w:r>
        <w:rPr>
          <w:rFonts w:ascii="Arial" w:cs="Arial" w:eastAsia="Arial" w:hAnsi="Arial"/>
          <w:sz w:val="17"/>
          <w:szCs w:val="17"/>
          <w:color w:val="auto"/>
        </w:rPr>
        <w:t>Wherever in this Agreement in connection with a Borrowing, conversion, continuation or prepayment of a Eurocurrency Rate Loan or the issuance, amendment or extension of a Letter of Credit, an amount, such as a required minimum or multiple amount, is expressed in Dollars, but such Borrowing, Eurocurrency Rate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L/C Issuer, as the case may be.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40"/>
          </w:cols>
          <w:pgMar w:left="240" w:top="312" w:right="219" w:bottom="1440" w:gutter="0" w:footer="0" w:header="0"/>
        </w:sectPr>
      </w:pPr>
    </w:p>
    <w:bookmarkStart w:id="44" w:name="page45"/>
    <w:bookmarkEnd w:id="44"/>
    <w:p>
      <w:pPr>
        <w:ind w:left="760"/>
        <w:spacing w:after="0"/>
        <w:rPr>
          <w:sz w:val="20"/>
          <w:szCs w:val="20"/>
          <w:color w:val="auto"/>
        </w:rPr>
      </w:pPr>
      <w:r>
        <w:rPr>
          <w:rFonts w:ascii="Arial" w:cs="Arial" w:eastAsia="Arial" w:hAnsi="Arial"/>
          <w:sz w:val="17"/>
          <w:szCs w:val="17"/>
          <w:b w:val="1"/>
          <w:bCs w:val="1"/>
          <w:color w:val="auto"/>
        </w:rPr>
        <w:t>1.06 Change of Currency</w:t>
      </w:r>
      <w:r>
        <w:rPr>
          <w:rFonts w:ascii="Arial" w:cs="Arial" w:eastAsia="Arial" w:hAnsi="Arial"/>
          <w:sz w:val="17"/>
          <w:szCs w:val="17"/>
          <w:color w:val="auto"/>
        </w:rPr>
        <w:t>.</w:t>
      </w:r>
    </w:p>
    <w:p>
      <w:pPr>
        <w:spacing w:after="0" w:line="197" w:lineRule="exact"/>
        <w:rPr>
          <w:sz w:val="20"/>
          <w:szCs w:val="20"/>
          <w:color w:val="auto"/>
        </w:rPr>
      </w:pPr>
    </w:p>
    <w:p>
      <w:pPr>
        <w:jc w:val="both"/>
        <w:ind w:left="760" w:firstLine="709"/>
        <w:spacing w:after="0" w:line="249" w:lineRule="auto"/>
        <w:tabs>
          <w:tab w:leader="none" w:pos="1711" w:val="left"/>
        </w:tabs>
        <w:numPr>
          <w:ilvl w:val="0"/>
          <w:numId w:val="23"/>
        </w:numPr>
        <w:rPr>
          <w:rFonts w:ascii="Arial" w:cs="Arial" w:eastAsia="Arial" w:hAnsi="Arial"/>
          <w:sz w:val="17"/>
          <w:szCs w:val="17"/>
          <w:color w:val="auto"/>
        </w:rPr>
      </w:pPr>
      <w:r>
        <w:rPr>
          <w:rFonts w:ascii="Arial" w:cs="Arial" w:eastAsia="Arial" w:hAnsi="Arial"/>
          <w:sz w:val="17"/>
          <w:szCs w:val="17"/>
          <w:color w:val="auto"/>
        </w:rPr>
        <w:t>Each obligation of the Borrowers to make a payment denominated in the national currency unit of any member state of the European Union that adopts the Euro as its lawful currency after the date hereof shall be redenominated into Euro at the time of such adoption.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provided that if any Borrowing in the currency of such member state is outstanding immediately prior to such date, such replacement shall take effect, with respect to such Borrowing, at the end of the then current Interest Period.</w:t>
      </w:r>
    </w:p>
    <w:p>
      <w:pPr>
        <w:spacing w:after="0" w:line="162" w:lineRule="exact"/>
        <w:rPr>
          <w:rFonts w:ascii="Arial" w:cs="Arial" w:eastAsia="Arial" w:hAnsi="Arial"/>
          <w:sz w:val="17"/>
          <w:szCs w:val="17"/>
          <w:color w:val="auto"/>
        </w:rPr>
      </w:pPr>
    </w:p>
    <w:p>
      <w:pPr>
        <w:jc w:val="both"/>
        <w:ind w:left="760" w:right="20" w:firstLine="709"/>
        <w:spacing w:after="0" w:line="257" w:lineRule="auto"/>
        <w:tabs>
          <w:tab w:leader="none" w:pos="1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57" w:lineRule="exact"/>
        <w:rPr>
          <w:rFonts w:ascii="Arial" w:cs="Arial" w:eastAsia="Arial" w:hAnsi="Arial"/>
          <w:sz w:val="17"/>
          <w:szCs w:val="17"/>
          <w:color w:val="auto"/>
        </w:rPr>
      </w:pPr>
    </w:p>
    <w:p>
      <w:pPr>
        <w:jc w:val="both"/>
        <w:ind w:left="760" w:right="20" w:firstLine="709"/>
        <w:spacing w:after="0" w:line="257" w:lineRule="auto"/>
        <w:tabs>
          <w:tab w:leader="none" w:pos="1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1.07 Times of Day</w:t>
      </w:r>
      <w:r>
        <w:rPr>
          <w:rFonts w:ascii="Arial" w:cs="Arial" w:eastAsia="Arial" w:hAnsi="Arial"/>
          <w:sz w:val="17"/>
          <w:szCs w:val="17"/>
          <w:color w:val="auto"/>
        </w:rPr>
        <w:t>.</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Unless otherwise specified, all references herein to times of day shall be references to Eastern time (daylight or standard, as applicable).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1.08 Letter of Credit Amounts</w:t>
      </w:r>
      <w:r>
        <w:rPr>
          <w:rFonts w:ascii="Arial" w:cs="Arial" w:eastAsia="Arial" w:hAnsi="Arial"/>
          <w:sz w:val="17"/>
          <w:szCs w:val="17"/>
          <w:color w:val="auto"/>
        </w:rPr>
        <w:t>.</w:t>
      </w:r>
    </w:p>
    <w:p>
      <w:pPr>
        <w:spacing w:after="0" w:line="197" w:lineRule="exact"/>
        <w:rPr>
          <w:sz w:val="20"/>
          <w:szCs w:val="20"/>
          <w:color w:val="auto"/>
        </w:rPr>
      </w:pPr>
    </w:p>
    <w:p>
      <w:pPr>
        <w:jc w:val="both"/>
        <w:ind w:firstLine="381"/>
        <w:spacing w:after="0" w:line="297" w:lineRule="auto"/>
        <w:rPr>
          <w:sz w:val="20"/>
          <w:szCs w:val="20"/>
          <w:color w:val="auto"/>
        </w:rPr>
      </w:pPr>
      <w:r>
        <w:rPr>
          <w:rFonts w:ascii="Arial" w:cs="Arial" w:eastAsia="Arial" w:hAnsi="Arial"/>
          <w:sz w:val="15"/>
          <w:szCs w:val="15"/>
          <w:color w:val="auto"/>
        </w:rPr>
        <w:t xml:space="preserve">Unless otherwise specified herein, the amount of a Letter of Credit at any time shall be deemed to be the Dollar Equivalent of the stated amount of such Letter of Credit in effect at such time;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1.09 Additional Alternative Currencies</w:t>
      </w:r>
      <w:r>
        <w:rPr>
          <w:rFonts w:ascii="Arial" w:cs="Arial" w:eastAsia="Arial" w:hAnsi="Arial"/>
          <w:sz w:val="17"/>
          <w:szCs w:val="17"/>
          <w:color w:val="auto"/>
        </w:rPr>
        <w:t>.</w:t>
      </w:r>
    </w:p>
    <w:p>
      <w:pPr>
        <w:spacing w:after="0" w:line="197" w:lineRule="exact"/>
        <w:rPr>
          <w:sz w:val="20"/>
          <w:szCs w:val="20"/>
          <w:color w:val="auto"/>
        </w:rPr>
      </w:pPr>
    </w:p>
    <w:p>
      <w:pPr>
        <w:jc w:val="both"/>
        <w:ind w:left="760" w:firstLine="709"/>
        <w:spacing w:after="0" w:line="249" w:lineRule="auto"/>
        <w:tabs>
          <w:tab w:leader="none" w:pos="17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The Company may from time to time request that Eurocurrency Rate Loans be made and/or Letters of Credit be issued in a currency other than those specifically listed in the definition of “Alternative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requested currency is a lawful currency that is readily available and freely transferable and convertible into Dollars and (ii) such requested currency shall only be treated as a “LIBOR Quoted Currency” to the extent that there is a published LIBOR rate for such currency. In the case of any such request with respect to the making of Eurocurrency Rate Loans, such request shall be subject to the approval of the Administrative Agent and each Lender with a Commitment under which such currency is requested to be made available; and in the case of any such request with respect to the issuance of Letters of Credit, such request shall be subject to the approval of the Administrative Agent and the L/C Issuer.</w:t>
      </w:r>
    </w:p>
    <w:p>
      <w:pPr>
        <w:spacing w:after="0" w:line="162" w:lineRule="exact"/>
        <w:rPr>
          <w:rFonts w:ascii="Arial" w:cs="Arial" w:eastAsia="Arial" w:hAnsi="Arial"/>
          <w:sz w:val="17"/>
          <w:szCs w:val="17"/>
          <w:color w:val="auto"/>
        </w:rPr>
      </w:pPr>
    </w:p>
    <w:p>
      <w:pPr>
        <w:jc w:val="both"/>
        <w:ind w:left="760" w:firstLine="709"/>
        <w:spacing w:after="0" w:line="267" w:lineRule="auto"/>
        <w:tabs>
          <w:tab w:leader="none" w:pos="172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such request shall be made to the Administrative Agent not later than 11:00 a.m., twenty (20) Business Days prior to the date of the desired Credit Extension (or such other time or date as may be agreed by the Administrative Agent and, in the case of any such request pertaining to Letters of Credit, the L/C Issuer, in its or their sole discretion). In the case of any such request pertaining to Eurocurrency Rate Loans, the Administrative Agent shall promptly notify each Lender with a Commitment under which such currency is requested to be made available; and in the case of any such request pertaining to Letters of Credit, the Administrative Agent shall promptly notify the L/C Issuer thereof. Each Lender with a Commitment under which such currency is requested to be made available (in the case of any such request pertaining to Eurocurrency Rate Loans) or the L/C Issuer (in the case of a request pertaining to Letters of Credit) shall notify the Administrative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40"/>
          </w:cols>
          <w:pgMar w:left="240" w:top="306" w:right="219" w:bottom="1440" w:gutter="0" w:footer="0" w:header="0"/>
        </w:sectPr>
      </w:pPr>
    </w:p>
    <w:bookmarkStart w:id="45" w:name="page46"/>
    <w:bookmarkEnd w:id="45"/>
    <w:p>
      <w:pPr>
        <w:spacing w:after="0" w:line="271" w:lineRule="auto"/>
        <w:rPr>
          <w:sz w:val="20"/>
          <w:szCs w:val="20"/>
          <w:color w:val="auto"/>
        </w:rPr>
      </w:pPr>
      <w:r>
        <w:rPr>
          <w:rFonts w:ascii="Arial" w:cs="Arial" w:eastAsia="Arial" w:hAnsi="Arial"/>
          <w:sz w:val="17"/>
          <w:szCs w:val="17"/>
          <w:color w:val="auto"/>
        </w:rPr>
        <w:t>Agent, not later than 11:00 a.m., ten (10) Business Days after receipt of such request whether it consents, in its sole discretion, to the making of Eurocurrency Rate Loans or the issuance of Letters of Credit, as the case may be, in such requested currency.</w:t>
      </w:r>
    </w:p>
    <w:p>
      <w:pPr>
        <w:spacing w:after="0" w:line="145" w:lineRule="exact"/>
        <w:rPr>
          <w:sz w:val="20"/>
          <w:szCs w:val="20"/>
          <w:color w:val="auto"/>
        </w:rPr>
      </w:pPr>
    </w:p>
    <w:p>
      <w:pPr>
        <w:jc w:val="both"/>
        <w:ind w:firstLine="709"/>
        <w:spacing w:after="0" w:line="263" w:lineRule="auto"/>
        <w:tabs>
          <w:tab w:leader="none" w:pos="9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Any failure by a Lender or the L/C Issuer, as the case may be, to respond to such request within the time period specified in the preceding sentence shall be deemed to be a refusal by such Lender or the L/C Issuer, as the case may be, to permit Eurocurrency Rate Loans to be made or Letters of Credit to be issued in such requested currency. If the Administrative Agent and all the applicable Lenders consent to making Eurocurrency Rate Loans in such requested currency and the Administrative Agent and such Lenders reasonably determine that an appropriate interest rate is available to be used for such requested currency, the Administrative Agent shall so notify the Company and (i) the Administrative Agent and such Lenders may amend the definition of Eurocurrency Rate for any Non-LIBOR Quoted Currency to the extent necessary to add the applicable Eurocurrency Rate for such currency and (ii) to the extent the definition of Eurocurrency Rate reflects the appropriate interest rate for such currency or has been amended to reflect the appropriate interest rate for such currency, such currency shall thereupon be deemed for all purposes to be an Alternative Currency for purposes of any Borrowings of Eurocurrency Rate Loans. If the Administrative Agent and the L/C Issuer consent to the issuance of Letters of Credit in such requested currency, the Administrative Agent shall so notify the Company and (A) the Administrative Agent and the L/C Issuer may amend the definition of Eurocurrency Rate for any Non-LIBOR Quoted Currency to the extent necessary to add the applicable Eurocurrency Rate for such currency with respect to Letters of Credit and (B) to the extent the definition of Eurocurrency Rate reflects the appropriate interest rate for such currency or has been amended to reflect the appropriate interest rate for such currency, such currency shall thereupon be deemed for all purposes to be an Alternative Currency, for purposes of any Letter of Credit issuances. If the Administrative Agent shall fail to obtain consent to any request for an additional currency under this </w:t>
      </w:r>
      <w:r>
        <w:rPr>
          <w:rFonts w:ascii="Arial" w:cs="Arial" w:eastAsia="Arial" w:hAnsi="Arial"/>
          <w:sz w:val="16"/>
          <w:szCs w:val="16"/>
          <w:u w:val="single" w:color="auto"/>
          <w:color w:val="auto"/>
        </w:rPr>
        <w:t>Section 1.09</w:t>
      </w:r>
      <w:r>
        <w:rPr>
          <w:rFonts w:ascii="Arial" w:cs="Arial" w:eastAsia="Arial" w:hAnsi="Arial"/>
          <w:sz w:val="16"/>
          <w:szCs w:val="16"/>
          <w:color w:val="auto"/>
        </w:rPr>
        <w:t>, the Administrative Agent shall promptly so notify the Company.</w:t>
      </w:r>
    </w:p>
    <w:p>
      <w:pPr>
        <w:spacing w:after="0" w:line="152"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680"/>
          </w:cols>
          <w:pgMar w:left="1000" w:top="312" w:right="219" w:bottom="1440" w:gutter="0" w:footer="0" w:header="0"/>
        </w:sectPr>
      </w:pPr>
    </w:p>
    <w:bookmarkStart w:id="46" w:name="page47"/>
    <w:bookmarkEnd w:id="46"/>
    <w:p>
      <w:pPr>
        <w:jc w:val="center"/>
        <w:spacing w:after="0"/>
        <w:rPr>
          <w:sz w:val="20"/>
          <w:szCs w:val="20"/>
          <w:color w:val="auto"/>
        </w:rPr>
      </w:pPr>
      <w:r>
        <w:rPr>
          <w:rFonts w:ascii="Arial" w:cs="Arial" w:eastAsia="Arial" w:hAnsi="Arial"/>
          <w:sz w:val="17"/>
          <w:szCs w:val="17"/>
          <w:b w:val="1"/>
          <w:bCs w:val="1"/>
          <w:color w:val="auto"/>
        </w:rPr>
        <w:t>ARTICLE 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COMMITMENTS AND CREDIT EXTENSIONS</w:t>
      </w:r>
    </w:p>
    <w:p>
      <w:pPr>
        <w:spacing w:after="0" w:line="171" w:lineRule="exact"/>
        <w:rPr>
          <w:sz w:val="20"/>
          <w:szCs w:val="20"/>
          <w:color w:val="auto"/>
        </w:rPr>
      </w:pPr>
    </w:p>
    <w:p>
      <w:pPr>
        <w:jc w:val="both"/>
        <w:ind w:firstLine="763"/>
        <w:spacing w:after="0" w:line="272" w:lineRule="auto"/>
        <w:rPr>
          <w:sz w:val="20"/>
          <w:szCs w:val="20"/>
          <w:color w:val="auto"/>
        </w:rPr>
      </w:pPr>
      <w:r>
        <w:rPr>
          <w:rFonts w:ascii="Arial" w:cs="Arial" w:eastAsia="Arial" w:hAnsi="Arial"/>
          <w:sz w:val="16"/>
          <w:szCs w:val="16"/>
          <w:b w:val="1"/>
          <w:bCs w:val="1"/>
          <w:color w:val="auto"/>
        </w:rPr>
        <w:t>2.01 Loans</w:t>
      </w:r>
      <w:r>
        <w:rPr>
          <w:rFonts w:ascii="Arial" w:cs="Arial" w:eastAsia="Arial" w:hAnsi="Arial"/>
          <w:sz w:val="16"/>
          <w:szCs w:val="16"/>
          <w:color w:val="auto"/>
        </w:rPr>
        <w:t>. (a)</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The Company Term Borrowing</w:t>
      </w:r>
      <w:r>
        <w:rPr>
          <w:rFonts w:ascii="Arial" w:cs="Arial" w:eastAsia="Arial" w:hAnsi="Arial"/>
          <w:sz w:val="16"/>
          <w:szCs w:val="16"/>
          <w:color w:val="auto"/>
        </w:rPr>
        <w:t>. Subject to the terms and conditions set forth herein, each Company Term Lender severally agrees to make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 single loan to the Company on the Closing Date in an amount not to exceed such Company Term Lender’s Company Term Commitment. The Company Term Borrowing shall consist of Company Term Loans made simultaneously by the Company Term Lenders in accordance with their respective Applicable Percentage of the Company Term Facility. Amounts borrowed under this </w:t>
      </w: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and repaid or prepaid may not be reborrowed. Company Term Loans may be Base Rate Loans or Eurocurrency Rate Loans, as further provided herein. Company Term Loans may be borrowed only in Dollars.</w:t>
      </w:r>
    </w:p>
    <w:p>
      <w:pPr>
        <w:spacing w:after="0" w:line="147" w:lineRule="exact"/>
        <w:rPr>
          <w:sz w:val="20"/>
          <w:szCs w:val="20"/>
          <w:color w:val="auto"/>
        </w:rPr>
      </w:pPr>
    </w:p>
    <w:p>
      <w:pPr>
        <w:jc w:val="both"/>
        <w:ind w:left="760" w:firstLine="709"/>
        <w:spacing w:after="0" w:line="268" w:lineRule="auto"/>
        <w:tabs>
          <w:tab w:leader="none" w:pos="1739"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The Gentherm Germany Term Borrowing</w:t>
      </w:r>
      <w:r>
        <w:rPr>
          <w:rFonts w:ascii="Arial" w:cs="Arial" w:eastAsia="Arial" w:hAnsi="Arial"/>
          <w:sz w:val="16"/>
          <w:szCs w:val="16"/>
          <w:color w:val="auto"/>
        </w:rPr>
        <w:t xml:space="preserve">. Subject to the terms and conditions set forth herein, each Gentherm Germany Term Lender severally agrees to make a single loan to Gentherm Germany on the Closing Date in an amount not to exceed such Gentherm Germany Term Lender’s Gentherm Germany Term Commitment. The Gentherm Germany Term Borrowing shall consist of Gentherm Germany Term Loans made simultaneously by the Gentherm Germany Term Lenders in accordance with their respective Applicable Percentage of the Gentherm Germany Term Facility. Amounts borrowed under this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and repaid or prepaid may not be reborrowed. Gentherm Germany Term Loans may be Base Rate Loans or Eurocurrency Rate Loans, as further provided herein. Gentherm Germany Term Loans may be borrowed only in Euro.</w:t>
      </w:r>
    </w:p>
    <w:p>
      <w:pPr>
        <w:spacing w:after="0" w:line="150" w:lineRule="exact"/>
        <w:rPr>
          <w:rFonts w:ascii="Arial" w:cs="Arial" w:eastAsia="Arial" w:hAnsi="Arial"/>
          <w:sz w:val="16"/>
          <w:szCs w:val="16"/>
          <w:color w:val="auto"/>
        </w:rPr>
      </w:pPr>
    </w:p>
    <w:p>
      <w:pPr>
        <w:jc w:val="both"/>
        <w:ind w:left="760" w:firstLine="709"/>
        <w:spacing w:after="0" w:line="247" w:lineRule="auto"/>
        <w:tabs>
          <w:tab w:leader="none" w:pos="1717"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The Revolving Credit Borrowings</w:t>
      </w:r>
      <w:r>
        <w:rPr>
          <w:rFonts w:ascii="Arial" w:cs="Arial" w:eastAsia="Arial" w:hAnsi="Arial"/>
          <w:sz w:val="17"/>
          <w:szCs w:val="17"/>
          <w:color w:val="auto"/>
        </w:rPr>
        <w:t>. Subject to the terms and conditions set forth herein, each Revolving Credit Lender severally agrees to make loans (each such loan, a “</w:t>
      </w:r>
      <w:r>
        <w:rPr>
          <w:rFonts w:ascii="Arial" w:cs="Arial" w:eastAsia="Arial" w:hAnsi="Arial"/>
          <w:sz w:val="17"/>
          <w:szCs w:val="17"/>
          <w:u w:val="single" w:color="auto"/>
          <w:color w:val="auto"/>
        </w:rPr>
        <w:t>Revolving Credit Loan</w:t>
      </w:r>
      <w:r>
        <w:rPr>
          <w:rFonts w:ascii="Arial" w:cs="Arial" w:eastAsia="Arial" w:hAnsi="Arial"/>
          <w:sz w:val="17"/>
          <w:szCs w:val="17"/>
          <w:color w:val="auto"/>
        </w:rPr>
        <w:t xml:space="preserve">”) to the Borrowers, from time to time, on any Business Day during the Availability Period, in an aggregate amount not to exceed at any time outstanding the amount of such Lender’s Revolving Credit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after giving effect to any Revolving Credit Borrowing, (i) the Total Revolving Credit Outstandings shall not exceed the Revolving Credit Facility, (ii) the Revolving Credit Exposure of any Revolving Credit Lender shall not exceed such Revolving Credit Lender’s Revolving Credit Commitment, (iii) the aggregate Outstanding Amount of all Revolving Credit Loans made to the Canadian Borrowers shall not exceed the Canadian Borrower Sublimit and (iv) the aggregate Outstanding Amount of all Revolving Credit Loans made to Gentherm Germany shall not exceed the Gentherm Germany Sublimit. Within the limits of each Revolving Credit Lender’s Revolving Credit Commitment, and subject to the other terms and conditions hereof, the Borrowers may borrow under this </w:t>
      </w:r>
      <w:r>
        <w:rPr>
          <w:rFonts w:ascii="Arial" w:cs="Arial" w:eastAsia="Arial" w:hAnsi="Arial"/>
          <w:sz w:val="17"/>
          <w:szCs w:val="17"/>
          <w:u w:val="single" w:color="auto"/>
          <w:color w:val="auto"/>
        </w:rPr>
        <w:t>Section 2.01(c)</w:t>
      </w:r>
      <w:r>
        <w:rPr>
          <w:rFonts w:ascii="Arial" w:cs="Arial" w:eastAsia="Arial" w:hAnsi="Arial"/>
          <w:sz w:val="17"/>
          <w:szCs w:val="17"/>
          <w:color w:val="auto"/>
        </w:rPr>
        <w:t xml:space="preserve">, prepay under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and reborrow under this </w:t>
      </w:r>
      <w:r>
        <w:rPr>
          <w:rFonts w:ascii="Arial" w:cs="Arial" w:eastAsia="Arial" w:hAnsi="Arial"/>
          <w:sz w:val="17"/>
          <w:szCs w:val="17"/>
          <w:u w:val="single" w:color="auto"/>
          <w:color w:val="auto"/>
        </w:rPr>
        <w:t>Section 2.01(c)</w:t>
      </w:r>
      <w:r>
        <w:rPr>
          <w:rFonts w:ascii="Arial" w:cs="Arial" w:eastAsia="Arial" w:hAnsi="Arial"/>
          <w:sz w:val="17"/>
          <w:szCs w:val="17"/>
          <w:color w:val="auto"/>
        </w:rPr>
        <w:t>. Revolving Credit Loans may be Base Rate Loans or Eurocurrency Rate Loans, or a combination thereof, as further provided herein. Revolving Credit Loans may be borrowed in Dollars or any Alternative Currency.</w:t>
      </w:r>
    </w:p>
    <w:p>
      <w:pPr>
        <w:spacing w:after="0" w:line="166" w:lineRule="exact"/>
        <w:rPr>
          <w:rFonts w:ascii="Arial" w:cs="Arial" w:eastAsia="Arial" w:hAnsi="Arial"/>
          <w:sz w:val="17"/>
          <w:szCs w:val="17"/>
          <w:color w:val="auto"/>
        </w:rPr>
      </w:pPr>
    </w:p>
    <w:p>
      <w:pPr>
        <w:jc w:val="both"/>
        <w:ind w:left="760" w:firstLine="709"/>
        <w:spacing w:after="0" w:line="202" w:lineRule="exact"/>
        <w:tabs>
          <w:tab w:leader="none" w:pos="1750" w:val="left"/>
        </w:tabs>
        <w:numPr>
          <w:ilvl w:val="0"/>
          <w:numId w:val="26"/>
        </w:numPr>
        <w:rPr>
          <w:rFonts w:ascii="Arial" w:cs="Arial" w:eastAsia="Arial" w:hAnsi="Arial"/>
          <w:sz w:val="15"/>
          <w:szCs w:val="15"/>
          <w:color w:val="auto"/>
        </w:rPr>
      </w:pPr>
      <w:r>
        <w:rPr>
          <w:rFonts w:ascii="Arial" w:cs="Arial" w:eastAsia="Arial" w:hAnsi="Arial"/>
          <w:sz w:val="15"/>
          <w:szCs w:val="15"/>
          <w:u w:val="single" w:color="auto"/>
          <w:color w:val="auto"/>
        </w:rPr>
        <w:t>Add</w:t>
      </w:r>
      <w:r>
        <w:rPr>
          <w:rFonts w:ascii="MS PGothic" w:cs="MS PGothic" w:eastAsia="MS PGothic" w:hAnsi="MS PGothic"/>
          <w:sz w:val="15"/>
          <w:szCs w:val="15"/>
          <w:u w:val="single" w:color="auto"/>
          <w:color w:val="auto"/>
        </w:rPr>
        <w:t>‑</w:t>
      </w:r>
      <w:r>
        <w:rPr>
          <w:rFonts w:ascii="Arial" w:cs="Arial" w:eastAsia="Arial" w:hAnsi="Arial"/>
          <w:sz w:val="15"/>
          <w:szCs w:val="15"/>
          <w:u w:val="single" w:color="auto"/>
          <w:color w:val="auto"/>
        </w:rPr>
        <w:t>On Company Term Loans</w:t>
      </w:r>
      <w:r>
        <w:rPr>
          <w:rFonts w:ascii="Arial" w:cs="Arial" w:eastAsia="Arial" w:hAnsi="Arial"/>
          <w:sz w:val="15"/>
          <w:szCs w:val="15"/>
          <w:color w:val="auto"/>
        </w:rPr>
        <w:t xml:space="preserve">. Subject to </w:t>
      </w:r>
      <w:r>
        <w:rPr>
          <w:rFonts w:ascii="Arial" w:cs="Arial" w:eastAsia="Arial" w:hAnsi="Arial"/>
          <w:sz w:val="15"/>
          <w:szCs w:val="15"/>
          <w:u w:val="single" w:color="auto"/>
          <w:color w:val="auto"/>
        </w:rPr>
        <w:t>Section 2.02(f)(ii)</w:t>
      </w:r>
      <w:r>
        <w:rPr>
          <w:rFonts w:ascii="Arial" w:cs="Arial" w:eastAsia="Arial" w:hAnsi="Arial"/>
          <w:sz w:val="15"/>
          <w:szCs w:val="15"/>
          <w:color w:val="auto"/>
        </w:rPr>
        <w:t>, on the effective date of any Add</w:t>
      </w:r>
      <w:r>
        <w:rPr>
          <w:rFonts w:ascii="MS PGothic" w:cs="MS PGothic" w:eastAsia="MS PGothic" w:hAnsi="MS PGothic"/>
          <w:sz w:val="15"/>
          <w:szCs w:val="15"/>
          <w:color w:val="auto"/>
        </w:rPr>
        <w:t>‑</w:t>
      </w:r>
      <w:r>
        <w:rPr>
          <w:rFonts w:ascii="Arial" w:cs="Arial" w:eastAsia="Arial" w:hAnsi="Arial"/>
          <w:sz w:val="15"/>
          <w:szCs w:val="15"/>
          <w:color w:val="auto"/>
        </w:rPr>
        <w:t>On Company Term Lender Joinder Agreement, each Add</w:t>
      </w:r>
      <w:r>
        <w:rPr>
          <w:rFonts w:ascii="MS PGothic" w:cs="MS PGothic" w:eastAsia="MS PGothic" w:hAnsi="MS PGothic"/>
          <w:sz w:val="15"/>
          <w:szCs w:val="15"/>
          <w:color w:val="auto"/>
        </w:rPr>
        <w:t>‑</w:t>
      </w:r>
      <w:r>
        <w:rPr>
          <w:rFonts w:ascii="Arial" w:cs="Arial" w:eastAsia="Arial" w:hAnsi="Arial"/>
          <w:sz w:val="15"/>
          <w:szCs w:val="15"/>
          <w:color w:val="auto"/>
        </w:rPr>
        <w:t>On Company Term Lender party to such Add-On Company Term Lender Joinder Agreement severally agrees to make its portion of a term loan (each such term loan, an “</w:t>
      </w:r>
      <w:r>
        <w:rPr>
          <w:rFonts w:ascii="Arial" w:cs="Arial" w:eastAsia="Arial" w:hAnsi="Arial"/>
          <w:sz w:val="15"/>
          <w:szCs w:val="15"/>
          <w:u w:val="single" w:color="auto"/>
          <w:color w:val="auto"/>
        </w:rPr>
        <w:t>Add</w:t>
      </w:r>
      <w:r>
        <w:rPr>
          <w:rFonts w:ascii="MS PGothic" w:cs="MS PGothic" w:eastAsia="MS PGothic" w:hAnsi="MS PGothic"/>
          <w:sz w:val="15"/>
          <w:szCs w:val="15"/>
          <w:u w:val="single" w:color="auto"/>
          <w:color w:val="auto"/>
        </w:rPr>
        <w:t>‑</w:t>
      </w:r>
      <w:r>
        <w:rPr>
          <w:rFonts w:ascii="Arial" w:cs="Arial" w:eastAsia="Arial" w:hAnsi="Arial"/>
          <w:sz w:val="15"/>
          <w:szCs w:val="15"/>
          <w:u w:val="single" w:color="auto"/>
          <w:color w:val="auto"/>
        </w:rPr>
        <w:t>On Company Term Loan</w:t>
      </w:r>
      <w:r>
        <w:rPr>
          <w:rFonts w:ascii="Arial" w:cs="Arial" w:eastAsia="Arial" w:hAnsi="Arial"/>
          <w:sz w:val="15"/>
          <w:szCs w:val="15"/>
          <w:color w:val="auto"/>
        </w:rPr>
        <w:t>”) in a single advance to the Company in Dollars in the amount of its respective Add</w:t>
      </w:r>
      <w:r>
        <w:rPr>
          <w:rFonts w:ascii="MS PGothic" w:cs="MS PGothic" w:eastAsia="MS PGothic" w:hAnsi="MS PGothic"/>
          <w:sz w:val="15"/>
          <w:szCs w:val="15"/>
          <w:color w:val="auto"/>
        </w:rPr>
        <w:t>‑</w:t>
      </w:r>
      <w:r>
        <w:rPr>
          <w:rFonts w:ascii="Arial" w:cs="Arial" w:eastAsia="Arial" w:hAnsi="Arial"/>
          <w:sz w:val="15"/>
          <w:szCs w:val="15"/>
          <w:color w:val="auto"/>
        </w:rPr>
        <w:t>On Company Term Commitment with respect to such Add-On Company Term Loan as set forth in the applicable Add</w:t>
      </w:r>
      <w:r>
        <w:rPr>
          <w:rFonts w:ascii="MS PGothic" w:cs="MS PGothic" w:eastAsia="MS PGothic" w:hAnsi="MS PGothic"/>
          <w:sz w:val="15"/>
          <w:szCs w:val="15"/>
          <w:color w:val="auto"/>
        </w:rPr>
        <w:t>‑</w:t>
      </w:r>
      <w:r>
        <w:rPr>
          <w:rFonts w:ascii="Arial" w:cs="Arial" w:eastAsia="Arial" w:hAnsi="Arial"/>
          <w:sz w:val="15"/>
          <w:szCs w:val="15"/>
          <w:color w:val="auto"/>
        </w:rPr>
        <w:t xml:space="preserve">On Company Term Lender Joinder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after giving effect to such advances, the Outstanding Amount of such Add</w:t>
      </w:r>
      <w:r>
        <w:rPr>
          <w:rFonts w:ascii="MS PGothic" w:cs="MS PGothic" w:eastAsia="MS PGothic" w:hAnsi="MS PGothic"/>
          <w:sz w:val="15"/>
          <w:szCs w:val="15"/>
          <w:color w:val="auto"/>
        </w:rPr>
        <w:t>‑</w:t>
      </w:r>
      <w:r>
        <w:rPr>
          <w:rFonts w:ascii="Arial" w:cs="Arial" w:eastAsia="Arial" w:hAnsi="Arial"/>
          <w:sz w:val="15"/>
          <w:szCs w:val="15"/>
          <w:color w:val="auto"/>
        </w:rPr>
        <w:t>On Company Term Loan shall not exceed the aggregate amount of the Add</w:t>
      </w:r>
      <w:r>
        <w:rPr>
          <w:rFonts w:ascii="MS PGothic" w:cs="MS PGothic" w:eastAsia="MS PGothic" w:hAnsi="MS PGothic"/>
          <w:sz w:val="15"/>
          <w:szCs w:val="15"/>
          <w:color w:val="auto"/>
        </w:rPr>
        <w:t>‑</w:t>
      </w:r>
      <w:r>
        <w:rPr>
          <w:rFonts w:ascii="Arial" w:cs="Arial" w:eastAsia="Arial" w:hAnsi="Arial"/>
          <w:sz w:val="15"/>
          <w:szCs w:val="15"/>
          <w:color w:val="auto"/>
        </w:rPr>
        <w:t>On Company Term Commitments set forth in the applicable Add-On Company Term Lender Joinder Agreement of the applicable Add</w:t>
      </w:r>
      <w:r>
        <w:rPr>
          <w:rFonts w:ascii="MS PGothic" w:cs="MS PGothic" w:eastAsia="MS PGothic" w:hAnsi="MS PGothic"/>
          <w:sz w:val="15"/>
          <w:szCs w:val="15"/>
          <w:color w:val="auto"/>
        </w:rPr>
        <w:t>‑</w:t>
      </w:r>
      <w:r>
        <w:rPr>
          <w:rFonts w:ascii="Arial" w:cs="Arial" w:eastAsia="Arial" w:hAnsi="Arial"/>
          <w:sz w:val="15"/>
          <w:szCs w:val="15"/>
          <w:color w:val="auto"/>
        </w:rPr>
        <w:t>On Company Term Lender(s). Amounts repaid on an Add</w:t>
      </w:r>
      <w:r>
        <w:rPr>
          <w:rFonts w:ascii="MS PGothic" w:cs="MS PGothic" w:eastAsia="MS PGothic" w:hAnsi="MS PGothic"/>
          <w:sz w:val="15"/>
          <w:szCs w:val="15"/>
          <w:color w:val="auto"/>
        </w:rPr>
        <w:t>‑</w:t>
      </w:r>
      <w:r>
        <w:rPr>
          <w:rFonts w:ascii="Arial" w:cs="Arial" w:eastAsia="Arial" w:hAnsi="Arial"/>
          <w:sz w:val="15"/>
          <w:szCs w:val="15"/>
          <w:color w:val="auto"/>
        </w:rPr>
        <w:t>On Company Term Loan may not be reborrowed. Each Add</w:t>
      </w:r>
      <w:r>
        <w:rPr>
          <w:rFonts w:ascii="MS PGothic" w:cs="MS PGothic" w:eastAsia="MS PGothic" w:hAnsi="MS PGothic"/>
          <w:sz w:val="15"/>
          <w:szCs w:val="15"/>
          <w:color w:val="auto"/>
        </w:rPr>
        <w:t>‑</w:t>
      </w:r>
      <w:r>
        <w:rPr>
          <w:rFonts w:ascii="Arial" w:cs="Arial" w:eastAsia="Arial" w:hAnsi="Arial"/>
          <w:sz w:val="15"/>
          <w:szCs w:val="15"/>
          <w:color w:val="auto"/>
        </w:rPr>
        <w:t>On Company Term Loan may consist of Base Rate Loans or Eurocurrency Rate Loans, or a combination thereof, as further provided herein.</w:t>
      </w:r>
    </w:p>
    <w:p>
      <w:pPr>
        <w:spacing w:after="0" w:line="171" w:lineRule="exact"/>
        <w:rPr>
          <w:rFonts w:ascii="Arial" w:cs="Arial" w:eastAsia="Arial" w:hAnsi="Arial"/>
          <w:sz w:val="15"/>
          <w:szCs w:val="15"/>
          <w:color w:val="auto"/>
        </w:rPr>
      </w:pPr>
    </w:p>
    <w:p>
      <w:pPr>
        <w:jc w:val="both"/>
        <w:ind w:left="760" w:firstLine="709"/>
        <w:spacing w:after="0" w:line="253" w:lineRule="auto"/>
        <w:tabs>
          <w:tab w:leader="none" w:pos="1717"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Obligations for the Loans</w:t>
      </w:r>
      <w:r>
        <w:rPr>
          <w:rFonts w:ascii="Arial" w:cs="Arial" w:eastAsia="Arial" w:hAnsi="Arial"/>
          <w:sz w:val="17"/>
          <w:szCs w:val="17"/>
          <w:color w:val="auto"/>
        </w:rPr>
        <w:t>. Each U.S. Borrower shall be jointly and severally obligated for all Obligations, and, more specifically, shall be jointly and severally liable (together with each other Foreign Borrower) for all Loans and other Obligations of the Foreign Borrowers, including all payments of principal, interest and fees in connection therewith. The Foreign Borrowers shall only be obligated for the Foreign Obligations, such obligation to be joint and several among the Foreign Borrowers.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40"/>
          </w:cols>
          <w:pgMar w:left="240" w:top="306" w:right="219" w:bottom="1440" w:gutter="0" w:footer="0" w:header="0"/>
        </w:sectPr>
      </w:pPr>
    </w:p>
    <w:bookmarkStart w:id="47" w:name="page48"/>
    <w:bookmarkEnd w:id="47"/>
    <w:p>
      <w:pPr>
        <w:jc w:val="both"/>
        <w:ind w:firstLine="763"/>
        <w:spacing w:after="0" w:line="279" w:lineRule="auto"/>
        <w:rPr>
          <w:sz w:val="20"/>
          <w:szCs w:val="20"/>
          <w:color w:val="auto"/>
        </w:rPr>
      </w:pPr>
      <w:r>
        <w:rPr>
          <w:rFonts w:ascii="Arial" w:cs="Arial" w:eastAsia="Arial" w:hAnsi="Arial"/>
          <w:sz w:val="15"/>
          <w:szCs w:val="15"/>
          <w:b w:val="1"/>
          <w:bCs w:val="1"/>
          <w:color w:val="auto"/>
        </w:rPr>
        <w:t>2.02 Borrowings, Conversions and Continuations of Loans</w:t>
      </w:r>
      <w:r>
        <w:rPr>
          <w:rFonts w:ascii="Arial" w:cs="Arial" w:eastAsia="Arial" w:hAnsi="Arial"/>
          <w:sz w:val="15"/>
          <w:szCs w:val="15"/>
          <w:color w:val="auto"/>
        </w:rPr>
        <w:t>. (a) Each Borrowing, each conversion of Loans from one Type to the other, and each</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continuation of Eurocurrency Rate Loans at the end of any Interest Period therefor, shall be made upon the applicable Borrower’s irrevocable notice to the Administrative Agent, which may be given by telephone. Each such notice must be received by the Administrative Agent not later than 11:00 a.m. (i) three (3) Business Days prior to the requested date of any Borrowing of, conversion to or continuation of Eurocurrency Rate Loans denominated in Dollars or of any conversion of Eurocurrency Rate Loans denominated in Dollars to Base Rate Loans, (ii) four (4) Business Days (or five Business Days in the case of a Special Notice Currency) prior to the requested date of any Borrowing or continuation of Eurocurrency Rate Loans denominated in Alternative Currencies, and (iii) on the requested date of any Borrowing of Base Rate Loans;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the Company wishes to request Eurocurrency Rate Loans having an Interest Period other than one, two, three or six months in duration as provided in the definition of “Interest Period,” the applicable notice must be received by the Administrative Agent not later than 11:00 a.m. (A) four (4) Business Days prior to the requested date of such Borrowing, conversion or continuation of Eurocurrency Rate Loans denominated in Dollars, or (B) five (5) Business Days prior to the requested date of such Borrowing, conversion or continuation of Eurocurrency Rate Loans denominated in Alternative Currencies, whereupon the Administrative Agent shall give prompt notice to the Appropriate Lenders of such request and determine whether the requested Interest Period is acceptable to all of them. Not later than 11:00 a.m., (x) three (3) Business Days before the requested date of such Borrowing, conversion or continuation of Eurocurrency Rate Loans denominated in Dollars, or (y) four (4) Business Days prior to the requested date of such Borrowing, conversion or continuation of Eurocurrency Rate Loans denominated in Alternative Currencies, the Administrative Agent shall notify the Company (which notice may be by telephone) whether or not the requested Interest Period has been consented to by all the Lenders. Each telephonic notice by a Borrower pursuant to this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2.02(a)</w:t>
      </w:r>
      <w:r>
        <w:rPr>
          <w:rFonts w:ascii="Arial" w:cs="Arial" w:eastAsia="Arial" w:hAnsi="Arial"/>
          <w:sz w:val="15"/>
          <w:szCs w:val="15"/>
          <w:color w:val="auto"/>
        </w:rPr>
        <w:t xml:space="preserve"> must be confirmed promptly by delivery to the Administrative Agent of a written Committed Loan Notice, appropriately completed and signed by a Responsible Officer of the applicable Borrower. Each Borrowing of, conversion to or continuation of Eurocurrency Rate Loans shall be in a principal amount of the Dollar Equivalent of $1,000,000 or a whole multiple of the Dollar Equivalent of $25,000 in excess thereof. Except as provided in </w:t>
      </w:r>
      <w:r>
        <w:rPr>
          <w:rFonts w:ascii="Arial" w:cs="Arial" w:eastAsia="Arial" w:hAnsi="Arial"/>
          <w:sz w:val="15"/>
          <w:szCs w:val="15"/>
          <w:u w:val="single" w:color="auto"/>
          <w:color w:val="auto"/>
        </w:rPr>
        <w:t>Sections 2.03(c)</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2.04(c)</w:t>
      </w:r>
      <w:r>
        <w:rPr>
          <w:rFonts w:ascii="Arial" w:cs="Arial" w:eastAsia="Arial" w:hAnsi="Arial"/>
          <w:sz w:val="15"/>
          <w:szCs w:val="15"/>
          <w:color w:val="auto"/>
        </w:rPr>
        <w:t xml:space="preserve">, each Borrowing of or conversion to Base Rate Loans shall be in a principal amount of $100,000 or a whole multiple of $25,000 in excess thereof. Each Committed Loan Notice (whether telephonic or written) shall specify (i) whether the applicable Borrower is requesting a Revolving Credit Borrowing, a Company Term Borrowing, a Gentherm Germany Term Borrowing, a conversion of Loans from one Type to the other, or a continuation of Eurocurrency Rate Loans, (ii) the requested date of the Borrowing, conversion or continuation, as the case may be (which shall be a Business Day), (iii) the principal amount of Loans to be borrowed, converted or continued, (iv) the Type of Loans to be borrowed or to which existing Loans are to be converted, (v) if applicable, the duration of the Interest Period with respect thereto and (vi) the currency of the Loans to be borrowed. If a Borrower fails to specify a currency in a Committed Loan Notice requesting a Borrowing, then the Loans so requested shall be made in Dollars (other than, for the avoidance of doubt, a Gentherm Germany Term Borrowing which shall be made in Euro). If a Borrower fails to specify a Type of Loan in a Committed Loan Notice or if a Borrower fails to give a timely notice requesting a conversion or continuation, then the applicable Loans shall be made as, or converted to, Base Rate Loans;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the case of a failure to timely request a continuation of Loans denominated in an Alternative Currency, such Loans shall be continued as Eurocurrency Rate Loans in their original currency with an Interest Period of one month. Any automatic conversion to Base Rate Loans shall be effective as of the last day of the Interest Period then in effect with respect to the applicable Eurocurrency Rate Loans. If a Borrower requests a Borrowing of, conversion to, or continuation of Eurocurrency Rate Loans in any such Committed Loan Notice, but fails to specify an Interest Period, it will be deemed to have specified an Interest Period of one month. No Loan may be converted into or continued as a Loan denominated in a different currency, but instead must be prepaid in the original currency of such Loan and reborrowed in the other currency. Notwithstanding anything to the contrary herein, a Swing Line Loan may not be converted to a Eurocurrency Rate Loan.</w:t>
      </w:r>
    </w:p>
    <w:p>
      <w:pPr>
        <w:spacing w:after="0" w:line="353" w:lineRule="exact"/>
        <w:rPr>
          <w:sz w:val="20"/>
          <w:szCs w:val="20"/>
          <w:color w:val="auto"/>
        </w:rPr>
      </w:pPr>
    </w:p>
    <w:p>
      <w:pPr>
        <w:jc w:val="both"/>
        <w:ind w:left="760" w:firstLine="709"/>
        <w:spacing w:after="0" w:line="268" w:lineRule="auto"/>
        <w:tabs>
          <w:tab w:leader="none" w:pos="1717"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Following receipt of a Committed Loan Notice, the Administrative Agent shall promptly notify each Lender of the amount (and currency) of its Applicable Percentage under the applicable Facility of the applicable Loans, and if no timely notice of a conversion or continuation is provided by the applicable Borrower, the Administrative Agent shall notify each Lender of the details of any automatic conversion to Base Rate Loans or continuation of Loans denominated in a currency other than Dollars, in each case, as described in </w:t>
      </w:r>
      <w:r>
        <w:rPr>
          <w:rFonts w:ascii="Arial" w:cs="Arial" w:eastAsia="Arial" w:hAnsi="Arial"/>
          <w:sz w:val="16"/>
          <w:szCs w:val="16"/>
          <w:u w:val="single" w:color="auto"/>
          <w:color w:val="auto"/>
        </w:rPr>
        <w:t>Section 2.02(a)</w:t>
      </w:r>
      <w:r>
        <w:rPr>
          <w:rFonts w:ascii="Arial" w:cs="Arial" w:eastAsia="Arial" w:hAnsi="Arial"/>
          <w:sz w:val="16"/>
          <w:szCs w:val="16"/>
          <w:color w:val="auto"/>
        </w:rPr>
        <w:t>. In the case of a Borrowing, each Appropriate Lender shall make the amount of its Loan available to the Administrative Agent in Same Day Funds at the Administrative Agent’s Office for the applicable currency not later than 1:00 p.m., in the case of any Loan denominated in Dollars, and not later than the Applicable Time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40"/>
          </w:cols>
          <w:pgMar w:left="240" w:top="306" w:right="219" w:bottom="1440" w:gutter="0" w:footer="0" w:header="0"/>
        </w:sectPr>
      </w:pPr>
    </w:p>
    <w:bookmarkStart w:id="48" w:name="page49"/>
    <w:bookmarkEnd w:id="48"/>
    <w:p>
      <w:pPr>
        <w:jc w:val="both"/>
        <w:spacing w:after="0" w:line="256" w:lineRule="auto"/>
        <w:rPr>
          <w:sz w:val="20"/>
          <w:szCs w:val="20"/>
          <w:color w:val="auto"/>
        </w:rPr>
      </w:pPr>
      <w:r>
        <w:rPr>
          <w:rFonts w:ascii="Arial" w:cs="Arial" w:eastAsia="Arial" w:hAnsi="Arial"/>
          <w:sz w:val="17"/>
          <w:szCs w:val="17"/>
          <w:color w:val="auto"/>
        </w:rPr>
        <w:t xml:space="preserve">specified by the Administrative Agent in the case of any Loan in an Alternative Currency, in each case, on the Business Day specified in the applicable Committed Loan Notice. Upon satisfaction of the applicable conditions set forth in </w:t>
      </w:r>
      <w:r>
        <w:rPr>
          <w:rFonts w:ascii="Arial" w:cs="Arial" w:eastAsia="Arial" w:hAnsi="Arial"/>
          <w:sz w:val="15"/>
          <w:szCs w:val="15"/>
          <w:u w:val="single" w:color="auto"/>
          <w:color w:val="auto"/>
        </w:rPr>
        <w:t>Section 4.02</w:t>
      </w:r>
      <w:r>
        <w:rPr>
          <w:rFonts w:ascii="Arial" w:cs="Arial" w:eastAsia="Arial" w:hAnsi="Arial"/>
          <w:sz w:val="17"/>
          <w:szCs w:val="17"/>
          <w:color w:val="auto"/>
        </w:rPr>
        <w:t xml:space="preserve"> </w:t>
      </w:r>
      <w:r>
        <w:rPr>
          <w:rFonts w:ascii="Arial" w:cs="Arial" w:eastAsia="Arial" w:hAnsi="Arial"/>
          <w:sz w:val="15"/>
          <w:szCs w:val="15"/>
          <w:color w:val="auto"/>
        </w:rPr>
        <w:t>(and, if such Borrowing is the initial Credit Extension,</w:t>
      </w:r>
      <w:r>
        <w:rPr>
          <w:rFonts w:ascii="Arial" w:cs="Arial" w:eastAsia="Arial" w:hAnsi="Arial"/>
          <w:sz w:val="17"/>
          <w:szCs w:val="17"/>
          <w:color w:val="auto"/>
        </w:rPr>
        <w:t xml:space="preserve"> </w:t>
      </w:r>
      <w:r>
        <w:rPr>
          <w:rFonts w:ascii="Arial" w:cs="Arial" w:eastAsia="Arial" w:hAnsi="Arial"/>
          <w:sz w:val="15"/>
          <w:szCs w:val="15"/>
          <w:u w:val="single" w:color="auto"/>
          <w:color w:val="auto"/>
        </w:rPr>
        <w:t>Section</w:t>
      </w:r>
      <w:r>
        <w:rPr>
          <w:rFonts w:ascii="Arial" w:cs="Arial" w:eastAsia="Arial" w:hAnsi="Arial"/>
          <w:sz w:val="17"/>
          <w:szCs w:val="17"/>
          <w:color w:val="auto"/>
        </w:rPr>
        <w:t xml:space="preserve"> </w:t>
      </w:r>
      <w:r>
        <w:rPr>
          <w:rFonts w:ascii="Arial" w:cs="Arial" w:eastAsia="Arial" w:hAnsi="Arial"/>
          <w:sz w:val="15"/>
          <w:szCs w:val="15"/>
          <w:u w:val="single" w:color="auto"/>
          <w:color w:val="auto"/>
        </w:rPr>
        <w:t>4.01</w:t>
      </w:r>
      <w:r>
        <w:rPr>
          <w:rFonts w:ascii="Arial" w:cs="Arial" w:eastAsia="Arial" w:hAnsi="Arial"/>
          <w:sz w:val="15"/>
          <w:szCs w:val="15"/>
          <w:color w:val="auto"/>
        </w:rPr>
        <w:t xml:space="preserve">), the Administrative Agent shall make all funds so received available to the Company or the other applicable Borrower in like funds as received by the Administrative Agent either by (i) crediting the account of such Borrower on the books of Bank of America with the amount of such funds or (ii) wire transfer of such funds, in each case in accordance with instructions provided to (and reasonably acceptable to) the Administrative Agent by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on the date the Committed Loan Notice with respect to a Revolving Credit Borrowing is given by a U.S. Borrower, there are L/C Borrowings outstanding, then the proceeds of such Revolving Credit Borrowing, </w:t>
      </w:r>
      <w:r>
        <w:rPr>
          <w:rFonts w:ascii="Arial" w:cs="Arial" w:eastAsia="Arial" w:hAnsi="Arial"/>
          <w:sz w:val="15"/>
          <w:szCs w:val="15"/>
          <w:u w:val="single" w:color="auto"/>
          <w:color w:val="auto"/>
        </w:rPr>
        <w:t>first</w:t>
      </w:r>
      <w:r>
        <w:rPr>
          <w:rFonts w:ascii="Arial" w:cs="Arial" w:eastAsia="Arial" w:hAnsi="Arial"/>
          <w:sz w:val="15"/>
          <w:szCs w:val="15"/>
          <w:color w:val="auto"/>
        </w:rPr>
        <w:t xml:space="preserve">, shall be applied to the payment in full of any such L/C Borrowings, and, </w:t>
      </w:r>
      <w:r>
        <w:rPr>
          <w:rFonts w:ascii="Arial" w:cs="Arial" w:eastAsia="Arial" w:hAnsi="Arial"/>
          <w:sz w:val="15"/>
          <w:szCs w:val="15"/>
          <w:u w:val="single" w:color="auto"/>
          <w:color w:val="auto"/>
        </w:rPr>
        <w:t>second</w:t>
      </w:r>
      <w:r>
        <w:rPr>
          <w:rFonts w:ascii="Arial" w:cs="Arial" w:eastAsia="Arial" w:hAnsi="Arial"/>
          <w:sz w:val="15"/>
          <w:szCs w:val="15"/>
          <w:color w:val="auto"/>
        </w:rPr>
        <w:t>, shall be made available to the applicable Borrower as provided above.</w:t>
      </w:r>
    </w:p>
    <w:p>
      <w:pPr>
        <w:spacing w:after="0" w:line="166" w:lineRule="exact"/>
        <w:rPr>
          <w:sz w:val="20"/>
          <w:szCs w:val="20"/>
          <w:color w:val="auto"/>
        </w:rPr>
      </w:pPr>
    </w:p>
    <w:p>
      <w:pPr>
        <w:jc w:val="both"/>
        <w:ind w:firstLine="709"/>
        <w:spacing w:after="0" w:line="270" w:lineRule="auto"/>
        <w:tabs>
          <w:tab w:leader="none" w:pos="95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Except as otherwise provided herein, a Eurocurrency Rate Loan may be continued or converted only on the last day of an Interest Period for such Eurocurrency Rate Loan. During the existence of a Default, no Loans may be requested as, converted to or continued as Eurocurrency Rate Loans (whether in Dollars or any Alternative Currency) without the consent of the Required Lenders, and the Required Lenders may demand that any or all of the then outstanding Eurocurrency Rate Loans denominated in an Alternative Currency be prepaid, or redenominated into Dollars in the amount of the Dollar Equivalent thereof, on the last day of the then current Interest Period with respect thereto.</w:t>
      </w:r>
    </w:p>
    <w:p>
      <w:pPr>
        <w:spacing w:after="0" w:line="148" w:lineRule="exact"/>
        <w:rPr>
          <w:rFonts w:ascii="Arial" w:cs="Arial" w:eastAsia="Arial" w:hAnsi="Arial"/>
          <w:sz w:val="16"/>
          <w:szCs w:val="16"/>
          <w:color w:val="auto"/>
        </w:rPr>
      </w:pPr>
    </w:p>
    <w:p>
      <w:pPr>
        <w:jc w:val="both"/>
        <w:ind w:firstLine="709"/>
        <w:spacing w:after="0" w:line="253"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Administrative Agent shall promptly notify the Company and the Lenders of the interest rate applicable to any Interest Period for Eurocurrency Rate Loans upon determination of such interest rate. At any time that Base Rate Loans are outstanding, the Administrative Agent shall notify the Company and the Lenders of any change in Bank of America’s prime rate used in determining the Base Rate promptly following the public announcement of such change.</w:t>
      </w:r>
    </w:p>
    <w:p>
      <w:pPr>
        <w:spacing w:after="0" w:line="160" w:lineRule="exact"/>
        <w:rPr>
          <w:rFonts w:ascii="Arial" w:cs="Arial" w:eastAsia="Arial" w:hAnsi="Arial"/>
          <w:sz w:val="17"/>
          <w:szCs w:val="17"/>
          <w:color w:val="auto"/>
        </w:rPr>
      </w:pPr>
    </w:p>
    <w:p>
      <w:pPr>
        <w:ind w:firstLine="709"/>
        <w:spacing w:after="0" w:line="271" w:lineRule="auto"/>
        <w:tabs>
          <w:tab w:leader="none" w:pos="951" w:val="left"/>
        </w:tabs>
        <w:numPr>
          <w:ilvl w:val="0"/>
          <w:numId w:val="28"/>
        </w:numPr>
        <w:rPr>
          <w:rFonts w:ascii="Arial" w:cs="Arial" w:eastAsia="Arial" w:hAnsi="Arial"/>
          <w:sz w:val="17"/>
          <w:szCs w:val="17"/>
          <w:color w:val="auto"/>
        </w:rPr>
      </w:pPr>
      <w:r>
        <w:rPr>
          <w:rFonts w:ascii="Arial" w:cs="Arial" w:eastAsia="Arial" w:hAnsi="Arial"/>
          <w:sz w:val="17"/>
          <w:szCs w:val="17"/>
          <w:color w:val="auto"/>
        </w:rPr>
        <w:t>After giving effect to all Borrowings, all conversions of Loans from one Type to the other, and all continuations of Loans as the same Type, there shall not be more than twelve (12) Interest Periods in effect with respect to Loans.</w:t>
      </w:r>
    </w:p>
    <w:p>
      <w:pPr>
        <w:spacing w:after="0" w:line="144" w:lineRule="exact"/>
        <w:rPr>
          <w:rFonts w:ascii="Arial" w:cs="Arial" w:eastAsia="Arial" w:hAnsi="Arial"/>
          <w:sz w:val="17"/>
          <w:szCs w:val="17"/>
          <w:color w:val="auto"/>
        </w:rPr>
      </w:pPr>
    </w:p>
    <w:p>
      <w:pPr>
        <w:jc w:val="both"/>
        <w:ind w:firstLine="709"/>
        <w:spacing w:after="0" w:line="251" w:lineRule="auto"/>
        <w:tabs>
          <w:tab w:leader="none" w:pos="937"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The Borrowers may, at any time and from time to time, upon prior written notice from the Company to the Administrative Agent, increase the Revolving Credit Facility (but not the Letter of Credit Sublimit, the Swing Line Sublimit, the Canadian Borrower Sublimit or the Gentherm Germany Sublimit) or incur Add-On Company Term Loans by a maximum aggregate principal amount of up to FIFTY MILLION DOLLARS ($50,000,000) (it being understood and agreed that the aggregate principal amount of Revolving Credit Facility increases and Add-On Company Term Loans incurred pursuant to this </w:t>
      </w:r>
      <w:r>
        <w:rPr>
          <w:rFonts w:ascii="Arial" w:cs="Arial" w:eastAsia="Arial" w:hAnsi="Arial"/>
          <w:sz w:val="17"/>
          <w:szCs w:val="17"/>
          <w:u w:val="single" w:color="auto"/>
          <w:color w:val="auto"/>
        </w:rPr>
        <w:t>Section 2.02(f)</w:t>
      </w:r>
      <w:r>
        <w:rPr>
          <w:rFonts w:ascii="Arial" w:cs="Arial" w:eastAsia="Arial" w:hAnsi="Arial"/>
          <w:sz w:val="17"/>
          <w:szCs w:val="17"/>
          <w:color w:val="auto"/>
        </w:rPr>
        <w:t xml:space="preserve"> shall not exceed $50,000,000):</w:t>
      </w:r>
    </w:p>
    <w:p>
      <w:pPr>
        <w:spacing w:after="0" w:line="161" w:lineRule="exact"/>
        <w:rPr>
          <w:rFonts w:ascii="Arial" w:cs="Arial" w:eastAsia="Arial" w:hAnsi="Arial"/>
          <w:sz w:val="17"/>
          <w:szCs w:val="17"/>
          <w:color w:val="auto"/>
        </w:rPr>
      </w:pPr>
    </w:p>
    <w:p>
      <w:pPr>
        <w:jc w:val="both"/>
        <w:ind w:left="760" w:firstLine="660"/>
        <w:spacing w:after="0" w:line="274" w:lineRule="auto"/>
        <w:tabs>
          <w:tab w:leader="none" w:pos="1638"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Increase in Revolving Credit Facility</w:t>
      </w:r>
      <w:r>
        <w:rPr>
          <w:rFonts w:ascii="Arial" w:cs="Arial" w:eastAsia="Arial" w:hAnsi="Arial"/>
          <w:sz w:val="16"/>
          <w:szCs w:val="16"/>
          <w:color w:val="auto"/>
        </w:rPr>
        <w:t xml:space="preserve">. The Borrowers may increase the Revolving Credit Facility (but not the Letter of Credit Sublimit, the Swing Line Sublimit, the Canadian Borrower Sublimit or the Gentherm Germany Sublimit) with additional Revolving Credit Commitments from any existing Revolving Credit Lender or new Revolving Credit Commitments from any other Person selected by the Borrowers and reasonably acceptable to the Administrative Agent, the L/C Issuer and the Swing Line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44" w:lineRule="exact"/>
        <w:rPr>
          <w:rFonts w:ascii="Arial" w:cs="Arial" w:eastAsia="Arial" w:hAnsi="Arial"/>
          <w:sz w:val="16"/>
          <w:szCs w:val="16"/>
          <w:color w:val="auto"/>
        </w:rPr>
      </w:pPr>
    </w:p>
    <w:p>
      <w:pPr>
        <w:ind w:left="1520" w:right="20" w:firstLine="612"/>
        <w:spacing w:after="0" w:line="271" w:lineRule="auto"/>
        <w:tabs>
          <w:tab w:leader="none" w:pos="2437" w:val="left"/>
        </w:tabs>
        <w:numPr>
          <w:ilvl w:val="2"/>
          <w:numId w:val="28"/>
        </w:numPr>
        <w:rPr>
          <w:rFonts w:ascii="Arial" w:cs="Arial" w:eastAsia="Arial" w:hAnsi="Arial"/>
          <w:sz w:val="17"/>
          <w:szCs w:val="17"/>
          <w:color w:val="auto"/>
        </w:rPr>
      </w:pPr>
      <w:r>
        <w:rPr>
          <w:rFonts w:ascii="Arial" w:cs="Arial" w:eastAsia="Arial" w:hAnsi="Arial"/>
          <w:sz w:val="17"/>
          <w:szCs w:val="17"/>
          <w:color w:val="auto"/>
        </w:rPr>
        <w:t>any such increase shall be in a minimum principal amount of $2,000,000 and in integral multiples of $500,000 in excess thereof;</w:t>
      </w:r>
    </w:p>
    <w:p>
      <w:pPr>
        <w:spacing w:after="0" w:line="144" w:lineRule="exact"/>
        <w:rPr>
          <w:rFonts w:ascii="Arial" w:cs="Arial" w:eastAsia="Arial" w:hAnsi="Arial"/>
          <w:sz w:val="17"/>
          <w:szCs w:val="17"/>
          <w:color w:val="auto"/>
        </w:rPr>
      </w:pPr>
    </w:p>
    <w:p>
      <w:pPr>
        <w:ind w:left="1520" w:firstLine="612"/>
        <w:spacing w:after="0" w:line="271" w:lineRule="auto"/>
        <w:tabs>
          <w:tab w:leader="none" w:pos="2414" w:val="left"/>
        </w:tabs>
        <w:numPr>
          <w:ilvl w:val="2"/>
          <w:numId w:val="28"/>
        </w:numPr>
        <w:rPr>
          <w:rFonts w:ascii="Arial" w:cs="Arial" w:eastAsia="Arial" w:hAnsi="Arial"/>
          <w:sz w:val="17"/>
          <w:szCs w:val="17"/>
          <w:color w:val="auto"/>
        </w:rPr>
      </w:pPr>
      <w:r>
        <w:rPr>
          <w:rFonts w:ascii="Arial" w:cs="Arial" w:eastAsia="Arial" w:hAnsi="Arial"/>
          <w:sz w:val="17"/>
          <w:szCs w:val="17"/>
          <w:color w:val="auto"/>
        </w:rPr>
        <w:t>no Default or Event of Default shall exist and be continuing at the time of any such increase, or after giving effect to any such increase;</w:t>
      </w:r>
    </w:p>
    <w:p>
      <w:pPr>
        <w:spacing w:after="0" w:line="144" w:lineRule="exact"/>
        <w:rPr>
          <w:rFonts w:ascii="Arial" w:cs="Arial" w:eastAsia="Arial" w:hAnsi="Arial"/>
          <w:sz w:val="17"/>
          <w:szCs w:val="17"/>
          <w:color w:val="auto"/>
        </w:rPr>
      </w:pPr>
    </w:p>
    <w:p>
      <w:pPr>
        <w:jc w:val="both"/>
        <w:ind w:left="1520" w:right="20" w:firstLine="612"/>
        <w:spacing w:after="0" w:line="257" w:lineRule="auto"/>
        <w:tabs>
          <w:tab w:leader="none" w:pos="2417" w:val="left"/>
        </w:tabs>
        <w:numPr>
          <w:ilvl w:val="2"/>
          <w:numId w:val="28"/>
        </w:numPr>
        <w:rPr>
          <w:rFonts w:ascii="Arial" w:cs="Arial" w:eastAsia="Arial" w:hAnsi="Arial"/>
          <w:sz w:val="17"/>
          <w:szCs w:val="17"/>
          <w:color w:val="auto"/>
        </w:rPr>
      </w:pPr>
      <w:r>
        <w:rPr>
          <w:rFonts w:ascii="Arial" w:cs="Arial" w:eastAsia="Arial" w:hAnsi="Arial"/>
          <w:sz w:val="17"/>
          <w:szCs w:val="17"/>
          <w:color w:val="auto"/>
        </w:rPr>
        <w:t>no existing Revolving Credit Lender shall be under any obligation to increase its Revolving Credit Commitment and any such decision whether to increase its Revolving Credit Commitment shall be in such Revolving Credit Lender’s sole and absolute discretion;</w:t>
      </w:r>
    </w:p>
    <w:p>
      <w:pPr>
        <w:spacing w:after="0" w:line="157"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680"/>
          </w:cols>
          <w:pgMar w:left="1000" w:top="312" w:right="219" w:bottom="1440" w:gutter="0" w:footer="0" w:header="0"/>
        </w:sectPr>
      </w:pPr>
    </w:p>
    <w:bookmarkStart w:id="49" w:name="page50"/>
    <w:bookmarkEnd w:id="49"/>
    <w:p>
      <w:pPr>
        <w:jc w:val="both"/>
        <w:ind w:left="1080" w:firstLine="612"/>
        <w:spacing w:after="0" w:line="253" w:lineRule="auto"/>
        <w:tabs>
          <w:tab w:leader="none" w:pos="1984"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(1) any new Revolving Credit Lender shall join this Agreement by executing a joinder agreement in substantially the form of </w:t>
      </w:r>
      <w:r>
        <w:rPr>
          <w:rFonts w:ascii="Arial" w:cs="Arial" w:eastAsia="Arial" w:hAnsi="Arial"/>
          <w:sz w:val="17"/>
          <w:szCs w:val="17"/>
          <w:u w:val="single" w:color="auto"/>
          <w:color w:val="auto"/>
        </w:rPr>
        <w:t>Exhibit H-1</w:t>
      </w:r>
      <w:r>
        <w:rPr>
          <w:rFonts w:ascii="Arial" w:cs="Arial" w:eastAsia="Arial" w:hAnsi="Arial"/>
          <w:sz w:val="17"/>
          <w:szCs w:val="17"/>
          <w:color w:val="auto"/>
        </w:rPr>
        <w:t xml:space="preserve"> (a “</w:t>
      </w:r>
      <w:r>
        <w:rPr>
          <w:rFonts w:ascii="Arial" w:cs="Arial" w:eastAsia="Arial" w:hAnsi="Arial"/>
          <w:sz w:val="17"/>
          <w:szCs w:val="17"/>
          <w:u w:val="single" w:color="auto"/>
          <w:color w:val="auto"/>
        </w:rPr>
        <w:t>Lender Joinder Agreement</w:t>
      </w:r>
      <w:r>
        <w:rPr>
          <w:rFonts w:ascii="Arial" w:cs="Arial" w:eastAsia="Arial" w:hAnsi="Arial"/>
          <w:sz w:val="17"/>
          <w:szCs w:val="17"/>
          <w:color w:val="auto"/>
        </w:rPr>
        <w:t xml:space="preserve">”) and/or (2) any existing Revolving Credit Lender electing to increase its Revolving Credit Commitment shall have executed a commitment agreement in substantially the form on </w:t>
      </w:r>
      <w:r>
        <w:rPr>
          <w:rFonts w:ascii="Arial" w:cs="Arial" w:eastAsia="Arial" w:hAnsi="Arial"/>
          <w:sz w:val="17"/>
          <w:szCs w:val="17"/>
          <w:u w:val="single" w:color="auto"/>
          <w:color w:val="auto"/>
        </w:rPr>
        <w:t>Exhibit H-2</w:t>
      </w:r>
      <w:r>
        <w:rPr>
          <w:rFonts w:ascii="Arial" w:cs="Arial" w:eastAsia="Arial" w:hAnsi="Arial"/>
          <w:sz w:val="17"/>
          <w:szCs w:val="17"/>
          <w:color w:val="auto"/>
        </w:rPr>
        <w:t xml:space="preserve"> (a “</w:t>
      </w:r>
      <w:r>
        <w:rPr>
          <w:rFonts w:ascii="Arial" w:cs="Arial" w:eastAsia="Arial" w:hAnsi="Arial"/>
          <w:sz w:val="17"/>
          <w:szCs w:val="17"/>
          <w:u w:val="single" w:color="auto"/>
          <w:color w:val="auto"/>
        </w:rPr>
        <w:t>Lender</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Commitment Agreement</w:t>
      </w:r>
      <w:r>
        <w:rPr>
          <w:rFonts w:ascii="Arial" w:cs="Arial" w:eastAsia="Arial" w:hAnsi="Arial"/>
          <w:sz w:val="17"/>
          <w:szCs w:val="17"/>
          <w:color w:val="auto"/>
        </w:rPr>
        <w:t>”);</w:t>
      </w:r>
    </w:p>
    <w:p>
      <w:pPr>
        <w:spacing w:after="0" w:line="160" w:lineRule="exact"/>
        <w:rPr>
          <w:rFonts w:ascii="Arial" w:cs="Arial" w:eastAsia="Arial" w:hAnsi="Arial"/>
          <w:sz w:val="17"/>
          <w:szCs w:val="17"/>
          <w:color w:val="auto"/>
        </w:rPr>
      </w:pPr>
    </w:p>
    <w:p>
      <w:pPr>
        <w:jc w:val="both"/>
        <w:ind w:left="1080" w:firstLine="612"/>
        <w:spacing w:after="0" w:line="270" w:lineRule="auto"/>
        <w:tabs>
          <w:tab w:leader="none" w:pos="1967"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a Responsible Officer of the Company shall deliver to the Administrative Agent a Pro Forma Compliance Certificate demonstrating that, upon giving effect to any such increase in the Revolving Credit Facility on a Pro Forma Basis (and assuming for purposes of such calculation that any such increase to the Revolving Credit Facility is fully drawn), the Loan Parties would be in compliance with the financial covenants set forth in </w:t>
      </w:r>
      <w:r>
        <w:rPr>
          <w:rFonts w:ascii="Arial" w:cs="Arial" w:eastAsia="Arial" w:hAnsi="Arial"/>
          <w:sz w:val="16"/>
          <w:szCs w:val="16"/>
          <w:u w:val="single" w:color="auto"/>
          <w:color w:val="auto"/>
        </w:rPr>
        <w:t>Section 7.11(a)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as of the most recent fiscal quarter for which the Company was required to deliver financial statements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jc w:val="both"/>
        <w:ind w:left="1080" w:firstLine="612"/>
        <w:spacing w:after="0" w:line="263" w:lineRule="auto"/>
        <w:tabs>
          <w:tab w:leader="none" w:pos="1958"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as a condition precedent to such increase, the Company shall deliver to the Administrative Agent (for delivery to the Lenders) a combined certificate of all Loan Parties (other than, in the case of an increase by any U.S. Borrower, each Foreign Obligor) dated as of the date of such increase signed by a Responsible Officer of each Loan Party (other than, in the case of an increase by any U.S. Borrower, each Foreign Obligor) (1) certifying and attaching the resolutions adopted by such Loan Party approving or consenting to such increase, and (2) in the case of each Borrower (other than, in the case of an increase by any U.S. Borrower, each Foreign Borrower), certifying that, before and after giving effect to such increase, (x) the representations and warranties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the other Loan Documents are true and correct in all material respects (and in all respects if any such representation or warranty is already qualified by materiality) on and as of the date of such increase, except (i)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 (ii) that for purposes of this </w:t>
      </w:r>
      <w:r>
        <w:rPr>
          <w:rFonts w:ascii="Arial" w:cs="Arial" w:eastAsia="Arial" w:hAnsi="Arial"/>
          <w:sz w:val="16"/>
          <w:szCs w:val="16"/>
          <w:u w:val="single" w:color="auto"/>
          <w:color w:val="auto"/>
        </w:rPr>
        <w:t>Section 2.02(f)(i)</w:t>
      </w:r>
      <w:r>
        <w:rPr>
          <w:rFonts w:ascii="Arial" w:cs="Arial" w:eastAsia="Arial" w:hAnsi="Arial"/>
          <w:sz w:val="16"/>
          <w:szCs w:val="16"/>
          <w:color w:val="auto"/>
        </w:rPr>
        <w:t xml:space="preserve">, the representations and warranties contained in subsections (a) and (b) of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5.05</w:t>
      </w:r>
      <w:r>
        <w:rPr>
          <w:rFonts w:ascii="Arial" w:cs="Arial" w:eastAsia="Arial" w:hAnsi="Arial"/>
          <w:sz w:val="16"/>
          <w:szCs w:val="16"/>
          <w:color w:val="auto"/>
        </w:rPr>
        <w:t xml:space="preserve"> shall be deemed to refer to the most recent statements furnished pursuant to clauses (a) and (b),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 and</w:t>
      </w:r>
    </w:p>
    <w:p>
      <w:pPr>
        <w:spacing w:after="0" w:line="157" w:lineRule="exact"/>
        <w:rPr>
          <w:rFonts w:ascii="Arial" w:cs="Arial" w:eastAsia="Arial" w:hAnsi="Arial"/>
          <w:sz w:val="16"/>
          <w:szCs w:val="16"/>
          <w:color w:val="auto"/>
        </w:rPr>
      </w:pPr>
    </w:p>
    <w:p>
      <w:pPr>
        <w:ind w:left="1080" w:right="20" w:firstLine="612"/>
        <w:spacing w:after="0" w:line="339" w:lineRule="auto"/>
        <w:tabs>
          <w:tab w:leader="none" w:pos="1972" w:val="left"/>
        </w:tabs>
        <w:numPr>
          <w:ilvl w:val="0"/>
          <w:numId w:val="29"/>
        </w:numPr>
        <w:rPr>
          <w:rFonts w:ascii="Arial" w:cs="Arial" w:eastAsia="Arial" w:hAnsi="Arial"/>
          <w:sz w:val="15"/>
          <w:szCs w:val="15"/>
          <w:color w:val="auto"/>
        </w:rPr>
      </w:pPr>
      <w:r>
        <w:rPr>
          <w:rFonts w:ascii="Arial" w:cs="Arial" w:eastAsia="Arial" w:hAnsi="Arial"/>
          <w:sz w:val="15"/>
          <w:szCs w:val="15"/>
          <w:u w:val="single" w:color="auto"/>
          <w:color w:val="auto"/>
        </w:rPr>
        <w:t>Schedule 2.01</w:t>
      </w:r>
      <w:r>
        <w:rPr>
          <w:rFonts w:ascii="Arial" w:cs="Arial" w:eastAsia="Arial" w:hAnsi="Arial"/>
          <w:sz w:val="15"/>
          <w:szCs w:val="15"/>
          <w:color w:val="auto"/>
        </w:rPr>
        <w:t xml:space="preserve"> shall be deemed revised to reflect the increase to the Revolving Credit Facility affected pursuant to this </w:t>
      </w:r>
      <w:r>
        <w:rPr>
          <w:rFonts w:ascii="Arial" w:cs="Arial" w:eastAsia="Arial" w:hAnsi="Arial"/>
          <w:sz w:val="15"/>
          <w:szCs w:val="15"/>
          <w:u w:val="single" w:color="auto"/>
          <w:color w:val="auto"/>
        </w:rPr>
        <w:t>Section 2.02(f)(i)</w:t>
      </w:r>
      <w:r>
        <w:rPr>
          <w:rFonts w:ascii="Arial" w:cs="Arial" w:eastAsia="Arial" w:hAnsi="Arial"/>
          <w:sz w:val="15"/>
          <w:szCs w:val="15"/>
          <w:color w:val="auto"/>
        </w:rPr>
        <w:t xml:space="preserve"> and to include thereon any Person that becomes a Revolving Credit Lender pursuant to this </w:t>
      </w:r>
      <w:r>
        <w:rPr>
          <w:rFonts w:ascii="Arial" w:cs="Arial" w:eastAsia="Arial" w:hAnsi="Arial"/>
          <w:sz w:val="15"/>
          <w:szCs w:val="15"/>
          <w:u w:val="single" w:color="auto"/>
          <w:color w:val="auto"/>
        </w:rPr>
        <w:t>Section 2.01(f)(i)</w:t>
      </w:r>
      <w:r>
        <w:rPr>
          <w:rFonts w:ascii="Arial" w:cs="Arial" w:eastAsia="Arial" w:hAnsi="Arial"/>
          <w:sz w:val="15"/>
          <w:szCs w:val="15"/>
          <w:color w:val="auto"/>
        </w:rPr>
        <w:t>.</w:t>
      </w:r>
    </w:p>
    <w:p>
      <w:pPr>
        <w:spacing w:after="0" w:line="99" w:lineRule="exact"/>
        <w:rPr>
          <w:sz w:val="20"/>
          <w:szCs w:val="20"/>
          <w:color w:val="auto"/>
        </w:rPr>
      </w:pPr>
    </w:p>
    <w:p>
      <w:pPr>
        <w:jc w:val="both"/>
        <w:ind w:left="320"/>
        <w:spacing w:after="0" w:line="281" w:lineRule="auto"/>
        <w:rPr>
          <w:sz w:val="20"/>
          <w:szCs w:val="20"/>
          <w:color w:val="auto"/>
        </w:rPr>
      </w:pPr>
      <w:r>
        <w:rPr>
          <w:rFonts w:ascii="Arial" w:cs="Arial" w:eastAsia="Arial" w:hAnsi="Arial"/>
          <w:sz w:val="16"/>
          <w:szCs w:val="16"/>
          <w:color w:val="auto"/>
        </w:rPr>
        <w:t xml:space="preserve">The Borrowers shall prepay any Loans owing by them and outstanding on the date of any such increase (and pay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to the extent necessary to keep the outstanding Revolving Credit Loans ratable with any revised Revolving Credit Commitments arising from any nonratable increase in the Revolving Credit Commitments under this </w:t>
      </w:r>
      <w:r>
        <w:rPr>
          <w:rFonts w:ascii="Arial" w:cs="Arial" w:eastAsia="Arial" w:hAnsi="Arial"/>
          <w:sz w:val="16"/>
          <w:szCs w:val="16"/>
          <w:u w:val="single" w:color="auto"/>
          <w:color w:val="auto"/>
        </w:rPr>
        <w:t>Section 2.02(f)(i)</w:t>
      </w:r>
      <w:r>
        <w:rPr>
          <w:rFonts w:ascii="Arial" w:cs="Arial" w:eastAsia="Arial" w:hAnsi="Arial"/>
          <w:sz w:val="16"/>
          <w:szCs w:val="16"/>
          <w:color w:val="auto"/>
        </w:rPr>
        <w:t>.</w:t>
      </w:r>
    </w:p>
    <w:p>
      <w:pPr>
        <w:spacing w:after="0" w:line="139" w:lineRule="exact"/>
        <w:rPr>
          <w:sz w:val="20"/>
          <w:szCs w:val="20"/>
          <w:color w:val="auto"/>
        </w:rPr>
      </w:pPr>
    </w:p>
    <w:p>
      <w:pPr>
        <w:ind w:left="320" w:firstLine="660"/>
        <w:spacing w:after="0" w:line="271" w:lineRule="auto"/>
        <w:tabs>
          <w:tab w:leader="none" w:pos="1246"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Add-On Company Term Loans</w:t>
      </w:r>
      <w:r>
        <w:rPr>
          <w:rFonts w:ascii="Arial" w:cs="Arial" w:eastAsia="Arial" w:hAnsi="Arial"/>
          <w:sz w:val="17"/>
          <w:szCs w:val="17"/>
          <w:color w:val="auto"/>
        </w:rPr>
        <w:t>. The Borrowers may, upon prior written notice by the Company to the Administrative Agent, institute an Add-On Company Term Loan in Dollars, as follows:</w:t>
      </w:r>
    </w:p>
    <w:p>
      <w:pPr>
        <w:spacing w:after="0" w:line="144" w:lineRule="exact"/>
        <w:rPr>
          <w:rFonts w:ascii="Arial" w:cs="Arial" w:eastAsia="Arial" w:hAnsi="Arial"/>
          <w:sz w:val="17"/>
          <w:szCs w:val="17"/>
          <w:color w:val="auto"/>
        </w:rPr>
      </w:pPr>
    </w:p>
    <w:p>
      <w:pPr>
        <w:jc w:val="both"/>
        <w:ind w:left="1080" w:firstLine="612"/>
        <w:spacing w:after="0" w:line="204" w:lineRule="exact"/>
        <w:tabs>
          <w:tab w:leader="none" w:pos="2005" w:val="left"/>
        </w:tabs>
        <w:numPr>
          <w:ilvl w:val="1"/>
          <w:numId w:val="30"/>
        </w:numPr>
        <w:rPr>
          <w:rFonts w:ascii="Arial" w:cs="Arial" w:eastAsia="Arial" w:hAnsi="Arial"/>
          <w:sz w:val="17"/>
          <w:szCs w:val="17"/>
          <w:color w:val="auto"/>
        </w:rPr>
      </w:pPr>
      <w:r>
        <w:rPr>
          <w:rFonts w:ascii="Arial" w:cs="Arial" w:eastAsia="Arial" w:hAnsi="Arial"/>
          <w:sz w:val="17"/>
          <w:szCs w:val="17"/>
          <w:color w:val="auto"/>
        </w:rPr>
        <w:t>the Company (in consultation and coordination with the Administrative Agent) shall obtain commitments for the amount of such Add-On Company Term Loan from existing Lenders or other Persons selected by the Company and reasonably acceptable to the Administrative Agent, which Lenders shall join in this Agreement as Add</w:t>
      </w:r>
      <w:r>
        <w:rPr>
          <w:rFonts w:ascii="MS PGothic" w:cs="MS PGothic" w:eastAsia="MS PGothic" w:hAnsi="MS PGothic"/>
          <w:sz w:val="17"/>
          <w:szCs w:val="17"/>
          <w:color w:val="auto"/>
        </w:rPr>
        <w:t>‑</w:t>
      </w:r>
      <w:r>
        <w:rPr>
          <w:rFonts w:ascii="Arial" w:cs="Arial" w:eastAsia="Arial" w:hAnsi="Arial"/>
          <w:sz w:val="17"/>
          <w:szCs w:val="17"/>
          <w:color w:val="auto"/>
        </w:rPr>
        <w:t>On Company Term Lenders by executing an Add</w:t>
      </w:r>
      <w:r>
        <w:rPr>
          <w:rFonts w:ascii="MS PGothic" w:cs="MS PGothic" w:eastAsia="MS PGothic" w:hAnsi="MS PGothic"/>
          <w:sz w:val="17"/>
          <w:szCs w:val="17"/>
          <w:color w:val="auto"/>
        </w:rPr>
        <w:t>‑</w:t>
      </w:r>
      <w:r>
        <w:rPr>
          <w:rFonts w:ascii="Arial" w:cs="Arial" w:eastAsia="Arial" w:hAnsi="Arial"/>
          <w:sz w:val="17"/>
          <w:szCs w:val="17"/>
          <w:color w:val="auto"/>
        </w:rPr>
        <w:t>On Company Term Lender Joinder Agreement;</w:t>
      </w:r>
    </w:p>
    <w:p>
      <w:pPr>
        <w:spacing w:after="0" w:line="170" w:lineRule="exact"/>
        <w:rPr>
          <w:rFonts w:ascii="Arial" w:cs="Arial" w:eastAsia="Arial" w:hAnsi="Arial"/>
          <w:sz w:val="17"/>
          <w:szCs w:val="17"/>
          <w:color w:val="auto"/>
        </w:rPr>
      </w:pPr>
    </w:p>
    <w:p>
      <w:pPr>
        <w:ind w:left="1080" w:firstLine="612"/>
        <w:spacing w:after="0" w:line="208" w:lineRule="exact"/>
        <w:tabs>
          <w:tab w:leader="none" w:pos="2003" w:val="left"/>
        </w:tabs>
        <w:numPr>
          <w:ilvl w:val="1"/>
          <w:numId w:val="30"/>
        </w:numPr>
        <w:rPr>
          <w:rFonts w:ascii="Arial" w:cs="Arial" w:eastAsia="Arial" w:hAnsi="Arial"/>
          <w:sz w:val="17"/>
          <w:szCs w:val="17"/>
          <w:color w:val="auto"/>
        </w:rPr>
      </w:pPr>
      <w:r>
        <w:rPr>
          <w:rFonts w:ascii="Arial" w:cs="Arial" w:eastAsia="Arial" w:hAnsi="Arial"/>
          <w:sz w:val="17"/>
          <w:szCs w:val="17"/>
          <w:color w:val="auto"/>
        </w:rPr>
        <w:t>any such institution of an Add</w:t>
      </w:r>
      <w:r>
        <w:rPr>
          <w:rFonts w:ascii="MS PGothic" w:cs="MS PGothic" w:eastAsia="MS PGothic" w:hAnsi="MS PGothic"/>
          <w:sz w:val="17"/>
          <w:szCs w:val="17"/>
          <w:color w:val="auto"/>
        </w:rPr>
        <w:t>‑</w:t>
      </w:r>
      <w:r>
        <w:rPr>
          <w:rFonts w:ascii="Arial" w:cs="Arial" w:eastAsia="Arial" w:hAnsi="Arial"/>
          <w:sz w:val="17"/>
          <w:szCs w:val="17"/>
          <w:color w:val="auto"/>
        </w:rPr>
        <w:t>On Company Term Loan shall be in a minimum aggregate principal amount of $5,000,000 and integral multiples of $500,000 in excess thereof;</w:t>
      </w:r>
    </w:p>
    <w:p>
      <w:pPr>
        <w:spacing w:after="0" w:line="170" w:lineRule="exact"/>
        <w:rPr>
          <w:rFonts w:ascii="Arial" w:cs="Arial" w:eastAsia="Arial" w:hAnsi="Arial"/>
          <w:sz w:val="17"/>
          <w:szCs w:val="17"/>
          <w:color w:val="auto"/>
        </w:rPr>
      </w:pPr>
    </w:p>
    <w:p>
      <w:pPr>
        <w:ind w:left="1960" w:hanging="268"/>
        <w:spacing w:after="0"/>
        <w:tabs>
          <w:tab w:leader="none" w:pos="19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no Default or Event of Default shall exist and be continuing at the time of, or after giving effect to, such institution;</w:t>
      </w: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240"/>
          </w:cols>
          <w:pgMar w:left="1440" w:top="312" w:right="219" w:bottom="1440" w:gutter="0" w:footer="0" w:header="0"/>
        </w:sectPr>
      </w:pPr>
    </w:p>
    <w:bookmarkStart w:id="50" w:name="page51"/>
    <w:bookmarkEnd w:id="50"/>
    <w:p>
      <w:pPr>
        <w:jc w:val="both"/>
        <w:ind w:left="1520" w:right="20" w:firstLine="612"/>
        <w:spacing w:after="0" w:line="274" w:lineRule="auto"/>
        <w:tabs>
          <w:tab w:leader="none" w:pos="2423"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a Responsible Officer of the Company shall deliver to the Administrative Agent a Pro Forma Compliance Certificate demonstrating that, upon giving effect to such institution of an Add-On Company Term Loan on a Pro Forma Basis, the Loan Parties would be in compliance with the financial covenants set forth in </w:t>
      </w:r>
      <w:r>
        <w:rPr>
          <w:rFonts w:ascii="Arial" w:cs="Arial" w:eastAsia="Arial" w:hAnsi="Arial"/>
          <w:sz w:val="16"/>
          <w:szCs w:val="16"/>
          <w:u w:val="single" w:color="auto"/>
          <w:color w:val="auto"/>
        </w:rPr>
        <w:t>Sections 7.11(a)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as of the most recent fiscal quarter for which the Company was required to deliver financial statements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w:t>
      </w:r>
    </w:p>
    <w:p>
      <w:pPr>
        <w:spacing w:after="0" w:line="144" w:lineRule="exact"/>
        <w:rPr>
          <w:rFonts w:ascii="Arial" w:cs="Arial" w:eastAsia="Arial" w:hAnsi="Arial"/>
          <w:sz w:val="16"/>
          <w:szCs w:val="16"/>
          <w:color w:val="auto"/>
        </w:rPr>
      </w:pPr>
    </w:p>
    <w:p>
      <w:pPr>
        <w:jc w:val="both"/>
        <w:ind w:left="1520" w:firstLine="612"/>
        <w:spacing w:after="0" w:line="205" w:lineRule="exact"/>
        <w:tabs>
          <w:tab w:leader="none" w:pos="2404"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Add</w:t>
      </w:r>
      <w:r>
        <w:rPr>
          <w:rFonts w:ascii="MS PGothic" w:cs="MS PGothic" w:eastAsia="MS PGothic" w:hAnsi="MS PGothic"/>
          <w:sz w:val="17"/>
          <w:szCs w:val="17"/>
          <w:color w:val="auto"/>
        </w:rPr>
        <w:t>‑</w:t>
      </w:r>
      <w:r>
        <w:rPr>
          <w:rFonts w:ascii="Arial" w:cs="Arial" w:eastAsia="Arial" w:hAnsi="Arial"/>
          <w:sz w:val="17"/>
          <w:szCs w:val="17"/>
          <w:color w:val="auto"/>
        </w:rPr>
        <w:t>On Company Term Maturity Date for an Add-On Company Term Loan shall be as set forth in the applicable Add</w:t>
      </w:r>
      <w:r>
        <w:rPr>
          <w:rFonts w:ascii="MS PGothic" w:cs="MS PGothic" w:eastAsia="MS PGothic" w:hAnsi="MS PGothic"/>
          <w:sz w:val="17"/>
          <w:szCs w:val="17"/>
          <w:color w:val="auto"/>
        </w:rPr>
        <w:t>‑</w:t>
      </w:r>
      <w:r>
        <w:rPr>
          <w:rFonts w:ascii="Arial" w:cs="Arial" w:eastAsia="Arial" w:hAnsi="Arial"/>
          <w:sz w:val="17"/>
          <w:szCs w:val="17"/>
          <w:color w:val="auto"/>
        </w:rPr>
        <w:t xml:space="preserve">On Company Term Lender Joinder Agreement;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no Add</w:t>
      </w:r>
      <w:r>
        <w:rPr>
          <w:rFonts w:ascii="MS PGothic" w:cs="MS PGothic" w:eastAsia="MS PGothic" w:hAnsi="MS PGothic"/>
          <w:sz w:val="17"/>
          <w:szCs w:val="17"/>
          <w:color w:val="auto"/>
        </w:rPr>
        <w:t>‑</w:t>
      </w:r>
      <w:r>
        <w:rPr>
          <w:rFonts w:ascii="Arial" w:cs="Arial" w:eastAsia="Arial" w:hAnsi="Arial"/>
          <w:sz w:val="17"/>
          <w:szCs w:val="17"/>
          <w:color w:val="auto"/>
        </w:rPr>
        <w:t>On Company Term Maturity Date shall be earlier than the Maturity Date;</w:t>
      </w:r>
    </w:p>
    <w:p>
      <w:pPr>
        <w:spacing w:after="0" w:line="172" w:lineRule="exact"/>
        <w:rPr>
          <w:rFonts w:ascii="Arial" w:cs="Arial" w:eastAsia="Arial" w:hAnsi="Arial"/>
          <w:sz w:val="17"/>
          <w:szCs w:val="17"/>
          <w:color w:val="auto"/>
        </w:rPr>
      </w:pPr>
    </w:p>
    <w:p>
      <w:pPr>
        <w:jc w:val="both"/>
        <w:ind w:left="1520" w:firstLine="612"/>
        <w:spacing w:after="0" w:line="204" w:lineRule="exact"/>
        <w:tabs>
          <w:tab w:leader="none" w:pos="2413"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scheduled principal amortization payments under an Add</w:t>
      </w:r>
      <w:r>
        <w:rPr>
          <w:rFonts w:ascii="MS PGothic" w:cs="MS PGothic" w:eastAsia="MS PGothic" w:hAnsi="MS PGothic"/>
          <w:sz w:val="17"/>
          <w:szCs w:val="17"/>
          <w:color w:val="auto"/>
        </w:rPr>
        <w:t>‑</w:t>
      </w:r>
      <w:r>
        <w:rPr>
          <w:rFonts w:ascii="Arial" w:cs="Arial" w:eastAsia="Arial" w:hAnsi="Arial"/>
          <w:sz w:val="17"/>
          <w:szCs w:val="17"/>
          <w:color w:val="auto"/>
        </w:rPr>
        <w:t>On Company Term Loan shall be as set forth in the applicable Add</w:t>
      </w:r>
      <w:r>
        <w:rPr>
          <w:rFonts w:ascii="MS PGothic" w:cs="MS PGothic" w:eastAsia="MS PGothic" w:hAnsi="MS PGothic"/>
          <w:sz w:val="17"/>
          <w:szCs w:val="17"/>
          <w:color w:val="auto"/>
        </w:rPr>
        <w:t>‑</w:t>
      </w:r>
      <w:r>
        <w:rPr>
          <w:rFonts w:ascii="Arial" w:cs="Arial" w:eastAsia="Arial" w:hAnsi="Arial"/>
          <w:sz w:val="17"/>
          <w:szCs w:val="17"/>
          <w:color w:val="auto"/>
        </w:rPr>
        <w:t xml:space="preserve">On Company Term Lender Joinder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the Weighted Average Life to Maturity of an Add-On Company Term Loan shall not be less than the Weighted Average Life to Maturity of either the Company Term Loan or the Gentherm Germany Term Loan;</w:t>
      </w:r>
    </w:p>
    <w:p>
      <w:pPr>
        <w:spacing w:after="0" w:line="170" w:lineRule="exact"/>
        <w:rPr>
          <w:rFonts w:ascii="Arial" w:cs="Arial" w:eastAsia="Arial" w:hAnsi="Arial"/>
          <w:sz w:val="17"/>
          <w:szCs w:val="17"/>
          <w:color w:val="auto"/>
        </w:rPr>
      </w:pPr>
    </w:p>
    <w:p>
      <w:pPr>
        <w:jc w:val="both"/>
        <w:ind w:left="1520" w:firstLine="612"/>
        <w:spacing w:after="0" w:line="201" w:lineRule="exact"/>
        <w:tabs>
          <w:tab w:leader="none" w:pos="2425" w:val="left"/>
        </w:tabs>
        <w:numPr>
          <w:ilvl w:val="0"/>
          <w:numId w:val="31"/>
        </w:numPr>
        <w:rPr>
          <w:rFonts w:ascii="Arial" w:cs="Arial" w:eastAsia="Arial" w:hAnsi="Arial"/>
          <w:sz w:val="15"/>
          <w:szCs w:val="15"/>
          <w:color w:val="auto"/>
        </w:rPr>
      </w:pPr>
      <w:r>
        <w:rPr>
          <w:rFonts w:ascii="Arial" w:cs="Arial" w:eastAsia="Arial" w:hAnsi="Arial"/>
          <w:sz w:val="15"/>
          <w:szCs w:val="15"/>
          <w:color w:val="auto"/>
        </w:rPr>
        <w:t>as a condition precedent to the institution of an Add</w:t>
      </w:r>
      <w:r>
        <w:rPr>
          <w:rFonts w:ascii="MS PGothic" w:cs="MS PGothic" w:eastAsia="MS PGothic" w:hAnsi="MS PGothic"/>
          <w:sz w:val="15"/>
          <w:szCs w:val="15"/>
          <w:color w:val="auto"/>
        </w:rPr>
        <w:t>‑</w:t>
      </w:r>
      <w:r>
        <w:rPr>
          <w:rFonts w:ascii="Arial" w:cs="Arial" w:eastAsia="Arial" w:hAnsi="Arial"/>
          <w:sz w:val="15"/>
          <w:szCs w:val="15"/>
          <w:color w:val="auto"/>
        </w:rPr>
        <w:t>On Company Term Loan and the effectiveness of the applicable Add</w:t>
      </w:r>
      <w:r>
        <w:rPr>
          <w:rFonts w:ascii="MS PGothic" w:cs="MS PGothic" w:eastAsia="MS PGothic" w:hAnsi="MS PGothic"/>
          <w:sz w:val="15"/>
          <w:szCs w:val="15"/>
          <w:color w:val="auto"/>
        </w:rPr>
        <w:t>‑</w:t>
      </w:r>
      <w:r>
        <w:rPr>
          <w:rFonts w:ascii="Arial" w:cs="Arial" w:eastAsia="Arial" w:hAnsi="Arial"/>
          <w:sz w:val="15"/>
          <w:szCs w:val="15"/>
          <w:color w:val="auto"/>
        </w:rPr>
        <w:t xml:space="preserve">On Company Term Lender Joinder Agreement, the Company shall deliver to the Administrative Agent a combined certificate of all Loan Parties (other than each Foreign Obligor) dated as of the date of such institution and effectiveness signed by a Responsible Officer of each Loan Party (other than each Foreign Obligor) (1) certifying and attaching the resolutions adopted by such Loan Party approving or consenting to such Add-On Company Term Loan, and (2) in the case of the Company, certifying that, before and after giving effect to the institution of such Add-On Company Term Loan, (x) the representations and warranties contained in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and the other Loan Documents are true and correct in all material respects (and in all respects if any such representation or warranty is already qualified by materiality) on and as of the date of such institution, except (i)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 (ii) that for purposes of this </w:t>
      </w:r>
      <w:r>
        <w:rPr>
          <w:rFonts w:ascii="Arial" w:cs="Arial" w:eastAsia="Arial" w:hAnsi="Arial"/>
          <w:sz w:val="15"/>
          <w:szCs w:val="15"/>
          <w:u w:val="single" w:color="auto"/>
          <w:color w:val="auto"/>
        </w:rPr>
        <w:t>Section 2.02(f)(ii)</w:t>
      </w:r>
      <w:r>
        <w:rPr>
          <w:rFonts w:ascii="Arial" w:cs="Arial" w:eastAsia="Arial" w:hAnsi="Arial"/>
          <w:sz w:val="15"/>
          <w:szCs w:val="15"/>
          <w:color w:val="auto"/>
        </w:rPr>
        <w:t xml:space="preserve">, the representations and warranties contained in subsections (a) and (b) of </w:t>
      </w:r>
      <w:r>
        <w:rPr>
          <w:rFonts w:ascii="Arial" w:cs="Arial" w:eastAsia="Arial" w:hAnsi="Arial"/>
          <w:sz w:val="15"/>
          <w:szCs w:val="15"/>
          <w:u w:val="single" w:color="auto"/>
          <w:color w:val="auto"/>
        </w:rPr>
        <w:t>Section 5.05</w:t>
      </w:r>
      <w:r>
        <w:rPr>
          <w:rFonts w:ascii="Arial" w:cs="Arial" w:eastAsia="Arial" w:hAnsi="Arial"/>
          <w:sz w:val="15"/>
          <w:szCs w:val="15"/>
          <w:color w:val="auto"/>
        </w:rPr>
        <w:t xml:space="preserve"> shall be deemed to refer to the most recent statements furnished pursuant to clauses (a) and (b), respectively, of </w:t>
      </w:r>
      <w:r>
        <w:rPr>
          <w:rFonts w:ascii="Arial" w:cs="Arial" w:eastAsia="Arial" w:hAnsi="Arial"/>
          <w:sz w:val="15"/>
          <w:szCs w:val="15"/>
          <w:u w:val="single" w:color="auto"/>
          <w:color w:val="auto"/>
        </w:rPr>
        <w:t>Section 6.01</w:t>
      </w:r>
      <w:r>
        <w:rPr>
          <w:rFonts w:ascii="Arial" w:cs="Arial" w:eastAsia="Arial" w:hAnsi="Arial"/>
          <w:sz w:val="15"/>
          <w:szCs w:val="15"/>
          <w:color w:val="auto"/>
        </w:rPr>
        <w:t>;</w:t>
      </w:r>
    </w:p>
    <w:p>
      <w:pPr>
        <w:spacing w:after="0" w:line="172" w:lineRule="exact"/>
        <w:rPr>
          <w:rFonts w:ascii="Arial" w:cs="Arial" w:eastAsia="Arial" w:hAnsi="Arial"/>
          <w:sz w:val="15"/>
          <w:szCs w:val="15"/>
          <w:color w:val="auto"/>
        </w:rPr>
      </w:pPr>
    </w:p>
    <w:p>
      <w:pPr>
        <w:jc w:val="both"/>
        <w:ind w:left="1520" w:firstLine="612"/>
        <w:spacing w:after="0" w:line="257" w:lineRule="auto"/>
        <w:tabs>
          <w:tab w:leader="none" w:pos="2432"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 existing Lender shall be under any obligation to become an Add-On Company Term Lender with respect to any Add-On Company Term Loan and any such decision whether to become an Add-On Company Term Lender shall be in such Lender’s sole discretion;</w:t>
      </w:r>
    </w:p>
    <w:p>
      <w:pPr>
        <w:spacing w:after="0" w:line="157" w:lineRule="exact"/>
        <w:rPr>
          <w:rFonts w:ascii="Arial" w:cs="Arial" w:eastAsia="Arial" w:hAnsi="Arial"/>
          <w:sz w:val="17"/>
          <w:szCs w:val="17"/>
          <w:color w:val="auto"/>
        </w:rPr>
      </w:pPr>
    </w:p>
    <w:p>
      <w:pPr>
        <w:jc w:val="both"/>
        <w:ind w:left="1520" w:right="20" w:firstLine="612"/>
        <w:spacing w:after="0" w:line="274" w:lineRule="auto"/>
        <w:tabs>
          <w:tab w:leader="none" w:pos="2353"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aggregate original issue discount and upfront fees, if any, payable by any Loan Party or any Subsidiary to the Add-On Company Term Lenders with respect to any Add-On Company Term Loan shall be no greater (in basis points) than the aggregate original issue discount and upfront fees paid to the Company Term Lenders or the Gentherm Germany Term Lenders in connection with the initial primary syndication of the Company Term Loans and the Gentherm Germany Term Loans; and</w:t>
      </w:r>
    </w:p>
    <w:p>
      <w:pPr>
        <w:spacing w:after="0" w:line="144" w:lineRule="exact"/>
        <w:rPr>
          <w:rFonts w:ascii="Arial" w:cs="Arial" w:eastAsia="Arial" w:hAnsi="Arial"/>
          <w:sz w:val="16"/>
          <w:szCs w:val="16"/>
          <w:color w:val="auto"/>
        </w:rPr>
      </w:pPr>
    </w:p>
    <w:p>
      <w:pPr>
        <w:ind w:left="2380" w:hanging="248"/>
        <w:spacing w:after="0"/>
        <w:tabs>
          <w:tab w:leader="none" w:pos="238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shall be deemed revised to reflect the commitments and commitment percentages of the applicable</w:t>
      </w:r>
    </w:p>
    <w:p>
      <w:pPr>
        <w:spacing w:after="0" w:line="29" w:lineRule="exact"/>
        <w:rPr>
          <w:sz w:val="20"/>
          <w:szCs w:val="20"/>
          <w:color w:val="auto"/>
        </w:rPr>
      </w:pPr>
    </w:p>
    <w:p>
      <w:pPr>
        <w:ind w:left="1520"/>
        <w:spacing w:after="0" w:line="200" w:lineRule="exact"/>
        <w:rPr>
          <w:sz w:val="20"/>
          <w:szCs w:val="20"/>
          <w:color w:val="auto"/>
        </w:rPr>
      </w:pPr>
      <w:r>
        <w:rPr>
          <w:rFonts w:ascii="Arial" w:cs="Arial" w:eastAsia="Arial" w:hAnsi="Arial"/>
          <w:sz w:val="15"/>
          <w:szCs w:val="15"/>
          <w:color w:val="auto"/>
        </w:rPr>
        <w:t>Add</w:t>
      </w:r>
      <w:r>
        <w:rPr>
          <w:rFonts w:ascii="MS PGothic" w:cs="MS PGothic" w:eastAsia="MS PGothic" w:hAnsi="MS PGothic"/>
          <w:sz w:val="15"/>
          <w:szCs w:val="15"/>
          <w:color w:val="auto"/>
        </w:rPr>
        <w:t>‑</w:t>
      </w:r>
      <w:r>
        <w:rPr>
          <w:rFonts w:ascii="Arial" w:cs="Arial" w:eastAsia="Arial" w:hAnsi="Arial"/>
          <w:sz w:val="15"/>
          <w:szCs w:val="15"/>
          <w:color w:val="auto"/>
        </w:rPr>
        <w:t>On Company Term Lenders with respect to such Add-On Company Term Loan as set forth in the applicable Add</w:t>
      </w:r>
      <w:r>
        <w:rPr>
          <w:rFonts w:ascii="MS PGothic" w:cs="MS PGothic" w:eastAsia="MS PGothic" w:hAnsi="MS PGothic"/>
          <w:sz w:val="15"/>
          <w:szCs w:val="15"/>
          <w:color w:val="auto"/>
        </w:rPr>
        <w:t>‑</w:t>
      </w:r>
      <w:r>
        <w:rPr>
          <w:rFonts w:ascii="Arial" w:cs="Arial" w:eastAsia="Arial" w:hAnsi="Arial"/>
          <w:sz w:val="15"/>
          <w:szCs w:val="15"/>
          <w:color w:val="auto"/>
        </w:rPr>
        <w:t xml:space="preserve">On Company Term Lender Joinder Agreement and to include thereon any Person that becomes a Lender pursuant to this </w:t>
      </w:r>
      <w:r>
        <w:rPr>
          <w:rFonts w:ascii="Arial" w:cs="Arial" w:eastAsia="Arial" w:hAnsi="Arial"/>
          <w:sz w:val="15"/>
          <w:szCs w:val="15"/>
          <w:u w:val="single" w:color="auto"/>
          <w:color w:val="auto"/>
        </w:rPr>
        <w:t>Section 2.01(f)(ii)</w:t>
      </w:r>
      <w:r>
        <w:rPr>
          <w:rFonts w:ascii="Arial" w:cs="Arial" w:eastAsia="Arial" w:hAnsi="Arial"/>
          <w:sz w:val="15"/>
          <w:szCs w:val="15"/>
          <w:color w:val="auto"/>
        </w:rPr>
        <w:t>.</w:t>
      </w:r>
    </w:p>
    <w:p>
      <w:pPr>
        <w:spacing w:after="0"/>
        <w:rPr>
          <w:sz w:val="20"/>
          <w:szCs w:val="20"/>
          <w:color w:val="auto"/>
        </w:rPr>
      </w:pPr>
      <w:r>
        <w:rPr>
          <w:rFonts w:ascii="Arial" w:cs="Arial" w:eastAsia="Arial" w:hAnsi="Arial"/>
          <w:sz w:val="17"/>
          <w:szCs w:val="17"/>
          <w:b w:val="1"/>
          <w:bCs w:val="1"/>
          <w:color w:val="auto"/>
        </w:rPr>
        <w:t>2.03 Letters of Credit</w:t>
      </w:r>
      <w:r>
        <w:rPr>
          <w:rFonts w:ascii="Arial" w:cs="Arial" w:eastAsia="Arial" w:hAnsi="Arial"/>
          <w:sz w:val="17"/>
          <w:szCs w:val="17"/>
          <w:color w:val="auto"/>
        </w:rPr>
        <w:t>.</w:t>
      </w:r>
    </w:p>
    <w:p>
      <w:pPr>
        <w:spacing w:after="0" w:line="177" w:lineRule="exact"/>
        <w:rPr>
          <w:sz w:val="20"/>
          <w:szCs w:val="20"/>
          <w:color w:val="auto"/>
        </w:rPr>
      </w:pPr>
    </w:p>
    <w:p>
      <w:pPr>
        <w:ind w:left="940" w:hanging="231"/>
        <w:spacing w:after="0"/>
        <w:tabs>
          <w:tab w:leader="none" w:pos="94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The Letter of Credit Commitment</w:t>
      </w:r>
      <w:r>
        <w:rPr>
          <w:rFonts w:ascii="Arial" w:cs="Arial" w:eastAsia="Arial" w:hAnsi="Arial"/>
          <w:sz w:val="17"/>
          <w:szCs w:val="17"/>
          <w:color w:val="auto"/>
        </w:rPr>
        <w:t>.</w:t>
      </w:r>
    </w:p>
    <w:p>
      <w:pPr>
        <w:spacing w:after="0" w:line="191"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680"/>
          </w:cols>
          <w:pgMar w:left="1000" w:top="500" w:right="219" w:bottom="1440" w:gutter="0" w:footer="0" w:header="0"/>
        </w:sectPr>
      </w:pPr>
    </w:p>
    <w:bookmarkStart w:id="51" w:name="page52"/>
    <w:bookmarkEnd w:id="51"/>
    <w:p>
      <w:pPr>
        <w:jc w:val="both"/>
        <w:ind w:left="320" w:firstLine="660"/>
        <w:spacing w:after="0" w:line="280" w:lineRule="auto"/>
        <w:tabs>
          <w:tab w:leader="none" w:pos="1194" w:val="left"/>
        </w:tabs>
        <w:numPr>
          <w:ilvl w:val="1"/>
          <w:numId w:val="33"/>
        </w:numPr>
        <w:rPr>
          <w:rFonts w:ascii="Arial" w:cs="Arial" w:eastAsia="Arial" w:hAnsi="Arial"/>
          <w:sz w:val="15"/>
          <w:szCs w:val="15"/>
          <w:color w:val="auto"/>
        </w:rPr>
      </w:pPr>
      <w:r>
        <w:rPr>
          <w:rFonts w:ascii="Arial" w:cs="Arial" w:eastAsia="Arial" w:hAnsi="Arial"/>
          <w:sz w:val="15"/>
          <w:szCs w:val="15"/>
          <w:color w:val="auto"/>
        </w:rPr>
        <w:t xml:space="preserve">Subject to the terms and conditions set forth herein, (A) the L/C Issuer agrees, in reliance upon the agreements of the Lenders set forth in this </w:t>
      </w:r>
      <w:r>
        <w:rPr>
          <w:rFonts w:ascii="Arial" w:cs="Arial" w:eastAsia="Arial" w:hAnsi="Arial"/>
          <w:sz w:val="15"/>
          <w:szCs w:val="15"/>
          <w:u w:val="single" w:color="auto"/>
          <w:color w:val="auto"/>
        </w:rPr>
        <w:t>Section 2.03</w:t>
      </w:r>
      <w:r>
        <w:rPr>
          <w:rFonts w:ascii="Arial" w:cs="Arial" w:eastAsia="Arial" w:hAnsi="Arial"/>
          <w:sz w:val="15"/>
          <w:szCs w:val="15"/>
          <w:color w:val="auto"/>
        </w:rPr>
        <w:t xml:space="preserve">, (1) from time to time on any Business Day during the period from the Closing Date until the Letter of Credit Expiration Date, to issue Letters of Credit denominated in Dollars or one or more Alternative Currencies for the account of the Company or its Subsidiaries (other than any Foreign Subsidiary domiciled in a jurisdiction where the L/C Issuer is prohibited from issuing a Letter of Credit or would be required to obtain any license, permit or approval from any Governmental Authority to issue a Letter of Credit), and to amend or extend Letters of Credit previously issued by it, in accordance with </w:t>
      </w:r>
      <w:r>
        <w:rPr>
          <w:rFonts w:ascii="Arial" w:cs="Arial" w:eastAsia="Arial" w:hAnsi="Arial"/>
          <w:sz w:val="15"/>
          <w:szCs w:val="15"/>
          <w:u w:val="single" w:color="auto"/>
          <w:color w:val="auto"/>
        </w:rPr>
        <w:t>clause (b)</w:t>
      </w:r>
      <w:r>
        <w:rPr>
          <w:rFonts w:ascii="Arial" w:cs="Arial" w:eastAsia="Arial" w:hAnsi="Arial"/>
          <w:sz w:val="15"/>
          <w:szCs w:val="15"/>
          <w:color w:val="auto"/>
        </w:rPr>
        <w:t xml:space="preserve"> below, and (2) to honor drawings under the Letters of Credit; and</w:t>
      </w:r>
    </w:p>
    <w:p>
      <w:pPr>
        <w:spacing w:after="0" w:line="2" w:lineRule="exact"/>
        <w:rPr>
          <w:rFonts w:ascii="Arial" w:cs="Arial" w:eastAsia="Arial" w:hAnsi="Arial"/>
          <w:sz w:val="15"/>
          <w:szCs w:val="15"/>
          <w:color w:val="auto"/>
        </w:rPr>
      </w:pPr>
    </w:p>
    <w:p>
      <w:pPr>
        <w:jc w:val="both"/>
        <w:ind w:left="320" w:hanging="1"/>
        <w:spacing w:after="0" w:line="262" w:lineRule="auto"/>
        <w:tabs>
          <w:tab w:leader="none" w:pos="604"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the Revolving Credit Lenders severally agree to participate in Letters of Credit issued for the account of the Company or its Subsidiaries and any drawings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L/C Credit Extension with respect to any Letter of Credit, (x) the Total Revolving Credit Outstandings shall not exceed the Revolving Credit Facility, (y) the Revolving Credit Exposure of any Revolving Credit Lender shall not exceed such Revolving Credit Lender’s Revolving Credit Commitment, and (z) the Outstanding Amount of the L/C Obligations shall not exceed the Letter of Credit Sublimit. Each request by the Company for the issuance or amendment of a Letter of Credit shall be deemed to be a representation by the Company that the L/C Credit Extension so requested complies with the conditions set forth in the proviso to the preceding sentence. Within the foregoing limits, and subject to the terms and conditions hereof, the Company’s ability to obtain Letters of Credit shall be fully revolving, and accordingly the Company may, during the foregoing period, obtain Letters of Credit to replace Letters of Credit that have expired or that have been drawn upon and reimbursed. Furthermore, each Lender acknowledges and confirms that it has a participation interest in the liability of the L/C Issuer under the Existing Letters of Credit in a percentage equal to its Applicable Percentage of the Revolving Loans. The Company’s reimbursement obligations in respect of the Existing Letters of Credit and each Lender’s obligations in connection therewith, shall be governed by the terms of this Agreement.</w:t>
      </w:r>
    </w:p>
    <w:p>
      <w:pPr>
        <w:spacing w:after="0" w:line="154" w:lineRule="exact"/>
        <w:rPr>
          <w:rFonts w:ascii="Arial" w:cs="Arial" w:eastAsia="Arial" w:hAnsi="Arial"/>
          <w:sz w:val="16"/>
          <w:szCs w:val="16"/>
          <w:color w:val="auto"/>
        </w:rPr>
      </w:pPr>
    </w:p>
    <w:p>
      <w:pPr>
        <w:ind w:left="1240" w:hanging="260"/>
        <w:spacing w:after="0"/>
        <w:tabs>
          <w:tab w:leader="none" w:pos="12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L/C Issuer shall not issue any Letter of Credit, if:</w:t>
      </w:r>
    </w:p>
    <w:p>
      <w:pPr>
        <w:spacing w:after="0" w:line="191" w:lineRule="exact"/>
        <w:rPr>
          <w:rFonts w:ascii="Arial" w:cs="Arial" w:eastAsia="Arial" w:hAnsi="Arial"/>
          <w:sz w:val="17"/>
          <w:szCs w:val="17"/>
          <w:color w:val="auto"/>
        </w:rPr>
      </w:pPr>
    </w:p>
    <w:p>
      <w:pPr>
        <w:ind w:left="1080" w:right="20" w:firstLine="612"/>
        <w:spacing w:after="0" w:line="303" w:lineRule="auto"/>
        <w:tabs>
          <w:tab w:leader="none" w:pos="1987" w:val="left"/>
        </w:tabs>
        <w:numPr>
          <w:ilvl w:val="2"/>
          <w:numId w:val="34"/>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2.03(b)(iii)</w:t>
      </w:r>
      <w:r>
        <w:rPr>
          <w:rFonts w:ascii="Arial" w:cs="Arial" w:eastAsia="Arial" w:hAnsi="Arial"/>
          <w:sz w:val="16"/>
          <w:szCs w:val="16"/>
          <w:color w:val="auto"/>
        </w:rPr>
        <w:t>, the expiry date of such requested Letter of Credit would occur more than twenty-four months after the date of issuance or last extension, unless the Required Revolving Lenders have approved such expiry date; or</w:t>
      </w:r>
    </w:p>
    <w:p>
      <w:pPr>
        <w:spacing w:after="0" w:line="121" w:lineRule="exact"/>
        <w:rPr>
          <w:rFonts w:ascii="Arial" w:cs="Arial" w:eastAsia="Arial" w:hAnsi="Arial"/>
          <w:sz w:val="16"/>
          <w:szCs w:val="16"/>
          <w:color w:val="auto"/>
        </w:rPr>
      </w:pPr>
    </w:p>
    <w:p>
      <w:pPr>
        <w:jc w:val="both"/>
        <w:ind w:left="1080" w:right="20" w:firstLine="612"/>
        <w:spacing w:after="0" w:line="274" w:lineRule="auto"/>
        <w:tabs>
          <w:tab w:leader="none" w:pos="1994" w:val="left"/>
        </w:tabs>
        <w:numPr>
          <w:ilvl w:val="2"/>
          <w:numId w:val="34"/>
        </w:numPr>
        <w:rPr>
          <w:rFonts w:ascii="Arial" w:cs="Arial" w:eastAsia="Arial" w:hAnsi="Arial"/>
          <w:sz w:val="16"/>
          <w:szCs w:val="16"/>
          <w:color w:val="auto"/>
        </w:rPr>
      </w:pPr>
      <w:r>
        <w:rPr>
          <w:rFonts w:ascii="Arial" w:cs="Arial" w:eastAsia="Arial" w:hAnsi="Arial"/>
          <w:sz w:val="16"/>
          <w:szCs w:val="16"/>
          <w:color w:val="auto"/>
        </w:rPr>
        <w:t>the expiry date of such requested Letter of Credit would occur more than one (1) year after the Letter of Credit Expiration Date, unless all the Revolving Credit Lenders have approved such expiry date. For the avoidance of doubt, the parties hereto agree that the obligation of the Revolving Credit Lenders to reimburse the L/C Issuer for any Unreimbursed Amount with respect to any Letter of Credit shall terminate on the Maturity Date with respect to any drawings occurring after that date.</w:t>
      </w:r>
    </w:p>
    <w:p>
      <w:pPr>
        <w:spacing w:after="0" w:line="144" w:lineRule="exact"/>
        <w:rPr>
          <w:rFonts w:ascii="Arial" w:cs="Arial" w:eastAsia="Arial" w:hAnsi="Arial"/>
          <w:sz w:val="16"/>
          <w:szCs w:val="16"/>
          <w:color w:val="auto"/>
        </w:rPr>
      </w:pPr>
    </w:p>
    <w:p>
      <w:pPr>
        <w:ind w:left="1280" w:hanging="300"/>
        <w:spacing w:after="0"/>
        <w:tabs>
          <w:tab w:leader="none" w:pos="12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L/C Issuer shall not be under any obligation to issue any Letter of Credit if:</w:t>
      </w:r>
    </w:p>
    <w:p>
      <w:pPr>
        <w:spacing w:after="0" w:line="191" w:lineRule="exact"/>
        <w:rPr>
          <w:rFonts w:ascii="Arial" w:cs="Arial" w:eastAsia="Arial" w:hAnsi="Arial"/>
          <w:sz w:val="17"/>
          <w:szCs w:val="17"/>
          <w:color w:val="auto"/>
        </w:rPr>
      </w:pPr>
    </w:p>
    <w:p>
      <w:pPr>
        <w:jc w:val="both"/>
        <w:ind w:left="1080" w:firstLine="612"/>
        <w:spacing w:after="0" w:line="248" w:lineRule="auto"/>
        <w:tabs>
          <w:tab w:leader="none" w:pos="1999" w:val="left"/>
        </w:tabs>
        <w:numPr>
          <w:ilvl w:val="2"/>
          <w:numId w:val="34"/>
        </w:numPr>
        <w:rPr>
          <w:rFonts w:ascii="Arial" w:cs="Arial" w:eastAsia="Arial" w:hAnsi="Arial"/>
          <w:sz w:val="17"/>
          <w:szCs w:val="17"/>
          <w:color w:val="auto"/>
        </w:rPr>
      </w:pPr>
      <w:r>
        <w:rPr>
          <w:rFonts w:ascii="Arial" w:cs="Arial" w:eastAsia="Arial" w:hAnsi="Arial"/>
          <w:sz w:val="17"/>
          <w:szCs w:val="17"/>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165" w:lineRule="exact"/>
        <w:rPr>
          <w:rFonts w:ascii="Arial" w:cs="Arial" w:eastAsia="Arial" w:hAnsi="Arial"/>
          <w:sz w:val="17"/>
          <w:szCs w:val="17"/>
          <w:color w:val="auto"/>
        </w:rPr>
      </w:pPr>
    </w:p>
    <w:p>
      <w:pPr>
        <w:ind w:left="1980" w:hanging="288"/>
        <w:spacing w:after="0"/>
        <w:tabs>
          <w:tab w:leader="none" w:pos="1980" w:val="left"/>
        </w:tabs>
        <w:numPr>
          <w:ilvl w:val="2"/>
          <w:numId w:val="34"/>
        </w:numPr>
        <w:rPr>
          <w:rFonts w:ascii="Arial" w:cs="Arial" w:eastAsia="Arial" w:hAnsi="Arial"/>
          <w:sz w:val="15"/>
          <w:szCs w:val="15"/>
          <w:color w:val="auto"/>
        </w:rPr>
      </w:pPr>
      <w:r>
        <w:rPr>
          <w:rFonts w:ascii="Arial" w:cs="Arial" w:eastAsia="Arial" w:hAnsi="Arial"/>
          <w:sz w:val="15"/>
          <w:szCs w:val="15"/>
          <w:color w:val="auto"/>
        </w:rPr>
        <w:t>the issuance of such Letter of Credit would violate one or more policies of the L/C Issuer applicable to letters of credit</w:t>
      </w:r>
    </w:p>
    <w:p>
      <w:pPr>
        <w:spacing w:after="0" w:line="40"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7"/>
          <w:szCs w:val="17"/>
          <w:color w:val="auto"/>
        </w:rPr>
        <w:t>generally;</w:t>
      </w:r>
    </w:p>
    <w:p>
      <w:pPr>
        <w:spacing w:after="0" w:line="177"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0240"/>
          </w:cols>
          <w:pgMar w:left="1440" w:top="312" w:right="219" w:bottom="1440" w:gutter="0" w:footer="0" w:header="0"/>
        </w:sectPr>
      </w:pPr>
    </w:p>
    <w:bookmarkStart w:id="52" w:name="page53"/>
    <w:bookmarkEnd w:id="52"/>
    <w:p>
      <w:pPr>
        <w:ind w:left="1080" w:right="20" w:firstLine="612"/>
        <w:spacing w:after="0" w:line="271" w:lineRule="auto"/>
        <w:tabs>
          <w:tab w:leader="none" w:pos="1971" w:val="left"/>
        </w:tabs>
        <w:numPr>
          <w:ilvl w:val="2"/>
          <w:numId w:val="35"/>
        </w:numPr>
        <w:rPr>
          <w:rFonts w:ascii="Arial" w:cs="Arial" w:eastAsia="Arial" w:hAnsi="Arial"/>
          <w:sz w:val="17"/>
          <w:szCs w:val="17"/>
          <w:color w:val="auto"/>
        </w:rPr>
      </w:pPr>
      <w:r>
        <w:rPr>
          <w:rFonts w:ascii="Arial" w:cs="Arial" w:eastAsia="Arial" w:hAnsi="Arial"/>
          <w:sz w:val="17"/>
          <w:szCs w:val="17"/>
          <w:color w:val="auto"/>
        </w:rPr>
        <w:t>except as otherwise agreed by the Administrative Agent and the L/C Issuer, such Letter of Credit is in an initial stated amount less than $10,000;</w:t>
      </w:r>
    </w:p>
    <w:p>
      <w:pPr>
        <w:spacing w:after="0" w:line="144" w:lineRule="exact"/>
        <w:rPr>
          <w:rFonts w:ascii="Arial" w:cs="Arial" w:eastAsia="Arial" w:hAnsi="Arial"/>
          <w:sz w:val="17"/>
          <w:szCs w:val="17"/>
          <w:color w:val="auto"/>
        </w:rPr>
      </w:pPr>
    </w:p>
    <w:p>
      <w:pPr>
        <w:ind w:left="1080" w:right="20" w:firstLine="612"/>
        <w:spacing w:after="0" w:line="271" w:lineRule="auto"/>
        <w:tabs>
          <w:tab w:leader="none" w:pos="1978" w:val="left"/>
        </w:tabs>
        <w:numPr>
          <w:ilvl w:val="2"/>
          <w:numId w:val="35"/>
        </w:numPr>
        <w:rPr>
          <w:rFonts w:ascii="Arial" w:cs="Arial" w:eastAsia="Arial" w:hAnsi="Arial"/>
          <w:sz w:val="17"/>
          <w:szCs w:val="17"/>
          <w:color w:val="auto"/>
        </w:rPr>
      </w:pPr>
      <w:r>
        <w:rPr>
          <w:rFonts w:ascii="Arial" w:cs="Arial" w:eastAsia="Arial" w:hAnsi="Arial"/>
          <w:sz w:val="17"/>
          <w:szCs w:val="17"/>
          <w:color w:val="auto"/>
        </w:rPr>
        <w:t>except as otherwise agreed by the Administrative Agent and the L/C Issuer, such Letter of Credit is to be denominated in a currency other than Dollars or an Alternative Currency;</w:t>
      </w:r>
    </w:p>
    <w:p>
      <w:pPr>
        <w:spacing w:after="0" w:line="144" w:lineRule="exact"/>
        <w:rPr>
          <w:rFonts w:ascii="Arial" w:cs="Arial" w:eastAsia="Arial" w:hAnsi="Arial"/>
          <w:sz w:val="17"/>
          <w:szCs w:val="17"/>
          <w:color w:val="auto"/>
        </w:rPr>
      </w:pPr>
    </w:p>
    <w:p>
      <w:pPr>
        <w:ind w:left="1080" w:right="20" w:firstLine="612"/>
        <w:spacing w:after="0" w:line="271" w:lineRule="auto"/>
        <w:tabs>
          <w:tab w:leader="none" w:pos="1985" w:val="left"/>
        </w:tabs>
        <w:numPr>
          <w:ilvl w:val="2"/>
          <w:numId w:val="35"/>
        </w:numPr>
        <w:rPr>
          <w:rFonts w:ascii="Arial" w:cs="Arial" w:eastAsia="Arial" w:hAnsi="Arial"/>
          <w:sz w:val="17"/>
          <w:szCs w:val="17"/>
          <w:color w:val="auto"/>
        </w:rPr>
      </w:pPr>
      <w:r>
        <w:rPr>
          <w:rFonts w:ascii="Arial" w:cs="Arial" w:eastAsia="Arial" w:hAnsi="Arial"/>
          <w:sz w:val="17"/>
          <w:szCs w:val="17"/>
          <w:color w:val="auto"/>
        </w:rPr>
        <w:t>such Letter of Credit contains any provisions for automatic reinstatement of the stated amount after any drawing thereunder; or</w:t>
      </w:r>
    </w:p>
    <w:p>
      <w:pPr>
        <w:spacing w:after="0" w:line="144" w:lineRule="exact"/>
        <w:rPr>
          <w:rFonts w:ascii="Arial" w:cs="Arial" w:eastAsia="Arial" w:hAnsi="Arial"/>
          <w:sz w:val="17"/>
          <w:szCs w:val="17"/>
          <w:color w:val="auto"/>
        </w:rPr>
      </w:pPr>
    </w:p>
    <w:p>
      <w:pPr>
        <w:jc w:val="both"/>
        <w:ind w:left="1080" w:firstLine="612"/>
        <w:spacing w:after="0" w:line="270" w:lineRule="auto"/>
        <w:tabs>
          <w:tab w:leader="none" w:pos="1969" w:val="left"/>
        </w:tabs>
        <w:numPr>
          <w:ilvl w:val="2"/>
          <w:numId w:val="35"/>
        </w:numPr>
        <w:rPr>
          <w:rFonts w:ascii="Arial" w:cs="Arial" w:eastAsia="Arial" w:hAnsi="Arial"/>
          <w:sz w:val="16"/>
          <w:szCs w:val="16"/>
          <w:color w:val="auto"/>
        </w:rPr>
      </w:pPr>
      <w:r>
        <w:rPr>
          <w:rFonts w:ascii="Arial" w:cs="Arial" w:eastAsia="Arial" w:hAnsi="Arial"/>
          <w:sz w:val="16"/>
          <w:szCs w:val="16"/>
          <w:color w:val="auto"/>
        </w:rPr>
        <w:t xml:space="preserve">any Lender is at that time a Defaulting Lender, unless the L/C Issuer has entered into arrangements, including the delivery of Cash Collateral, satisfactory to the L/C Issuer (in its sole discretion) with the Company or such Lender to eliminate the L/C Issuer’s actual or potential Fronting Exposure (after giving effect to </w:t>
      </w:r>
      <w:r>
        <w:rPr>
          <w:rFonts w:ascii="Arial" w:cs="Arial" w:eastAsia="Arial" w:hAnsi="Arial"/>
          <w:sz w:val="16"/>
          <w:szCs w:val="16"/>
          <w:u w:val="single" w:color="auto"/>
          <w:color w:val="auto"/>
        </w:rPr>
        <w:t>Section 2.16(a)(iv))</w:t>
      </w:r>
      <w:r>
        <w:rPr>
          <w:rFonts w:ascii="Arial" w:cs="Arial" w:eastAsia="Arial" w:hAnsi="Arial"/>
          <w:sz w:val="16"/>
          <w:szCs w:val="16"/>
          <w:color w:val="auto"/>
        </w:rPr>
        <w:t xml:space="preserve"> with respect to the Defaulting Lender arising from either the Letter of Credit then proposed to be issued or that Letter of Credit and all other L/C Obligations as to which the L/C Issuer has actual or potential Fronting Exposure, as it may elect in its sole discretion.</w:t>
      </w:r>
    </w:p>
    <w:p>
      <w:pPr>
        <w:spacing w:after="0" w:line="148" w:lineRule="exact"/>
        <w:rPr>
          <w:rFonts w:ascii="Arial" w:cs="Arial" w:eastAsia="Arial" w:hAnsi="Arial"/>
          <w:sz w:val="16"/>
          <w:szCs w:val="16"/>
          <w:color w:val="auto"/>
        </w:rPr>
      </w:pPr>
    </w:p>
    <w:p>
      <w:pPr>
        <w:ind w:left="320" w:right="20" w:firstLine="660"/>
        <w:spacing w:after="0" w:line="271" w:lineRule="auto"/>
        <w:tabs>
          <w:tab w:leader="none" w:pos="1278"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L/C Issuer shall not amend any Letter of Credit if the L/C Issuer would not be permitted at such time to issue such Letter of Credit in its amended form under the terms hereof.</w:t>
      </w:r>
    </w:p>
    <w:p>
      <w:pPr>
        <w:spacing w:after="0" w:line="144" w:lineRule="exact"/>
        <w:rPr>
          <w:rFonts w:ascii="Arial" w:cs="Arial" w:eastAsia="Arial" w:hAnsi="Arial"/>
          <w:sz w:val="17"/>
          <w:szCs w:val="17"/>
          <w:color w:val="auto"/>
        </w:rPr>
      </w:pPr>
    </w:p>
    <w:p>
      <w:pPr>
        <w:jc w:val="both"/>
        <w:ind w:left="320" w:firstLine="660"/>
        <w:spacing w:after="0" w:line="257" w:lineRule="auto"/>
        <w:tabs>
          <w:tab w:leader="none" w:pos="1231"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157" w:lineRule="exact"/>
        <w:rPr>
          <w:rFonts w:ascii="Arial" w:cs="Arial" w:eastAsia="Arial" w:hAnsi="Arial"/>
          <w:sz w:val="17"/>
          <w:szCs w:val="17"/>
          <w:color w:val="auto"/>
        </w:rPr>
      </w:pPr>
    </w:p>
    <w:p>
      <w:pPr>
        <w:jc w:val="both"/>
        <w:ind w:left="320" w:right="20" w:firstLine="660"/>
        <w:spacing w:after="0" w:line="270" w:lineRule="auto"/>
        <w:tabs>
          <w:tab w:leader="none" w:pos="1292"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The L/C Issuer shall act on behalf of the Revolving Credit Lenders with respect to any Letters of Credit issued by it and the documents associated therewith, and the L/C Issuer shall have all of the benefits and immunities (A) provided to the Administrative Agent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included the L/C Issuer with respect to such acts or omissions, and (B) as additionally provided herein with respect to the L/C Issuer.</w:t>
      </w:r>
    </w:p>
    <w:p>
      <w:pPr>
        <w:spacing w:after="0" w:line="148" w:lineRule="exact"/>
        <w:rPr>
          <w:rFonts w:ascii="Arial" w:cs="Arial" w:eastAsia="Arial" w:hAnsi="Arial"/>
          <w:sz w:val="16"/>
          <w:szCs w:val="16"/>
          <w:color w:val="auto"/>
        </w:rPr>
      </w:pPr>
    </w:p>
    <w:p>
      <w:pPr>
        <w:ind w:left="520" w:hanging="251"/>
        <w:spacing w:after="0"/>
        <w:tabs>
          <w:tab w:leader="none" w:pos="520"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Procedures for Issuance and Amendment of Letters of Credit; Auto-Extension Letters of Credit</w:t>
      </w:r>
      <w:r>
        <w:rPr>
          <w:rFonts w:ascii="Arial" w:cs="Arial" w:eastAsia="Arial" w:hAnsi="Arial"/>
          <w:sz w:val="17"/>
          <w:szCs w:val="17"/>
          <w:color w:val="auto"/>
        </w:rPr>
        <w:t>.</w:t>
      </w:r>
    </w:p>
    <w:p>
      <w:pPr>
        <w:spacing w:after="0" w:line="191" w:lineRule="exact"/>
        <w:rPr>
          <w:rFonts w:ascii="Arial" w:cs="Arial" w:eastAsia="Arial" w:hAnsi="Arial"/>
          <w:sz w:val="17"/>
          <w:szCs w:val="17"/>
          <w:color w:val="auto"/>
        </w:rPr>
      </w:pPr>
    </w:p>
    <w:p>
      <w:pPr>
        <w:jc w:val="both"/>
        <w:ind w:left="320" w:firstLine="660"/>
        <w:spacing w:after="0" w:line="263" w:lineRule="auto"/>
        <w:tabs>
          <w:tab w:leader="none" w:pos="119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Each Letter of Credit shall be issued or amended, as the case may be, upon the request of the Company delivered to the L/C Issuer (with a copy to the Administrative Agent) in the form of a Letter of Credit Application, appropriately completed and signed by a Responsible Officer of the Company. Such Letter of Credit Application must be received by the L/C Issuer and the Administrative Agent not later than 11:00 a.m. at least two Business Days (or such later date and time as the Administrative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require. In the case of a request for an amendment of any outstanding Letter of Credit, such Letter of Credit Application shall specify in form and detail satisfactory to the L/C Issuer (1) the Letter of Credit to be amended; (2) the proposed date of amendment thereof (which shall be a Business Day); (3) the nature of the proposed amendment; and (4) such other matters as the L/C Issuer may require. Additionally, the Company shall furnish to the L/C Issuer and the Administrative Agent such other documents and information pertaining to such requested Letter of Credit issuance or amendment, including any Issuer Documents, as the L/C Issuer or the Administrative Agent may require.</w:t>
      </w:r>
    </w:p>
    <w:p>
      <w:pPr>
        <w:spacing w:after="0" w:line="15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240"/>
          </w:cols>
          <w:pgMar w:left="1440" w:top="312" w:right="219" w:bottom="1440" w:gutter="0" w:footer="0" w:header="0"/>
        </w:sectPr>
      </w:pPr>
    </w:p>
    <w:bookmarkStart w:id="53" w:name="page54"/>
    <w:bookmarkEnd w:id="53"/>
    <w:p>
      <w:pPr>
        <w:jc w:val="both"/>
        <w:ind w:left="320" w:firstLine="660"/>
        <w:spacing w:after="0" w:line="284" w:lineRule="auto"/>
        <w:tabs>
          <w:tab w:leader="none" w:pos="1270" w:val="left"/>
        </w:tabs>
        <w:numPr>
          <w:ilvl w:val="1"/>
          <w:numId w:val="38"/>
        </w:numPr>
        <w:rPr>
          <w:rFonts w:ascii="Arial" w:cs="Arial" w:eastAsia="Arial" w:hAnsi="Arial"/>
          <w:sz w:val="15"/>
          <w:szCs w:val="15"/>
          <w:color w:val="auto"/>
        </w:rPr>
      </w:pPr>
      <w:r>
        <w:rPr>
          <w:rFonts w:ascii="Arial" w:cs="Arial" w:eastAsia="Arial" w:hAnsi="Arial"/>
          <w:sz w:val="15"/>
          <w:szCs w:val="15"/>
          <w:color w:val="auto"/>
        </w:rPr>
        <w:t xml:space="preserve">Promptly after receipt of any Letter of Credit Application, the L/C Issuer will confirm with the Administrative Agent (by telephone or in writing) that the Administrative Agent has received a copy of such Letter of Credit Application from the Company and, if not, the L/C Issuer will provide the Administrative Agent with a copy thereof. Unless the L/C Issuer has received written notice from any Revolving Credit Lender, the Administrative Agent or any Loan Party, at least one Business Day prior to the requested date of issuance or amendment of the applicable Letter of Credit, that one or more applicable conditions contained in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shall not then be satisfied, then, subject to the terms and conditions hereof, the L/C Issuer shall, on the requested date, issue a Letter of Credit for the account of the Company (or the applicable Subsidiary) or enter into the applicable amendment, as the case may be, in each case in accordance with the L/C Issuer’s usual and customary business practices. Immediately upon the issuance of each Letter of Credit, each Revolving Credit Lender shall be deemed to, and hereby irrevocably and unconditionally agrees to, purchase from the L/C Issuer a risk participation in such Letter of Credit in an amount equal to the product of such Revolving Credit Lender’s Applicable Revolving Credit Percentage </w:t>
      </w:r>
      <w:r>
        <w:rPr>
          <w:rFonts w:ascii="Arial" w:cs="Arial" w:eastAsia="Arial" w:hAnsi="Arial"/>
          <w:sz w:val="15"/>
          <w:szCs w:val="15"/>
          <w:u w:val="single" w:color="auto"/>
          <w:color w:val="auto"/>
        </w:rPr>
        <w:t>times</w:t>
      </w:r>
      <w:r>
        <w:rPr>
          <w:rFonts w:ascii="Arial" w:cs="Arial" w:eastAsia="Arial" w:hAnsi="Arial"/>
          <w:sz w:val="15"/>
          <w:szCs w:val="15"/>
          <w:color w:val="auto"/>
        </w:rPr>
        <w:t xml:space="preserve"> the amount of such Letter of Credit.</w:t>
      </w:r>
    </w:p>
    <w:p>
      <w:pPr>
        <w:spacing w:after="0" w:line="139" w:lineRule="exact"/>
        <w:rPr>
          <w:rFonts w:ascii="Arial" w:cs="Arial" w:eastAsia="Arial" w:hAnsi="Arial"/>
          <w:sz w:val="15"/>
          <w:szCs w:val="15"/>
          <w:color w:val="auto"/>
        </w:rPr>
      </w:pPr>
    </w:p>
    <w:p>
      <w:pPr>
        <w:jc w:val="both"/>
        <w:ind w:left="320" w:firstLine="660"/>
        <w:spacing w:after="0" w:line="263" w:lineRule="auto"/>
        <w:tabs>
          <w:tab w:leader="none" w:pos="1286" w:val="left"/>
        </w:tabs>
        <w:numPr>
          <w:ilvl w:val="1"/>
          <w:numId w:val="38"/>
        </w:numPr>
        <w:rPr>
          <w:rFonts w:ascii="Arial" w:cs="Arial" w:eastAsia="Arial" w:hAnsi="Arial"/>
          <w:sz w:val="16"/>
          <w:szCs w:val="16"/>
          <w:color w:val="auto"/>
        </w:rPr>
      </w:pPr>
      <w:r>
        <w:rPr>
          <w:rFonts w:ascii="Arial" w:cs="Arial" w:eastAsia="Arial" w:hAnsi="Arial"/>
          <w:sz w:val="16"/>
          <w:szCs w:val="16"/>
          <w:color w:val="auto"/>
        </w:rPr>
        <w:t>If the Company so requests in any applicable Letter of Credit Application, the L/C Issuer may, in its sole and absolute discretion, agree to issue a Letter of Credit that has automatic extension provisions (each, an “</w:t>
      </w:r>
      <w:r>
        <w:rPr>
          <w:rFonts w:ascii="Arial" w:cs="Arial" w:eastAsia="Arial" w:hAnsi="Arial"/>
          <w:sz w:val="16"/>
          <w:szCs w:val="16"/>
          <w:u w:val="single" w:color="auto"/>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6"/>
          <w:szCs w:val="16"/>
          <w:u w:val="single" w:color="auto"/>
          <w:color w:val="auto"/>
        </w:rPr>
        <w:t>Non-Extension Notice Date</w:t>
      </w:r>
      <w:r>
        <w:rPr>
          <w:rFonts w:ascii="Arial" w:cs="Arial" w:eastAsia="Arial" w:hAnsi="Arial"/>
          <w:sz w:val="16"/>
          <w:szCs w:val="16"/>
          <w:color w:val="auto"/>
        </w:rPr>
        <w:t xml:space="preserve">”) in each such twelve month period to be agreed upon at the time such Letter of Credit is issued. Unless otherwise directed by the L/C Issuer, the Company shall not be required to make a specific request to the L/C Issuer for any such extension. Once an Auto-Extension Letter of Credit has been issued, the Revolving Credit Lenders shall be deemed to have authorized (but may not require) the L/C Issuer to permit the extension of such Letter of Credit at any time to an expiry date not later than the Letter of Credit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or otherwise), or (B) it has received notice (which may be by telephone or in writing) on or before the day that is seven Business Days before the Non-Extension Notice Date (1) from the Administrative Agent that the Required Revolving Lenders have elected not to permit such extension or (2) from the Administrative Agent, any Revolving Credit Lender or the Company that one or more of the applicable conditions specified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is not then satisfied, and in each such case directing the L/C Issuer not to permit such extension.</w:t>
      </w:r>
    </w:p>
    <w:p>
      <w:pPr>
        <w:spacing w:after="0" w:line="152" w:lineRule="exact"/>
        <w:rPr>
          <w:rFonts w:ascii="Arial" w:cs="Arial" w:eastAsia="Arial" w:hAnsi="Arial"/>
          <w:sz w:val="16"/>
          <w:szCs w:val="16"/>
          <w:color w:val="auto"/>
        </w:rPr>
      </w:pPr>
    </w:p>
    <w:p>
      <w:pPr>
        <w:jc w:val="both"/>
        <w:ind w:left="320" w:right="20" w:firstLine="660"/>
        <w:spacing w:after="0" w:line="257" w:lineRule="auto"/>
        <w:tabs>
          <w:tab w:leader="none" w:pos="1274" w:val="left"/>
        </w:tabs>
        <w:numPr>
          <w:ilvl w:val="1"/>
          <w:numId w:val="38"/>
        </w:numPr>
        <w:rPr>
          <w:rFonts w:ascii="Arial" w:cs="Arial" w:eastAsia="Arial" w:hAnsi="Arial"/>
          <w:sz w:val="17"/>
          <w:szCs w:val="17"/>
          <w:color w:val="auto"/>
        </w:rPr>
      </w:pPr>
      <w:r>
        <w:rPr>
          <w:rFonts w:ascii="Arial" w:cs="Arial" w:eastAsia="Arial" w:hAnsi="Arial"/>
          <w:sz w:val="17"/>
          <w:szCs w:val="17"/>
          <w:color w:val="auto"/>
        </w:rPr>
        <w:t>Promptly after its delivery of any Letter of Credit or any amendment to a Letter of Credit to an advising bank with respect thereto or to the beneficiary thereof, the L/C Issuer will also deliver to the Company and the Administrative Agent a true and complete copy of such Letter of Credit or amendment.</w:t>
      </w:r>
    </w:p>
    <w:p>
      <w:pPr>
        <w:spacing w:after="0" w:line="157" w:lineRule="exact"/>
        <w:rPr>
          <w:rFonts w:ascii="Arial" w:cs="Arial" w:eastAsia="Arial" w:hAnsi="Arial"/>
          <w:sz w:val="17"/>
          <w:szCs w:val="17"/>
          <w:color w:val="auto"/>
        </w:rPr>
      </w:pPr>
    </w:p>
    <w:p>
      <w:pPr>
        <w:ind w:left="500" w:hanging="231"/>
        <w:spacing w:after="0"/>
        <w:tabs>
          <w:tab w:leader="none" w:pos="500"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Drawings and Reimbursements; Funding of Participations</w:t>
      </w:r>
      <w:r>
        <w:rPr>
          <w:rFonts w:ascii="Arial" w:cs="Arial" w:eastAsia="Arial" w:hAnsi="Arial"/>
          <w:sz w:val="17"/>
          <w:szCs w:val="17"/>
          <w:color w:val="auto"/>
        </w:rPr>
        <w:t>.</w:t>
      </w:r>
    </w:p>
    <w:p>
      <w:pPr>
        <w:spacing w:after="0" w:line="191" w:lineRule="exact"/>
        <w:rPr>
          <w:rFonts w:ascii="Arial" w:cs="Arial" w:eastAsia="Arial" w:hAnsi="Arial"/>
          <w:sz w:val="17"/>
          <w:szCs w:val="17"/>
          <w:color w:val="auto"/>
        </w:rPr>
      </w:pPr>
    </w:p>
    <w:p>
      <w:pPr>
        <w:jc w:val="both"/>
        <w:ind w:left="320" w:firstLine="660"/>
        <w:spacing w:after="0" w:line="264" w:lineRule="auto"/>
        <w:tabs>
          <w:tab w:leader="none" w:pos="1199" w:val="left"/>
        </w:tabs>
        <w:numPr>
          <w:ilvl w:val="1"/>
          <w:numId w:val="39"/>
        </w:numPr>
        <w:rPr>
          <w:rFonts w:ascii="Arial" w:cs="Arial" w:eastAsia="Arial" w:hAnsi="Arial"/>
          <w:sz w:val="16"/>
          <w:szCs w:val="16"/>
          <w:color w:val="auto"/>
        </w:rPr>
      </w:pPr>
      <w:r>
        <w:rPr>
          <w:rFonts w:ascii="Arial" w:cs="Arial" w:eastAsia="Arial" w:hAnsi="Arial"/>
          <w:sz w:val="16"/>
          <w:szCs w:val="16"/>
          <w:color w:val="auto"/>
        </w:rPr>
        <w:t>Upon receipt from the beneficiary of any Letter of Credit of any notice of a drawing under such Letter of Credit, the L/C Issuer shall notify the Company and the Administrative Agent thereof. In the case of a Letter of Credit denominated in an Alternative Currency, the Company shall reimburse the L/C Issuer in such Alternative Currency, unless (A) the L/C Issuer (at its option) shall have specified in such notice that it will require reimbursement in Dollars, or (B) in the absence of any such requirement for reimbursement in Dollars, the Company shall have notified the L/C Issuer promptly following receipt of the notice of drawing that the Company will reimburse the L/C Issuer in Dollars. In the case of any such reimbursement in Dollars of a drawing under a Letter of Credit denominated in an Alternative Currency, the L/C Issuer shall notify the Company of the Dollar Equivalent of the amount of the drawing promptly following the determination thereof. Not later than 11:00 a.m. on the date of any payment by the L/C Issuer under a Letter of Credit to be reimbursed in Dollars, or the Applicable Time on the date of any payment by the L/C Issuer under a Letter of Credit to be reimbursed in an Alternative Currency (each such date, an “</w:t>
      </w:r>
      <w:r>
        <w:rPr>
          <w:rFonts w:ascii="Arial" w:cs="Arial" w:eastAsia="Arial" w:hAnsi="Arial"/>
          <w:sz w:val="16"/>
          <w:szCs w:val="16"/>
          <w:u w:val="single" w:color="auto"/>
          <w:color w:val="auto"/>
        </w:rPr>
        <w:t>Honor</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the Company shall reimburse the L/C Issuer through the Administrative</w:t>
      </w:r>
    </w:p>
    <w:p>
      <w:pPr>
        <w:spacing w:after="0" w:line="156"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240"/>
          </w:cols>
          <w:pgMar w:left="1440" w:top="312" w:right="219" w:bottom="1440" w:gutter="0" w:footer="0" w:header="0"/>
        </w:sectPr>
      </w:pPr>
    </w:p>
    <w:bookmarkStart w:id="54" w:name="page55"/>
    <w:bookmarkEnd w:id="54"/>
    <w:p>
      <w:pPr>
        <w:jc w:val="both"/>
        <w:ind w:left="320"/>
        <w:spacing w:after="0" w:line="271" w:lineRule="auto"/>
        <w:rPr>
          <w:sz w:val="20"/>
          <w:szCs w:val="20"/>
          <w:color w:val="auto"/>
        </w:rPr>
      </w:pPr>
      <w:r>
        <w:rPr>
          <w:rFonts w:ascii="Arial" w:cs="Arial" w:eastAsia="Arial" w:hAnsi="Arial"/>
          <w:sz w:val="16"/>
          <w:szCs w:val="16"/>
          <w:color w:val="auto"/>
        </w:rPr>
        <w:t>Agent in an amount equal to the amount of such drawing and in the applicable currency. If the Company fails to so reimburse the L/C Issuer by such time, the Administrative Agent shall promptly notify each Revolving Credit Lender of the Honor Date, the amount of the unreimbursed drawing (expressed in Dollars in the amount of the Dollar Equivalent thereof in the case of a Letter of Credit denominated in an Alternative Currency) (the “</w:t>
      </w:r>
      <w:r>
        <w:rPr>
          <w:rFonts w:ascii="Arial" w:cs="Arial" w:eastAsia="Arial" w:hAnsi="Arial"/>
          <w:sz w:val="14"/>
          <w:szCs w:val="14"/>
          <w:u w:val="single" w:color="auto"/>
          <w:color w:val="auto"/>
        </w:rPr>
        <w:t>Unreimbursed Amount</w:t>
      </w:r>
      <w:r>
        <w:rPr>
          <w:rFonts w:ascii="Arial" w:cs="Arial" w:eastAsia="Arial" w:hAnsi="Arial"/>
          <w:sz w:val="14"/>
          <w:szCs w:val="14"/>
          <w:color w:val="auto"/>
        </w:rPr>
        <w:t>”), and the amount of such Lender’s Applicable Percentage thereof. In such event, the Company shall be deemed to</w:t>
      </w:r>
      <w:r>
        <w:rPr>
          <w:rFonts w:ascii="Arial" w:cs="Arial" w:eastAsia="Arial" w:hAnsi="Arial"/>
          <w:sz w:val="16"/>
          <w:szCs w:val="16"/>
          <w:color w:val="auto"/>
        </w:rPr>
        <w:t xml:space="preserve"> </w:t>
      </w:r>
      <w:r>
        <w:rPr>
          <w:rFonts w:ascii="Arial" w:cs="Arial" w:eastAsia="Arial" w:hAnsi="Arial"/>
          <w:sz w:val="14"/>
          <w:szCs w:val="14"/>
          <w:color w:val="auto"/>
        </w:rPr>
        <w:t xml:space="preserve">have requested a Revolving Credit Borrowing of Base Rate Loans to be disbursed on the Honor Date in an amount equal to the Unreimbursed Amount, without regard to the minimum and multiples specified in </w:t>
      </w:r>
      <w:r>
        <w:rPr>
          <w:rFonts w:ascii="Arial" w:cs="Arial" w:eastAsia="Arial" w:hAnsi="Arial"/>
          <w:sz w:val="14"/>
          <w:szCs w:val="14"/>
          <w:u w:val="single" w:color="auto"/>
          <w:color w:val="auto"/>
        </w:rPr>
        <w:t>Section 2.02</w:t>
      </w:r>
      <w:r>
        <w:rPr>
          <w:rFonts w:ascii="Arial" w:cs="Arial" w:eastAsia="Arial" w:hAnsi="Arial"/>
          <w:sz w:val="14"/>
          <w:szCs w:val="14"/>
          <w:color w:val="auto"/>
        </w:rPr>
        <w:t xml:space="preserve"> for the principal amount of Base Rate Loans, but subject to the amount of the unutilized portion of the Revolving Credit Commitments and the conditions set forth in </w:t>
      </w:r>
      <w:r>
        <w:rPr>
          <w:rFonts w:ascii="Arial" w:cs="Arial" w:eastAsia="Arial" w:hAnsi="Arial"/>
          <w:sz w:val="14"/>
          <w:szCs w:val="14"/>
          <w:u w:val="single" w:color="auto"/>
          <w:color w:val="auto"/>
        </w:rPr>
        <w:t>Section 4.02</w:t>
      </w:r>
      <w:r>
        <w:rPr>
          <w:rFonts w:ascii="Arial" w:cs="Arial" w:eastAsia="Arial" w:hAnsi="Arial"/>
          <w:sz w:val="14"/>
          <w:szCs w:val="14"/>
          <w:color w:val="auto"/>
        </w:rPr>
        <w:t xml:space="preserve"> (other than the delivery of a Committed Loan Notice). Any notice given by the L/C Issuer or the Administrative Agent pursuant to this </w:t>
      </w:r>
      <w:r>
        <w:rPr>
          <w:rFonts w:ascii="Arial" w:cs="Arial" w:eastAsia="Arial" w:hAnsi="Arial"/>
          <w:sz w:val="14"/>
          <w:szCs w:val="14"/>
          <w:u w:val="single" w:color="auto"/>
          <w:color w:val="auto"/>
        </w:rPr>
        <w:t>Section 2.03(c)(i)</w:t>
      </w:r>
      <w:r>
        <w:rPr>
          <w:rFonts w:ascii="Arial" w:cs="Arial" w:eastAsia="Arial" w:hAnsi="Arial"/>
          <w:sz w:val="14"/>
          <w:szCs w:val="14"/>
          <w:color w:val="auto"/>
        </w:rPr>
        <w:t xml:space="preserve"> may be given by telephone if immediately confirmed in writing;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lack of such an immediate confirmation shall not affect the conclusiveness or binding effect of such notice.</w:t>
      </w:r>
    </w:p>
    <w:p>
      <w:pPr>
        <w:spacing w:after="0" w:line="156" w:lineRule="exact"/>
        <w:rPr>
          <w:sz w:val="20"/>
          <w:szCs w:val="20"/>
          <w:color w:val="auto"/>
        </w:rPr>
      </w:pPr>
    </w:p>
    <w:p>
      <w:pPr>
        <w:jc w:val="both"/>
        <w:ind w:left="320" w:firstLine="660"/>
        <w:spacing w:after="0" w:line="249" w:lineRule="auto"/>
        <w:tabs>
          <w:tab w:leader="none" w:pos="1251"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Each Revolving Credit Lender shall upon any notice pursuant to </w:t>
      </w:r>
      <w:r>
        <w:rPr>
          <w:rFonts w:ascii="Arial" w:cs="Arial" w:eastAsia="Arial" w:hAnsi="Arial"/>
          <w:sz w:val="17"/>
          <w:szCs w:val="17"/>
          <w:u w:val="single" w:color="auto"/>
          <w:color w:val="auto"/>
        </w:rPr>
        <w:t>Section 2.03(c)(i)</w:t>
      </w:r>
      <w:r>
        <w:rPr>
          <w:rFonts w:ascii="Arial" w:cs="Arial" w:eastAsia="Arial" w:hAnsi="Arial"/>
          <w:sz w:val="17"/>
          <w:szCs w:val="17"/>
          <w:color w:val="auto"/>
        </w:rPr>
        <w:t xml:space="preserve"> make funds available to the Administrative Agent for the account of the L/C Issuer, in Dollars, at the Administrative Agent’s Office for Dollar-denominated payments in an amount equal to its Applicable Percentage of the Unreimbursed Amount not later than 1:00 p.m. on the Business Day specified in such notice by the Administrative Agent, whereupon, subject to the provisions of </w:t>
      </w:r>
      <w:r>
        <w:rPr>
          <w:rFonts w:ascii="Arial" w:cs="Arial" w:eastAsia="Arial" w:hAnsi="Arial"/>
          <w:sz w:val="17"/>
          <w:szCs w:val="17"/>
          <w:u w:val="single" w:color="auto"/>
          <w:color w:val="auto"/>
        </w:rPr>
        <w:t>Section 2.03(c)(iii)</w:t>
      </w:r>
      <w:r>
        <w:rPr>
          <w:rFonts w:ascii="Arial" w:cs="Arial" w:eastAsia="Arial" w:hAnsi="Arial"/>
          <w:sz w:val="17"/>
          <w:szCs w:val="17"/>
          <w:color w:val="auto"/>
        </w:rPr>
        <w:t>, each Revolving Credit Lender that so makes funds available shall be deemed to have made a Base Rate Loan to the Company in such amount. The Administrative Agent shall remit the funds so received to the L/C Issuer in Dollars.</w:t>
      </w:r>
    </w:p>
    <w:p>
      <w:pPr>
        <w:spacing w:after="0" w:line="166" w:lineRule="exact"/>
        <w:rPr>
          <w:rFonts w:ascii="Arial" w:cs="Arial" w:eastAsia="Arial" w:hAnsi="Arial"/>
          <w:sz w:val="17"/>
          <w:szCs w:val="17"/>
          <w:color w:val="auto"/>
        </w:rPr>
      </w:pPr>
    </w:p>
    <w:p>
      <w:pPr>
        <w:jc w:val="both"/>
        <w:ind w:left="320" w:firstLine="660"/>
        <w:spacing w:after="0" w:line="249" w:lineRule="auto"/>
        <w:tabs>
          <w:tab w:leader="none" w:pos="1301"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With respect to any Unreimbursed Amount that is not fully refinanced by a Revolving Credit Borrowing of Base Rate Loans because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cannot be satisfied or for any other reason, the Company shall be deemed to have incurred from the L/C Issuer an L/C Borrowing in the amount of the Unreimbursed Amount that is not so refinanced, which L/C Borrowing shall be due and payable on demand (together with interest) and shall bear interest at the Default Rate. In such event, each Lender’s payment to the Administrative Agent for the account of the L/C Issuer pursuant to </w:t>
      </w:r>
      <w:r>
        <w:rPr>
          <w:rFonts w:ascii="Arial" w:cs="Arial" w:eastAsia="Arial" w:hAnsi="Arial"/>
          <w:sz w:val="17"/>
          <w:szCs w:val="17"/>
          <w:u w:val="single" w:color="auto"/>
          <w:color w:val="auto"/>
        </w:rPr>
        <w:t>Section 2.03(c)(ii)</w:t>
      </w:r>
      <w:r>
        <w:rPr>
          <w:rFonts w:ascii="Arial" w:cs="Arial" w:eastAsia="Arial" w:hAnsi="Arial"/>
          <w:sz w:val="17"/>
          <w:szCs w:val="17"/>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2.03</w:t>
      </w:r>
      <w:r>
        <w:rPr>
          <w:rFonts w:ascii="Arial" w:cs="Arial" w:eastAsia="Arial" w:hAnsi="Arial"/>
          <w:sz w:val="17"/>
          <w:szCs w:val="17"/>
          <w:color w:val="auto"/>
        </w:rPr>
        <w:t>.</w:t>
      </w:r>
    </w:p>
    <w:p>
      <w:pPr>
        <w:spacing w:after="0" w:line="162" w:lineRule="exact"/>
        <w:rPr>
          <w:rFonts w:ascii="Arial" w:cs="Arial" w:eastAsia="Arial" w:hAnsi="Arial"/>
          <w:sz w:val="17"/>
          <w:szCs w:val="17"/>
          <w:color w:val="auto"/>
        </w:rPr>
      </w:pPr>
    </w:p>
    <w:p>
      <w:pPr>
        <w:jc w:val="both"/>
        <w:ind w:left="320" w:right="20" w:firstLine="660"/>
        <w:spacing w:after="0" w:line="257" w:lineRule="auto"/>
        <w:tabs>
          <w:tab w:leader="none" w:pos="131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Until each Revolving Credit Lender funds its Revolving Credit Loan or L/C Advance pursuant to this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to reimburse the L/C Issuer for any amount drawn under any Letter of Credit, interest in respect of such Revolving Credit Lender’s Applicable Percentage of such amount shall be solely for the account of the L/C Issuer.</w:t>
      </w:r>
    </w:p>
    <w:p>
      <w:pPr>
        <w:spacing w:after="0" w:line="157" w:lineRule="exact"/>
        <w:rPr>
          <w:rFonts w:ascii="Arial" w:cs="Arial" w:eastAsia="Arial" w:hAnsi="Arial"/>
          <w:sz w:val="17"/>
          <w:szCs w:val="17"/>
          <w:color w:val="auto"/>
        </w:rPr>
      </w:pPr>
    </w:p>
    <w:p>
      <w:pPr>
        <w:jc w:val="both"/>
        <w:ind w:left="320" w:firstLine="660"/>
        <w:spacing w:after="0" w:line="265" w:lineRule="auto"/>
        <w:tabs>
          <w:tab w:leader="none" w:pos="1244"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Each Revolving Credit Lender’s obligation to make Revolving Credit Loans or L/C Advances to reimburse the L/C Issuer for amounts drawn under Letters of Credit, as contemplated by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shall be absolute and unconditional and shall not be affected by any circumstance, including (A) any setoff, counterclaim, recoupment, defense or other right which such Revolving Credit Lender may have against the L/C Issuer, the Company, any Subsidiary or any other Person for any reason whatsoever; (B) the occurrence or continuance of a Default, or (C) any other occurrence, event or condition, whether or not similar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Revolving Credit Lender’s obligation to make Revolving Credit Loans pursuant to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is subject to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delivery by the Company of a Committed Loan Notice). No such making of an L/C Advance shall relieve or otherwise impair the obligation of the Company to reimburse the L/C Issuer for the amount of any payment made by the L/C Issuer under any Letter of Credit, together with interest as provided herein.</w:t>
      </w:r>
    </w:p>
    <w:p>
      <w:pPr>
        <w:spacing w:after="0" w:line="152" w:lineRule="exact"/>
        <w:rPr>
          <w:rFonts w:ascii="Arial" w:cs="Arial" w:eastAsia="Arial" w:hAnsi="Arial"/>
          <w:sz w:val="16"/>
          <w:szCs w:val="16"/>
          <w:color w:val="auto"/>
        </w:rPr>
      </w:pPr>
    </w:p>
    <w:p>
      <w:pPr>
        <w:jc w:val="both"/>
        <w:ind w:left="320" w:right="20" w:firstLine="660"/>
        <w:spacing w:after="0" w:line="281" w:lineRule="auto"/>
        <w:tabs>
          <w:tab w:leader="none" w:pos="1277"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If any Revolving Credit Lender fails to make available to the Administrative Agent for the account of the L/C Issuer any amount required to be paid by such Revolving Credit Lender pursuant to the foregoing provisions of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by the time specified in </w:t>
      </w:r>
      <w:r>
        <w:rPr>
          <w:rFonts w:ascii="Arial" w:cs="Arial" w:eastAsia="Arial" w:hAnsi="Arial"/>
          <w:sz w:val="16"/>
          <w:szCs w:val="16"/>
          <w:u w:val="single" w:color="auto"/>
          <w:color w:val="auto"/>
        </w:rPr>
        <w:t>Section 2.03(c)(ii)</w:t>
      </w:r>
      <w:r>
        <w:rPr>
          <w:rFonts w:ascii="Arial" w:cs="Arial" w:eastAsia="Arial" w:hAnsi="Arial"/>
          <w:sz w:val="16"/>
          <w:szCs w:val="16"/>
          <w:color w:val="auto"/>
        </w:rPr>
        <w:t>, the L/C Issuer shall be entitled to recover from such Revolving Credit Lender (acting through the Administrative</w:t>
      </w:r>
    </w:p>
    <w:p>
      <w:pPr>
        <w:spacing w:after="0" w:line="13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0240"/>
          </w:cols>
          <w:pgMar w:left="1440" w:top="312" w:right="219" w:bottom="1440" w:gutter="0" w:footer="0" w:header="0"/>
        </w:sectPr>
      </w:pPr>
    </w:p>
    <w:bookmarkStart w:id="55" w:name="page56"/>
    <w:bookmarkEnd w:id="55"/>
    <w:p>
      <w:pPr>
        <w:jc w:val="both"/>
        <w:ind w:left="320"/>
        <w:spacing w:after="0" w:line="275" w:lineRule="auto"/>
        <w:rPr>
          <w:sz w:val="20"/>
          <w:szCs w:val="20"/>
          <w:color w:val="auto"/>
        </w:rPr>
      </w:pPr>
      <w:r>
        <w:rPr>
          <w:rFonts w:ascii="Arial" w:cs="Arial" w:eastAsia="Arial" w:hAnsi="Arial"/>
          <w:sz w:val="16"/>
          <w:szCs w:val="16"/>
          <w:color w:val="auto"/>
        </w:rPr>
        <w:t xml:space="preserve">Agent), on demand, such amount with interest thereon for the period from the date such payment is required to the date on which such payment is immediately available to the L/C Issuer at a rate per annum equal to the applicable Overnight Rate from time to time in effect, </w:t>
      </w:r>
      <w:r>
        <w:rPr>
          <w:rFonts w:ascii="Arial" w:cs="Arial" w:eastAsia="Arial" w:hAnsi="Arial"/>
          <w:sz w:val="14"/>
          <w:szCs w:val="14"/>
          <w:u w:val="single" w:color="auto"/>
          <w:color w:val="auto"/>
        </w:rPr>
        <w:t>plus</w:t>
      </w:r>
      <w:r>
        <w:rPr>
          <w:rFonts w:ascii="Arial" w:cs="Arial" w:eastAsia="Arial" w:hAnsi="Arial"/>
          <w:sz w:val="16"/>
          <w:szCs w:val="16"/>
          <w:color w:val="auto"/>
        </w:rPr>
        <w:t xml:space="preserve"> </w:t>
      </w:r>
      <w:r>
        <w:rPr>
          <w:rFonts w:ascii="Arial" w:cs="Arial" w:eastAsia="Arial" w:hAnsi="Arial"/>
          <w:sz w:val="14"/>
          <w:szCs w:val="14"/>
          <w:color w:val="auto"/>
        </w:rPr>
        <w:t>any</w:t>
      </w:r>
      <w:r>
        <w:rPr>
          <w:rFonts w:ascii="Arial" w:cs="Arial" w:eastAsia="Arial" w:hAnsi="Arial"/>
          <w:sz w:val="16"/>
          <w:szCs w:val="16"/>
          <w:color w:val="auto"/>
        </w:rPr>
        <w:t xml:space="preserve"> </w:t>
      </w:r>
      <w:r>
        <w:rPr>
          <w:rFonts w:ascii="Arial" w:cs="Arial" w:eastAsia="Arial" w:hAnsi="Arial"/>
          <w:sz w:val="14"/>
          <w:szCs w:val="14"/>
          <w:color w:val="auto"/>
        </w:rPr>
        <w:t xml:space="preserve">administrative, processing or similar fees customarily charged by the L/C Issuer in connection with the foregoing. If such Revolving Credit Lender pays such amount (with interest and fees as aforesaid), the amount so paid shall constitute such Revolving Credit Lender’s Loan included in the relevant Revolving Credit Borrowing or L/C Advance in respect of the relevant L/C Borrowing, as the case may be. A certificate of the L/C Issuer submitted to any Revolving Credit Lender (through the Administrative Agent) with respect to any amounts owing under this </w:t>
      </w:r>
      <w:r>
        <w:rPr>
          <w:rFonts w:ascii="Arial" w:cs="Arial" w:eastAsia="Arial" w:hAnsi="Arial"/>
          <w:sz w:val="14"/>
          <w:szCs w:val="14"/>
          <w:u w:val="single" w:color="auto"/>
          <w:color w:val="auto"/>
        </w:rPr>
        <w:t>clause (vi)</w:t>
      </w:r>
      <w:r>
        <w:rPr>
          <w:rFonts w:ascii="Arial" w:cs="Arial" w:eastAsia="Arial" w:hAnsi="Arial"/>
          <w:sz w:val="14"/>
          <w:szCs w:val="14"/>
          <w:color w:val="auto"/>
        </w:rPr>
        <w:t xml:space="preserve"> shall be conclusive absent manifest error.</w:t>
      </w:r>
    </w:p>
    <w:p>
      <w:pPr>
        <w:spacing w:after="0" w:line="150" w:lineRule="exact"/>
        <w:rPr>
          <w:sz w:val="20"/>
          <w:szCs w:val="20"/>
          <w:color w:val="auto"/>
        </w:rPr>
      </w:pPr>
    </w:p>
    <w:p>
      <w:pPr>
        <w:ind w:left="520" w:hanging="251"/>
        <w:spacing w:after="0"/>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Repayment of Participations</w:t>
      </w:r>
      <w:r>
        <w:rPr>
          <w:rFonts w:ascii="Arial" w:cs="Arial" w:eastAsia="Arial" w:hAnsi="Arial"/>
          <w:sz w:val="17"/>
          <w:szCs w:val="17"/>
          <w:color w:val="auto"/>
        </w:rPr>
        <w:t>.</w:t>
      </w:r>
    </w:p>
    <w:p>
      <w:pPr>
        <w:spacing w:after="0" w:line="191" w:lineRule="exact"/>
        <w:rPr>
          <w:rFonts w:ascii="Arial" w:cs="Arial" w:eastAsia="Arial" w:hAnsi="Arial"/>
          <w:sz w:val="17"/>
          <w:szCs w:val="17"/>
          <w:color w:val="auto"/>
        </w:rPr>
      </w:pPr>
    </w:p>
    <w:p>
      <w:pPr>
        <w:jc w:val="both"/>
        <w:ind w:left="320" w:firstLine="660"/>
        <w:spacing w:after="0" w:line="249" w:lineRule="auto"/>
        <w:tabs>
          <w:tab w:leader="none" w:pos="1208" w:val="left"/>
        </w:tabs>
        <w:numPr>
          <w:ilvl w:val="1"/>
          <w:numId w:val="41"/>
        </w:numPr>
        <w:rPr>
          <w:rFonts w:ascii="Arial" w:cs="Arial" w:eastAsia="Arial" w:hAnsi="Arial"/>
          <w:sz w:val="17"/>
          <w:szCs w:val="17"/>
          <w:color w:val="auto"/>
        </w:rPr>
      </w:pPr>
      <w:r>
        <w:rPr>
          <w:rFonts w:ascii="Arial" w:cs="Arial" w:eastAsia="Arial" w:hAnsi="Arial"/>
          <w:sz w:val="17"/>
          <w:szCs w:val="17"/>
          <w:color w:val="auto"/>
        </w:rPr>
        <w:t xml:space="preserve">At any time after the L/C Issuer has made a payment under any Letter of Credit and has received from any Revolving Credit Lender such Revolving Credit Lender’s L/C Advance in respect of such payment in accordance with </w:t>
      </w:r>
      <w:r>
        <w:rPr>
          <w:rFonts w:ascii="Arial" w:cs="Arial" w:eastAsia="Arial" w:hAnsi="Arial"/>
          <w:sz w:val="17"/>
          <w:szCs w:val="17"/>
          <w:u w:val="single" w:color="auto"/>
          <w:color w:val="auto"/>
        </w:rPr>
        <w:t>Section 2.03(c)</w:t>
      </w:r>
      <w:r>
        <w:rPr>
          <w:rFonts w:ascii="Arial" w:cs="Arial" w:eastAsia="Arial" w:hAnsi="Arial"/>
          <w:sz w:val="17"/>
          <w:szCs w:val="17"/>
          <w:color w:val="auto"/>
        </w:rPr>
        <w:t>, if the Administrative Agent receives for the account of the L/C Issuer any payment in respect of the related Unreimbursed Amount or interest thereon (whether directly from the Company or otherwise, including proceeds of Cash Collateral applied thereto by the Administrative Agent), the Administrative Agent will distribute to such Revolving Credit Lender its Applicable Revolving Credit Percentage thereof in Dollars and in the same funds as those received by the Administrative Agent.</w:t>
      </w:r>
    </w:p>
    <w:p>
      <w:pPr>
        <w:spacing w:after="0" w:line="166" w:lineRule="exact"/>
        <w:rPr>
          <w:rFonts w:ascii="Arial" w:cs="Arial" w:eastAsia="Arial" w:hAnsi="Arial"/>
          <w:sz w:val="17"/>
          <w:szCs w:val="17"/>
          <w:color w:val="auto"/>
        </w:rPr>
      </w:pPr>
    </w:p>
    <w:p>
      <w:pPr>
        <w:jc w:val="both"/>
        <w:ind w:left="320" w:firstLine="660"/>
        <w:spacing w:after="0" w:line="249" w:lineRule="auto"/>
        <w:tabs>
          <w:tab w:leader="none" w:pos="1235" w:val="left"/>
        </w:tabs>
        <w:numPr>
          <w:ilvl w:val="1"/>
          <w:numId w:val="41"/>
        </w:numPr>
        <w:rPr>
          <w:rFonts w:ascii="Arial" w:cs="Arial" w:eastAsia="Arial" w:hAnsi="Arial"/>
          <w:sz w:val="17"/>
          <w:szCs w:val="17"/>
          <w:color w:val="auto"/>
        </w:rPr>
      </w:pPr>
      <w:r>
        <w:rPr>
          <w:rFonts w:ascii="Arial" w:cs="Arial" w:eastAsia="Arial" w:hAnsi="Arial"/>
          <w:sz w:val="17"/>
          <w:szCs w:val="17"/>
          <w:color w:val="auto"/>
        </w:rPr>
        <w:t xml:space="preserve">If any payment received by the Administrative Agent for the account of the L/C Issuer pursuant to </w:t>
      </w:r>
      <w:r>
        <w:rPr>
          <w:rFonts w:ascii="Arial" w:cs="Arial" w:eastAsia="Arial" w:hAnsi="Arial"/>
          <w:sz w:val="17"/>
          <w:szCs w:val="17"/>
          <w:u w:val="single" w:color="auto"/>
          <w:color w:val="auto"/>
        </w:rPr>
        <w:t>Section 2.03(c)(i)</w:t>
      </w:r>
      <w:r>
        <w:rPr>
          <w:rFonts w:ascii="Arial" w:cs="Arial" w:eastAsia="Arial" w:hAnsi="Arial"/>
          <w:sz w:val="17"/>
          <w:szCs w:val="17"/>
          <w:color w:val="auto"/>
        </w:rPr>
        <w:t xml:space="preserve"> is required to be returned under any of the circumstances described in </w:t>
      </w:r>
      <w:r>
        <w:rPr>
          <w:rFonts w:ascii="Arial" w:cs="Arial" w:eastAsia="Arial" w:hAnsi="Arial"/>
          <w:sz w:val="17"/>
          <w:szCs w:val="17"/>
          <w:u w:val="single" w:color="auto"/>
          <w:color w:val="auto"/>
        </w:rPr>
        <w:t>Section 11.05</w:t>
      </w:r>
      <w:r>
        <w:rPr>
          <w:rFonts w:ascii="Arial" w:cs="Arial" w:eastAsia="Arial" w:hAnsi="Arial"/>
          <w:sz w:val="17"/>
          <w:szCs w:val="17"/>
          <w:color w:val="auto"/>
        </w:rPr>
        <w:t xml:space="preserve"> (including pursuant to any settlement entered into by the L/C Issuer in its discretion), each Revolving Credit Lender shall pay to the Administrative Agent for the account of the L/C Issuer its Applicable Revolving Credit Percentage thereof on demand of the Administrative Agent,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interest thereon from the date of such demand to the date such amount is returned by such Revolving Credit Lender, at a rate per annum equal to the applicable Overnight Rate from time to time in effect. The obligations of the Revolving Credit Lenders under this clause shall survive the payment in full of the Obligations and the termination of this Agreement.</w:t>
      </w:r>
    </w:p>
    <w:p>
      <w:pPr>
        <w:spacing w:after="0" w:line="162" w:lineRule="exact"/>
        <w:rPr>
          <w:rFonts w:ascii="Arial" w:cs="Arial" w:eastAsia="Arial" w:hAnsi="Arial"/>
          <w:sz w:val="17"/>
          <w:szCs w:val="17"/>
          <w:color w:val="auto"/>
        </w:rPr>
      </w:pPr>
    </w:p>
    <w:p>
      <w:pPr>
        <w:jc w:val="both"/>
        <w:ind w:left="-440" w:firstLine="709"/>
        <w:spacing w:after="0" w:line="257" w:lineRule="auto"/>
        <w:tabs>
          <w:tab w:leader="none" w:pos="506"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Obligations Absolute</w:t>
      </w:r>
      <w:r>
        <w:rPr>
          <w:rFonts w:ascii="Arial" w:cs="Arial" w:eastAsia="Arial" w:hAnsi="Arial"/>
          <w:sz w:val="17"/>
          <w:szCs w:val="17"/>
          <w:color w:val="auto"/>
        </w:rPr>
        <w:t>. The obligation of the Company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57" w:lineRule="exact"/>
        <w:rPr>
          <w:rFonts w:ascii="Arial" w:cs="Arial" w:eastAsia="Arial" w:hAnsi="Arial"/>
          <w:sz w:val="17"/>
          <w:szCs w:val="17"/>
          <w:color w:val="auto"/>
        </w:rPr>
      </w:pPr>
    </w:p>
    <w:p>
      <w:pPr>
        <w:ind w:left="1200" w:hanging="220"/>
        <w:spacing w:after="0"/>
        <w:tabs>
          <w:tab w:leader="none" w:pos="12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lack of validity or enforceability of such Letter of Credit, of any other provision of this Agreement, or of any other Loan</w:t>
      </w:r>
    </w:p>
    <w:p>
      <w:pPr>
        <w:spacing w:after="0" w:line="29"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7"/>
          <w:szCs w:val="17"/>
          <w:color w:val="auto"/>
        </w:rPr>
        <w:t>Document;</w:t>
      </w:r>
    </w:p>
    <w:p>
      <w:pPr>
        <w:spacing w:after="0" w:line="177" w:lineRule="exact"/>
        <w:rPr>
          <w:rFonts w:ascii="Arial" w:cs="Arial" w:eastAsia="Arial" w:hAnsi="Arial"/>
          <w:sz w:val="16"/>
          <w:szCs w:val="16"/>
          <w:color w:val="auto"/>
        </w:rPr>
      </w:pPr>
    </w:p>
    <w:p>
      <w:pPr>
        <w:jc w:val="both"/>
        <w:ind w:left="320" w:right="20" w:firstLine="660"/>
        <w:spacing w:after="0" w:line="253" w:lineRule="auto"/>
        <w:tabs>
          <w:tab w:leader="none" w:pos="1241" w:val="left"/>
        </w:tabs>
        <w:numPr>
          <w:ilvl w:val="1"/>
          <w:numId w:val="41"/>
        </w:numPr>
        <w:rPr>
          <w:rFonts w:ascii="Arial" w:cs="Arial" w:eastAsia="Arial" w:hAnsi="Arial"/>
          <w:sz w:val="17"/>
          <w:szCs w:val="17"/>
          <w:color w:val="auto"/>
        </w:rPr>
      </w:pPr>
      <w:r>
        <w:rPr>
          <w:rFonts w:ascii="Arial" w:cs="Arial" w:eastAsia="Arial" w:hAnsi="Arial"/>
          <w:sz w:val="17"/>
          <w:szCs w:val="17"/>
          <w:color w:val="auto"/>
        </w:rPr>
        <w:t>the existence of any claim, counterclaim, setoff, defense or other right that the Company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60" w:lineRule="exact"/>
        <w:rPr>
          <w:rFonts w:ascii="Arial" w:cs="Arial" w:eastAsia="Arial" w:hAnsi="Arial"/>
          <w:sz w:val="17"/>
          <w:szCs w:val="17"/>
          <w:color w:val="auto"/>
        </w:rPr>
      </w:pPr>
    </w:p>
    <w:p>
      <w:pPr>
        <w:jc w:val="both"/>
        <w:ind w:left="320" w:right="20" w:firstLine="660"/>
        <w:spacing w:after="0" w:line="257" w:lineRule="auto"/>
        <w:tabs>
          <w:tab w:leader="none" w:pos="1284" w:val="left"/>
        </w:tabs>
        <w:numPr>
          <w:ilvl w:val="1"/>
          <w:numId w:val="41"/>
        </w:numPr>
        <w:rPr>
          <w:rFonts w:ascii="Arial" w:cs="Arial" w:eastAsia="Arial" w:hAnsi="Arial"/>
          <w:sz w:val="17"/>
          <w:szCs w:val="17"/>
          <w:color w:val="auto"/>
        </w:rPr>
      </w:pPr>
      <w:r>
        <w:rPr>
          <w:rFonts w:ascii="Arial" w:cs="Arial" w:eastAsia="Arial" w:hAnsi="Arial"/>
          <w:sz w:val="17"/>
          <w:szCs w:val="17"/>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57"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0240"/>
          </w:cols>
          <w:pgMar w:left="1440" w:top="312" w:right="219" w:bottom="1440" w:gutter="0" w:footer="0" w:header="0"/>
        </w:sectPr>
      </w:pPr>
    </w:p>
    <w:bookmarkStart w:id="56" w:name="page57"/>
    <w:bookmarkEnd w:id="56"/>
    <w:p>
      <w:pPr>
        <w:jc w:val="both"/>
        <w:ind w:left="760" w:firstLine="660"/>
        <w:spacing w:after="0" w:line="251" w:lineRule="auto"/>
        <w:tabs>
          <w:tab w:leader="none" w:pos="1735"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61" w:lineRule="exact"/>
        <w:rPr>
          <w:rFonts w:ascii="Arial" w:cs="Arial" w:eastAsia="Arial" w:hAnsi="Arial"/>
          <w:sz w:val="17"/>
          <w:szCs w:val="17"/>
          <w:color w:val="auto"/>
        </w:rPr>
      </w:pPr>
    </w:p>
    <w:p>
      <w:pPr>
        <w:ind w:left="760" w:firstLine="660"/>
        <w:spacing w:after="0" w:line="271" w:lineRule="auto"/>
        <w:tabs>
          <w:tab w:leader="none" w:pos="1665"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adverse change in the relevant exchange rates or in the availability of the relevant Alternative Currency to the Company or any Subsidiary or in the relevant currency markets generally; or</w:t>
      </w:r>
    </w:p>
    <w:p>
      <w:pPr>
        <w:spacing w:after="0" w:line="144" w:lineRule="exact"/>
        <w:rPr>
          <w:rFonts w:ascii="Arial" w:cs="Arial" w:eastAsia="Arial" w:hAnsi="Arial"/>
          <w:sz w:val="17"/>
          <w:szCs w:val="17"/>
          <w:color w:val="auto"/>
        </w:rPr>
      </w:pPr>
    </w:p>
    <w:p>
      <w:pPr>
        <w:ind w:left="760" w:right="20" w:firstLine="660"/>
        <w:spacing w:after="0" w:line="271" w:lineRule="auto"/>
        <w:tabs>
          <w:tab w:leader="none" w:pos="1712"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other circumstance or happening whatsoever, whether or not similar to any of the foregoing, including any other circumstance that might otherwise constitute a defense available to, or a discharge of, the Company or any of its Subsidiaries.</w:t>
      </w:r>
    </w:p>
    <w:p>
      <w:pPr>
        <w:spacing w:after="0" w:line="145" w:lineRule="exact"/>
        <w:rPr>
          <w:sz w:val="20"/>
          <w:szCs w:val="20"/>
          <w:color w:val="auto"/>
        </w:rPr>
      </w:pPr>
    </w:p>
    <w:p>
      <w:pPr>
        <w:jc w:val="both"/>
        <w:ind w:firstLine="712"/>
        <w:spacing w:after="0" w:line="281" w:lineRule="auto"/>
        <w:rPr>
          <w:sz w:val="20"/>
          <w:szCs w:val="20"/>
          <w:color w:val="auto"/>
        </w:rPr>
      </w:pPr>
      <w:r>
        <w:rPr>
          <w:rFonts w:ascii="Arial" w:cs="Arial" w:eastAsia="Arial" w:hAnsi="Arial"/>
          <w:sz w:val="16"/>
          <w:szCs w:val="16"/>
          <w:color w:val="auto"/>
        </w:rPr>
        <w:t>The Company shall promptly examine a copy of each Letter of Credit and each amendment thereto that is delivered to it and, in the event of any claim of noncompliance with the Company’s instructions or other irregularity, the Company will immediately notify the L/C Issuer. The Company shall be conclusively deemed to have waived any such claim against the L/C Issuer and its correspondents unless such notice is given as aforesaid.</w:t>
      </w:r>
    </w:p>
    <w:p>
      <w:pPr>
        <w:spacing w:after="0" w:line="139" w:lineRule="exact"/>
        <w:rPr>
          <w:sz w:val="20"/>
          <w:szCs w:val="20"/>
          <w:color w:val="auto"/>
        </w:rPr>
      </w:pPr>
    </w:p>
    <w:p>
      <w:pPr>
        <w:jc w:val="both"/>
        <w:ind w:firstLine="709"/>
        <w:spacing w:after="0" w:line="262" w:lineRule="auto"/>
        <w:tabs>
          <w:tab w:leader="none" w:pos="927"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Role of L/C Issuer</w:t>
      </w:r>
      <w:r>
        <w:rPr>
          <w:rFonts w:ascii="Arial" w:cs="Arial" w:eastAsia="Arial" w:hAnsi="Arial"/>
          <w:sz w:val="16"/>
          <w:szCs w:val="16"/>
          <w:color w:val="auto"/>
        </w:rPr>
        <w:t xml:space="preserve">. Each Lender and the Company agree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Revolving Credit Lenders or the Required Revolving Lenders, as applicable; (ii) any action taken or omitted in the absence of gross negligence or willful misconduct; or (iii) the due execution, effectiveness, validity or enforceability of any document or instrument related to any Letter of Credit or Issuer Document. The Company hereby assumes all risks of the acts or omissions of any beneficiary or transferee with respect to its use of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assumption is not intended to, and shall not, preclude the Company’s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w:t>
      </w:r>
      <w:r>
        <w:rPr>
          <w:rFonts w:ascii="Arial" w:cs="Arial" w:eastAsia="Arial" w:hAnsi="Arial"/>
          <w:sz w:val="16"/>
          <w:szCs w:val="16"/>
          <w:u w:val="single" w:color="auto"/>
          <w:color w:val="auto"/>
        </w:rPr>
        <w:t>Sections 2.03(e)(i)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anything in such clauses to the contrary notwithstanding, the Company may have a claim against the L/C Issuer, and the L/C Issuer may be liable to the Company, to the extent, but only to the extent, of any direct, as opposed to consequential or exemplary, damages suffered by the Company which the Company proves were caused by the L/C Issuer’s willful misconduct or gross negligence or the L/C Issuer’s willful failure to pay under any Letter of Credit after the presentation to it by the beneficiary of a sight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57" w:lineRule="exact"/>
        <w:rPr>
          <w:rFonts w:ascii="Arial" w:cs="Arial" w:eastAsia="Arial" w:hAnsi="Arial"/>
          <w:sz w:val="16"/>
          <w:szCs w:val="16"/>
          <w:color w:val="auto"/>
        </w:rPr>
      </w:pPr>
    </w:p>
    <w:p>
      <w:pPr>
        <w:ind w:right="20" w:firstLine="709"/>
        <w:spacing w:after="0" w:line="271" w:lineRule="auto"/>
        <w:tabs>
          <w:tab w:leader="none" w:pos="955"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Applicability of ISP</w:t>
      </w:r>
      <w:r>
        <w:rPr>
          <w:rFonts w:ascii="Arial" w:cs="Arial" w:eastAsia="Arial" w:hAnsi="Arial"/>
          <w:sz w:val="17"/>
          <w:szCs w:val="17"/>
          <w:color w:val="auto"/>
        </w:rPr>
        <w:t>. Unless otherwise expressly agreed by the L/C Issuer and the Company when a Letter of Credit is issued (including any such agreement applicable to an Existing Letter of Credit), the rules of the ISP shall apply to each standby Letter of Credit.</w:t>
      </w:r>
    </w:p>
    <w:p>
      <w:pPr>
        <w:spacing w:after="0" w:line="144" w:lineRule="exact"/>
        <w:rPr>
          <w:rFonts w:ascii="Arial" w:cs="Arial" w:eastAsia="Arial" w:hAnsi="Arial"/>
          <w:sz w:val="17"/>
          <w:szCs w:val="17"/>
          <w:color w:val="auto"/>
        </w:rPr>
      </w:pPr>
    </w:p>
    <w:p>
      <w:pPr>
        <w:jc w:val="both"/>
        <w:ind w:firstLine="709"/>
        <w:spacing w:after="0" w:line="253" w:lineRule="auto"/>
        <w:tabs>
          <w:tab w:leader="none" w:pos="955"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Letter of Credit Fees</w:t>
      </w:r>
      <w:r>
        <w:rPr>
          <w:rFonts w:ascii="Arial" w:cs="Arial" w:eastAsia="Arial" w:hAnsi="Arial"/>
          <w:sz w:val="17"/>
          <w:szCs w:val="17"/>
          <w:color w:val="auto"/>
        </w:rPr>
        <w:t xml:space="preserve">. The Company shall pay to the Administrative Agent for the account of each Revolving Credit Lender in accordance, subject to </w:t>
      </w:r>
      <w:r>
        <w:rPr>
          <w:rFonts w:ascii="Arial" w:cs="Arial" w:eastAsia="Arial" w:hAnsi="Arial"/>
          <w:sz w:val="17"/>
          <w:szCs w:val="17"/>
          <w:u w:val="single" w:color="auto"/>
          <w:color w:val="auto"/>
        </w:rPr>
        <w:t>Section 2.16</w:t>
      </w:r>
      <w:r>
        <w:rPr>
          <w:rFonts w:ascii="Arial" w:cs="Arial" w:eastAsia="Arial" w:hAnsi="Arial"/>
          <w:sz w:val="17"/>
          <w:szCs w:val="17"/>
          <w:color w:val="auto"/>
        </w:rPr>
        <w:t>, with its Applicable Revolving Credit Percentage, in Dollars, a Letter of Credit fee (the “</w:t>
      </w:r>
      <w:r>
        <w:rPr>
          <w:rFonts w:ascii="Arial" w:cs="Arial" w:eastAsia="Arial" w:hAnsi="Arial"/>
          <w:sz w:val="17"/>
          <w:szCs w:val="17"/>
          <w:u w:val="single" w:color="auto"/>
          <w:color w:val="auto"/>
        </w:rPr>
        <w:t>Letter of Credit Fee</w:t>
      </w:r>
      <w:r>
        <w:rPr>
          <w:rFonts w:ascii="Arial" w:cs="Arial" w:eastAsia="Arial" w:hAnsi="Arial"/>
          <w:sz w:val="17"/>
          <w:szCs w:val="17"/>
          <w:color w:val="auto"/>
        </w:rPr>
        <w:t xml:space="preserve">”) for each Letter of Credit equal to the Applicable Rate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Dollar Equivalent of the daily maximum amount available to be drawn under such Letter of Credit. For purposes of computing the daily amount available to be drawn under any Letter of Credit, the amount of such</w:t>
      </w:r>
    </w:p>
    <w:p>
      <w:pPr>
        <w:spacing w:after="0" w:line="160"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0680"/>
          </w:cols>
          <w:pgMar w:left="1000" w:top="312" w:right="219" w:bottom="1440" w:gutter="0" w:footer="0" w:header="0"/>
        </w:sectPr>
      </w:pPr>
    </w:p>
    <w:bookmarkStart w:id="57" w:name="page58"/>
    <w:bookmarkEnd w:id="57"/>
    <w:p>
      <w:pPr>
        <w:jc w:val="both"/>
        <w:spacing w:after="0" w:line="258" w:lineRule="auto"/>
        <w:rPr>
          <w:sz w:val="20"/>
          <w:szCs w:val="20"/>
          <w:color w:val="auto"/>
        </w:rPr>
      </w:pPr>
      <w:r>
        <w:rPr>
          <w:rFonts w:ascii="Arial" w:cs="Arial" w:eastAsia="Arial" w:hAnsi="Arial"/>
          <w:sz w:val="17"/>
          <w:szCs w:val="17"/>
          <w:color w:val="auto"/>
        </w:rPr>
        <w:t xml:space="preserve">Letter of Credit shall be determined in accordance with </w:t>
      </w:r>
      <w:r>
        <w:rPr>
          <w:rFonts w:ascii="Arial" w:cs="Arial" w:eastAsia="Arial" w:hAnsi="Arial"/>
          <w:sz w:val="15"/>
          <w:szCs w:val="15"/>
          <w:u w:val="single" w:color="auto"/>
          <w:color w:val="auto"/>
        </w:rPr>
        <w:t>Section 1.08</w:t>
      </w:r>
      <w:r>
        <w:rPr>
          <w:rFonts w:ascii="Arial" w:cs="Arial" w:eastAsia="Arial" w:hAnsi="Arial"/>
          <w:sz w:val="15"/>
          <w:szCs w:val="15"/>
          <w:color w:val="auto"/>
        </w:rPr>
        <w:t>. Letter of Credit Fees shall be (i) computed on a quarterly basis in arrears and (ii) due and</w:t>
      </w:r>
      <w:r>
        <w:rPr>
          <w:rFonts w:ascii="Arial" w:cs="Arial" w:eastAsia="Arial" w:hAnsi="Arial"/>
          <w:sz w:val="17"/>
          <w:szCs w:val="17"/>
          <w:color w:val="auto"/>
        </w:rPr>
        <w:t xml:space="preserve"> </w:t>
      </w:r>
      <w:r>
        <w:rPr>
          <w:rFonts w:ascii="Arial" w:cs="Arial" w:eastAsia="Arial" w:hAnsi="Arial"/>
          <w:sz w:val="15"/>
          <w:szCs w:val="15"/>
          <w:color w:val="auto"/>
        </w:rPr>
        <w:t>payable on the first Business Day after the end of each March, June, September and December, commencing with the first such date to occur after the issuance of such Letter of Credit, on the Letter of Credit Expiration Date and thereafter on demand.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Revolving Lenders while any Event of Default exists, all Letter of Credit Fees shall accrue at the Default Rate.</w:t>
      </w:r>
    </w:p>
    <w:p>
      <w:pPr>
        <w:spacing w:after="0" w:line="163" w:lineRule="exact"/>
        <w:rPr>
          <w:sz w:val="20"/>
          <w:szCs w:val="20"/>
          <w:color w:val="auto"/>
        </w:rPr>
      </w:pPr>
    </w:p>
    <w:p>
      <w:pPr>
        <w:jc w:val="both"/>
        <w:ind w:firstLine="709"/>
        <w:spacing w:after="0" w:line="264" w:lineRule="auto"/>
        <w:tabs>
          <w:tab w:leader="none" w:pos="917"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Fronting Fee and Documentary and Processing Charges Payable to L/C Issuer</w:t>
      </w:r>
      <w:r>
        <w:rPr>
          <w:rFonts w:ascii="Arial" w:cs="Arial" w:eastAsia="Arial" w:hAnsi="Arial"/>
          <w:sz w:val="16"/>
          <w:szCs w:val="16"/>
          <w:color w:val="auto"/>
        </w:rPr>
        <w:t xml:space="preserve">. The Company shall pay directly to the L/C Issuer for its own account, in Dollars, a fronting fee with respect to each Letter of Credit, at the rate per annum specified in the Fee Letter, computed on the Dollar Equivalent of the daily amount available to be drawn under such Letter of Credit on a quarterly basis in arrears. Such fronting fee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Dollar Equivalent of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1.08</w:t>
      </w:r>
      <w:r>
        <w:rPr>
          <w:rFonts w:ascii="Arial" w:cs="Arial" w:eastAsia="Arial" w:hAnsi="Arial"/>
          <w:sz w:val="16"/>
          <w:szCs w:val="16"/>
          <w:color w:val="auto"/>
        </w:rPr>
        <w:t>. In addition, the Company shall pay directly to the L/C Issuer for its own account, in Dollars,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156" w:lineRule="exact"/>
        <w:rPr>
          <w:rFonts w:ascii="Arial" w:cs="Arial" w:eastAsia="Arial" w:hAnsi="Arial"/>
          <w:sz w:val="16"/>
          <w:szCs w:val="16"/>
          <w:color w:val="auto"/>
        </w:rPr>
      </w:pPr>
    </w:p>
    <w:p>
      <w:pPr>
        <w:ind w:right="20" w:firstLine="709"/>
        <w:spacing w:after="0" w:line="271" w:lineRule="auto"/>
        <w:tabs>
          <w:tab w:leader="none" w:pos="929"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Conflict with Issuer Documents</w:t>
      </w:r>
      <w:r>
        <w:rPr>
          <w:rFonts w:ascii="Arial" w:cs="Arial" w:eastAsia="Arial" w:hAnsi="Arial"/>
          <w:sz w:val="17"/>
          <w:szCs w:val="17"/>
          <w:color w:val="auto"/>
        </w:rPr>
        <w:t>. In the event of any conflict between the terms hereof and the terms of any Issuer Document, the terms hereof shall control.</w:t>
      </w:r>
    </w:p>
    <w:p>
      <w:pPr>
        <w:spacing w:after="0" w:line="144" w:lineRule="exact"/>
        <w:rPr>
          <w:rFonts w:ascii="Arial" w:cs="Arial" w:eastAsia="Arial" w:hAnsi="Arial"/>
          <w:sz w:val="17"/>
          <w:szCs w:val="17"/>
          <w:color w:val="auto"/>
        </w:rPr>
      </w:pPr>
    </w:p>
    <w:p>
      <w:pPr>
        <w:jc w:val="both"/>
        <w:ind w:right="20" w:firstLine="709"/>
        <w:spacing w:after="0" w:line="274" w:lineRule="auto"/>
        <w:tabs>
          <w:tab w:leader="none" w:pos="979"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Letters of Credit Issued for Subsidiaries</w:t>
      </w:r>
      <w:r>
        <w:rPr>
          <w:rFonts w:ascii="Arial" w:cs="Arial" w:eastAsia="Arial" w:hAnsi="Arial"/>
          <w:sz w:val="16"/>
          <w:szCs w:val="16"/>
          <w:color w:val="auto"/>
        </w:rPr>
        <w:t>. Notwithstanding that a Letter of Credit issued or outstanding hereunder is in support of any obligations of, or is for the account of, a Subsidiary, the Company shall be obligated to reimburse the L/C Issuer hereunder for any and all drawings under such Letter of Credit. The Company hereby acknowledges that the issuance of Letters of Credit for the account of its Subsidiaries inures to the benefit of the Company, and that the Company’s business derives substantial benefits from the businesses of such Subsidiaries.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2.04 Swing Line Loans</w:t>
      </w:r>
      <w:r>
        <w:rPr>
          <w:rFonts w:ascii="Arial" w:cs="Arial" w:eastAsia="Arial" w:hAnsi="Arial"/>
          <w:sz w:val="17"/>
          <w:szCs w:val="17"/>
          <w:color w:val="auto"/>
        </w:rPr>
        <w:t>.</w:t>
      </w:r>
    </w:p>
    <w:p>
      <w:pPr>
        <w:spacing w:after="0" w:line="197" w:lineRule="exact"/>
        <w:rPr>
          <w:sz w:val="20"/>
          <w:szCs w:val="20"/>
          <w:color w:val="auto"/>
        </w:rPr>
      </w:pPr>
    </w:p>
    <w:p>
      <w:pPr>
        <w:jc w:val="both"/>
        <w:ind w:firstLine="709"/>
        <w:spacing w:after="0" w:line="263" w:lineRule="auto"/>
        <w:tabs>
          <w:tab w:leader="none" w:pos="946"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The Swing Line</w:t>
      </w:r>
      <w:r>
        <w:rPr>
          <w:rFonts w:ascii="Arial" w:cs="Arial" w:eastAsia="Arial" w:hAnsi="Arial"/>
          <w:sz w:val="16"/>
          <w:szCs w:val="16"/>
          <w:color w:val="auto"/>
        </w:rPr>
        <w:t xml:space="preserve">. Subject to the terms and conditions set forth herein, the Swing Line Lender, in reliance upon the agreements of the other Revolving Credit Lenders set forth in this </w:t>
      </w:r>
      <w:r>
        <w:rPr>
          <w:rFonts w:ascii="Arial" w:cs="Arial" w:eastAsia="Arial" w:hAnsi="Arial"/>
          <w:sz w:val="16"/>
          <w:szCs w:val="16"/>
          <w:u w:val="single" w:color="auto"/>
          <w:color w:val="auto"/>
        </w:rPr>
        <w:t>Section 2.04</w:t>
      </w:r>
      <w:r>
        <w:rPr>
          <w:rFonts w:ascii="Arial" w:cs="Arial" w:eastAsia="Arial" w:hAnsi="Arial"/>
          <w:sz w:val="16"/>
          <w:szCs w:val="16"/>
          <w:color w:val="auto"/>
        </w:rPr>
        <w:t>, may in its sole discretion, make loans in Dollars (each such loan, a “</w:t>
      </w:r>
      <w:r>
        <w:rPr>
          <w:rFonts w:ascii="Arial" w:cs="Arial" w:eastAsia="Arial" w:hAnsi="Arial"/>
          <w:sz w:val="16"/>
          <w:szCs w:val="16"/>
          <w:u w:val="single" w:color="auto"/>
          <w:color w:val="auto"/>
        </w:rPr>
        <w:t>Swing Line Loan</w:t>
      </w:r>
      <w:r>
        <w:rPr>
          <w:rFonts w:ascii="Arial" w:cs="Arial" w:eastAsia="Arial" w:hAnsi="Arial"/>
          <w:sz w:val="16"/>
          <w:szCs w:val="16"/>
          <w:color w:val="auto"/>
        </w:rPr>
        <w:t xml:space="preserve">”) to the Company from time to time on any Business Day during the Availability Period in an aggregate amount not to exceed at any time outstanding the amount of the Swing Line Sublimit, notwithstanding the fact that such Swing Line Loans, when aggregated with the Applicable Revolving Credit Percentage of the Outstanding Amount of Revolving Credit Loans and L/C Obligations of the Revolving Credit Lender acting as Swing Line Lender, may exceed the amount of such Revolving Credit Lender’s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after giving effect to any Swing Line Loan, (x)(i) the Total Outstandings shall not exceed the Revolving Credit Facility at such time, and (ii) the Revolving Credit Exposure of any Revolving Credit Lender shall not exceed such Revolving Credit Lender’s Revolving Credit Commitment, (y) the Company shall not use the proceeds of any Swing Line Loan to refinance any outstanding Swing Line Loan and (z) the Swing Line Lender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the Company may borrow under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prepay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reborrow under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Each Swing Line Loan shall be a Base Rate Loan. Immediately upon the making of a Swing Line Loan, each Revolving Credit Lender shall be deemed to, and hereby irrevocably and unconditionally agrees to, purchase from the Swing Line Lender a risk participation in such Swing Line Loan in an amount equal to the product of such Revolving Credit Lender’s Applicable Revolving Credit Percentage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amount of such Swing Line Loan.</w:t>
      </w:r>
    </w:p>
    <w:p>
      <w:pPr>
        <w:spacing w:after="0" w:line="152"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680"/>
          </w:cols>
          <w:pgMar w:left="1000" w:top="312" w:right="219" w:bottom="1440" w:gutter="0" w:footer="0" w:header="0"/>
        </w:sectPr>
      </w:pPr>
    </w:p>
    <w:bookmarkStart w:id="58" w:name="page59"/>
    <w:bookmarkEnd w:id="58"/>
    <w:p>
      <w:pPr>
        <w:jc w:val="both"/>
        <w:ind w:left="-440" w:firstLine="709"/>
        <w:spacing w:after="0" w:line="263" w:lineRule="auto"/>
        <w:tabs>
          <w:tab w:leader="none" w:pos="51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Borrowing Procedures</w:t>
      </w:r>
      <w:r>
        <w:rPr>
          <w:rFonts w:ascii="Arial" w:cs="Arial" w:eastAsia="Arial" w:hAnsi="Arial"/>
          <w:sz w:val="16"/>
          <w:szCs w:val="16"/>
          <w:color w:val="auto"/>
        </w:rPr>
        <w:t xml:space="preserve">. Each Swing Line Borrowing shall be made upon the Company’s irrevocable notice to the Swing Line Lender and the Administrative Agent, which may be given by telephone. Each such notice must be received by the Swing Line Lender and the Administrative Agent not later than 1:00 p.m. on the requested borrowing date, and shall specify (i) the amount to be borrowed, which shall be a minimum of $200,000, and (ii) the requested borrowing date, which shall be a Business Day. Each such telephonic notice must be confirmed promptly by delivery to the Swing Line Lender and the Administrative Agent of a written Swing Line Loan Notice, appropriately completed and signed by a Responsible Officer of the Company.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Revolving Credit Lender) prior to 2:00 p.m. on the date of the proposed Swing Line Borrowing (A) directing the Swing Line Lender not to make such Swing Line Loan as a result of the limitations set forth in the first proviso to the first sentence of </w:t>
      </w:r>
      <w:r>
        <w:rPr>
          <w:rFonts w:ascii="Arial" w:cs="Arial" w:eastAsia="Arial" w:hAnsi="Arial"/>
          <w:sz w:val="16"/>
          <w:szCs w:val="16"/>
          <w:u w:val="single" w:color="auto"/>
          <w:color w:val="auto"/>
        </w:rPr>
        <w:t>Section 2.04(a)</w:t>
      </w:r>
      <w:r>
        <w:rPr>
          <w:rFonts w:ascii="Arial" w:cs="Arial" w:eastAsia="Arial" w:hAnsi="Arial"/>
          <w:sz w:val="16"/>
          <w:szCs w:val="16"/>
          <w:color w:val="auto"/>
        </w:rPr>
        <w:t xml:space="preserve">, or (B) that one or more of the applicable conditions specified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Company at its office by crediting the account of the Company on the books of the Swing Line Lender in Same Day Funds.</w:t>
      </w:r>
    </w:p>
    <w:p>
      <w:pPr>
        <w:spacing w:after="0" w:line="154" w:lineRule="exact"/>
        <w:rPr>
          <w:rFonts w:ascii="Arial" w:cs="Arial" w:eastAsia="Arial" w:hAnsi="Arial"/>
          <w:sz w:val="16"/>
          <w:szCs w:val="16"/>
          <w:color w:val="auto"/>
        </w:rPr>
      </w:pPr>
    </w:p>
    <w:p>
      <w:pPr>
        <w:ind w:left="500" w:hanging="231"/>
        <w:spacing w:after="0"/>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Refinancing of Swing Line Loans</w:t>
      </w:r>
      <w:r>
        <w:rPr>
          <w:rFonts w:ascii="Arial" w:cs="Arial" w:eastAsia="Arial" w:hAnsi="Arial"/>
          <w:sz w:val="17"/>
          <w:szCs w:val="17"/>
          <w:color w:val="auto"/>
        </w:rPr>
        <w:t>.</w:t>
      </w:r>
    </w:p>
    <w:p>
      <w:pPr>
        <w:spacing w:after="0" w:line="191" w:lineRule="exact"/>
        <w:rPr>
          <w:rFonts w:ascii="Arial" w:cs="Arial" w:eastAsia="Arial" w:hAnsi="Arial"/>
          <w:sz w:val="17"/>
          <w:szCs w:val="17"/>
          <w:color w:val="auto"/>
        </w:rPr>
      </w:pPr>
    </w:p>
    <w:p>
      <w:pPr>
        <w:jc w:val="both"/>
        <w:ind w:left="320" w:right="20" w:firstLine="660"/>
        <w:spacing w:after="0" w:line="263" w:lineRule="auto"/>
        <w:tabs>
          <w:tab w:leader="none" w:pos="1208"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The Swing Line Lender at any time in its sole and absolute discretion may request, on behalf of the Company (which hereby irrevocably authorizes the Swing Line Lender to so request on its behalf), that each Revolving Credit Lender make a Base Rate Loan in an amount equal to such Revolving Credit Lender’s Applicable Revolving Credit Percentage of the amount of Swing Line Loans then outstanding. Such request shall be made in writing (which written request shall be deemed to be a Committed Loan Notice for purposes hereof) and in accordance with the requirements of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without regard to the minimum and multiples specified therein for the principal amount of Base Rate Loans, but subject to the unutilized portion of the Revolving Credit Facility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the delivery of a Committed Loan Notice). The Swing Line Lender shall furnish the Company with a copy of the applicable Committed Loan Notice promptly after delivering such notice to the Administrative Agent. Each Revolving Credit Lender shall make an amount equal to its Applicable Revolving Credit Percentage of the amount specified in such Committed Loan Notice available to the Administrative Agent in Same Day Funds for the account of the Swing Line Lender at the Administrative Agent’s Office for Dollar-denominated payments not later than 1:00 p.m. on the day specified in such Committed Loan Notice, whereupon, subject to </w:t>
      </w:r>
      <w:r>
        <w:rPr>
          <w:rFonts w:ascii="Arial" w:cs="Arial" w:eastAsia="Arial" w:hAnsi="Arial"/>
          <w:sz w:val="16"/>
          <w:szCs w:val="16"/>
          <w:u w:val="single" w:color="auto"/>
          <w:color w:val="auto"/>
        </w:rPr>
        <w:t>Section 2.04(c)(ii)</w:t>
      </w:r>
      <w:r>
        <w:rPr>
          <w:rFonts w:ascii="Arial" w:cs="Arial" w:eastAsia="Arial" w:hAnsi="Arial"/>
          <w:sz w:val="16"/>
          <w:szCs w:val="16"/>
          <w:color w:val="auto"/>
        </w:rPr>
        <w:t>, each Revolving Credit Lender that so makes funds available shall be deemed to have made a Base Rate Loan to the Company in such amount. The Administrative Agent shall remit the funds so received to the Swing Line Lender.</w:t>
      </w:r>
    </w:p>
    <w:p>
      <w:pPr>
        <w:spacing w:after="0" w:line="157" w:lineRule="exact"/>
        <w:rPr>
          <w:rFonts w:ascii="Arial" w:cs="Arial" w:eastAsia="Arial" w:hAnsi="Arial"/>
          <w:sz w:val="16"/>
          <w:szCs w:val="16"/>
          <w:color w:val="auto"/>
        </w:rPr>
      </w:pPr>
    </w:p>
    <w:p>
      <w:pPr>
        <w:jc w:val="both"/>
        <w:ind w:left="320" w:firstLine="660"/>
        <w:spacing w:after="0" w:line="251" w:lineRule="auto"/>
        <w:tabs>
          <w:tab w:leader="none" w:pos="1246" w:val="left"/>
        </w:tabs>
        <w:numPr>
          <w:ilvl w:val="1"/>
          <w:numId w:val="46"/>
        </w:numPr>
        <w:rPr>
          <w:rFonts w:ascii="Arial" w:cs="Arial" w:eastAsia="Arial" w:hAnsi="Arial"/>
          <w:sz w:val="17"/>
          <w:szCs w:val="17"/>
          <w:color w:val="auto"/>
        </w:rPr>
      </w:pPr>
      <w:r>
        <w:rPr>
          <w:rFonts w:ascii="Arial" w:cs="Arial" w:eastAsia="Arial" w:hAnsi="Arial"/>
          <w:sz w:val="17"/>
          <w:szCs w:val="17"/>
          <w:color w:val="auto"/>
        </w:rPr>
        <w:t xml:space="preserve">If for any reason any Swing Line Loan cannot be refinanced by such a Revolving Credit Borrowing in accordance with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2.04(c)(i)</w:t>
      </w:r>
      <w:r>
        <w:rPr>
          <w:rFonts w:ascii="Arial" w:cs="Arial" w:eastAsia="Arial" w:hAnsi="Arial"/>
          <w:sz w:val="17"/>
          <w:szCs w:val="17"/>
          <w:color w:val="auto"/>
        </w:rPr>
        <w:t xml:space="preserve">, the request for Base Rate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w:t>
      </w:r>
      <w:r>
        <w:rPr>
          <w:rFonts w:ascii="Arial" w:cs="Arial" w:eastAsia="Arial" w:hAnsi="Arial"/>
          <w:sz w:val="17"/>
          <w:szCs w:val="17"/>
          <w:u w:val="single" w:color="auto"/>
          <w:color w:val="auto"/>
        </w:rPr>
        <w:t>Section 2.04(c)(i)</w:t>
      </w:r>
      <w:r>
        <w:rPr>
          <w:rFonts w:ascii="Arial" w:cs="Arial" w:eastAsia="Arial" w:hAnsi="Arial"/>
          <w:sz w:val="17"/>
          <w:szCs w:val="17"/>
          <w:color w:val="auto"/>
        </w:rPr>
        <w:t xml:space="preserve"> shall be deemed payment in respect of such participation.</w:t>
      </w:r>
    </w:p>
    <w:p>
      <w:pPr>
        <w:spacing w:after="0" w:line="161" w:lineRule="exact"/>
        <w:rPr>
          <w:rFonts w:ascii="Arial" w:cs="Arial" w:eastAsia="Arial" w:hAnsi="Arial"/>
          <w:sz w:val="17"/>
          <w:szCs w:val="17"/>
          <w:color w:val="auto"/>
        </w:rPr>
      </w:pPr>
    </w:p>
    <w:p>
      <w:pPr>
        <w:jc w:val="both"/>
        <w:ind w:left="320" w:firstLine="660"/>
        <w:spacing w:after="0" w:line="249" w:lineRule="auto"/>
        <w:tabs>
          <w:tab w:leader="none" w:pos="1284" w:val="left"/>
        </w:tabs>
        <w:numPr>
          <w:ilvl w:val="1"/>
          <w:numId w:val="46"/>
        </w:numPr>
        <w:rPr>
          <w:rFonts w:ascii="Arial" w:cs="Arial" w:eastAsia="Arial" w:hAnsi="Arial"/>
          <w:sz w:val="17"/>
          <w:szCs w:val="17"/>
          <w:color w:val="auto"/>
        </w:rPr>
      </w:pPr>
      <w:r>
        <w:rPr>
          <w:rFonts w:ascii="Arial" w:cs="Arial" w:eastAsia="Arial" w:hAnsi="Arial"/>
          <w:sz w:val="17"/>
          <w:szCs w:val="17"/>
          <w:color w:val="auto"/>
        </w:rPr>
        <w:t xml:space="preserve">If any Revolving Credit Lender fails to make available to the Administrative Agent for the account of the Swing Line Lender any amount required to be paid by such Revolving Credit Lender pursuant to the foregoing provisions of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by the time specified in </w:t>
      </w:r>
      <w:r>
        <w:rPr>
          <w:rFonts w:ascii="Arial" w:cs="Arial" w:eastAsia="Arial" w:hAnsi="Arial"/>
          <w:sz w:val="17"/>
          <w:szCs w:val="17"/>
          <w:u w:val="single" w:color="auto"/>
          <w:color w:val="auto"/>
        </w:rPr>
        <w:t>Section 2.04(c)(i)</w:t>
      </w:r>
      <w:r>
        <w:rPr>
          <w:rFonts w:ascii="Arial" w:cs="Arial" w:eastAsia="Arial" w:hAnsi="Arial"/>
          <w:sz w:val="17"/>
          <w:szCs w:val="17"/>
          <w:color w:val="auto"/>
        </w:rPr>
        <w:t xml:space="preserve">, the Swing Line Lender shall be entitled to recover from such Revolving Credit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any administrative, processing or similar fees customarily charged by the Swing Line Lender in connection with the foregoing. If such Revolving Credit Lender pays such amount (with interest and fees as</w:t>
      </w:r>
    </w:p>
    <w:p>
      <w:pPr>
        <w:spacing w:after="0" w:line="163"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240"/>
          </w:cols>
          <w:pgMar w:left="1440" w:top="312" w:right="219" w:bottom="1440" w:gutter="0" w:footer="0" w:header="0"/>
        </w:sectPr>
      </w:pPr>
    </w:p>
    <w:bookmarkStart w:id="59" w:name="page60"/>
    <w:bookmarkEnd w:id="59"/>
    <w:p>
      <w:pPr>
        <w:jc w:val="both"/>
        <w:ind w:left="1520"/>
        <w:spacing w:after="0" w:line="281" w:lineRule="auto"/>
        <w:rPr>
          <w:sz w:val="20"/>
          <w:szCs w:val="20"/>
          <w:color w:val="auto"/>
        </w:rPr>
      </w:pPr>
      <w:r>
        <w:rPr>
          <w:rFonts w:ascii="Arial" w:cs="Arial" w:eastAsia="Arial" w:hAnsi="Arial"/>
          <w:sz w:val="16"/>
          <w:szCs w:val="16"/>
          <w:color w:val="auto"/>
        </w:rPr>
        <w:t xml:space="preserve">aforesaid), the amount so paid shall constitute such Revolving Credit Lender’s Revolving Credit Loan included in the relevant Borrowing or funded participation in the relevant Swing Line Loan, as the case may be. A certificate of the Swing Line Lender submitted to any Lender (through the Administrative Agent) with respect to any amounts owing under this </w:t>
      </w:r>
      <w:r>
        <w:rPr>
          <w:rFonts w:ascii="Arial" w:cs="Arial" w:eastAsia="Arial" w:hAnsi="Arial"/>
          <w:sz w:val="14"/>
          <w:szCs w:val="14"/>
          <w:u w:val="single" w:color="auto"/>
          <w:color w:val="auto"/>
        </w:rPr>
        <w:t>clause (iii)</w:t>
      </w:r>
      <w:r>
        <w:rPr>
          <w:rFonts w:ascii="Arial" w:cs="Arial" w:eastAsia="Arial" w:hAnsi="Arial"/>
          <w:sz w:val="16"/>
          <w:szCs w:val="16"/>
          <w:color w:val="auto"/>
        </w:rPr>
        <w:t xml:space="preserve"> </w:t>
      </w:r>
      <w:r>
        <w:rPr>
          <w:rFonts w:ascii="Arial" w:cs="Arial" w:eastAsia="Arial" w:hAnsi="Arial"/>
          <w:sz w:val="14"/>
          <w:szCs w:val="14"/>
          <w:color w:val="auto"/>
        </w:rPr>
        <w:t>shall be conclusive absent manifest error.</w:t>
      </w:r>
    </w:p>
    <w:p>
      <w:pPr>
        <w:spacing w:after="0" w:line="139" w:lineRule="exact"/>
        <w:rPr>
          <w:sz w:val="20"/>
          <w:szCs w:val="20"/>
          <w:color w:val="auto"/>
        </w:rPr>
      </w:pPr>
    </w:p>
    <w:p>
      <w:pPr>
        <w:jc w:val="both"/>
        <w:ind w:left="1520" w:firstLine="660"/>
        <w:spacing w:after="0" w:line="267" w:lineRule="auto"/>
        <w:tabs>
          <w:tab w:leader="none" w:pos="2499"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Each Lender’s obligation to make Revolving Credit Loans or to purchase and fund risk participations in Swing Line Loans pursuant to this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shall be absolute and unconditional and shall not be affected by any circumstance, including (A) any setoff, counterclaim, recoupment, defense or other right which such Revolving Credit Lender may have against the Swing Line Lender, the Company or any other Person for any reason whatsoever, (B) the occurrence or continuance of a Default, or (C) any other occurrence, event or condition, whether or not similar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Lender’s obligation to make Revolving Credit Loans pursuant to this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is subject to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No such funding of risk participations shall relieve or otherwise impair the obligation of the Company to repay Swing Line Loans, together with interest as provided herein.</w:t>
      </w:r>
    </w:p>
    <w:p>
      <w:pPr>
        <w:spacing w:after="0" w:line="149" w:lineRule="exact"/>
        <w:rPr>
          <w:rFonts w:ascii="Arial" w:cs="Arial" w:eastAsia="Arial" w:hAnsi="Arial"/>
          <w:sz w:val="16"/>
          <w:szCs w:val="16"/>
          <w:color w:val="auto"/>
        </w:rPr>
      </w:pPr>
    </w:p>
    <w:p>
      <w:pPr>
        <w:ind w:left="1720" w:hanging="251"/>
        <w:spacing w:after="0"/>
        <w:tabs>
          <w:tab w:leader="none" w:pos="172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Repayment of Participations</w:t>
      </w:r>
      <w:r>
        <w:rPr>
          <w:rFonts w:ascii="Arial" w:cs="Arial" w:eastAsia="Arial" w:hAnsi="Arial"/>
          <w:sz w:val="17"/>
          <w:szCs w:val="17"/>
          <w:color w:val="auto"/>
        </w:rPr>
        <w:t>.</w:t>
      </w:r>
    </w:p>
    <w:p>
      <w:pPr>
        <w:spacing w:after="0" w:line="191" w:lineRule="exact"/>
        <w:rPr>
          <w:rFonts w:ascii="Arial" w:cs="Arial" w:eastAsia="Arial" w:hAnsi="Arial"/>
          <w:sz w:val="17"/>
          <w:szCs w:val="17"/>
          <w:color w:val="auto"/>
        </w:rPr>
      </w:pPr>
    </w:p>
    <w:p>
      <w:pPr>
        <w:jc w:val="both"/>
        <w:ind w:left="1520" w:right="20" w:firstLine="660"/>
        <w:spacing w:after="0" w:line="257" w:lineRule="auto"/>
        <w:tabs>
          <w:tab w:leader="none" w:pos="2410" w:val="left"/>
        </w:tabs>
        <w:numPr>
          <w:ilvl w:val="1"/>
          <w:numId w:val="48"/>
        </w:numPr>
        <w:rPr>
          <w:rFonts w:ascii="Arial" w:cs="Arial" w:eastAsia="Arial" w:hAnsi="Arial"/>
          <w:sz w:val="17"/>
          <w:szCs w:val="17"/>
          <w:color w:val="auto"/>
        </w:rPr>
      </w:pPr>
      <w:r>
        <w:rPr>
          <w:rFonts w:ascii="Arial" w:cs="Arial" w:eastAsia="Arial" w:hAnsi="Arial"/>
          <w:sz w:val="17"/>
          <w:szCs w:val="17"/>
          <w:color w:val="auto"/>
        </w:rPr>
        <w:t>At any time after any Lender has purchased and funded a risk participation in a Swing Line Loan, if the Swing Line Lender receives any payment on account of such Swing Line Loan, the Swing Line Lender will distribute to such Revolving Credit Lender its Applicable Revolving Credit Percentage thereof in the same funds as those received by the Swing Line Lender.</w:t>
      </w:r>
    </w:p>
    <w:p>
      <w:pPr>
        <w:spacing w:after="0" w:line="157" w:lineRule="exact"/>
        <w:rPr>
          <w:rFonts w:ascii="Arial" w:cs="Arial" w:eastAsia="Arial" w:hAnsi="Arial"/>
          <w:sz w:val="17"/>
          <w:szCs w:val="17"/>
          <w:color w:val="auto"/>
        </w:rPr>
      </w:pPr>
    </w:p>
    <w:p>
      <w:pPr>
        <w:jc w:val="both"/>
        <w:ind w:left="1520" w:firstLine="660"/>
        <w:spacing w:after="0" w:line="249" w:lineRule="auto"/>
        <w:tabs>
          <w:tab w:leader="none" w:pos="2447" w:val="left"/>
        </w:tabs>
        <w:numPr>
          <w:ilvl w:val="1"/>
          <w:numId w:val="48"/>
        </w:numPr>
        <w:rPr>
          <w:rFonts w:ascii="Arial" w:cs="Arial" w:eastAsia="Arial" w:hAnsi="Arial"/>
          <w:sz w:val="17"/>
          <w:szCs w:val="17"/>
          <w:color w:val="auto"/>
        </w:rPr>
      </w:pPr>
      <w:r>
        <w:rPr>
          <w:rFonts w:ascii="Arial" w:cs="Arial" w:eastAsia="Arial" w:hAnsi="Arial"/>
          <w:sz w:val="17"/>
          <w:szCs w:val="17"/>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7"/>
          <w:szCs w:val="17"/>
          <w:u w:val="single" w:color="auto"/>
          <w:color w:val="auto"/>
        </w:rPr>
        <w:t>Section 11.05</w:t>
      </w:r>
      <w:r>
        <w:rPr>
          <w:rFonts w:ascii="Arial" w:cs="Arial" w:eastAsia="Arial" w:hAnsi="Arial"/>
          <w:sz w:val="17"/>
          <w:szCs w:val="17"/>
          <w:color w:val="auto"/>
        </w:rPr>
        <w:t xml:space="preserve"> (including pursuant to any settlement entered into by the Swing Line Lender in its discretion), each Revolving Credit Lender shall pay to the Swing Line Lender its Applicable Revolving Credit Percentage thereof on demand of the Administrative Agent,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interest thereon from the date of such demand to the date such amount is returned, at a rate per annum equal to the applicable Overnight Rate. The Administrative Agent will make such demand upon the request of the Swing Line Lender. The obligations of the Lenders under this clause shall survive the payment in full of the Obligations and the termination of this Agreement.</w:t>
      </w:r>
    </w:p>
    <w:p>
      <w:pPr>
        <w:spacing w:after="0" w:line="162" w:lineRule="exact"/>
        <w:rPr>
          <w:rFonts w:ascii="Arial" w:cs="Arial" w:eastAsia="Arial" w:hAnsi="Arial"/>
          <w:sz w:val="17"/>
          <w:szCs w:val="17"/>
          <w:color w:val="auto"/>
        </w:rPr>
      </w:pPr>
    </w:p>
    <w:p>
      <w:pPr>
        <w:jc w:val="both"/>
        <w:ind w:left="760" w:firstLine="709"/>
        <w:spacing w:after="0" w:line="253" w:lineRule="auto"/>
        <w:tabs>
          <w:tab w:leader="none" w:pos="1706"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Interest for Account of Swing Line Lender</w:t>
      </w:r>
      <w:r>
        <w:rPr>
          <w:rFonts w:ascii="Arial" w:cs="Arial" w:eastAsia="Arial" w:hAnsi="Arial"/>
          <w:sz w:val="17"/>
          <w:szCs w:val="17"/>
          <w:color w:val="auto"/>
        </w:rPr>
        <w:t xml:space="preserve">. The Swing Line Lender shall be responsible for invoicing the Company for interest on the Swing Line Loans. Until each Revolving Credit Lender funds its Base Rate Loan or risk participation pursuant to this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to refinance such Revolving Credit Lender’s Applicable Revolving Credit Percentage of any Swing Line Loan, interest in respect of such Applicable Revolving Credit Percentage shall be solely for the account of the Swing Line Lender.</w:t>
      </w:r>
    </w:p>
    <w:p>
      <w:pPr>
        <w:spacing w:after="0" w:line="160" w:lineRule="exact"/>
        <w:rPr>
          <w:rFonts w:ascii="Arial" w:cs="Arial" w:eastAsia="Arial" w:hAnsi="Arial"/>
          <w:sz w:val="17"/>
          <w:szCs w:val="17"/>
          <w:color w:val="auto"/>
        </w:rPr>
      </w:pPr>
    </w:p>
    <w:p>
      <w:pPr>
        <w:ind w:left="760" w:right="20" w:firstLine="709"/>
        <w:spacing w:after="0" w:line="271" w:lineRule="auto"/>
        <w:tabs>
          <w:tab w:leader="none" w:pos="1687"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Payments Directly to Swing Line Lender</w:t>
      </w:r>
      <w:r>
        <w:rPr>
          <w:rFonts w:ascii="Arial" w:cs="Arial" w:eastAsia="Arial" w:hAnsi="Arial"/>
          <w:sz w:val="17"/>
          <w:szCs w:val="17"/>
          <w:color w:val="auto"/>
        </w:rPr>
        <w:t>. The Company shall make all payments of principal and interest in respect of the Swing Line Loans directly to the Swing Line Lender.</w:t>
      </w:r>
    </w:p>
    <w:p>
      <w:pPr>
        <w:spacing w:after="0" w:line="139" w:lineRule="exact"/>
        <w:rPr>
          <w:sz w:val="20"/>
          <w:szCs w:val="20"/>
          <w:color w:val="auto"/>
        </w:rPr>
      </w:pPr>
    </w:p>
    <w:p>
      <w:pPr>
        <w:jc w:val="both"/>
        <w:ind w:firstLine="763"/>
        <w:spacing w:after="0" w:line="265" w:lineRule="auto"/>
        <w:rPr>
          <w:sz w:val="20"/>
          <w:szCs w:val="20"/>
          <w:color w:val="auto"/>
        </w:rPr>
      </w:pPr>
      <w:r>
        <w:rPr>
          <w:rFonts w:ascii="Arial" w:cs="Arial" w:eastAsia="Arial" w:hAnsi="Arial"/>
          <w:sz w:val="16"/>
          <w:szCs w:val="16"/>
          <w:b w:val="1"/>
          <w:bCs w:val="1"/>
          <w:color w:val="auto"/>
        </w:rPr>
        <w:t>2.05 Prepayments</w:t>
      </w:r>
      <w:r>
        <w:rPr>
          <w:rFonts w:ascii="Arial" w:cs="Arial" w:eastAsia="Arial" w:hAnsi="Arial"/>
          <w:sz w:val="16"/>
          <w:szCs w:val="16"/>
          <w:color w:val="auto"/>
        </w:rPr>
        <w:t>. (a)</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Optional</w:t>
      </w:r>
      <w:r>
        <w:rPr>
          <w:rFonts w:ascii="Arial" w:cs="Arial" w:eastAsia="Arial" w:hAnsi="Arial"/>
          <w:sz w:val="16"/>
          <w:szCs w:val="16"/>
          <w:color w:val="auto"/>
        </w:rPr>
        <w:t>. (i) Each Borrower may, upon notice from the Company to the Administrative Agent, at any time or from time to time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voluntarily prepay Term Loans and Revolving Credit Loans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 such notice must be received by the Administrative Agent not later than 11:00 a.m. (A) three Business Days prior to any date of prepayment of Eurocurrency Rate Loans denominated in Dollars, (B) four Business Days (or five, in the case of prepayment of Loans denominated in Special Notice Currencies) prior to any date of prepayment of Eurocurrency Rate Loans denominated in Alternative Currencies, and (C) on the date of prepayment of Base Rate Loans; (x) any prepayment of Eurocurrency Rate Loans denominated in Dollars shall be in a principal amount of $2,000,000 or a whole multiple of $500,000 in excess thereof; (y) any prepayment of Eurocurrency Rate Loans denominated in Alternative Currencies shall be in a minimum principal amount of the Dollar Equivalent of $2,000,000 or a whole multiple of $500,000 in excess thereof; and (z) any prepayment of Base Rate Loans shall be in a principal amount of $100,000 or a whole multiple of $100,000 in excess thereof or, in each case, if less, the entire principal amount thereof then outstanding. Each such notice shall specify the date, currency and amount of such prepayment and the Type(s) of Loans to be prepaid and, if Eurocurrency Rate Loans are to be prepaid, the Interest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40"/>
          </w:cols>
          <w:pgMar w:left="240" w:top="312" w:right="219" w:bottom="1440" w:gutter="0" w:footer="0" w:header="0"/>
        </w:sectPr>
      </w:pPr>
    </w:p>
    <w:bookmarkStart w:id="60" w:name="page61"/>
    <w:bookmarkEnd w:id="60"/>
    <w:p>
      <w:pPr>
        <w:jc w:val="both"/>
        <w:ind w:right="20"/>
        <w:spacing w:after="0" w:line="271" w:lineRule="auto"/>
        <w:rPr>
          <w:sz w:val="20"/>
          <w:szCs w:val="20"/>
          <w:color w:val="auto"/>
        </w:rPr>
      </w:pPr>
      <w:r>
        <w:rPr>
          <w:rFonts w:ascii="Arial" w:cs="Arial" w:eastAsia="Arial" w:hAnsi="Arial"/>
          <w:sz w:val="16"/>
          <w:szCs w:val="16"/>
          <w:color w:val="auto"/>
        </w:rPr>
        <w:t xml:space="preserve">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the Company, the applicable Borrower shall make such prepayment and the payment amount specified in such notice shall be due and payable on the date specified therein. Any prepayment of a Eurocurrency Rate Loan shall be accompanied by all accrued interest on the amount prepaid, together with any additional amounts required pursuant to </w:t>
      </w:r>
      <w:r>
        <w:rPr>
          <w:rFonts w:ascii="Arial" w:cs="Arial" w:eastAsia="Arial" w:hAnsi="Arial"/>
          <w:sz w:val="14"/>
          <w:szCs w:val="14"/>
          <w:u w:val="single" w:color="auto"/>
          <w:color w:val="auto"/>
        </w:rPr>
        <w:t>Section 3.05</w:t>
      </w:r>
      <w:r>
        <w:rPr>
          <w:rFonts w:ascii="Arial" w:cs="Arial" w:eastAsia="Arial" w:hAnsi="Arial"/>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 xml:space="preserve">Each prepayment of the outstanding Term Loans pursuant to this </w:t>
      </w:r>
      <w:r>
        <w:rPr>
          <w:rFonts w:ascii="Arial" w:cs="Arial" w:eastAsia="Arial" w:hAnsi="Arial"/>
          <w:sz w:val="14"/>
          <w:szCs w:val="14"/>
          <w:u w:val="single" w:color="auto"/>
          <w:color w:val="auto"/>
        </w:rPr>
        <w:t>Section 2.05(a)</w:t>
      </w:r>
      <w:r>
        <w:rPr>
          <w:rFonts w:ascii="Arial" w:cs="Arial" w:eastAsia="Arial" w:hAnsi="Arial"/>
          <w:sz w:val="14"/>
          <w:szCs w:val="14"/>
          <w:color w:val="auto"/>
        </w:rPr>
        <w:t xml:space="preserve"> shall be applied (x) to the Company Term Facility, each Add-On Company Term Facility and the Gentherm Germany Term Facility in the manner directed in writing by the Company to the Administrative Agent on or before the date of such prepayment (it being understood that if the Company fails to provide such written direction to the Administrative Agent, such prepayment shall be applied to the Company Term Facility, each Add-On Term Facility and the Gentherm Germany Term Facility on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basis) and (y) to the principal repayment installments thereof on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basis, and each such prepayment shall be paid to the Lenders in accordance with their respective Applicable Percentages in respect of each of the relevant Facilities.</w:t>
      </w:r>
    </w:p>
    <w:p>
      <w:pPr>
        <w:spacing w:after="0" w:line="156" w:lineRule="exact"/>
        <w:rPr>
          <w:sz w:val="20"/>
          <w:szCs w:val="20"/>
          <w:color w:val="auto"/>
        </w:rPr>
      </w:pPr>
    </w:p>
    <w:p>
      <w:pPr>
        <w:jc w:val="both"/>
        <w:ind w:left="1520" w:firstLine="660"/>
        <w:spacing w:after="0" w:line="268" w:lineRule="auto"/>
        <w:tabs>
          <w:tab w:leader="none" w:pos="24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The Company may, upon notice to the Swing Line Lender (with a copy to the Administrative Agent), at any time or from time to time, voluntarily prepay Swing Line Loans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notice must be received by the Swing Line Lender and the Administrative Agent not later than 1:00 p.m. on the date of the prepayment, and (ii) any such prepayment shall be in a minimum principal amount of $100,000 (or, if less, the remaining balance owing on such Swing Line Loan). Each such notice shall specify the date and amount of such prepayment. If such notice is given by the Company, the Company shall make such prepayment and the payment amount specified in such notice shall be due and payable on the date specified therein.</w:t>
      </w:r>
    </w:p>
    <w:p>
      <w:pPr>
        <w:spacing w:after="0" w:line="150" w:lineRule="exact"/>
        <w:rPr>
          <w:rFonts w:ascii="Arial" w:cs="Arial" w:eastAsia="Arial" w:hAnsi="Arial"/>
          <w:sz w:val="16"/>
          <w:szCs w:val="16"/>
          <w:color w:val="auto"/>
        </w:rPr>
      </w:pPr>
    </w:p>
    <w:p>
      <w:pPr>
        <w:jc w:val="both"/>
        <w:ind w:left="760" w:firstLine="709"/>
        <w:spacing w:after="0" w:line="264" w:lineRule="auto"/>
        <w:tabs>
          <w:tab w:leader="none" w:pos="1715"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Mandatory</w:t>
      </w:r>
      <w:r>
        <w:rPr>
          <w:rFonts w:ascii="Arial" w:cs="Arial" w:eastAsia="Arial" w:hAnsi="Arial"/>
          <w:sz w:val="16"/>
          <w:szCs w:val="16"/>
          <w:color w:val="auto"/>
        </w:rPr>
        <w:t xml:space="preserve">. (i) If any Loan Party or any of its Subsidiaries Disposes of any property (other than any Disposition of any property permitted by </w:t>
      </w:r>
      <w:r>
        <w:rPr>
          <w:rFonts w:ascii="Arial" w:cs="Arial" w:eastAsia="Arial" w:hAnsi="Arial"/>
          <w:sz w:val="16"/>
          <w:szCs w:val="16"/>
          <w:u w:val="single" w:color="auto"/>
          <w:color w:val="auto"/>
        </w:rPr>
        <w:t>Section 7.05(a)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which results in the realization by such Person of Net Cash Proceeds in excess of $1,000,000 for any individual Disposition (or Net Cash Proceeds in excess of $5,000,000 in the aggregate for all Dispositions in any fiscal year), the Borrowers shall prepay an aggregate principal amount of Loans equal to 100% of such Net Cash Proceeds immediately upon receipt thereof by such Person (such prepayments to be applied as set forth in </w:t>
      </w:r>
      <w:r>
        <w:rPr>
          <w:rFonts w:ascii="Arial" w:cs="Arial" w:eastAsia="Arial" w:hAnsi="Arial"/>
          <w:sz w:val="16"/>
          <w:szCs w:val="16"/>
          <w:u w:val="single" w:color="auto"/>
          <w:color w:val="auto"/>
        </w:rPr>
        <w:t>clauses (v)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 respect to any Net Cash Proceeds realized under a Disposition described in this </w:t>
      </w:r>
      <w:r>
        <w:rPr>
          <w:rFonts w:ascii="Arial" w:cs="Arial" w:eastAsia="Arial" w:hAnsi="Arial"/>
          <w:sz w:val="16"/>
          <w:szCs w:val="16"/>
          <w:u w:val="single" w:color="auto"/>
          <w:color w:val="auto"/>
        </w:rPr>
        <w:t>Section 2.05(b)(i)</w:t>
      </w:r>
      <w:r>
        <w:rPr>
          <w:rFonts w:ascii="Arial" w:cs="Arial" w:eastAsia="Arial" w:hAnsi="Arial"/>
          <w:sz w:val="16"/>
          <w:szCs w:val="16"/>
          <w:color w:val="auto"/>
        </w:rPr>
        <w:t xml:space="preserve">, at the election of the Company (as notified by the Company to the Administrative Agent on or prior to the date of such Disposition), and so long as no Default shall have occurred and be continuing, such Loan Party or such Subsidiary may reinvest all or any portion of such Net Cash Proceeds in operating assets so long as within 180 days after the receipt of such Net Cash Proceeds, such purchase shall have been consummated (as certified by the Company in writing to the Administrative Agent);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Net Cash Proceeds not so reinvested shall be immediately applied to the prepayment of the Loans as set forth in this </w:t>
      </w:r>
      <w:r>
        <w:rPr>
          <w:rFonts w:ascii="Arial" w:cs="Arial" w:eastAsia="Arial" w:hAnsi="Arial"/>
          <w:sz w:val="16"/>
          <w:szCs w:val="16"/>
          <w:u w:val="single" w:color="auto"/>
          <w:color w:val="auto"/>
        </w:rPr>
        <w:t>Section 2.05(b)(i)</w:t>
      </w:r>
      <w:r>
        <w:rPr>
          <w:rFonts w:ascii="Arial" w:cs="Arial" w:eastAsia="Arial" w:hAnsi="Arial"/>
          <w:sz w:val="16"/>
          <w:szCs w:val="16"/>
          <w:color w:val="auto"/>
        </w:rPr>
        <w:t>.</w:t>
      </w:r>
    </w:p>
    <w:p>
      <w:pPr>
        <w:spacing w:after="0" w:line="156" w:lineRule="exact"/>
        <w:rPr>
          <w:rFonts w:ascii="Arial" w:cs="Arial" w:eastAsia="Arial" w:hAnsi="Arial"/>
          <w:sz w:val="16"/>
          <w:szCs w:val="16"/>
          <w:color w:val="auto"/>
        </w:rPr>
      </w:pPr>
    </w:p>
    <w:p>
      <w:pPr>
        <w:jc w:val="both"/>
        <w:ind w:left="1520" w:right="20" w:firstLine="660"/>
        <w:spacing w:after="0" w:line="253" w:lineRule="auto"/>
        <w:tabs>
          <w:tab w:leader="none" w:pos="2456" w:val="left"/>
        </w:tabs>
        <w:numPr>
          <w:ilvl w:val="1"/>
          <w:numId w:val="50"/>
        </w:numPr>
        <w:rPr>
          <w:rFonts w:ascii="Arial" w:cs="Arial" w:eastAsia="Arial" w:hAnsi="Arial"/>
          <w:sz w:val="17"/>
          <w:szCs w:val="17"/>
          <w:color w:val="auto"/>
        </w:rPr>
      </w:pPr>
      <w:r>
        <w:rPr>
          <w:rFonts w:ascii="Arial" w:cs="Arial" w:eastAsia="Arial" w:hAnsi="Arial"/>
          <w:sz w:val="17"/>
          <w:szCs w:val="17"/>
          <w:color w:val="auto"/>
        </w:rPr>
        <w:t xml:space="preserve">Upon the sale or issuance by any Loan Party or any of its Subsidiaries of any of its Equity Interests (other than any sales or issuances of Equity Interests to another Loan Party or otherwise permitted under </w:t>
      </w:r>
      <w:r>
        <w:rPr>
          <w:rFonts w:ascii="Arial" w:cs="Arial" w:eastAsia="Arial" w:hAnsi="Arial"/>
          <w:sz w:val="17"/>
          <w:szCs w:val="17"/>
          <w:u w:val="single" w:color="auto"/>
          <w:color w:val="auto"/>
        </w:rPr>
        <w:t>Section 7.06(b)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the Borrowers shall prepay an aggregate principal amount of Loans equal to 50% of all Net Cash Proceeds received therefrom immediately upon receipt thereof by such Loan Party or such Subsidiary (such prepayments to be applied as set forth in </w:t>
      </w:r>
      <w:r>
        <w:rPr>
          <w:rFonts w:ascii="Arial" w:cs="Arial" w:eastAsia="Arial" w:hAnsi="Arial"/>
          <w:sz w:val="17"/>
          <w:szCs w:val="17"/>
          <w:u w:val="single" w:color="auto"/>
          <w:color w:val="auto"/>
        </w:rPr>
        <w:t>clauses (v)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below).</w:t>
      </w:r>
    </w:p>
    <w:p>
      <w:pPr>
        <w:spacing w:after="0" w:line="160" w:lineRule="exact"/>
        <w:rPr>
          <w:sz w:val="20"/>
          <w:szCs w:val="20"/>
          <w:color w:val="auto"/>
        </w:rPr>
      </w:pPr>
    </w:p>
    <w:p>
      <w:pPr>
        <w:jc w:val="both"/>
        <w:ind w:left="1520" w:firstLine="660"/>
        <w:spacing w:after="0" w:line="253" w:lineRule="auto"/>
        <w:tabs>
          <w:tab w:leader="none" w:pos="2508"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Upon the incurrence or issuance by any Loan Party or any of its Subsidiaries of any Indebtedness (other than Indebtedness expressly permitted to be incurred or issued pursuant to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the Borrowers shall prepay an aggregate principal amount of Loans equal to 100% of all Net Cash Proceeds received therefrom immediately upon receipt thereof by such Loan Party or such Subsidiary (such prepayments to be applied as set forth in </w:t>
      </w:r>
      <w:r>
        <w:rPr>
          <w:rFonts w:ascii="Arial" w:cs="Arial" w:eastAsia="Arial" w:hAnsi="Arial"/>
          <w:sz w:val="17"/>
          <w:szCs w:val="17"/>
          <w:u w:val="single" w:color="auto"/>
          <w:color w:val="auto"/>
        </w:rPr>
        <w:t>clauses (v)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below).</w:t>
      </w:r>
    </w:p>
    <w:p>
      <w:pPr>
        <w:spacing w:after="0" w:line="160" w:lineRule="exact"/>
        <w:rPr>
          <w:rFonts w:ascii="Arial" w:cs="Arial" w:eastAsia="Arial" w:hAnsi="Arial"/>
          <w:sz w:val="17"/>
          <w:szCs w:val="17"/>
          <w:color w:val="auto"/>
        </w:rPr>
      </w:pPr>
    </w:p>
    <w:p>
      <w:pPr>
        <w:jc w:val="both"/>
        <w:ind w:left="1520" w:firstLine="660"/>
        <w:spacing w:after="0" w:line="253" w:lineRule="auto"/>
        <w:tabs>
          <w:tab w:leader="none" w:pos="2484"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Upon any Extraordinary Receipt received by or paid to or for the account of any Loan Party or any of its Subsidiaries, and not otherwise included in </w:t>
      </w:r>
      <w:r>
        <w:rPr>
          <w:rFonts w:ascii="Arial" w:cs="Arial" w:eastAsia="Arial" w:hAnsi="Arial"/>
          <w:sz w:val="17"/>
          <w:szCs w:val="17"/>
          <w:u w:val="single" w:color="auto"/>
          <w:color w:val="auto"/>
        </w:rPr>
        <w:t>Sections 2.05(b)(i)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the Borrowers shall prepay an aggregate principal amount of Loans equal to 100% of all Net Cash Proceeds received therefrom immediately upon receipt thereof by such Loan Party or such Subsidiary (such prepayments to be applied as set forth in </w:t>
      </w:r>
      <w:r>
        <w:rPr>
          <w:rFonts w:ascii="Arial" w:cs="Arial" w:eastAsia="Arial" w:hAnsi="Arial"/>
          <w:sz w:val="17"/>
          <w:szCs w:val="17"/>
          <w:u w:val="single" w:color="auto"/>
          <w:color w:val="auto"/>
        </w:rPr>
        <w:t>clauses (v)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any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40"/>
          </w:cols>
          <w:pgMar w:left="240" w:top="312" w:right="219" w:bottom="1440" w:gutter="0" w:footer="0" w:header="0"/>
        </w:sectPr>
      </w:pPr>
    </w:p>
    <w:bookmarkStart w:id="61" w:name="page62"/>
    <w:bookmarkEnd w:id="61"/>
    <w:p>
      <w:pPr>
        <w:jc w:val="both"/>
        <w:ind w:left="1520"/>
        <w:spacing w:after="0" w:line="246" w:lineRule="auto"/>
        <w:rPr>
          <w:sz w:val="20"/>
          <w:szCs w:val="20"/>
          <w:color w:val="auto"/>
        </w:rPr>
      </w:pPr>
      <w:r>
        <w:rPr>
          <w:rFonts w:ascii="Arial" w:cs="Arial" w:eastAsia="Arial" w:hAnsi="Arial"/>
          <w:sz w:val="17"/>
          <w:szCs w:val="17"/>
          <w:color w:val="auto"/>
        </w:rPr>
        <w:t xml:space="preserve">proceeds of insurance, condemnation awards (or payments in lieu thereof) or indemnity payments, at the election of the Company (as notified by the Company to the Administrative Agent on or prior to the date of receipt of such insurance proceeds, condemnation awards or indemnity payments), and so long as no Default shall have occurred and be continuing, such Loan Party or such Subsidiary may apply, within 270 days after the receipt of such cash proceeds, such cash proceeds to replace or repair the equipment, fixed assets or real property in respect of which such cash proceeds were received; and </w:t>
      </w:r>
      <w:r>
        <w:rPr>
          <w:rFonts w:ascii="Arial" w:cs="Arial" w:eastAsia="Arial" w:hAnsi="Arial"/>
          <w:sz w:val="15"/>
          <w:szCs w:val="15"/>
          <w:u w:val="single" w:color="auto"/>
          <w:color w:val="auto"/>
        </w:rPr>
        <w:t>provided</w:t>
      </w:r>
      <w:r>
        <w:rPr>
          <w:rFonts w:ascii="Arial" w:cs="Arial" w:eastAsia="Arial" w:hAnsi="Arial"/>
          <w:sz w:val="15"/>
          <w:szCs w:val="15"/>
          <w:color w:val="auto"/>
        </w:rPr>
        <w:t>,</w:t>
      </w:r>
      <w:r>
        <w:rPr>
          <w:rFonts w:ascii="Arial" w:cs="Arial" w:eastAsia="Arial" w:hAnsi="Arial"/>
          <w:sz w:val="17"/>
          <w:szCs w:val="17"/>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w:t>
      </w:r>
      <w:r>
        <w:rPr>
          <w:rFonts w:ascii="Arial" w:cs="Arial" w:eastAsia="Arial" w:hAnsi="Arial"/>
          <w:sz w:val="17"/>
          <w:szCs w:val="17"/>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cash proceeds not so applied shall be immediately applied to the prepayment</w:t>
      </w:r>
      <w:r>
        <w:rPr>
          <w:rFonts w:ascii="Arial" w:cs="Arial" w:eastAsia="Arial" w:hAnsi="Arial"/>
          <w:sz w:val="17"/>
          <w:szCs w:val="17"/>
          <w:color w:val="auto"/>
        </w:rPr>
        <w:t xml:space="preserve"> </w:t>
      </w:r>
      <w:r>
        <w:rPr>
          <w:rFonts w:ascii="Arial" w:cs="Arial" w:eastAsia="Arial" w:hAnsi="Arial"/>
          <w:sz w:val="15"/>
          <w:szCs w:val="15"/>
          <w:color w:val="auto"/>
        </w:rPr>
        <w:t xml:space="preserve">of the Loans as set forth in this </w:t>
      </w:r>
      <w:r>
        <w:rPr>
          <w:rFonts w:ascii="Arial" w:cs="Arial" w:eastAsia="Arial" w:hAnsi="Arial"/>
          <w:sz w:val="15"/>
          <w:szCs w:val="15"/>
          <w:u w:val="single" w:color="auto"/>
          <w:color w:val="auto"/>
        </w:rPr>
        <w:t>Section 2.05(b)(iv)</w:t>
      </w:r>
      <w:r>
        <w:rPr>
          <w:rFonts w:ascii="Arial" w:cs="Arial" w:eastAsia="Arial" w:hAnsi="Arial"/>
          <w:sz w:val="15"/>
          <w:szCs w:val="15"/>
          <w:color w:val="auto"/>
        </w:rPr>
        <w:t>.</w:t>
      </w:r>
    </w:p>
    <w:p>
      <w:pPr>
        <w:spacing w:after="0" w:line="169" w:lineRule="exact"/>
        <w:rPr>
          <w:sz w:val="20"/>
          <w:szCs w:val="20"/>
          <w:color w:val="auto"/>
        </w:rPr>
      </w:pPr>
    </w:p>
    <w:p>
      <w:pPr>
        <w:jc w:val="both"/>
        <w:ind w:left="1520" w:firstLine="660"/>
        <w:spacing w:after="0" w:line="297" w:lineRule="auto"/>
        <w:tabs>
          <w:tab w:leader="none" w:pos="2425" w:val="left"/>
        </w:tabs>
        <w:numPr>
          <w:ilvl w:val="0"/>
          <w:numId w:val="52"/>
        </w:numPr>
        <w:rPr>
          <w:rFonts w:ascii="Arial" w:cs="Arial" w:eastAsia="Arial" w:hAnsi="Arial"/>
          <w:sz w:val="15"/>
          <w:szCs w:val="15"/>
          <w:color w:val="auto"/>
        </w:rPr>
      </w:pPr>
      <w:r>
        <w:rPr>
          <w:rFonts w:ascii="Arial" w:cs="Arial" w:eastAsia="Arial" w:hAnsi="Arial"/>
          <w:sz w:val="15"/>
          <w:szCs w:val="15"/>
          <w:color w:val="auto"/>
        </w:rPr>
        <w:t xml:space="preserve">Each prepayment pursuant to </w:t>
      </w:r>
      <w:r>
        <w:rPr>
          <w:rFonts w:ascii="Arial" w:cs="Arial" w:eastAsia="Arial" w:hAnsi="Arial"/>
          <w:sz w:val="15"/>
          <w:szCs w:val="15"/>
          <w:u w:val="single" w:color="auto"/>
          <w:color w:val="auto"/>
        </w:rPr>
        <w:t>Section 2.05(b)(i)</w:t>
      </w:r>
      <w:r>
        <w:rPr>
          <w:rFonts w:ascii="Arial" w:cs="Arial" w:eastAsia="Arial" w:hAnsi="Arial"/>
          <w:sz w:val="15"/>
          <w:szCs w:val="15"/>
          <w:color w:val="auto"/>
        </w:rPr>
        <w:t xml:space="preserve">,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w:t>
      </w:r>
      <w:r>
        <w:rPr>
          <w:rFonts w:ascii="Arial" w:cs="Arial" w:eastAsia="Arial" w:hAnsi="Arial"/>
          <w:sz w:val="15"/>
          <w:szCs w:val="15"/>
          <w:u w:val="single" w:color="auto"/>
          <w:color w:val="auto"/>
        </w:rPr>
        <w:t>(iii)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(iv)</w:t>
      </w:r>
      <w:r>
        <w:rPr>
          <w:rFonts w:ascii="Arial" w:cs="Arial" w:eastAsia="Arial" w:hAnsi="Arial"/>
          <w:sz w:val="15"/>
          <w:szCs w:val="15"/>
          <w:color w:val="auto"/>
        </w:rPr>
        <w:t xml:space="preserve"> shall be applied </w:t>
      </w:r>
      <w:r>
        <w:rPr>
          <w:rFonts w:ascii="Arial" w:cs="Arial" w:eastAsia="Arial" w:hAnsi="Arial"/>
          <w:sz w:val="15"/>
          <w:szCs w:val="15"/>
          <w:u w:val="single" w:color="auto"/>
          <w:color w:val="auto"/>
        </w:rPr>
        <w:t>first</w:t>
      </w:r>
      <w:r>
        <w:rPr>
          <w:rFonts w:ascii="Arial" w:cs="Arial" w:eastAsia="Arial" w:hAnsi="Arial"/>
          <w:sz w:val="15"/>
          <w:szCs w:val="15"/>
          <w:color w:val="auto"/>
        </w:rPr>
        <w:t xml:space="preserve">, to the Company Term Facility, the Gentherm Germany Term Facility and each Add-On Company Term Facility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and to the principal repayment installments thereof on a </w:t>
      </w:r>
      <w:r>
        <w:rPr>
          <w:rFonts w:ascii="Arial" w:cs="Arial" w:eastAsia="Arial" w:hAnsi="Arial"/>
          <w:sz w:val="15"/>
          <w:szCs w:val="15"/>
          <w:i w:val="1"/>
          <w:iCs w:val="1"/>
          <w:color w:val="auto"/>
        </w:rPr>
        <w:t xml:space="preserve">pro rata </w:t>
      </w:r>
      <w:r>
        <w:rPr>
          <w:rFonts w:ascii="Arial" w:cs="Arial" w:eastAsia="Arial" w:hAnsi="Arial"/>
          <w:sz w:val="15"/>
          <w:szCs w:val="15"/>
          <w:color w:val="auto"/>
        </w:rPr>
        <w:t>basis, and,</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second</w:t>
      </w:r>
      <w:r>
        <w:rPr>
          <w:rFonts w:ascii="Arial" w:cs="Arial" w:eastAsia="Arial" w:hAnsi="Arial"/>
          <w:sz w:val="15"/>
          <w:szCs w:val="15"/>
          <w:color w:val="auto"/>
        </w:rPr>
        <w:t>, to the Revolving Credit Facility in the manner set forth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2.05(b)(vii)</w:t>
      </w:r>
      <w:r>
        <w:rPr>
          <w:rFonts w:ascii="Arial" w:cs="Arial" w:eastAsia="Arial" w:hAnsi="Arial"/>
          <w:sz w:val="15"/>
          <w:szCs w:val="15"/>
          <w:i w:val="1"/>
          <w:iCs w:val="1"/>
          <w:color w:val="auto"/>
        </w:rPr>
        <w:t xml:space="preserve"> </w:t>
      </w:r>
      <w:r>
        <w:rPr>
          <w:rFonts w:ascii="Arial" w:cs="Arial" w:eastAsia="Arial" w:hAnsi="Arial"/>
          <w:sz w:val="15"/>
          <w:szCs w:val="15"/>
          <w:color w:val="auto"/>
        </w:rPr>
        <w:t>and each such prepayment shall be</w:t>
      </w:r>
      <w:r>
        <w:rPr>
          <w:rFonts w:ascii="Arial" w:cs="Arial" w:eastAsia="Arial" w:hAnsi="Arial"/>
          <w:sz w:val="15"/>
          <w:szCs w:val="15"/>
          <w:i w:val="1"/>
          <w:iCs w:val="1"/>
          <w:color w:val="auto"/>
        </w:rPr>
        <w:t xml:space="preserve"> </w:t>
      </w:r>
      <w:r>
        <w:rPr>
          <w:rFonts w:ascii="Arial" w:cs="Arial" w:eastAsia="Arial" w:hAnsi="Arial"/>
          <w:sz w:val="15"/>
          <w:szCs w:val="15"/>
          <w:color w:val="auto"/>
        </w:rPr>
        <w:t>paid to the Lenders in accordance with their respective Applicable Percentages in respect of each of the relevant Facilities.</w:t>
      </w:r>
    </w:p>
    <w:p>
      <w:pPr>
        <w:spacing w:after="0" w:line="130" w:lineRule="exact"/>
        <w:rPr>
          <w:rFonts w:ascii="Arial" w:cs="Arial" w:eastAsia="Arial" w:hAnsi="Arial"/>
          <w:sz w:val="15"/>
          <w:szCs w:val="15"/>
          <w:color w:val="auto"/>
        </w:rPr>
      </w:pPr>
    </w:p>
    <w:p>
      <w:pPr>
        <w:jc w:val="both"/>
        <w:ind w:left="1520" w:firstLine="660"/>
        <w:spacing w:after="0" w:line="265" w:lineRule="auto"/>
        <w:tabs>
          <w:tab w:leader="none" w:pos="24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If for any reason the Total Revolving Credit Outstandings at any time exceed the Revolving Credit Facility at such time, the Company shall immediately prepay Revolving Credit Loans, Swing Line Loans and L/C Borrowings and/or Cash Collateralize the L/C Obligations (other than the L/C Borrowings) in an aggregate amount equal to such excess (without a corresponding permanent reduction in the aggregate Revolving Credit Commitments), (B) if for any reason the Outstanding Amount of all Revolving Credit Loans made to the Canadian Borrowers exceeds the Canadian Borrower Sublimit, the Canadian Borrowers shall immediately prepay such Revolving Credit Loans in an aggregate amount equal to such excess (without a corresponding permanent reduction in the Canadian Borrower Sublimit) and (C) if for any reason the Outstanding Amount of all Revolving Credit Loans made to Gentherm Germany exceeds the Gentherm Germany Sublimit, Gentherm Germany shall immediately prepay such Revolving Credit Loans in an aggregate amount equal to such excess (without a corresponding permanent reduction in the Gentherm Germany Sublimit).</w:t>
      </w:r>
    </w:p>
    <w:p>
      <w:pPr>
        <w:spacing w:after="0" w:line="152" w:lineRule="exact"/>
        <w:rPr>
          <w:rFonts w:ascii="Arial" w:cs="Arial" w:eastAsia="Arial" w:hAnsi="Arial"/>
          <w:sz w:val="16"/>
          <w:szCs w:val="16"/>
          <w:color w:val="auto"/>
        </w:rPr>
      </w:pPr>
    </w:p>
    <w:p>
      <w:pPr>
        <w:jc w:val="both"/>
        <w:ind w:left="1520" w:firstLine="660"/>
        <w:spacing w:after="0" w:line="247" w:lineRule="auto"/>
        <w:tabs>
          <w:tab w:leader="none" w:pos="2524"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Prepayments of the Revolving Credit Facility made pursuant to this </w:t>
      </w:r>
      <w:r>
        <w:rPr>
          <w:rFonts w:ascii="Arial" w:cs="Arial" w:eastAsia="Arial" w:hAnsi="Arial"/>
          <w:sz w:val="17"/>
          <w:szCs w:val="17"/>
          <w:u w:val="single" w:color="auto"/>
          <w:color w:val="auto"/>
        </w:rPr>
        <w:t>Section 2.05(b)</w:t>
      </w:r>
      <w:r>
        <w:rPr>
          <w:rFonts w:ascii="Arial" w:cs="Arial" w:eastAsia="Arial" w:hAnsi="Arial"/>
          <w:sz w:val="17"/>
          <w:szCs w:val="17"/>
          <w:color w:val="auto"/>
        </w:rPr>
        <w:t xml:space="preserve"> (other than prepayments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2.05(b)(vi)(B)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shall be applied ratably to the L/C Borrowings and the Swing Line Loans,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shall be applied ratably to the outstanding Revolving Credit Loans, and,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shall be used to Cash Collateralize the remaining L/C Obligations; and, in the case of prepayments of the Revolving Credit Facility required pursuant to </w:t>
      </w:r>
      <w:r>
        <w:rPr>
          <w:rFonts w:ascii="Arial" w:cs="Arial" w:eastAsia="Arial" w:hAnsi="Arial"/>
          <w:sz w:val="17"/>
          <w:szCs w:val="17"/>
          <w:u w:val="single" w:color="auto"/>
          <w:color w:val="auto"/>
        </w:rPr>
        <w:t>Section 2.05(b)(i)</w:t>
      </w:r>
      <w:r>
        <w:rPr>
          <w:rFonts w:ascii="Arial" w:cs="Arial" w:eastAsia="Arial" w:hAnsi="Arial"/>
          <w:sz w:val="17"/>
          <w:szCs w:val="17"/>
          <w:color w:val="auto"/>
        </w:rPr>
        <w:t xml:space="preserve">, (ii),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the amount remaining, if any, after the prepayment in full of all L/C Borrowings, Swing Line Loans and Revolving Credit Loans outstanding at such time and the Cash Collateralization of the remaining L/C Obligations in full, may be retained by the Company for use in the ordinary course of its business. Upon the drawing of any Letter of Credit that has been Cash Collateralized, the funds held as Cash Collateral shall be applied (without any further action by or notice to or from the Company or any other Loan Party) to reimburse the L/C Issuer or the Revolving Credit Lenders, as applicable. Prepayments of the Revolving Credit Facility made pursuant to </w:t>
      </w:r>
      <w:r>
        <w:rPr>
          <w:rFonts w:ascii="Arial" w:cs="Arial" w:eastAsia="Arial" w:hAnsi="Arial"/>
          <w:sz w:val="17"/>
          <w:szCs w:val="17"/>
          <w:u w:val="single" w:color="auto"/>
          <w:color w:val="auto"/>
        </w:rPr>
        <w:t>Section 2.05(b)(vi)(B)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shall be applied as set forth in such sub-clauses.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4760595</wp:posOffset>
            </wp:positionH>
            <wp:positionV relativeFrom="paragraph">
              <wp:posOffset>-783590</wp:posOffset>
            </wp:positionV>
            <wp:extent cx="16764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7640" cy="7620"/>
                    </a:xfrm>
                    <a:prstGeom prst="rect">
                      <a:avLst/>
                    </a:prstGeom>
                    <a:noFill/>
                  </pic:spPr>
                </pic:pic>
              </a:graphicData>
            </a:graphic>
          </wp:anchor>
        </w:drawing>
      </w:r>
    </w:p>
    <w:p>
      <w:pPr>
        <w:spacing w:after="0" w:line="149"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 xml:space="preserve">Notwithstanding any other provisions of this </w:t>
      </w:r>
      <w:r>
        <w:rPr>
          <w:rFonts w:ascii="Arial" w:cs="Arial" w:eastAsia="Arial" w:hAnsi="Arial"/>
          <w:sz w:val="15"/>
          <w:szCs w:val="15"/>
          <w:u w:val="single" w:color="auto"/>
          <w:color w:val="auto"/>
        </w:rPr>
        <w:t>Section 2.05(b)</w:t>
      </w:r>
      <w:r>
        <w:rPr>
          <w:rFonts w:ascii="Arial" w:cs="Arial" w:eastAsia="Arial" w:hAnsi="Arial"/>
          <w:sz w:val="15"/>
          <w:szCs w:val="15"/>
          <w:color w:val="auto"/>
        </w:rPr>
        <w:t>, (x) to the extent that any or all of the Net Cash Proceeds of any Disposition by a Foreign Subsidiary (“</w:t>
      </w:r>
      <w:r>
        <w:rPr>
          <w:rFonts w:ascii="Arial" w:cs="Arial" w:eastAsia="Arial" w:hAnsi="Arial"/>
          <w:sz w:val="15"/>
          <w:szCs w:val="15"/>
          <w:u w:val="single" w:color="auto"/>
          <w:color w:val="auto"/>
        </w:rPr>
        <w:t>Foreign Disposition</w:t>
      </w:r>
      <w:r>
        <w:rPr>
          <w:rFonts w:ascii="Arial" w:cs="Arial" w:eastAsia="Arial" w:hAnsi="Arial"/>
          <w:sz w:val="15"/>
          <w:szCs w:val="15"/>
          <w:color w:val="auto"/>
        </w:rPr>
        <w:t>”), any Extraordinary Receipt received by a Foreign Subsidiary (“</w:t>
      </w:r>
      <w:r>
        <w:rPr>
          <w:rFonts w:ascii="Arial" w:cs="Arial" w:eastAsia="Arial" w:hAnsi="Arial"/>
          <w:sz w:val="15"/>
          <w:szCs w:val="15"/>
          <w:u w:val="single" w:color="auto"/>
          <w:color w:val="auto"/>
        </w:rPr>
        <w:t>Foreign Extraordinary Receipt</w:t>
      </w:r>
      <w:r>
        <w:rPr>
          <w:rFonts w:ascii="Arial" w:cs="Arial" w:eastAsia="Arial" w:hAnsi="Arial"/>
          <w:sz w:val="15"/>
          <w:szCs w:val="15"/>
          <w:color w:val="auto"/>
        </w:rPr>
        <w:t>”) or any Equity Issuance by a Foreign Subsidiary (“</w:t>
      </w:r>
      <w:r>
        <w:rPr>
          <w:rFonts w:ascii="Arial" w:cs="Arial" w:eastAsia="Arial" w:hAnsi="Arial"/>
          <w:sz w:val="15"/>
          <w:szCs w:val="15"/>
          <w:u w:val="single" w:color="auto"/>
          <w:color w:val="auto"/>
        </w:rPr>
        <w:t>Foreign Equity Issuance</w:t>
      </w:r>
      <w:r>
        <w:rPr>
          <w:rFonts w:ascii="Arial" w:cs="Arial" w:eastAsia="Arial" w:hAnsi="Arial"/>
          <w:sz w:val="15"/>
          <w:szCs w:val="15"/>
          <w:color w:val="auto"/>
        </w:rPr>
        <w:t xml:space="preserve">”) are, in any such case, prohibited or delayed by applicable local law from being repatriated to the United States, the portion of such Net Cash Proceeds so affected will not be required to be applied to repay the Term Loans at the times provided in this </w:t>
      </w:r>
      <w:r>
        <w:rPr>
          <w:rFonts w:ascii="Arial" w:cs="Arial" w:eastAsia="Arial" w:hAnsi="Arial"/>
          <w:sz w:val="15"/>
          <w:szCs w:val="15"/>
          <w:u w:val="single" w:color="auto"/>
          <w:color w:val="auto"/>
        </w:rPr>
        <w:t>Section 2.05(b)</w:t>
      </w:r>
      <w:r>
        <w:rPr>
          <w:rFonts w:ascii="Arial" w:cs="Arial" w:eastAsia="Arial" w:hAnsi="Arial"/>
          <w:sz w:val="15"/>
          <w:szCs w:val="15"/>
          <w:color w:val="auto"/>
        </w:rPr>
        <w:t xml:space="preserve"> but may be retained by the applicable Foreign Subsidiary so long, but only so long, as the applicable local law will not permit repatriation to the United States (the Company hereby agreeing to cause the applicable Foreign Subsidiary to promptly take all actions reasonably required by the applicable local law to permit such repatriation), and once such repatriation of any of such affected Net Cash Proceeds that, in each case, would otherwise be required to be used to make an offer of prepayment pursuant to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2.05(b)(i)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2.05(b)(ii)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2.05(b)(iv)</w:t>
      </w:r>
      <w:r>
        <w:rPr>
          <w:rFonts w:ascii="Arial" w:cs="Arial" w:eastAsia="Arial" w:hAnsi="Arial"/>
          <w:sz w:val="15"/>
          <w:szCs w:val="15"/>
          <w:color w:val="auto"/>
        </w:rPr>
        <w:t>, is permitted under the applicable local law, such repatriation will be immediately effected and such repatriated Net Cash Proceeds will be promptly (and in any event not later than two Business Days after such repatriation) applied to the repayment of the Term</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40"/>
          </w:cols>
          <w:pgMar w:left="240" w:top="312" w:right="219" w:bottom="1440" w:gutter="0" w:footer="0" w:header="0"/>
        </w:sectPr>
      </w:pPr>
    </w:p>
    <w:bookmarkStart w:id="62" w:name="page63"/>
    <w:bookmarkEnd w:id="62"/>
    <w:p>
      <w:pPr>
        <w:jc w:val="both"/>
        <w:ind w:right="20"/>
        <w:spacing w:after="0" w:line="249" w:lineRule="auto"/>
        <w:rPr>
          <w:sz w:val="20"/>
          <w:szCs w:val="20"/>
          <w:color w:val="auto"/>
        </w:rPr>
      </w:pPr>
      <w:r>
        <w:rPr>
          <w:rFonts w:ascii="Arial" w:cs="Arial" w:eastAsia="Arial" w:hAnsi="Arial"/>
          <w:sz w:val="17"/>
          <w:szCs w:val="17"/>
          <w:color w:val="auto"/>
        </w:rPr>
        <w:t xml:space="preserve">Loans pursuant to this </w:t>
      </w:r>
      <w:r>
        <w:rPr>
          <w:rFonts w:ascii="Arial" w:cs="Arial" w:eastAsia="Arial" w:hAnsi="Arial"/>
          <w:sz w:val="17"/>
          <w:szCs w:val="17"/>
          <w:u w:val="single" w:color="auto"/>
          <w:color w:val="auto"/>
        </w:rPr>
        <w:t>Section 2.05(b)</w:t>
      </w:r>
      <w:r>
        <w:rPr>
          <w:rFonts w:ascii="Arial" w:cs="Arial" w:eastAsia="Arial" w:hAnsi="Arial"/>
          <w:sz w:val="17"/>
          <w:szCs w:val="17"/>
          <w:color w:val="auto"/>
        </w:rPr>
        <w:t xml:space="preserve"> and (y) to the extent that the Company has determined in good faith after consultation with the Administrative Agent that repatriation of any of or all the Net Cash Proceeds of any Foreign Disposition, Foreign Extraordinary Receipt or Foreign Equity Issuance would have material adverse tax cost consequences with respect to such Net Cash Proceeds, such Net Cash Proceeds so affected may be retained by the applicable Foreign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this clause (y), on or before the date on which any such Net Cash Proceeds so retained would otherwise have been required to be applied to prepayments pursuant to </w:t>
      </w:r>
      <w:r>
        <w:rPr>
          <w:rFonts w:ascii="Arial" w:cs="Arial" w:eastAsia="Arial" w:hAnsi="Arial"/>
          <w:sz w:val="17"/>
          <w:szCs w:val="17"/>
          <w:u w:val="single" w:color="auto"/>
          <w:color w:val="auto"/>
        </w:rPr>
        <w:t>Section 2.05(b)</w:t>
      </w:r>
      <w:r>
        <w:rPr>
          <w:rFonts w:ascii="Arial" w:cs="Arial" w:eastAsia="Arial" w:hAnsi="Arial"/>
          <w:sz w:val="17"/>
          <w:szCs w:val="17"/>
          <w:color w:val="auto"/>
        </w:rPr>
        <w:t>, the Company applies an amount equal to such Net Cash Proceeds to such prepayments as if such Net Cash Proceeds had been received by the Company rather than such Foreign Subsidiary.</w:t>
      </w:r>
    </w:p>
    <w:p>
      <w:pPr>
        <w:spacing w:after="0" w:line="160" w:lineRule="exact"/>
        <w:rPr>
          <w:sz w:val="20"/>
          <w:szCs w:val="20"/>
          <w:color w:val="auto"/>
        </w:rPr>
      </w:pPr>
    </w:p>
    <w:p>
      <w:pPr>
        <w:jc w:val="both"/>
        <w:ind w:firstLine="763"/>
        <w:spacing w:after="0" w:line="283" w:lineRule="auto"/>
        <w:rPr>
          <w:sz w:val="20"/>
          <w:szCs w:val="20"/>
          <w:color w:val="auto"/>
        </w:rPr>
      </w:pPr>
      <w:r>
        <w:rPr>
          <w:rFonts w:ascii="Arial" w:cs="Arial" w:eastAsia="Arial" w:hAnsi="Arial"/>
          <w:sz w:val="15"/>
          <w:szCs w:val="15"/>
          <w:b w:val="1"/>
          <w:bCs w:val="1"/>
          <w:color w:val="auto"/>
        </w:rPr>
        <w:t>2.06 Termination or Reduction of Commitments</w:t>
      </w:r>
      <w:r>
        <w:rPr>
          <w:rFonts w:ascii="Arial" w:cs="Arial" w:eastAsia="Arial" w:hAnsi="Arial"/>
          <w:sz w:val="15"/>
          <w:szCs w:val="15"/>
          <w:color w:val="auto"/>
        </w:rPr>
        <w:t>. (a)</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Optional</w:t>
      </w:r>
      <w:r>
        <w:rPr>
          <w:rFonts w:ascii="Arial" w:cs="Arial" w:eastAsia="Arial" w:hAnsi="Arial"/>
          <w:sz w:val="15"/>
          <w:szCs w:val="15"/>
          <w:color w:val="auto"/>
        </w:rPr>
        <w:t>. The Company may, upon notice to the Administrative Agent, terminate the Revolving</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Credit Facility, the Letter of Credit Sublimit, the Swing Line Sublimit, the Canadian Borrower Sublimit or the Gentherm Germany Sublimit or from time to time permanently reduce the Revolving Credit Facility, the Letter of Credit Sublimit, the Swing Line Sublimit, the Canadian Borrower Sublimit or the Gentherm Germany Sublimit;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any such notice shall be received by the Administrative Agent not later than 11:00 a.m. five Business Days prior to the date of termination or reduction, (ii) any such partial reduction shall be in an aggregate amount of $5,000,000 or any whole multiple of $1,000,000 in excess thereof and (iii) the Company shall not terminate or reduce (A) the Revolving Credit Facility if, after giving effect thereto and to any concurrent prepayments hereunder, the Total Revolving Credit Outstandings would exceed the Revolving Credit Facility, (B) the Letter of Credit Sublimit if, after giving effect thereto, the Outstanding Amount of L/C Obligations not fully Cash Collateralized hereunder would exceed the Letter of Credit Sublimit, (C) the Swing Line Sublimit if, after giving effect thereto and to any concurrent prepayments hereunder, the Outstanding Amount of Swing Line Loans would exceed the Swing Line Sublimit, (D) the Canadian Borrower Sublimit if, after giving effect thereto and to any concurrent prepayments hereunder, the aggregate Outstanding Amount of all Revolving Credit Loans made to the Canadian Borrowers would exceed the Canadian Borrower Sublimit or (E) the Gentherm Germany Sublimit if, after giving effect thereto and to any concurrent prepayments hereunder, the aggregate Outstanding Amount of all Revolving Credit Loans made to Gentherm Germany would exceed the Gentherm Germany Sublimit.</w:t>
      </w:r>
    </w:p>
    <w:p>
      <w:pPr>
        <w:spacing w:after="0" w:line="144" w:lineRule="exact"/>
        <w:rPr>
          <w:sz w:val="20"/>
          <w:szCs w:val="20"/>
          <w:color w:val="auto"/>
        </w:rPr>
      </w:pPr>
    </w:p>
    <w:p>
      <w:pPr>
        <w:ind w:left="760" w:right="20" w:firstLine="709"/>
        <w:spacing w:after="0" w:line="271" w:lineRule="auto"/>
        <w:tabs>
          <w:tab w:leader="none" w:pos="1739"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Mandatory</w:t>
      </w:r>
      <w:r>
        <w:rPr>
          <w:rFonts w:ascii="Arial" w:cs="Arial" w:eastAsia="Arial" w:hAnsi="Arial"/>
          <w:sz w:val="17"/>
          <w:szCs w:val="17"/>
          <w:color w:val="auto"/>
        </w:rPr>
        <w:t>. (i) The aggregate Company Term Commitments shall be automatically and permanently reduced to zero on the date of the Company Term Borrowing.</w:t>
      </w:r>
    </w:p>
    <w:p>
      <w:pPr>
        <w:spacing w:after="0" w:line="144" w:lineRule="exact"/>
        <w:rPr>
          <w:rFonts w:ascii="Arial" w:cs="Arial" w:eastAsia="Arial" w:hAnsi="Arial"/>
          <w:sz w:val="17"/>
          <w:szCs w:val="17"/>
          <w:color w:val="auto"/>
        </w:rPr>
      </w:pPr>
    </w:p>
    <w:p>
      <w:pPr>
        <w:ind w:left="1520" w:right="20" w:firstLine="660"/>
        <w:spacing w:after="0" w:line="271" w:lineRule="auto"/>
        <w:tabs>
          <w:tab w:leader="none" w:pos="2440" w:val="left"/>
        </w:tabs>
        <w:numPr>
          <w:ilvl w:val="1"/>
          <w:numId w:val="53"/>
        </w:numPr>
        <w:rPr>
          <w:rFonts w:ascii="Arial" w:cs="Arial" w:eastAsia="Arial" w:hAnsi="Arial"/>
          <w:sz w:val="17"/>
          <w:szCs w:val="17"/>
          <w:color w:val="auto"/>
        </w:rPr>
      </w:pPr>
      <w:r>
        <w:rPr>
          <w:rFonts w:ascii="Arial" w:cs="Arial" w:eastAsia="Arial" w:hAnsi="Arial"/>
          <w:sz w:val="17"/>
          <w:szCs w:val="17"/>
          <w:color w:val="auto"/>
        </w:rPr>
        <w:t>The aggregate Gentherm Germany Term Commitments shall be automatically and permanently reduced to zero on the date of the Gentherm Germany Term Borrowing.</w:t>
      </w:r>
    </w:p>
    <w:p>
      <w:pPr>
        <w:spacing w:after="0" w:line="144" w:lineRule="exact"/>
        <w:rPr>
          <w:rFonts w:ascii="Arial" w:cs="Arial" w:eastAsia="Arial" w:hAnsi="Arial"/>
          <w:sz w:val="17"/>
          <w:szCs w:val="17"/>
          <w:color w:val="auto"/>
        </w:rPr>
      </w:pPr>
    </w:p>
    <w:p>
      <w:pPr>
        <w:ind w:left="1520" w:firstLine="660"/>
        <w:spacing w:after="0" w:line="271" w:lineRule="auto"/>
        <w:tabs>
          <w:tab w:leader="none" w:pos="2490" w:val="left"/>
        </w:tabs>
        <w:numPr>
          <w:ilvl w:val="1"/>
          <w:numId w:val="53"/>
        </w:numPr>
        <w:rPr>
          <w:rFonts w:ascii="Arial" w:cs="Arial" w:eastAsia="Arial" w:hAnsi="Arial"/>
          <w:sz w:val="17"/>
          <w:szCs w:val="17"/>
          <w:color w:val="auto"/>
        </w:rPr>
      </w:pPr>
      <w:r>
        <w:rPr>
          <w:rFonts w:ascii="Arial" w:cs="Arial" w:eastAsia="Arial" w:hAnsi="Arial"/>
          <w:sz w:val="17"/>
          <w:szCs w:val="17"/>
          <w:color w:val="auto"/>
        </w:rPr>
        <w:t>The aggregate Add-On Company Term Commitments with respect to an Add-On Company Term Facility shall be automatically and permanently reduced to zero on the date of the applicable Add-On Company Term Borrowing.</w:t>
      </w:r>
    </w:p>
    <w:p>
      <w:pPr>
        <w:spacing w:after="0" w:line="144" w:lineRule="exact"/>
        <w:rPr>
          <w:rFonts w:ascii="Arial" w:cs="Arial" w:eastAsia="Arial" w:hAnsi="Arial"/>
          <w:sz w:val="17"/>
          <w:szCs w:val="17"/>
          <w:color w:val="auto"/>
        </w:rPr>
      </w:pPr>
    </w:p>
    <w:p>
      <w:pPr>
        <w:jc w:val="both"/>
        <w:ind w:left="1520" w:firstLine="660"/>
        <w:spacing w:after="0" w:line="253" w:lineRule="auto"/>
        <w:tabs>
          <w:tab w:leader="none" w:pos="2478" w:val="left"/>
        </w:tabs>
        <w:numPr>
          <w:ilvl w:val="1"/>
          <w:numId w:val="53"/>
        </w:numPr>
        <w:rPr>
          <w:rFonts w:ascii="Arial" w:cs="Arial" w:eastAsia="Arial" w:hAnsi="Arial"/>
          <w:sz w:val="17"/>
          <w:szCs w:val="17"/>
          <w:color w:val="auto"/>
        </w:rPr>
      </w:pPr>
      <w:r>
        <w:rPr>
          <w:rFonts w:ascii="Arial" w:cs="Arial" w:eastAsia="Arial" w:hAnsi="Arial"/>
          <w:sz w:val="17"/>
          <w:szCs w:val="17"/>
          <w:color w:val="auto"/>
        </w:rPr>
        <w:t xml:space="preserve">If after giving effect to any reduction or termination of the Revolving Credit Facility under this </w:t>
      </w:r>
      <w:r>
        <w:rPr>
          <w:rFonts w:ascii="Arial" w:cs="Arial" w:eastAsia="Arial" w:hAnsi="Arial"/>
          <w:sz w:val="17"/>
          <w:szCs w:val="17"/>
          <w:u w:val="single" w:color="auto"/>
          <w:color w:val="auto"/>
        </w:rPr>
        <w:t>Section 2.06</w:t>
      </w:r>
      <w:r>
        <w:rPr>
          <w:rFonts w:ascii="Arial" w:cs="Arial" w:eastAsia="Arial" w:hAnsi="Arial"/>
          <w:sz w:val="17"/>
          <w:szCs w:val="17"/>
          <w:color w:val="auto"/>
        </w:rPr>
        <w:t>, the Letter of Credit Sublimit, the Swing Line Sublimit, the Canadian Borrower Sublimit or the Gentherm Germany Sublimit exceeds the Revolving Credit Facility at such time, the Letter of Credit Sublimit, the Swing Line Sublimit, the Canadian Borrower Sublimit or the Gentherm Germany Sublimit, as the case may be, shall be automatically reduced by the amount of such excess.</w:t>
      </w:r>
    </w:p>
    <w:p>
      <w:pPr>
        <w:spacing w:after="0" w:line="160" w:lineRule="exact"/>
        <w:rPr>
          <w:rFonts w:ascii="Arial" w:cs="Arial" w:eastAsia="Arial" w:hAnsi="Arial"/>
          <w:sz w:val="17"/>
          <w:szCs w:val="17"/>
          <w:color w:val="auto"/>
        </w:rPr>
      </w:pPr>
    </w:p>
    <w:p>
      <w:pPr>
        <w:jc w:val="both"/>
        <w:ind w:left="760" w:firstLine="709"/>
        <w:spacing w:after="0" w:line="270" w:lineRule="auto"/>
        <w:tabs>
          <w:tab w:leader="none" w:pos="1706"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Application of Commitment Reductions; Payment of Fees</w:t>
      </w:r>
      <w:r>
        <w:rPr>
          <w:rFonts w:ascii="Arial" w:cs="Arial" w:eastAsia="Arial" w:hAnsi="Arial"/>
          <w:sz w:val="16"/>
          <w:szCs w:val="16"/>
          <w:color w:val="auto"/>
        </w:rPr>
        <w:t xml:space="preserve">. The Administrative Agent will promptly notify the Lenders of any termination or reduction of the Letter of Credit Sublimit, the Swing Line Sublimit, the Canadian Borrower Sublimit, the Gentherm Germany Sublimit or the Revolving Credit Facility under this </w:t>
      </w:r>
      <w:r>
        <w:rPr>
          <w:rFonts w:ascii="Arial" w:cs="Arial" w:eastAsia="Arial" w:hAnsi="Arial"/>
          <w:sz w:val="16"/>
          <w:szCs w:val="16"/>
          <w:u w:val="single" w:color="auto"/>
          <w:color w:val="auto"/>
        </w:rPr>
        <w:t>Section 2.06</w:t>
      </w:r>
      <w:r>
        <w:rPr>
          <w:rFonts w:ascii="Arial" w:cs="Arial" w:eastAsia="Arial" w:hAnsi="Arial"/>
          <w:sz w:val="16"/>
          <w:szCs w:val="16"/>
          <w:color w:val="auto"/>
        </w:rPr>
        <w:t>. Upon any reduction of the Revolving Credit Facility, the Revolving Credit Commitment of each Revolving Credit Lender shall be reduced by such Lender’s Applicable Revolving Credit Percentage of such reduction amount. All fees in respect of the Revolving Credit Facility accrued until the effective date of any termination of the Revolving Credit Facility shall be paid on the effective date of such termination.</w:t>
      </w:r>
    </w:p>
    <w:p>
      <w:pPr>
        <w:spacing w:after="0" w:line="143" w:lineRule="exact"/>
        <w:rPr>
          <w:sz w:val="20"/>
          <w:szCs w:val="20"/>
          <w:color w:val="auto"/>
        </w:rPr>
      </w:pPr>
    </w:p>
    <w:p>
      <w:pPr>
        <w:jc w:val="both"/>
        <w:ind w:firstLine="763"/>
        <w:spacing w:after="0" w:line="285" w:lineRule="auto"/>
        <w:rPr>
          <w:sz w:val="20"/>
          <w:szCs w:val="20"/>
          <w:color w:val="auto"/>
        </w:rPr>
      </w:pPr>
      <w:r>
        <w:rPr>
          <w:rFonts w:ascii="Arial" w:cs="Arial" w:eastAsia="Arial" w:hAnsi="Arial"/>
          <w:sz w:val="16"/>
          <w:szCs w:val="16"/>
          <w:b w:val="1"/>
          <w:bCs w:val="1"/>
          <w:color w:val="auto"/>
        </w:rPr>
        <w:t>2.07 Repayment of Loans</w:t>
      </w:r>
      <w:r>
        <w:rPr>
          <w:rFonts w:ascii="Arial" w:cs="Arial" w:eastAsia="Arial" w:hAnsi="Arial"/>
          <w:sz w:val="16"/>
          <w:szCs w:val="16"/>
          <w:color w:val="auto"/>
        </w:rPr>
        <w:t>. (a)</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Company Term Loans</w:t>
      </w:r>
      <w:r>
        <w:rPr>
          <w:rFonts w:ascii="Arial" w:cs="Arial" w:eastAsia="Arial" w:hAnsi="Arial"/>
          <w:sz w:val="16"/>
          <w:szCs w:val="16"/>
          <w:color w:val="auto"/>
        </w:rPr>
        <w:t>. The Company shall repay to the Company Term Lenders the aggregate principal amount of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Term Loans in installments on the last Business Day of each March, June, September and December and on the Maturity Date, in each case, in the respective amounts set forth in the table below (as such installments may hereafter be adjusted as a result of prepayments made pursuant to </w:t>
      </w:r>
      <w:r>
        <w:rPr>
          <w:rFonts w:ascii="Arial" w:cs="Arial" w:eastAsia="Arial" w:hAnsi="Arial"/>
          <w:sz w:val="16"/>
          <w:szCs w:val="16"/>
          <w:u w:val="single" w:color="auto"/>
          <w:color w:val="auto"/>
        </w:rPr>
        <w:t>Section 2.05</w:t>
      </w:r>
      <w:r>
        <w:rPr>
          <w:rFonts w:ascii="Arial" w:cs="Arial" w:eastAsia="Arial" w:hAnsi="Arial"/>
          <w:sz w:val="16"/>
          <w:szCs w:val="16"/>
          <w:color w:val="auto"/>
        </w:rPr>
        <w: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40"/>
          </w:cols>
          <w:pgMar w:left="240" w:top="500" w:right="2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7"/>
        </w:trPr>
        <w:tc>
          <w:tcPr>
            <w:tcW w:w="4740" w:type="dxa"/>
            <w:vAlign w:val="bottom"/>
          </w:tcPr>
          <w:p>
            <w:pPr>
              <w:spacing w:after="0"/>
              <w:rPr>
                <w:sz w:val="20"/>
                <w:szCs w:val="20"/>
                <w:color w:val="auto"/>
              </w:rPr>
            </w:pPr>
            <w:r>
              <w:rPr>
                <w:rFonts w:ascii="Arial" w:cs="Arial" w:eastAsia="Arial" w:hAnsi="Arial"/>
                <w:sz w:val="17"/>
                <w:szCs w:val="17"/>
                <w:color w:val="auto"/>
              </w:rPr>
              <w:t>Payment Dates</w:t>
            </w:r>
          </w:p>
        </w:tc>
        <w:tc>
          <w:tcPr>
            <w:tcW w:w="6580" w:type="dxa"/>
            <w:vAlign w:val="bottom"/>
          </w:tcPr>
          <w:p>
            <w:pPr>
              <w:jc w:val="center"/>
              <w:ind w:left="3474"/>
              <w:spacing w:after="0"/>
              <w:rPr>
                <w:sz w:val="20"/>
                <w:szCs w:val="20"/>
                <w:color w:val="auto"/>
              </w:rPr>
            </w:pPr>
            <w:r>
              <w:rPr>
                <w:rFonts w:ascii="Arial" w:cs="Arial" w:eastAsia="Arial" w:hAnsi="Arial"/>
                <w:sz w:val="17"/>
                <w:szCs w:val="17"/>
                <w:color w:val="auto"/>
                <w:w w:val="93"/>
              </w:rPr>
              <w:t>Principal Amortization Payment</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December, 2014</w:t>
            </w:r>
          </w:p>
        </w:tc>
        <w:tc>
          <w:tcPr>
            <w:tcW w:w="6580" w:type="dxa"/>
            <w:vAlign w:val="bottom"/>
          </w:tcPr>
          <w:p>
            <w:pPr>
              <w:jc w:val="center"/>
              <w:ind w:left="3494"/>
              <w:spacing w:after="0"/>
              <w:rPr>
                <w:sz w:val="20"/>
                <w:szCs w:val="20"/>
                <w:color w:val="auto"/>
              </w:rPr>
            </w:pPr>
            <w:r>
              <w:rPr>
                <w:rFonts w:ascii="Arial" w:cs="Arial" w:eastAsia="Arial" w:hAnsi="Arial"/>
                <w:sz w:val="17"/>
                <w:szCs w:val="17"/>
                <w:color w:val="auto"/>
                <w:w w:val="90"/>
              </w:rPr>
              <w:t>$625,000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March, 2015</w:t>
            </w:r>
          </w:p>
        </w:tc>
        <w:tc>
          <w:tcPr>
            <w:tcW w:w="6580" w:type="dxa"/>
            <w:vAlign w:val="bottom"/>
          </w:tcPr>
          <w:p>
            <w:pPr>
              <w:jc w:val="center"/>
              <w:ind w:left="3494"/>
              <w:spacing w:after="0"/>
              <w:rPr>
                <w:sz w:val="20"/>
                <w:szCs w:val="20"/>
                <w:color w:val="auto"/>
              </w:rPr>
            </w:pPr>
            <w:r>
              <w:rPr>
                <w:rFonts w:ascii="Arial" w:cs="Arial" w:eastAsia="Arial" w:hAnsi="Arial"/>
                <w:sz w:val="17"/>
                <w:szCs w:val="17"/>
                <w:color w:val="auto"/>
                <w:w w:val="90"/>
              </w:rPr>
              <w:t>$625,000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June, 2015</w:t>
            </w:r>
          </w:p>
        </w:tc>
        <w:tc>
          <w:tcPr>
            <w:tcW w:w="6580" w:type="dxa"/>
            <w:vAlign w:val="bottom"/>
          </w:tcPr>
          <w:p>
            <w:pPr>
              <w:jc w:val="center"/>
              <w:ind w:left="3494"/>
              <w:spacing w:after="0"/>
              <w:rPr>
                <w:sz w:val="20"/>
                <w:szCs w:val="20"/>
                <w:color w:val="auto"/>
              </w:rPr>
            </w:pPr>
            <w:r>
              <w:rPr>
                <w:rFonts w:ascii="Arial" w:cs="Arial" w:eastAsia="Arial" w:hAnsi="Arial"/>
                <w:sz w:val="17"/>
                <w:szCs w:val="17"/>
                <w:color w:val="auto"/>
                <w:w w:val="90"/>
              </w:rPr>
              <w:t>$625,000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September, 2015</w:t>
            </w:r>
          </w:p>
        </w:tc>
        <w:tc>
          <w:tcPr>
            <w:tcW w:w="6580" w:type="dxa"/>
            <w:vAlign w:val="bottom"/>
          </w:tcPr>
          <w:p>
            <w:pPr>
              <w:jc w:val="center"/>
              <w:ind w:left="3494"/>
              <w:spacing w:after="0"/>
              <w:rPr>
                <w:sz w:val="20"/>
                <w:szCs w:val="20"/>
                <w:color w:val="auto"/>
              </w:rPr>
            </w:pPr>
            <w:r>
              <w:rPr>
                <w:rFonts w:ascii="Arial" w:cs="Arial" w:eastAsia="Arial" w:hAnsi="Arial"/>
                <w:sz w:val="17"/>
                <w:szCs w:val="17"/>
                <w:color w:val="auto"/>
                <w:w w:val="90"/>
              </w:rPr>
              <w:t>$625,000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December, 2015</w:t>
            </w:r>
          </w:p>
        </w:tc>
        <w:tc>
          <w:tcPr>
            <w:tcW w:w="6580" w:type="dxa"/>
            <w:vAlign w:val="bottom"/>
          </w:tcPr>
          <w:p>
            <w:pPr>
              <w:jc w:val="center"/>
              <w:ind w:left="3494"/>
              <w:spacing w:after="0"/>
              <w:rPr>
                <w:sz w:val="20"/>
                <w:szCs w:val="20"/>
                <w:color w:val="auto"/>
              </w:rPr>
            </w:pPr>
            <w:r>
              <w:rPr>
                <w:rFonts w:ascii="Arial" w:cs="Arial" w:eastAsia="Arial" w:hAnsi="Arial"/>
                <w:sz w:val="17"/>
                <w:szCs w:val="17"/>
                <w:color w:val="auto"/>
                <w:w w:val="90"/>
              </w:rPr>
              <w:t>$625,000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March, 2016</w:t>
            </w:r>
          </w:p>
        </w:tc>
        <w:tc>
          <w:tcPr>
            <w:tcW w:w="6580" w:type="dxa"/>
            <w:vAlign w:val="bottom"/>
          </w:tcPr>
          <w:p>
            <w:pPr>
              <w:jc w:val="center"/>
              <w:ind w:left="3494"/>
              <w:spacing w:after="0"/>
              <w:rPr>
                <w:sz w:val="20"/>
                <w:szCs w:val="20"/>
                <w:color w:val="auto"/>
              </w:rPr>
            </w:pPr>
            <w:r>
              <w:rPr>
                <w:rFonts w:ascii="Arial" w:cs="Arial" w:eastAsia="Arial" w:hAnsi="Arial"/>
                <w:sz w:val="17"/>
                <w:szCs w:val="17"/>
                <w:color w:val="auto"/>
                <w:w w:val="90"/>
              </w:rPr>
              <w:t>$625,000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June, 2016</w:t>
            </w:r>
          </w:p>
        </w:tc>
        <w:tc>
          <w:tcPr>
            <w:tcW w:w="6580" w:type="dxa"/>
            <w:vAlign w:val="bottom"/>
          </w:tcPr>
          <w:p>
            <w:pPr>
              <w:jc w:val="center"/>
              <w:ind w:left="3494"/>
              <w:spacing w:after="0"/>
              <w:rPr>
                <w:sz w:val="20"/>
                <w:szCs w:val="20"/>
                <w:color w:val="auto"/>
              </w:rPr>
            </w:pPr>
            <w:r>
              <w:rPr>
                <w:rFonts w:ascii="Arial" w:cs="Arial" w:eastAsia="Arial" w:hAnsi="Arial"/>
                <w:sz w:val="17"/>
                <w:szCs w:val="17"/>
                <w:color w:val="auto"/>
                <w:w w:val="90"/>
              </w:rPr>
              <w:t>$625,000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September, 2016</w:t>
            </w:r>
          </w:p>
        </w:tc>
        <w:tc>
          <w:tcPr>
            <w:tcW w:w="6580" w:type="dxa"/>
            <w:vAlign w:val="bottom"/>
          </w:tcPr>
          <w:p>
            <w:pPr>
              <w:jc w:val="center"/>
              <w:ind w:left="3494"/>
              <w:spacing w:after="0"/>
              <w:rPr>
                <w:sz w:val="20"/>
                <w:szCs w:val="20"/>
                <w:color w:val="auto"/>
              </w:rPr>
            </w:pPr>
            <w:r>
              <w:rPr>
                <w:rFonts w:ascii="Arial" w:cs="Arial" w:eastAsia="Arial" w:hAnsi="Arial"/>
                <w:sz w:val="17"/>
                <w:szCs w:val="17"/>
                <w:color w:val="auto"/>
                <w:w w:val="90"/>
              </w:rPr>
              <w:t>$625,000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December, 2016</w:t>
            </w:r>
          </w:p>
        </w:tc>
        <w:tc>
          <w:tcPr>
            <w:tcW w:w="6580" w:type="dxa"/>
            <w:vAlign w:val="bottom"/>
          </w:tcPr>
          <w:p>
            <w:pPr>
              <w:jc w:val="center"/>
              <w:ind w:left="3494"/>
              <w:spacing w:after="0"/>
              <w:rPr>
                <w:sz w:val="20"/>
                <w:szCs w:val="20"/>
                <w:color w:val="auto"/>
              </w:rPr>
            </w:pPr>
            <w:r>
              <w:rPr>
                <w:rFonts w:ascii="Arial" w:cs="Arial" w:eastAsia="Arial" w:hAnsi="Arial"/>
                <w:sz w:val="17"/>
                <w:szCs w:val="17"/>
                <w:color w:val="auto"/>
                <w:w w:val="90"/>
              </w:rPr>
              <w:t>$937,500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March, 2017</w:t>
            </w:r>
          </w:p>
        </w:tc>
        <w:tc>
          <w:tcPr>
            <w:tcW w:w="6580" w:type="dxa"/>
            <w:vAlign w:val="bottom"/>
          </w:tcPr>
          <w:p>
            <w:pPr>
              <w:jc w:val="center"/>
              <w:ind w:left="3494"/>
              <w:spacing w:after="0"/>
              <w:rPr>
                <w:sz w:val="20"/>
                <w:szCs w:val="20"/>
                <w:color w:val="auto"/>
              </w:rPr>
            </w:pPr>
            <w:r>
              <w:rPr>
                <w:rFonts w:ascii="Arial" w:cs="Arial" w:eastAsia="Arial" w:hAnsi="Arial"/>
                <w:sz w:val="17"/>
                <w:szCs w:val="17"/>
                <w:color w:val="auto"/>
                <w:w w:val="90"/>
              </w:rPr>
              <w:t>$937,500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June, 2017</w:t>
            </w:r>
          </w:p>
        </w:tc>
        <w:tc>
          <w:tcPr>
            <w:tcW w:w="6580" w:type="dxa"/>
            <w:vAlign w:val="bottom"/>
          </w:tcPr>
          <w:p>
            <w:pPr>
              <w:jc w:val="center"/>
              <w:ind w:left="3494"/>
              <w:spacing w:after="0"/>
              <w:rPr>
                <w:sz w:val="20"/>
                <w:szCs w:val="20"/>
                <w:color w:val="auto"/>
              </w:rPr>
            </w:pPr>
            <w:r>
              <w:rPr>
                <w:rFonts w:ascii="Arial" w:cs="Arial" w:eastAsia="Arial" w:hAnsi="Arial"/>
                <w:sz w:val="17"/>
                <w:szCs w:val="17"/>
                <w:color w:val="auto"/>
                <w:w w:val="90"/>
              </w:rPr>
              <w:t>$937,500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September, 2017</w:t>
            </w:r>
          </w:p>
        </w:tc>
        <w:tc>
          <w:tcPr>
            <w:tcW w:w="6580" w:type="dxa"/>
            <w:vAlign w:val="bottom"/>
          </w:tcPr>
          <w:p>
            <w:pPr>
              <w:jc w:val="center"/>
              <w:ind w:left="3494"/>
              <w:spacing w:after="0"/>
              <w:rPr>
                <w:sz w:val="20"/>
                <w:szCs w:val="20"/>
                <w:color w:val="auto"/>
              </w:rPr>
            </w:pPr>
            <w:r>
              <w:rPr>
                <w:rFonts w:ascii="Arial" w:cs="Arial" w:eastAsia="Arial" w:hAnsi="Arial"/>
                <w:sz w:val="17"/>
                <w:szCs w:val="17"/>
                <w:color w:val="auto"/>
                <w:w w:val="90"/>
              </w:rPr>
              <w:t>$937,500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December, 2017</w:t>
            </w:r>
          </w:p>
        </w:tc>
        <w:tc>
          <w:tcPr>
            <w:tcW w:w="6580" w:type="dxa"/>
            <w:vAlign w:val="bottom"/>
          </w:tcPr>
          <w:p>
            <w:pPr>
              <w:jc w:val="center"/>
              <w:ind w:left="3494"/>
              <w:spacing w:after="0"/>
              <w:rPr>
                <w:sz w:val="20"/>
                <w:szCs w:val="20"/>
                <w:color w:val="auto"/>
              </w:rPr>
            </w:pPr>
            <w:r>
              <w:rPr>
                <w:rFonts w:ascii="Arial" w:cs="Arial" w:eastAsia="Arial" w:hAnsi="Arial"/>
                <w:sz w:val="17"/>
                <w:szCs w:val="17"/>
                <w:color w:val="auto"/>
                <w:w w:val="90"/>
              </w:rPr>
              <w:t>$937,500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March, 2018</w:t>
            </w:r>
          </w:p>
        </w:tc>
        <w:tc>
          <w:tcPr>
            <w:tcW w:w="6580" w:type="dxa"/>
            <w:vAlign w:val="bottom"/>
          </w:tcPr>
          <w:p>
            <w:pPr>
              <w:jc w:val="center"/>
              <w:ind w:left="3494"/>
              <w:spacing w:after="0"/>
              <w:rPr>
                <w:sz w:val="20"/>
                <w:szCs w:val="20"/>
                <w:color w:val="auto"/>
              </w:rPr>
            </w:pPr>
            <w:r>
              <w:rPr>
                <w:rFonts w:ascii="Arial" w:cs="Arial" w:eastAsia="Arial" w:hAnsi="Arial"/>
                <w:sz w:val="17"/>
                <w:szCs w:val="17"/>
                <w:color w:val="auto"/>
                <w:w w:val="90"/>
              </w:rPr>
              <w:t>$937,500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June, 2018</w:t>
            </w:r>
          </w:p>
        </w:tc>
        <w:tc>
          <w:tcPr>
            <w:tcW w:w="6580" w:type="dxa"/>
            <w:vAlign w:val="bottom"/>
          </w:tcPr>
          <w:p>
            <w:pPr>
              <w:jc w:val="center"/>
              <w:ind w:left="3494"/>
              <w:spacing w:after="0"/>
              <w:rPr>
                <w:sz w:val="20"/>
                <w:szCs w:val="20"/>
                <w:color w:val="auto"/>
              </w:rPr>
            </w:pPr>
            <w:r>
              <w:rPr>
                <w:rFonts w:ascii="Arial" w:cs="Arial" w:eastAsia="Arial" w:hAnsi="Arial"/>
                <w:sz w:val="17"/>
                <w:szCs w:val="17"/>
                <w:color w:val="auto"/>
                <w:w w:val="90"/>
              </w:rPr>
              <w:t>$937,500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September, 2018</w:t>
            </w:r>
          </w:p>
        </w:tc>
        <w:tc>
          <w:tcPr>
            <w:tcW w:w="6580" w:type="dxa"/>
            <w:vAlign w:val="bottom"/>
          </w:tcPr>
          <w:p>
            <w:pPr>
              <w:jc w:val="center"/>
              <w:ind w:left="3494"/>
              <w:spacing w:after="0"/>
              <w:rPr>
                <w:sz w:val="20"/>
                <w:szCs w:val="20"/>
                <w:color w:val="auto"/>
              </w:rPr>
            </w:pPr>
            <w:r>
              <w:rPr>
                <w:rFonts w:ascii="Arial" w:cs="Arial" w:eastAsia="Arial" w:hAnsi="Arial"/>
                <w:sz w:val="17"/>
                <w:szCs w:val="17"/>
                <w:color w:val="auto"/>
                <w:w w:val="90"/>
              </w:rPr>
              <w:t>$937,500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December, 2018</w:t>
            </w:r>
          </w:p>
        </w:tc>
        <w:tc>
          <w:tcPr>
            <w:tcW w:w="6580" w:type="dxa"/>
            <w:vAlign w:val="bottom"/>
          </w:tcPr>
          <w:p>
            <w:pPr>
              <w:jc w:val="center"/>
              <w:ind w:left="3494"/>
              <w:spacing w:after="0"/>
              <w:rPr>
                <w:sz w:val="20"/>
                <w:szCs w:val="20"/>
                <w:color w:val="auto"/>
              </w:rPr>
            </w:pPr>
            <w:r>
              <w:rPr>
                <w:rFonts w:ascii="Arial" w:cs="Arial" w:eastAsia="Arial" w:hAnsi="Arial"/>
                <w:sz w:val="17"/>
                <w:szCs w:val="17"/>
                <w:color w:val="auto"/>
                <w:w w:val="89"/>
              </w:rPr>
              <w:t>$1,250,000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March, 2019</w:t>
            </w:r>
          </w:p>
        </w:tc>
        <w:tc>
          <w:tcPr>
            <w:tcW w:w="6580" w:type="dxa"/>
            <w:vAlign w:val="bottom"/>
          </w:tcPr>
          <w:p>
            <w:pPr>
              <w:jc w:val="center"/>
              <w:ind w:left="3494"/>
              <w:spacing w:after="0"/>
              <w:rPr>
                <w:sz w:val="20"/>
                <w:szCs w:val="20"/>
                <w:color w:val="auto"/>
              </w:rPr>
            </w:pPr>
            <w:r>
              <w:rPr>
                <w:rFonts w:ascii="Arial" w:cs="Arial" w:eastAsia="Arial" w:hAnsi="Arial"/>
                <w:sz w:val="17"/>
                <w:szCs w:val="17"/>
                <w:color w:val="auto"/>
                <w:w w:val="89"/>
              </w:rPr>
              <w:t>$1,250,000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June, 2019</w:t>
            </w:r>
          </w:p>
        </w:tc>
        <w:tc>
          <w:tcPr>
            <w:tcW w:w="6580" w:type="dxa"/>
            <w:vAlign w:val="bottom"/>
          </w:tcPr>
          <w:p>
            <w:pPr>
              <w:jc w:val="center"/>
              <w:ind w:left="3494"/>
              <w:spacing w:after="0"/>
              <w:rPr>
                <w:sz w:val="20"/>
                <w:szCs w:val="20"/>
                <w:color w:val="auto"/>
              </w:rPr>
            </w:pPr>
            <w:r>
              <w:rPr>
                <w:rFonts w:ascii="Arial" w:cs="Arial" w:eastAsia="Arial" w:hAnsi="Arial"/>
                <w:sz w:val="17"/>
                <w:szCs w:val="17"/>
                <w:color w:val="auto"/>
                <w:w w:val="89"/>
              </w:rPr>
              <w:t>$1,250,000</w:t>
            </w:r>
          </w:p>
        </w:tc>
      </w:tr>
      <w:tr>
        <w:trPr>
          <w:trHeight w:val="369"/>
        </w:trPr>
        <w:tc>
          <w:tcPr>
            <w:tcW w:w="4740" w:type="dxa"/>
            <w:vAlign w:val="bottom"/>
          </w:tcPr>
          <w:p>
            <w:pPr>
              <w:spacing w:after="0"/>
              <w:rPr>
                <w:sz w:val="20"/>
                <w:szCs w:val="20"/>
                <w:color w:val="auto"/>
              </w:rPr>
            </w:pPr>
            <w:r>
              <w:rPr>
                <w:rFonts w:ascii="Arial" w:cs="Arial" w:eastAsia="Arial" w:hAnsi="Arial"/>
                <w:sz w:val="17"/>
                <w:szCs w:val="17"/>
                <w:color w:val="auto"/>
              </w:rPr>
              <w:t>Maturity Date</w:t>
            </w:r>
          </w:p>
        </w:tc>
        <w:tc>
          <w:tcPr>
            <w:tcW w:w="6580" w:type="dxa"/>
            <w:vAlign w:val="bottom"/>
          </w:tcPr>
          <w:p>
            <w:pPr>
              <w:jc w:val="center"/>
              <w:ind w:left="3494"/>
              <w:spacing w:after="0"/>
              <w:rPr>
                <w:sz w:val="20"/>
                <w:szCs w:val="20"/>
                <w:color w:val="auto"/>
              </w:rPr>
            </w:pPr>
            <w:r>
              <w:rPr>
                <w:rFonts w:ascii="Arial" w:cs="Arial" w:eastAsia="Arial" w:hAnsi="Arial"/>
                <w:sz w:val="17"/>
                <w:szCs w:val="17"/>
                <w:color w:val="auto"/>
                <w:w w:val="93"/>
              </w:rPr>
              <w:t>Outstanding Principal Amount of Company</w:t>
            </w:r>
          </w:p>
        </w:tc>
      </w:tr>
      <w:tr>
        <w:trPr>
          <w:trHeight w:val="217"/>
        </w:trPr>
        <w:tc>
          <w:tcPr>
            <w:tcW w:w="4740" w:type="dxa"/>
            <w:vAlign w:val="bottom"/>
          </w:tcPr>
          <w:p>
            <w:pPr>
              <w:spacing w:after="0"/>
              <w:rPr>
                <w:sz w:val="18"/>
                <w:szCs w:val="18"/>
                <w:color w:val="auto"/>
              </w:rPr>
            </w:pPr>
          </w:p>
        </w:tc>
        <w:tc>
          <w:tcPr>
            <w:tcW w:w="6580" w:type="dxa"/>
            <w:vAlign w:val="bottom"/>
          </w:tcPr>
          <w:p>
            <w:pPr>
              <w:jc w:val="center"/>
              <w:ind w:left="3514"/>
              <w:spacing w:after="0"/>
              <w:rPr>
                <w:sz w:val="20"/>
                <w:szCs w:val="20"/>
                <w:color w:val="auto"/>
              </w:rPr>
            </w:pPr>
            <w:r>
              <w:rPr>
                <w:rFonts w:ascii="Arial" w:cs="Arial" w:eastAsia="Arial" w:hAnsi="Arial"/>
                <w:sz w:val="17"/>
                <w:szCs w:val="17"/>
                <w:color w:val="auto"/>
                <w:w w:val="90"/>
              </w:rPr>
              <w:t>Term Loans</w:t>
            </w:r>
          </w:p>
        </w:tc>
      </w:tr>
    </w:tbl>
    <w:p>
      <w:pPr>
        <w:spacing w:after="0" w:line="357" w:lineRule="exact"/>
        <w:rPr>
          <w:sz w:val="20"/>
          <w:szCs w:val="20"/>
          <w:color w:val="auto"/>
        </w:rPr>
      </w:pPr>
    </w:p>
    <w:p>
      <w:pPr>
        <w:jc w:val="both"/>
        <w:ind w:left="760" w:firstLine="709"/>
        <w:spacing w:after="0" w:line="253" w:lineRule="auto"/>
        <w:tabs>
          <w:tab w:leader="none" w:pos="1715"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Gentherm Germany Term Loans</w:t>
      </w:r>
      <w:r>
        <w:rPr>
          <w:rFonts w:ascii="Arial" w:cs="Arial" w:eastAsia="Arial" w:hAnsi="Arial"/>
          <w:sz w:val="17"/>
          <w:szCs w:val="17"/>
          <w:color w:val="auto"/>
        </w:rPr>
        <w:t xml:space="preserve">. Gentherm Germany shall repay to the Gentherm Germany Term Lenders the aggregate principal amount of all Gentherm Germany Term Loans in installments on the last Business Day of each March, June, September and December and on the Maturity Date, in each case, in the respective amounts set forth in the table below (as such installments may hereafter be adjusted as a result of prepayments made pursuant to </w:t>
      </w:r>
      <w:r>
        <w:rPr>
          <w:rFonts w:ascii="Arial" w:cs="Arial" w:eastAsia="Arial" w:hAnsi="Arial"/>
          <w:sz w:val="17"/>
          <w:szCs w:val="17"/>
          <w:u w:val="single" w:color="auto"/>
          <w:color w:val="auto"/>
        </w:rPr>
        <w:t>Section 2.05</w:t>
      </w:r>
      <w:r>
        <w:rPr>
          <w:rFonts w:ascii="Arial" w:cs="Arial" w:eastAsia="Arial" w:hAnsi="Arial"/>
          <w:sz w:val="17"/>
          <w:szCs w:val="17"/>
          <w:color w:val="auto"/>
        </w:rPr>
        <w:t>):</w:t>
      </w: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40"/>
          </w:cols>
          <w:pgMar w:left="240" w:top="312" w:right="2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17"/>
        </w:trPr>
        <w:tc>
          <w:tcPr>
            <w:tcW w:w="4740" w:type="dxa"/>
            <w:vAlign w:val="bottom"/>
          </w:tcPr>
          <w:p>
            <w:pPr>
              <w:spacing w:after="0"/>
              <w:rPr>
                <w:sz w:val="20"/>
                <w:szCs w:val="20"/>
                <w:color w:val="auto"/>
              </w:rPr>
            </w:pPr>
            <w:r>
              <w:rPr>
                <w:rFonts w:ascii="Arial" w:cs="Arial" w:eastAsia="Arial" w:hAnsi="Arial"/>
                <w:sz w:val="17"/>
                <w:szCs w:val="17"/>
                <w:color w:val="auto"/>
              </w:rPr>
              <w:t>Payment Dates</w:t>
            </w:r>
          </w:p>
        </w:tc>
        <w:tc>
          <w:tcPr>
            <w:tcW w:w="6600" w:type="dxa"/>
            <w:vAlign w:val="bottom"/>
          </w:tcPr>
          <w:p>
            <w:pPr>
              <w:jc w:val="center"/>
              <w:ind w:left="3494"/>
              <w:spacing w:after="0"/>
              <w:rPr>
                <w:sz w:val="20"/>
                <w:szCs w:val="20"/>
                <w:color w:val="auto"/>
              </w:rPr>
            </w:pPr>
            <w:r>
              <w:rPr>
                <w:rFonts w:ascii="Arial" w:cs="Arial" w:eastAsia="Arial" w:hAnsi="Arial"/>
                <w:sz w:val="17"/>
                <w:szCs w:val="17"/>
                <w:color w:val="auto"/>
                <w:w w:val="93"/>
              </w:rPr>
              <w:t>Principal Amortization Payment</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December, 2014</w:t>
            </w:r>
          </w:p>
        </w:tc>
        <w:tc>
          <w:tcPr>
            <w:tcW w:w="6600" w:type="dxa"/>
            <w:vAlign w:val="bottom"/>
          </w:tcPr>
          <w:p>
            <w:pPr>
              <w:jc w:val="center"/>
              <w:ind w:left="3494"/>
              <w:spacing w:after="0"/>
              <w:rPr>
                <w:sz w:val="20"/>
                <w:szCs w:val="20"/>
                <w:color w:val="auto"/>
              </w:rPr>
            </w:pPr>
            <w:r>
              <w:rPr>
                <w:rFonts w:ascii="Arial" w:cs="Arial" w:eastAsia="Arial" w:hAnsi="Arial"/>
                <w:sz w:val="17"/>
                <w:szCs w:val="17"/>
                <w:color w:val="auto"/>
                <w:w w:val="93"/>
              </w:rPr>
              <w:t>€250,000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March, 2015</w:t>
            </w:r>
          </w:p>
        </w:tc>
        <w:tc>
          <w:tcPr>
            <w:tcW w:w="6600" w:type="dxa"/>
            <w:vAlign w:val="bottom"/>
          </w:tcPr>
          <w:p>
            <w:pPr>
              <w:jc w:val="center"/>
              <w:ind w:left="3494"/>
              <w:spacing w:after="0"/>
              <w:rPr>
                <w:sz w:val="20"/>
                <w:szCs w:val="20"/>
                <w:color w:val="auto"/>
              </w:rPr>
            </w:pPr>
            <w:r>
              <w:rPr>
                <w:rFonts w:ascii="Arial" w:cs="Arial" w:eastAsia="Arial" w:hAnsi="Arial"/>
                <w:sz w:val="17"/>
                <w:szCs w:val="17"/>
                <w:color w:val="auto"/>
                <w:w w:val="93"/>
              </w:rPr>
              <w:t>€250,000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June, 2015</w:t>
            </w:r>
          </w:p>
        </w:tc>
        <w:tc>
          <w:tcPr>
            <w:tcW w:w="6600" w:type="dxa"/>
            <w:vAlign w:val="bottom"/>
          </w:tcPr>
          <w:p>
            <w:pPr>
              <w:jc w:val="center"/>
              <w:ind w:left="3494"/>
              <w:spacing w:after="0"/>
              <w:rPr>
                <w:sz w:val="20"/>
                <w:szCs w:val="20"/>
                <w:color w:val="auto"/>
              </w:rPr>
            </w:pPr>
            <w:r>
              <w:rPr>
                <w:rFonts w:ascii="Arial" w:cs="Arial" w:eastAsia="Arial" w:hAnsi="Arial"/>
                <w:sz w:val="17"/>
                <w:szCs w:val="17"/>
                <w:color w:val="auto"/>
                <w:w w:val="93"/>
              </w:rPr>
              <w:t>€250,000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September, 2015</w:t>
            </w:r>
          </w:p>
        </w:tc>
        <w:tc>
          <w:tcPr>
            <w:tcW w:w="6600" w:type="dxa"/>
            <w:vAlign w:val="bottom"/>
          </w:tcPr>
          <w:p>
            <w:pPr>
              <w:jc w:val="center"/>
              <w:ind w:left="3494"/>
              <w:spacing w:after="0"/>
              <w:rPr>
                <w:sz w:val="20"/>
                <w:szCs w:val="20"/>
                <w:color w:val="auto"/>
              </w:rPr>
            </w:pPr>
            <w:r>
              <w:rPr>
                <w:rFonts w:ascii="Arial" w:cs="Arial" w:eastAsia="Arial" w:hAnsi="Arial"/>
                <w:sz w:val="17"/>
                <w:szCs w:val="17"/>
                <w:color w:val="auto"/>
                <w:w w:val="93"/>
              </w:rPr>
              <w:t>€250,000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December, 2015</w:t>
            </w:r>
          </w:p>
        </w:tc>
        <w:tc>
          <w:tcPr>
            <w:tcW w:w="6600" w:type="dxa"/>
            <w:vAlign w:val="bottom"/>
          </w:tcPr>
          <w:p>
            <w:pPr>
              <w:jc w:val="center"/>
              <w:ind w:left="3494"/>
              <w:spacing w:after="0"/>
              <w:rPr>
                <w:sz w:val="20"/>
                <w:szCs w:val="20"/>
                <w:color w:val="auto"/>
              </w:rPr>
            </w:pPr>
            <w:r>
              <w:rPr>
                <w:rFonts w:ascii="Arial" w:cs="Arial" w:eastAsia="Arial" w:hAnsi="Arial"/>
                <w:sz w:val="17"/>
                <w:szCs w:val="17"/>
                <w:color w:val="auto"/>
                <w:w w:val="93"/>
              </w:rPr>
              <w:t>€250,000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March, 2016</w:t>
            </w:r>
          </w:p>
        </w:tc>
        <w:tc>
          <w:tcPr>
            <w:tcW w:w="6600" w:type="dxa"/>
            <w:vAlign w:val="bottom"/>
          </w:tcPr>
          <w:p>
            <w:pPr>
              <w:jc w:val="center"/>
              <w:ind w:left="3494"/>
              <w:spacing w:after="0"/>
              <w:rPr>
                <w:sz w:val="20"/>
                <w:szCs w:val="20"/>
                <w:color w:val="auto"/>
              </w:rPr>
            </w:pPr>
            <w:r>
              <w:rPr>
                <w:rFonts w:ascii="Arial" w:cs="Arial" w:eastAsia="Arial" w:hAnsi="Arial"/>
                <w:sz w:val="17"/>
                <w:szCs w:val="17"/>
                <w:color w:val="auto"/>
                <w:w w:val="93"/>
              </w:rPr>
              <w:t>€250,000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June, 2016</w:t>
            </w:r>
          </w:p>
        </w:tc>
        <w:tc>
          <w:tcPr>
            <w:tcW w:w="6600" w:type="dxa"/>
            <w:vAlign w:val="bottom"/>
          </w:tcPr>
          <w:p>
            <w:pPr>
              <w:jc w:val="center"/>
              <w:ind w:left="3494"/>
              <w:spacing w:after="0"/>
              <w:rPr>
                <w:sz w:val="20"/>
                <w:szCs w:val="20"/>
                <w:color w:val="auto"/>
              </w:rPr>
            </w:pPr>
            <w:r>
              <w:rPr>
                <w:rFonts w:ascii="Arial" w:cs="Arial" w:eastAsia="Arial" w:hAnsi="Arial"/>
                <w:sz w:val="17"/>
                <w:szCs w:val="17"/>
                <w:color w:val="auto"/>
                <w:w w:val="93"/>
              </w:rPr>
              <w:t>€250,000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September, 2016</w:t>
            </w:r>
          </w:p>
        </w:tc>
        <w:tc>
          <w:tcPr>
            <w:tcW w:w="6600" w:type="dxa"/>
            <w:vAlign w:val="bottom"/>
          </w:tcPr>
          <w:p>
            <w:pPr>
              <w:jc w:val="center"/>
              <w:ind w:left="3494"/>
              <w:spacing w:after="0"/>
              <w:rPr>
                <w:sz w:val="20"/>
                <w:szCs w:val="20"/>
                <w:color w:val="auto"/>
              </w:rPr>
            </w:pPr>
            <w:r>
              <w:rPr>
                <w:rFonts w:ascii="Arial" w:cs="Arial" w:eastAsia="Arial" w:hAnsi="Arial"/>
                <w:sz w:val="17"/>
                <w:szCs w:val="17"/>
                <w:color w:val="auto"/>
                <w:w w:val="93"/>
              </w:rPr>
              <w:t>€250,000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December, 2016</w:t>
            </w:r>
          </w:p>
        </w:tc>
        <w:tc>
          <w:tcPr>
            <w:tcW w:w="6600" w:type="dxa"/>
            <w:vAlign w:val="bottom"/>
          </w:tcPr>
          <w:p>
            <w:pPr>
              <w:jc w:val="center"/>
              <w:ind w:left="3494"/>
              <w:spacing w:after="0"/>
              <w:rPr>
                <w:sz w:val="20"/>
                <w:szCs w:val="20"/>
                <w:color w:val="auto"/>
              </w:rPr>
            </w:pPr>
            <w:r>
              <w:rPr>
                <w:rFonts w:ascii="Arial" w:cs="Arial" w:eastAsia="Arial" w:hAnsi="Arial"/>
                <w:sz w:val="17"/>
                <w:szCs w:val="17"/>
                <w:color w:val="auto"/>
                <w:w w:val="93"/>
              </w:rPr>
              <w:t>€375,000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March, 2017</w:t>
            </w:r>
          </w:p>
        </w:tc>
        <w:tc>
          <w:tcPr>
            <w:tcW w:w="6600" w:type="dxa"/>
            <w:vAlign w:val="bottom"/>
          </w:tcPr>
          <w:p>
            <w:pPr>
              <w:jc w:val="center"/>
              <w:ind w:left="3494"/>
              <w:spacing w:after="0"/>
              <w:rPr>
                <w:sz w:val="20"/>
                <w:szCs w:val="20"/>
                <w:color w:val="auto"/>
              </w:rPr>
            </w:pPr>
            <w:r>
              <w:rPr>
                <w:rFonts w:ascii="Arial" w:cs="Arial" w:eastAsia="Arial" w:hAnsi="Arial"/>
                <w:sz w:val="17"/>
                <w:szCs w:val="17"/>
                <w:color w:val="auto"/>
                <w:w w:val="93"/>
              </w:rPr>
              <w:t>€375,000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June, 2017</w:t>
            </w:r>
          </w:p>
        </w:tc>
        <w:tc>
          <w:tcPr>
            <w:tcW w:w="6600" w:type="dxa"/>
            <w:vAlign w:val="bottom"/>
          </w:tcPr>
          <w:p>
            <w:pPr>
              <w:jc w:val="center"/>
              <w:ind w:left="3494"/>
              <w:spacing w:after="0"/>
              <w:rPr>
                <w:sz w:val="20"/>
                <w:szCs w:val="20"/>
                <w:color w:val="auto"/>
              </w:rPr>
            </w:pPr>
            <w:r>
              <w:rPr>
                <w:rFonts w:ascii="Arial" w:cs="Arial" w:eastAsia="Arial" w:hAnsi="Arial"/>
                <w:sz w:val="17"/>
                <w:szCs w:val="17"/>
                <w:color w:val="auto"/>
                <w:w w:val="93"/>
              </w:rPr>
              <w:t>€375,000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September, 2017</w:t>
            </w:r>
          </w:p>
        </w:tc>
        <w:tc>
          <w:tcPr>
            <w:tcW w:w="6600" w:type="dxa"/>
            <w:vAlign w:val="bottom"/>
          </w:tcPr>
          <w:p>
            <w:pPr>
              <w:jc w:val="center"/>
              <w:ind w:left="3494"/>
              <w:spacing w:after="0"/>
              <w:rPr>
                <w:sz w:val="20"/>
                <w:szCs w:val="20"/>
                <w:color w:val="auto"/>
              </w:rPr>
            </w:pPr>
            <w:r>
              <w:rPr>
                <w:rFonts w:ascii="Arial" w:cs="Arial" w:eastAsia="Arial" w:hAnsi="Arial"/>
                <w:sz w:val="17"/>
                <w:szCs w:val="17"/>
                <w:color w:val="auto"/>
                <w:w w:val="93"/>
              </w:rPr>
              <w:t>€375,000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December, 2017</w:t>
            </w:r>
          </w:p>
        </w:tc>
        <w:tc>
          <w:tcPr>
            <w:tcW w:w="6600" w:type="dxa"/>
            <w:vAlign w:val="bottom"/>
          </w:tcPr>
          <w:p>
            <w:pPr>
              <w:jc w:val="center"/>
              <w:ind w:left="3494"/>
              <w:spacing w:after="0"/>
              <w:rPr>
                <w:sz w:val="20"/>
                <w:szCs w:val="20"/>
                <w:color w:val="auto"/>
              </w:rPr>
            </w:pPr>
            <w:r>
              <w:rPr>
                <w:rFonts w:ascii="Arial" w:cs="Arial" w:eastAsia="Arial" w:hAnsi="Arial"/>
                <w:sz w:val="17"/>
                <w:szCs w:val="17"/>
                <w:color w:val="auto"/>
                <w:w w:val="93"/>
              </w:rPr>
              <w:t>€375,000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March, 2018</w:t>
            </w:r>
          </w:p>
        </w:tc>
        <w:tc>
          <w:tcPr>
            <w:tcW w:w="6600" w:type="dxa"/>
            <w:vAlign w:val="bottom"/>
          </w:tcPr>
          <w:p>
            <w:pPr>
              <w:jc w:val="center"/>
              <w:ind w:left="3494"/>
              <w:spacing w:after="0"/>
              <w:rPr>
                <w:sz w:val="20"/>
                <w:szCs w:val="20"/>
                <w:color w:val="auto"/>
              </w:rPr>
            </w:pPr>
            <w:r>
              <w:rPr>
                <w:rFonts w:ascii="Arial" w:cs="Arial" w:eastAsia="Arial" w:hAnsi="Arial"/>
                <w:sz w:val="17"/>
                <w:szCs w:val="17"/>
                <w:color w:val="auto"/>
                <w:w w:val="93"/>
              </w:rPr>
              <w:t>€375,000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June, 2018</w:t>
            </w:r>
          </w:p>
        </w:tc>
        <w:tc>
          <w:tcPr>
            <w:tcW w:w="6600" w:type="dxa"/>
            <w:vAlign w:val="bottom"/>
          </w:tcPr>
          <w:p>
            <w:pPr>
              <w:jc w:val="center"/>
              <w:ind w:left="3494"/>
              <w:spacing w:after="0"/>
              <w:rPr>
                <w:sz w:val="20"/>
                <w:szCs w:val="20"/>
                <w:color w:val="auto"/>
              </w:rPr>
            </w:pPr>
            <w:r>
              <w:rPr>
                <w:rFonts w:ascii="Arial" w:cs="Arial" w:eastAsia="Arial" w:hAnsi="Arial"/>
                <w:sz w:val="17"/>
                <w:szCs w:val="17"/>
                <w:color w:val="auto"/>
                <w:w w:val="93"/>
              </w:rPr>
              <w:t>€375,000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September, 2018</w:t>
            </w:r>
          </w:p>
        </w:tc>
        <w:tc>
          <w:tcPr>
            <w:tcW w:w="6600" w:type="dxa"/>
            <w:vAlign w:val="bottom"/>
          </w:tcPr>
          <w:p>
            <w:pPr>
              <w:jc w:val="center"/>
              <w:ind w:left="3494"/>
              <w:spacing w:after="0"/>
              <w:rPr>
                <w:sz w:val="20"/>
                <w:szCs w:val="20"/>
                <w:color w:val="auto"/>
              </w:rPr>
            </w:pPr>
            <w:r>
              <w:rPr>
                <w:rFonts w:ascii="Arial" w:cs="Arial" w:eastAsia="Arial" w:hAnsi="Arial"/>
                <w:sz w:val="17"/>
                <w:szCs w:val="17"/>
                <w:color w:val="auto"/>
                <w:w w:val="93"/>
              </w:rPr>
              <w:t>€375,000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December, 2018</w:t>
            </w:r>
          </w:p>
        </w:tc>
        <w:tc>
          <w:tcPr>
            <w:tcW w:w="6600" w:type="dxa"/>
            <w:vAlign w:val="bottom"/>
          </w:tcPr>
          <w:p>
            <w:pPr>
              <w:jc w:val="center"/>
              <w:ind w:left="3494"/>
              <w:spacing w:after="0"/>
              <w:rPr>
                <w:sz w:val="20"/>
                <w:szCs w:val="20"/>
                <w:color w:val="auto"/>
              </w:rPr>
            </w:pPr>
            <w:r>
              <w:rPr>
                <w:rFonts w:ascii="Arial" w:cs="Arial" w:eastAsia="Arial" w:hAnsi="Arial"/>
                <w:sz w:val="17"/>
                <w:szCs w:val="17"/>
                <w:color w:val="auto"/>
                <w:w w:val="93"/>
              </w:rPr>
              <w:t>€500,000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March, 2019</w:t>
            </w:r>
          </w:p>
        </w:tc>
        <w:tc>
          <w:tcPr>
            <w:tcW w:w="6600" w:type="dxa"/>
            <w:vAlign w:val="bottom"/>
          </w:tcPr>
          <w:p>
            <w:pPr>
              <w:jc w:val="center"/>
              <w:ind w:left="3494"/>
              <w:spacing w:after="0"/>
              <w:rPr>
                <w:sz w:val="20"/>
                <w:szCs w:val="20"/>
                <w:color w:val="auto"/>
              </w:rPr>
            </w:pPr>
            <w:r>
              <w:rPr>
                <w:rFonts w:ascii="Arial" w:cs="Arial" w:eastAsia="Arial" w:hAnsi="Arial"/>
                <w:sz w:val="17"/>
                <w:szCs w:val="17"/>
                <w:color w:val="auto"/>
                <w:w w:val="93"/>
              </w:rPr>
              <w:t>€500,000</w:t>
            </w:r>
          </w:p>
        </w:tc>
      </w:tr>
      <w:tr>
        <w:trPr>
          <w:trHeight w:val="387"/>
        </w:trPr>
        <w:tc>
          <w:tcPr>
            <w:tcW w:w="4740" w:type="dxa"/>
            <w:vAlign w:val="bottom"/>
          </w:tcPr>
          <w:p>
            <w:pPr>
              <w:spacing w:after="0"/>
              <w:rPr>
                <w:sz w:val="20"/>
                <w:szCs w:val="20"/>
                <w:color w:val="auto"/>
              </w:rPr>
            </w:pPr>
            <w:r>
              <w:rPr>
                <w:rFonts w:ascii="Arial" w:cs="Arial" w:eastAsia="Arial" w:hAnsi="Arial"/>
                <w:sz w:val="17"/>
                <w:szCs w:val="17"/>
                <w:color w:val="auto"/>
              </w:rPr>
              <w:t>June, 2019</w:t>
            </w:r>
          </w:p>
        </w:tc>
        <w:tc>
          <w:tcPr>
            <w:tcW w:w="6600" w:type="dxa"/>
            <w:vAlign w:val="bottom"/>
          </w:tcPr>
          <w:p>
            <w:pPr>
              <w:jc w:val="center"/>
              <w:ind w:left="3494"/>
              <w:spacing w:after="0"/>
              <w:rPr>
                <w:sz w:val="20"/>
                <w:szCs w:val="20"/>
                <w:color w:val="auto"/>
              </w:rPr>
            </w:pPr>
            <w:r>
              <w:rPr>
                <w:rFonts w:ascii="Arial" w:cs="Arial" w:eastAsia="Arial" w:hAnsi="Arial"/>
                <w:sz w:val="17"/>
                <w:szCs w:val="17"/>
                <w:color w:val="auto"/>
                <w:w w:val="93"/>
              </w:rPr>
              <w:t>€500,000</w:t>
            </w:r>
          </w:p>
        </w:tc>
      </w:tr>
      <w:tr>
        <w:trPr>
          <w:trHeight w:val="369"/>
        </w:trPr>
        <w:tc>
          <w:tcPr>
            <w:tcW w:w="4740" w:type="dxa"/>
            <w:vAlign w:val="bottom"/>
          </w:tcPr>
          <w:p>
            <w:pPr>
              <w:spacing w:after="0"/>
              <w:rPr>
                <w:sz w:val="20"/>
                <w:szCs w:val="20"/>
                <w:color w:val="auto"/>
              </w:rPr>
            </w:pPr>
            <w:r>
              <w:rPr>
                <w:rFonts w:ascii="Arial" w:cs="Arial" w:eastAsia="Arial" w:hAnsi="Arial"/>
                <w:sz w:val="17"/>
                <w:szCs w:val="17"/>
                <w:color w:val="auto"/>
              </w:rPr>
              <w:t>Maturity Date</w:t>
            </w:r>
          </w:p>
        </w:tc>
        <w:tc>
          <w:tcPr>
            <w:tcW w:w="6600" w:type="dxa"/>
            <w:vAlign w:val="bottom"/>
          </w:tcPr>
          <w:p>
            <w:pPr>
              <w:jc w:val="center"/>
              <w:ind w:left="3494"/>
              <w:spacing w:after="0"/>
              <w:rPr>
                <w:sz w:val="20"/>
                <w:szCs w:val="20"/>
                <w:color w:val="auto"/>
              </w:rPr>
            </w:pPr>
            <w:r>
              <w:rPr>
                <w:rFonts w:ascii="Arial" w:cs="Arial" w:eastAsia="Arial" w:hAnsi="Arial"/>
                <w:sz w:val="17"/>
                <w:szCs w:val="17"/>
                <w:color w:val="auto"/>
                <w:w w:val="93"/>
              </w:rPr>
              <w:t>Outstanding Principal Amount of Company</w:t>
            </w:r>
          </w:p>
        </w:tc>
      </w:tr>
      <w:tr>
        <w:trPr>
          <w:trHeight w:val="217"/>
        </w:trPr>
        <w:tc>
          <w:tcPr>
            <w:tcW w:w="4740" w:type="dxa"/>
            <w:vAlign w:val="bottom"/>
          </w:tcPr>
          <w:p>
            <w:pPr>
              <w:spacing w:after="0"/>
              <w:rPr>
                <w:sz w:val="18"/>
                <w:szCs w:val="18"/>
                <w:color w:val="auto"/>
              </w:rPr>
            </w:pPr>
          </w:p>
        </w:tc>
        <w:tc>
          <w:tcPr>
            <w:tcW w:w="6600" w:type="dxa"/>
            <w:vAlign w:val="bottom"/>
          </w:tcPr>
          <w:p>
            <w:pPr>
              <w:jc w:val="center"/>
              <w:ind w:left="3494"/>
              <w:spacing w:after="0"/>
              <w:rPr>
                <w:sz w:val="20"/>
                <w:szCs w:val="20"/>
                <w:color w:val="auto"/>
              </w:rPr>
            </w:pPr>
            <w:r>
              <w:rPr>
                <w:rFonts w:ascii="Arial" w:cs="Arial" w:eastAsia="Arial" w:hAnsi="Arial"/>
                <w:sz w:val="17"/>
                <w:szCs w:val="17"/>
                <w:color w:val="auto"/>
                <w:w w:val="90"/>
              </w:rPr>
              <w:t>Term Loans</w:t>
            </w:r>
          </w:p>
        </w:tc>
      </w:tr>
    </w:tbl>
    <w:p>
      <w:pPr>
        <w:spacing w:after="0" w:line="357" w:lineRule="exact"/>
        <w:rPr>
          <w:sz w:val="20"/>
          <w:szCs w:val="20"/>
          <w:color w:val="auto"/>
        </w:rPr>
      </w:pPr>
    </w:p>
    <w:p>
      <w:pPr>
        <w:ind w:left="760" w:right="20" w:firstLine="709"/>
        <w:spacing w:after="0" w:line="271" w:lineRule="auto"/>
        <w:tabs>
          <w:tab w:leader="none" w:pos="1706"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Revolving Credit Loans</w:t>
      </w:r>
      <w:r>
        <w:rPr>
          <w:rFonts w:ascii="Arial" w:cs="Arial" w:eastAsia="Arial" w:hAnsi="Arial"/>
          <w:sz w:val="17"/>
          <w:szCs w:val="17"/>
          <w:color w:val="auto"/>
        </w:rPr>
        <w:t>. The Company shall repay to the Revolving Credit Lenders on the Maturity Date the aggregate principal amount of all Revolving Credit Loans outstanding on such date.</w:t>
      </w:r>
    </w:p>
    <w:p>
      <w:pPr>
        <w:spacing w:after="0" w:line="144" w:lineRule="exact"/>
        <w:rPr>
          <w:rFonts w:ascii="Arial" w:cs="Arial" w:eastAsia="Arial" w:hAnsi="Arial"/>
          <w:sz w:val="17"/>
          <w:szCs w:val="17"/>
          <w:color w:val="auto"/>
        </w:rPr>
      </w:pPr>
    </w:p>
    <w:p>
      <w:pPr>
        <w:ind w:left="760" w:firstLine="709"/>
        <w:spacing w:after="0" w:line="271" w:lineRule="auto"/>
        <w:tabs>
          <w:tab w:leader="none" w:pos="1715"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Swing Line Loans</w:t>
      </w:r>
      <w:r>
        <w:rPr>
          <w:rFonts w:ascii="Arial" w:cs="Arial" w:eastAsia="Arial" w:hAnsi="Arial"/>
          <w:sz w:val="17"/>
          <w:szCs w:val="17"/>
          <w:color w:val="auto"/>
        </w:rPr>
        <w:t>. The Company shall repay each Swing Line Loan on the earlier to occur of (i) the date ten (10) Business Days after such Swing Line Loan is made and (ii) the Maturity Date.</w:t>
      </w:r>
    </w:p>
    <w:p>
      <w:pPr>
        <w:spacing w:after="0" w:line="144" w:lineRule="exact"/>
        <w:rPr>
          <w:rFonts w:ascii="Arial" w:cs="Arial" w:eastAsia="Arial" w:hAnsi="Arial"/>
          <w:sz w:val="17"/>
          <w:szCs w:val="17"/>
          <w:color w:val="auto"/>
        </w:rPr>
      </w:pPr>
    </w:p>
    <w:p>
      <w:pPr>
        <w:jc w:val="both"/>
        <w:ind w:left="760" w:firstLine="709"/>
        <w:spacing w:after="0" w:line="205" w:lineRule="exact"/>
        <w:tabs>
          <w:tab w:leader="none" w:pos="1729"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Add</w:t>
      </w:r>
      <w:r>
        <w:rPr>
          <w:rFonts w:ascii="MS PGothic" w:cs="MS PGothic" w:eastAsia="MS PGothic" w:hAnsi="MS PGothic"/>
          <w:sz w:val="17"/>
          <w:szCs w:val="17"/>
          <w:u w:val="single" w:color="auto"/>
          <w:color w:val="auto"/>
        </w:rPr>
        <w:t>‑</w:t>
      </w:r>
      <w:r>
        <w:rPr>
          <w:rFonts w:ascii="Arial" w:cs="Arial" w:eastAsia="Arial" w:hAnsi="Arial"/>
          <w:sz w:val="17"/>
          <w:szCs w:val="17"/>
          <w:u w:val="single" w:color="auto"/>
          <w:color w:val="auto"/>
        </w:rPr>
        <w:t>On Company Term Loans</w:t>
      </w:r>
      <w:r>
        <w:rPr>
          <w:rFonts w:ascii="Arial" w:cs="Arial" w:eastAsia="Arial" w:hAnsi="Arial"/>
          <w:sz w:val="17"/>
          <w:szCs w:val="17"/>
          <w:color w:val="auto"/>
        </w:rPr>
        <w:t>. The Company shall repay the outstanding principal amount of each Add</w:t>
      </w:r>
      <w:r>
        <w:rPr>
          <w:rFonts w:ascii="MS PGothic" w:cs="MS PGothic" w:eastAsia="MS PGothic" w:hAnsi="MS PGothic"/>
          <w:sz w:val="17"/>
          <w:szCs w:val="17"/>
          <w:color w:val="auto"/>
        </w:rPr>
        <w:t>‑</w:t>
      </w:r>
      <w:r>
        <w:rPr>
          <w:rFonts w:ascii="Arial" w:cs="Arial" w:eastAsia="Arial" w:hAnsi="Arial"/>
          <w:sz w:val="17"/>
          <w:szCs w:val="17"/>
          <w:color w:val="auto"/>
        </w:rPr>
        <w:t>On Company Term Loan in installments on the dates and in the amounts set forth in the applicable Add</w:t>
      </w:r>
      <w:r>
        <w:rPr>
          <w:rFonts w:ascii="MS PGothic" w:cs="MS PGothic" w:eastAsia="MS PGothic" w:hAnsi="MS PGothic"/>
          <w:sz w:val="17"/>
          <w:szCs w:val="17"/>
          <w:color w:val="auto"/>
        </w:rPr>
        <w:t>‑</w:t>
      </w:r>
      <w:r>
        <w:rPr>
          <w:rFonts w:ascii="Arial" w:cs="Arial" w:eastAsia="Arial" w:hAnsi="Arial"/>
          <w:sz w:val="17"/>
          <w:szCs w:val="17"/>
          <w:color w:val="auto"/>
        </w:rPr>
        <w:t xml:space="preserve">On Company Term Lender Joinder Agreement (as such installments may hereafter be adjusted as a result of prepayments made pursuant to </w:t>
      </w:r>
      <w:r>
        <w:rPr>
          <w:rFonts w:ascii="Arial" w:cs="Arial" w:eastAsia="Arial" w:hAnsi="Arial"/>
          <w:sz w:val="17"/>
          <w:szCs w:val="17"/>
          <w:u w:val="single" w:color="auto"/>
          <w:color w:val="auto"/>
        </w:rPr>
        <w:t>Section 2.05</w:t>
      </w:r>
      <w:r>
        <w:rPr>
          <w:rFonts w:ascii="Arial" w:cs="Arial" w:eastAsia="Arial" w:hAnsi="Arial"/>
          <w:sz w:val="17"/>
          <w:szCs w:val="17"/>
          <w:color w:val="auto"/>
        </w:rPr>
        <w:t>).</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40"/>
          </w:cols>
          <w:pgMar w:left="240" w:top="312" w:right="219" w:bottom="1440" w:gutter="0" w:footer="0" w:header="0"/>
        </w:sectPr>
      </w:pPr>
    </w:p>
    <w:bookmarkStart w:id="65" w:name="page66"/>
    <w:bookmarkEnd w:id="65"/>
    <w:p>
      <w:pPr>
        <w:jc w:val="both"/>
        <w:ind w:firstLine="763"/>
        <w:spacing w:after="0" w:line="272" w:lineRule="auto"/>
        <w:rPr>
          <w:sz w:val="20"/>
          <w:szCs w:val="20"/>
          <w:color w:val="auto"/>
        </w:rPr>
      </w:pPr>
      <w:r>
        <w:rPr>
          <w:rFonts w:ascii="Arial" w:cs="Arial" w:eastAsia="Arial" w:hAnsi="Arial"/>
          <w:sz w:val="16"/>
          <w:szCs w:val="16"/>
          <w:b w:val="1"/>
          <w:bCs w:val="1"/>
          <w:color w:val="auto"/>
        </w:rPr>
        <w:t xml:space="preserve">2.08 Interest. </w:t>
      </w:r>
      <w:r>
        <w:rPr>
          <w:rFonts w:ascii="Arial" w:cs="Arial" w:eastAsia="Arial" w:hAnsi="Arial"/>
          <w:sz w:val="16"/>
          <w:szCs w:val="16"/>
          <w:color w:val="auto"/>
        </w:rPr>
        <w:t>(a) Subject to the provisions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clause (b)</w:t>
      </w:r>
      <w:r>
        <w:rPr>
          <w:rFonts w:ascii="Arial" w:cs="Arial" w:eastAsia="Arial" w:hAnsi="Arial"/>
          <w:sz w:val="16"/>
          <w:szCs w:val="16"/>
          <w:b w:val="1"/>
          <w:bCs w:val="1"/>
          <w:color w:val="auto"/>
        </w:rPr>
        <w:t xml:space="preserve"> </w:t>
      </w:r>
      <w:r>
        <w:rPr>
          <w:rFonts w:ascii="Arial" w:cs="Arial" w:eastAsia="Arial" w:hAnsi="Arial"/>
          <w:sz w:val="16"/>
          <w:szCs w:val="16"/>
          <w:color w:val="auto"/>
        </w:rPr>
        <w:t>below, (i) each Eurocurrency Rate Loan under a Facility shall bear interest on the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principal amount thereof for each Interest Period at a rate per annum equal to the Eurocurrency Rate for such Interest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for such Facility; (ii) each Base Rate Loan under a Facility shall bear interest on the outstanding principal amount thereof from the applicable borrowing date at a rate per annum equal to the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for such Facility; and (iii) each Swing Line Loan shall bear interest on the outstanding principal amount thereof from the applicable borrowing date at a rate per annum equal to the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for the Revolving Credit Facility.</w:t>
      </w:r>
    </w:p>
    <w:p>
      <w:pPr>
        <w:spacing w:after="0" w:line="147" w:lineRule="exact"/>
        <w:rPr>
          <w:sz w:val="20"/>
          <w:szCs w:val="20"/>
          <w:color w:val="auto"/>
        </w:rPr>
      </w:pPr>
    </w:p>
    <w:p>
      <w:pPr>
        <w:jc w:val="both"/>
        <w:ind w:left="760" w:right="20" w:firstLine="709"/>
        <w:spacing w:after="0" w:line="257" w:lineRule="auto"/>
        <w:tabs>
          <w:tab w:leader="none" w:pos="1720" w:val="left"/>
        </w:tabs>
        <w:numPr>
          <w:ilvl w:val="1"/>
          <w:numId w:val="56"/>
        </w:numPr>
        <w:rPr>
          <w:rFonts w:ascii="Arial" w:cs="Arial" w:eastAsia="Arial" w:hAnsi="Arial"/>
          <w:sz w:val="17"/>
          <w:szCs w:val="17"/>
          <w:color w:val="auto"/>
        </w:rPr>
      </w:pPr>
      <w:r>
        <w:rPr>
          <w:rFonts w:ascii="Arial" w:cs="Arial" w:eastAsia="Arial" w:hAnsi="Arial"/>
          <w:sz w:val="17"/>
          <w:szCs w:val="17"/>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57" w:lineRule="exact"/>
        <w:rPr>
          <w:rFonts w:ascii="Arial" w:cs="Arial" w:eastAsia="Arial" w:hAnsi="Arial"/>
          <w:sz w:val="17"/>
          <w:szCs w:val="17"/>
          <w:color w:val="auto"/>
        </w:rPr>
      </w:pPr>
    </w:p>
    <w:p>
      <w:pPr>
        <w:jc w:val="both"/>
        <w:ind w:left="1520" w:firstLine="660"/>
        <w:spacing w:after="0" w:line="253" w:lineRule="auto"/>
        <w:tabs>
          <w:tab w:leader="none" w:pos="2458" w:val="left"/>
        </w:tabs>
        <w:numPr>
          <w:ilvl w:val="2"/>
          <w:numId w:val="56"/>
        </w:numPr>
        <w:rPr>
          <w:rFonts w:ascii="Arial" w:cs="Arial" w:eastAsia="Arial" w:hAnsi="Arial"/>
          <w:sz w:val="17"/>
          <w:szCs w:val="17"/>
          <w:color w:val="auto"/>
        </w:rPr>
      </w:pPr>
      <w:r>
        <w:rPr>
          <w:rFonts w:ascii="Arial" w:cs="Arial" w:eastAsia="Arial" w:hAnsi="Arial"/>
          <w:sz w:val="17"/>
          <w:szCs w:val="17"/>
          <w:color w:val="auto"/>
        </w:rPr>
        <w:t>If any amount (other than principal of any Loan) payable by any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60" w:lineRule="exact"/>
        <w:rPr>
          <w:rFonts w:ascii="Arial" w:cs="Arial" w:eastAsia="Arial" w:hAnsi="Arial"/>
          <w:sz w:val="17"/>
          <w:szCs w:val="17"/>
          <w:color w:val="auto"/>
        </w:rPr>
      </w:pPr>
    </w:p>
    <w:p>
      <w:pPr>
        <w:jc w:val="both"/>
        <w:ind w:left="1520" w:right="20" w:firstLine="660"/>
        <w:spacing w:after="0" w:line="257" w:lineRule="auto"/>
        <w:tabs>
          <w:tab w:leader="none" w:pos="2496" w:val="left"/>
        </w:tabs>
        <w:numPr>
          <w:ilvl w:val="2"/>
          <w:numId w:val="56"/>
        </w:numPr>
        <w:rPr>
          <w:rFonts w:ascii="Arial" w:cs="Arial" w:eastAsia="Arial" w:hAnsi="Arial"/>
          <w:sz w:val="17"/>
          <w:szCs w:val="17"/>
          <w:color w:val="auto"/>
        </w:rPr>
      </w:pPr>
      <w:r>
        <w:rPr>
          <w:rFonts w:ascii="Arial" w:cs="Arial" w:eastAsia="Arial" w:hAnsi="Arial"/>
          <w:sz w:val="17"/>
          <w:szCs w:val="17"/>
          <w:color w:val="auto"/>
        </w:rPr>
        <w:t>Upon the request of the Required Lenders, while any Event of Default exists, the Borrowers shall pay interest on the principal amount of all outstanding Obligations hereunder at a fluctuating interest rate per annum at all times equal to the Default Rate to the fullest extent permitted by applicable Laws.</w:t>
      </w:r>
    </w:p>
    <w:p>
      <w:pPr>
        <w:spacing w:after="0" w:line="157" w:lineRule="exact"/>
        <w:rPr>
          <w:rFonts w:ascii="Arial" w:cs="Arial" w:eastAsia="Arial" w:hAnsi="Arial"/>
          <w:sz w:val="17"/>
          <w:szCs w:val="17"/>
          <w:color w:val="auto"/>
        </w:rPr>
      </w:pPr>
    </w:p>
    <w:p>
      <w:pPr>
        <w:ind w:left="2480" w:hanging="300"/>
        <w:spacing w:after="0"/>
        <w:tabs>
          <w:tab w:leader="none" w:pos="2480" w:val="left"/>
        </w:tabs>
        <w:numPr>
          <w:ilvl w:val="2"/>
          <w:numId w:val="56"/>
        </w:numPr>
        <w:rPr>
          <w:rFonts w:ascii="Arial" w:cs="Arial" w:eastAsia="Arial" w:hAnsi="Arial"/>
          <w:sz w:val="15"/>
          <w:szCs w:val="15"/>
          <w:color w:val="auto"/>
        </w:rPr>
      </w:pPr>
      <w:r>
        <w:rPr>
          <w:rFonts w:ascii="Arial" w:cs="Arial" w:eastAsia="Arial" w:hAnsi="Arial"/>
          <w:sz w:val="15"/>
          <w:szCs w:val="15"/>
          <w:color w:val="auto"/>
        </w:rPr>
        <w:t>Accrued and unpaid interest on past due amounts (including interest on past due interest) shall be due and payable upon demand.</w:t>
      </w:r>
    </w:p>
    <w:p>
      <w:pPr>
        <w:spacing w:after="0" w:line="214" w:lineRule="exact"/>
        <w:rPr>
          <w:rFonts w:ascii="Arial" w:cs="Arial" w:eastAsia="Arial" w:hAnsi="Arial"/>
          <w:sz w:val="15"/>
          <w:szCs w:val="15"/>
          <w:color w:val="auto"/>
        </w:rPr>
      </w:pPr>
    </w:p>
    <w:p>
      <w:pPr>
        <w:jc w:val="both"/>
        <w:ind w:left="760" w:firstLine="709"/>
        <w:spacing w:after="0" w:line="257" w:lineRule="auto"/>
        <w:tabs>
          <w:tab w:leader="none" w:pos="1708" w:val="left"/>
        </w:tabs>
        <w:numPr>
          <w:ilvl w:val="1"/>
          <w:numId w:val="56"/>
        </w:numPr>
        <w:rPr>
          <w:rFonts w:ascii="Arial" w:cs="Arial" w:eastAsia="Arial" w:hAnsi="Arial"/>
          <w:sz w:val="17"/>
          <w:szCs w:val="17"/>
          <w:color w:val="auto"/>
        </w:rPr>
      </w:pPr>
      <w:r>
        <w:rPr>
          <w:rFonts w:ascii="Arial" w:cs="Arial" w:eastAsia="Arial" w:hAnsi="Arial"/>
          <w:sz w:val="17"/>
          <w:szCs w:val="17"/>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57" w:lineRule="exact"/>
        <w:rPr>
          <w:rFonts w:ascii="Arial" w:cs="Arial" w:eastAsia="Arial" w:hAnsi="Arial"/>
          <w:sz w:val="17"/>
          <w:szCs w:val="17"/>
          <w:color w:val="auto"/>
        </w:rPr>
      </w:pPr>
    </w:p>
    <w:p>
      <w:pPr>
        <w:jc w:val="both"/>
        <w:ind w:left="760" w:firstLine="709"/>
        <w:spacing w:after="0" w:line="282" w:lineRule="auto"/>
        <w:tabs>
          <w:tab w:leader="none" w:pos="1728" w:val="left"/>
        </w:tabs>
        <w:numPr>
          <w:ilvl w:val="1"/>
          <w:numId w:val="56"/>
        </w:numPr>
        <w:rPr>
          <w:rFonts w:ascii="Arial" w:cs="Arial" w:eastAsia="Arial" w:hAnsi="Arial"/>
          <w:sz w:val="15"/>
          <w:szCs w:val="15"/>
          <w:color w:val="auto"/>
        </w:rPr>
      </w:pPr>
      <w:r>
        <w:rPr>
          <w:rFonts w:ascii="Arial" w:cs="Arial" w:eastAsia="Arial" w:hAnsi="Arial"/>
          <w:sz w:val="15"/>
          <w:szCs w:val="15"/>
          <w:color w:val="auto"/>
        </w:rPr>
        <w:t>For the purposes of the Interest Act (Canada), (i) whenever a rate of interest or fee rate hereunder is calculated on the basis of a year (the “deemed year”)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w:t>
      </w:r>
    </w:p>
    <w:p>
      <w:pPr>
        <w:ind w:left="1060" w:hanging="303"/>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rates of interest stipulated herein are intended to be nominal rates and not effective rates or yields.</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2.09 Fees</w:t>
      </w:r>
      <w:r>
        <w:rPr>
          <w:rFonts w:ascii="Arial" w:cs="Arial" w:eastAsia="Arial" w:hAnsi="Arial"/>
          <w:sz w:val="17"/>
          <w:szCs w:val="17"/>
          <w:color w:val="auto"/>
        </w:rPr>
        <w:t>. In addition to certain fees described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2.03(h)</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w:t>
      </w:r>
    </w:p>
    <w:p>
      <w:pPr>
        <w:spacing w:after="0" w:line="197" w:lineRule="exact"/>
        <w:rPr>
          <w:sz w:val="20"/>
          <w:szCs w:val="20"/>
          <w:color w:val="auto"/>
        </w:rPr>
      </w:pPr>
    </w:p>
    <w:p>
      <w:pPr>
        <w:jc w:val="both"/>
        <w:ind w:left="760" w:firstLine="709"/>
        <w:spacing w:after="0" w:line="283" w:lineRule="auto"/>
        <w:tabs>
          <w:tab w:leader="none" w:pos="1706" w:val="left"/>
        </w:tabs>
        <w:numPr>
          <w:ilvl w:val="1"/>
          <w:numId w:val="58"/>
        </w:numPr>
        <w:rPr>
          <w:rFonts w:ascii="Arial" w:cs="Arial" w:eastAsia="Arial" w:hAnsi="Arial"/>
          <w:sz w:val="15"/>
          <w:szCs w:val="15"/>
          <w:color w:val="auto"/>
        </w:rPr>
      </w:pPr>
      <w:r>
        <w:rPr>
          <w:rFonts w:ascii="Arial" w:cs="Arial" w:eastAsia="Arial" w:hAnsi="Arial"/>
          <w:sz w:val="15"/>
          <w:szCs w:val="15"/>
          <w:u w:val="single" w:color="auto"/>
          <w:color w:val="auto"/>
        </w:rPr>
        <w:t>Commitment Fee</w:t>
      </w:r>
      <w:r>
        <w:rPr>
          <w:rFonts w:ascii="Arial" w:cs="Arial" w:eastAsia="Arial" w:hAnsi="Arial"/>
          <w:sz w:val="15"/>
          <w:szCs w:val="15"/>
          <w:color w:val="auto"/>
        </w:rPr>
        <w:t>. The Company shall pay to the Administrative Agent, for the account of each Revolving Credit Lender in accordance with its Applicable Revolving Credit Percentage, a commitment fee (the “</w:t>
      </w:r>
      <w:r>
        <w:rPr>
          <w:rFonts w:ascii="Arial" w:cs="Arial" w:eastAsia="Arial" w:hAnsi="Arial"/>
          <w:sz w:val="15"/>
          <w:szCs w:val="15"/>
          <w:u w:val="single" w:color="auto"/>
          <w:color w:val="auto"/>
        </w:rPr>
        <w:t>Commitment Fee</w:t>
      </w:r>
      <w:r>
        <w:rPr>
          <w:rFonts w:ascii="Arial" w:cs="Arial" w:eastAsia="Arial" w:hAnsi="Arial"/>
          <w:sz w:val="15"/>
          <w:szCs w:val="15"/>
          <w:color w:val="auto"/>
        </w:rPr>
        <w:t xml:space="preserve">”) at a rate per annum equal to the product of (i) the Applicable Rate </w:t>
      </w:r>
      <w:r>
        <w:rPr>
          <w:rFonts w:ascii="Arial" w:cs="Arial" w:eastAsia="Arial" w:hAnsi="Arial"/>
          <w:sz w:val="15"/>
          <w:szCs w:val="15"/>
          <w:u w:val="single" w:color="auto"/>
          <w:color w:val="auto"/>
        </w:rPr>
        <w:t>times</w:t>
      </w:r>
      <w:r>
        <w:rPr>
          <w:rFonts w:ascii="Arial" w:cs="Arial" w:eastAsia="Arial" w:hAnsi="Arial"/>
          <w:sz w:val="15"/>
          <w:szCs w:val="15"/>
          <w:color w:val="auto"/>
        </w:rPr>
        <w:t xml:space="preserve"> (ii) the actual daily amount by which the aggregate Revolving Commitments exceed the sum of (y) the Outstanding Amount of Revolving Loans and</w:t>
      </w:r>
    </w:p>
    <w:p>
      <w:pPr>
        <w:spacing w:after="0" w:line="1" w:lineRule="exact"/>
        <w:rPr>
          <w:rFonts w:ascii="Arial" w:cs="Arial" w:eastAsia="Arial" w:hAnsi="Arial"/>
          <w:sz w:val="15"/>
          <w:szCs w:val="15"/>
          <w:color w:val="auto"/>
        </w:rPr>
      </w:pPr>
    </w:p>
    <w:p>
      <w:pPr>
        <w:jc w:val="both"/>
        <w:ind w:left="760" w:hanging="3"/>
        <w:spacing w:after="0" w:line="246" w:lineRule="auto"/>
        <w:tabs>
          <w:tab w:leader="none" w:pos="1001"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the Outstanding Amount of L/C Obligations, subject to adjustment as provided in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For the avoidance of doubt, the Outstanding Amount of Swing Line Loans shall not be counted towards or considered usage of the aggregate Revolving Credit Commitments for purposes of determining the Commitment Fee. The Commitment Fee shall accrue at all times during the Availability Period, including at any time during which one or more of the conditions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(A) no Commitment Fee shall accrue on the Revolving Credit Commitment of a Defaulting Lender so long as such Lender shall be a Defaulting Lender and (B) any Commitment Fee accrued with respect to the Revolving Credit Commitment of a Defaulting Lender during the period prior to the time such Revolving Credit Lender became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40"/>
          </w:cols>
          <w:pgMar w:left="240" w:top="306" w:right="219" w:bottom="1440" w:gutter="0" w:footer="0" w:header="0"/>
        </w:sectPr>
      </w:pPr>
    </w:p>
    <w:bookmarkStart w:id="66" w:name="page67"/>
    <w:bookmarkEnd w:id="66"/>
    <w:p>
      <w:pPr>
        <w:jc w:val="both"/>
        <w:ind w:left="760" w:right="20"/>
        <w:spacing w:after="0" w:line="281" w:lineRule="auto"/>
        <w:rPr>
          <w:sz w:val="20"/>
          <w:szCs w:val="20"/>
          <w:color w:val="auto"/>
        </w:rPr>
      </w:pPr>
      <w:r>
        <w:rPr>
          <w:rFonts w:ascii="Arial" w:cs="Arial" w:eastAsia="Arial" w:hAnsi="Arial"/>
          <w:sz w:val="16"/>
          <w:szCs w:val="16"/>
          <w:color w:val="auto"/>
        </w:rPr>
        <w:t>Defaulting Lender and unpaid at such time shall not be payable by the Company so long as such Lender shall be a Defaulting Lender.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39" w:lineRule="exact"/>
        <w:rPr>
          <w:sz w:val="20"/>
          <w:szCs w:val="20"/>
          <w:color w:val="auto"/>
        </w:rPr>
      </w:pPr>
    </w:p>
    <w:p>
      <w:pPr>
        <w:ind w:left="760" w:right="20" w:firstLine="709"/>
        <w:spacing w:after="0" w:line="339" w:lineRule="auto"/>
        <w:tabs>
          <w:tab w:leader="none" w:pos="1715" w:val="left"/>
        </w:tabs>
        <w:numPr>
          <w:ilvl w:val="0"/>
          <w:numId w:val="60"/>
        </w:numPr>
        <w:rPr>
          <w:rFonts w:ascii="Arial" w:cs="Arial" w:eastAsia="Arial" w:hAnsi="Arial"/>
          <w:sz w:val="15"/>
          <w:szCs w:val="15"/>
          <w:color w:val="auto"/>
        </w:rPr>
      </w:pPr>
      <w:r>
        <w:rPr>
          <w:rFonts w:ascii="Arial" w:cs="Arial" w:eastAsia="Arial" w:hAnsi="Arial"/>
          <w:sz w:val="15"/>
          <w:szCs w:val="15"/>
          <w:u w:val="single" w:color="auto"/>
          <w:color w:val="auto"/>
        </w:rPr>
        <w:t>Other Fees</w:t>
      </w:r>
      <w:r>
        <w:rPr>
          <w:rFonts w:ascii="Arial" w:cs="Arial" w:eastAsia="Arial" w:hAnsi="Arial"/>
          <w:sz w:val="15"/>
          <w:szCs w:val="15"/>
          <w:color w:val="auto"/>
        </w:rPr>
        <w:t>. The Company shall pay to the Arranger and the Administrative Agent for their own respective accounts, in Dollars, fees in the amounts and at the times specified in the Fee Letter. Such fees shall be fully earned when paid and shall not be refundable for any reason whatsoever.</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2.10 Computation of Interest and Fees; Retroactive Adjustments of Applicable Rate</w:t>
      </w:r>
      <w:r>
        <w:rPr>
          <w:rFonts w:ascii="Arial" w:cs="Arial" w:eastAsia="Arial" w:hAnsi="Arial"/>
          <w:sz w:val="17"/>
          <w:szCs w:val="17"/>
          <w:color w:val="auto"/>
        </w:rPr>
        <w:t>.</w:t>
      </w:r>
    </w:p>
    <w:p>
      <w:pPr>
        <w:spacing w:after="0" w:line="197" w:lineRule="exact"/>
        <w:rPr>
          <w:sz w:val="20"/>
          <w:szCs w:val="20"/>
          <w:color w:val="auto"/>
        </w:rPr>
      </w:pPr>
    </w:p>
    <w:p>
      <w:pPr>
        <w:jc w:val="both"/>
        <w:ind w:left="760" w:firstLine="709"/>
        <w:spacing w:after="0" w:line="286" w:lineRule="auto"/>
        <w:tabs>
          <w:tab w:leader="none" w:pos="1735" w:val="left"/>
        </w:tabs>
        <w:numPr>
          <w:ilvl w:val="0"/>
          <w:numId w:val="61"/>
        </w:numPr>
        <w:rPr>
          <w:rFonts w:ascii="Arial" w:cs="Arial" w:eastAsia="Arial" w:hAnsi="Arial"/>
          <w:sz w:val="15"/>
          <w:szCs w:val="15"/>
          <w:color w:val="auto"/>
        </w:rPr>
      </w:pPr>
      <w:r>
        <w:rPr>
          <w:rFonts w:ascii="Arial" w:cs="Arial" w:eastAsia="Arial" w:hAnsi="Arial"/>
          <w:sz w:val="15"/>
          <w:szCs w:val="15"/>
          <w:color w:val="auto"/>
        </w:rPr>
        <w:t xml:space="preserve">All computations of interest for Base Rate Loans (including Base Rate Loans determined by reference to the Eurocurrency Rate) and Eurocurrency Rate Loans determined by reference to the CDOR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or, in the case of interest in respect of Loans denominated in Dollars or any Alternative Currency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Loan that is repaid on the same day on which it is made shall, subject to </w:t>
      </w:r>
      <w:r>
        <w:rPr>
          <w:rFonts w:ascii="Arial" w:cs="Arial" w:eastAsia="Arial" w:hAnsi="Arial"/>
          <w:sz w:val="15"/>
          <w:szCs w:val="15"/>
          <w:u w:val="single" w:color="auto"/>
          <w:color w:val="auto"/>
        </w:rPr>
        <w:t>Section 2.12(a)</w:t>
      </w:r>
      <w:r>
        <w:rPr>
          <w:rFonts w:ascii="Arial" w:cs="Arial" w:eastAsia="Arial" w:hAnsi="Arial"/>
          <w:sz w:val="15"/>
          <w:szCs w:val="15"/>
          <w:color w:val="auto"/>
        </w:rPr>
        <w:t>, bear interest for one day. Each determination by the Administrative Agent of an interest rate or fee hereunder shall be conclusive and binding for all purposes, absent manifest error.</w:t>
      </w:r>
    </w:p>
    <w:p>
      <w:pPr>
        <w:spacing w:after="0" w:line="137" w:lineRule="exact"/>
        <w:rPr>
          <w:rFonts w:ascii="Arial" w:cs="Arial" w:eastAsia="Arial" w:hAnsi="Arial"/>
          <w:sz w:val="15"/>
          <w:szCs w:val="15"/>
          <w:color w:val="auto"/>
        </w:rPr>
      </w:pPr>
    </w:p>
    <w:p>
      <w:pPr>
        <w:jc w:val="both"/>
        <w:ind w:left="760" w:firstLine="709"/>
        <w:spacing w:after="0" w:line="264" w:lineRule="auto"/>
        <w:tabs>
          <w:tab w:leader="none" w:pos="1722"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If, as a result of any restatement of or other adjustment to the financial statements of the Company or for any other reason, the Company or the Lenders determine that (i) the Consolidated Leverage Ratio as calculated by the Company as of any applicable date was inaccurate and (ii) a proper calculation of the Consolidated Leverage Ratio would have resulted in higher pricing for such period, each Borrower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any Borrower under the applicable Debtor Relief Law, automatically and without further action by the Administrative Agent, any Lender or the L/C Issuer), an amount equal to the excess of the amount of interest and fees that should have been paid for such period over the amount of interest and fees actually paid for such period. This paragraph shall not limit the rights of the Administrative Agent, any Lender or the L/C Issuer, as the case may be, under Section </w:t>
      </w:r>
      <w:r>
        <w:rPr>
          <w:rFonts w:ascii="Arial" w:cs="Arial" w:eastAsia="Arial" w:hAnsi="Arial"/>
          <w:sz w:val="16"/>
          <w:szCs w:val="16"/>
          <w:u w:val="single" w:color="auto"/>
          <w:color w:val="auto"/>
        </w:rPr>
        <w:t>2.03(c)(iii)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2.03(h)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2.08(b)</w:t>
      </w:r>
      <w:r>
        <w:rPr>
          <w:rFonts w:ascii="Arial" w:cs="Arial" w:eastAsia="Arial" w:hAnsi="Arial"/>
          <w:sz w:val="16"/>
          <w:szCs w:val="16"/>
          <w:color w:val="auto"/>
        </w:rPr>
        <w:t xml:space="preserve"> or under </w:t>
      </w:r>
      <w:r>
        <w:rPr>
          <w:rFonts w:ascii="Arial" w:cs="Arial" w:eastAsia="Arial" w:hAnsi="Arial"/>
          <w:sz w:val="16"/>
          <w:szCs w:val="16"/>
          <w:u w:val="single" w:color="auto"/>
          <w:color w:val="auto"/>
        </w:rPr>
        <w:t>Article VIII</w:t>
      </w:r>
      <w:r>
        <w:rPr>
          <w:rFonts w:ascii="Arial" w:cs="Arial" w:eastAsia="Arial" w:hAnsi="Arial"/>
          <w:sz w:val="16"/>
          <w:szCs w:val="16"/>
          <w:color w:val="auto"/>
        </w:rPr>
        <w:t>. Each Borrower’s obligations under this paragraph shall survive the termination of the aggregate Revolving Credit Commitments and the repayment of all other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-1543050</wp:posOffset>
            </wp:positionV>
            <wp:extent cx="4191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910" cy="7620"/>
                    </a:xfrm>
                    <a:prstGeom prst="rect">
                      <a:avLst/>
                    </a:prstGeom>
                    <a:noFill/>
                  </pic:spPr>
                </pic:pic>
              </a:graphicData>
            </a:graphic>
          </wp:anchor>
        </w:drawing>
      </w:r>
    </w:p>
    <w:p>
      <w:pPr>
        <w:spacing w:after="0" w:line="130" w:lineRule="exact"/>
        <w:rPr>
          <w:sz w:val="20"/>
          <w:szCs w:val="20"/>
          <w:color w:val="auto"/>
        </w:rPr>
      </w:pPr>
    </w:p>
    <w:p>
      <w:pPr>
        <w:jc w:val="both"/>
        <w:ind w:firstLine="763"/>
        <w:spacing w:after="0" w:line="266" w:lineRule="auto"/>
        <w:rPr>
          <w:sz w:val="20"/>
          <w:szCs w:val="20"/>
          <w:color w:val="auto"/>
        </w:rPr>
      </w:pPr>
      <w:r>
        <w:rPr>
          <w:rFonts w:ascii="Arial" w:cs="Arial" w:eastAsia="Arial" w:hAnsi="Arial"/>
          <w:sz w:val="16"/>
          <w:szCs w:val="16"/>
          <w:b w:val="1"/>
          <w:bCs w:val="1"/>
          <w:color w:val="auto"/>
        </w:rPr>
        <w:t xml:space="preserve">2.11 Evidence of Debt. </w:t>
      </w:r>
      <w:r>
        <w:rPr>
          <w:rFonts w:ascii="Arial" w:cs="Arial" w:eastAsia="Arial" w:hAnsi="Arial"/>
          <w:sz w:val="16"/>
          <w:szCs w:val="16"/>
          <w:color w:val="auto"/>
        </w:rPr>
        <w:t>(a) The Credit Extensions made by each Lender shall be evidenced by one or more accounts or records maintained by such Lender</w:t>
      </w:r>
      <w:r>
        <w:rPr>
          <w:rFonts w:ascii="Arial" w:cs="Arial" w:eastAsia="Arial" w:hAnsi="Arial"/>
          <w:sz w:val="16"/>
          <w:szCs w:val="16"/>
          <w:b w:val="1"/>
          <w:bCs w:val="1"/>
          <w:color w:val="auto"/>
        </w:rPr>
        <w:t xml:space="preserve"> </w:t>
      </w:r>
      <w:r>
        <w:rPr>
          <w:rFonts w:ascii="Arial" w:cs="Arial" w:eastAsia="Arial" w:hAnsi="Arial"/>
          <w:sz w:val="16"/>
          <w:szCs w:val="16"/>
          <w:color w:val="auto"/>
        </w:rPr>
        <w:t>and by the Administrative Agent in the ordinary course of business. The accounts or records maintained by the Administrative Agent and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a Borrower made through the Administrative Agent, such Borrower shall execute and deliver to such Lender (through the Administrative Agent) a Note, which shall evidence such Lender’s Loans to such Borrower in addition to such accounts or records. Each Lender may attach schedules to a Note and endorse thereon the date, Type (if applicable), amount, currency and maturity of its Loans and payments with respect thereto.</w:t>
      </w:r>
    </w:p>
    <w:p>
      <w:pPr>
        <w:spacing w:after="0" w:line="152" w:lineRule="exact"/>
        <w:rPr>
          <w:sz w:val="20"/>
          <w:szCs w:val="20"/>
          <w:color w:val="auto"/>
        </w:rPr>
      </w:pPr>
    </w:p>
    <w:p>
      <w:pPr>
        <w:jc w:val="both"/>
        <w:ind w:left="760" w:right="20" w:firstLine="709"/>
        <w:spacing w:after="0" w:line="281" w:lineRule="auto"/>
        <w:tabs>
          <w:tab w:leader="none" w:pos="1715"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In addition to the accounts and records referred to in </w:t>
      </w:r>
      <w:r>
        <w:rPr>
          <w:rFonts w:ascii="Arial" w:cs="Arial" w:eastAsia="Arial" w:hAnsi="Arial"/>
          <w:sz w:val="16"/>
          <w:szCs w:val="16"/>
          <w:u w:val="single" w:color="auto"/>
          <w:color w:val="auto"/>
        </w:rPr>
        <w:t>Section 2.11(a)</w:t>
      </w:r>
      <w:r>
        <w:rPr>
          <w:rFonts w:ascii="Arial" w:cs="Arial" w:eastAsia="Arial" w:hAnsi="Arial"/>
          <w:sz w:val="16"/>
          <w:szCs w:val="16"/>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40"/>
          </w:cols>
          <w:pgMar w:left="240" w:top="312" w:right="219" w:bottom="1440" w:gutter="0" w:footer="0" w:header="0"/>
        </w:sectPr>
      </w:pPr>
    </w:p>
    <w:bookmarkStart w:id="67" w:name="page68"/>
    <w:bookmarkEnd w:id="67"/>
    <w:p>
      <w:pPr>
        <w:ind w:left="760"/>
        <w:spacing w:after="0"/>
        <w:rPr>
          <w:sz w:val="20"/>
          <w:szCs w:val="20"/>
          <w:color w:val="auto"/>
        </w:rPr>
      </w:pPr>
      <w:r>
        <w:rPr>
          <w:rFonts w:ascii="Arial" w:cs="Arial" w:eastAsia="Arial" w:hAnsi="Arial"/>
          <w:sz w:val="16"/>
          <w:szCs w:val="16"/>
          <w:color w:val="auto"/>
        </w:rPr>
        <w:t>records of any Lender in respect of such matters, the accounts and records of the Administrative Agent shall control in the absence of manifest error.</w:t>
      </w:r>
    </w:p>
    <w:p>
      <w:pPr>
        <w:spacing w:after="0" w:line="197" w:lineRule="exact"/>
        <w:rPr>
          <w:sz w:val="20"/>
          <w:szCs w:val="20"/>
          <w:color w:val="auto"/>
        </w:rPr>
      </w:pPr>
    </w:p>
    <w:p>
      <w:pPr>
        <w:jc w:val="both"/>
        <w:ind w:firstLine="763"/>
        <w:spacing w:after="0" w:line="263" w:lineRule="auto"/>
        <w:rPr>
          <w:sz w:val="20"/>
          <w:szCs w:val="20"/>
          <w:color w:val="auto"/>
        </w:rPr>
      </w:pPr>
      <w:r>
        <w:rPr>
          <w:rFonts w:ascii="Arial" w:cs="Arial" w:eastAsia="Arial" w:hAnsi="Arial"/>
          <w:sz w:val="16"/>
          <w:szCs w:val="16"/>
          <w:b w:val="1"/>
          <w:bCs w:val="1"/>
          <w:color w:val="auto"/>
        </w:rPr>
        <w:t>2.12 Payments Generally; Administrative Agent’s Clawback</w:t>
      </w:r>
      <w:r>
        <w:rPr>
          <w:rFonts w:ascii="Arial" w:cs="Arial" w:eastAsia="Arial" w:hAnsi="Arial"/>
          <w:sz w:val="16"/>
          <w:szCs w:val="16"/>
          <w:color w:val="auto"/>
        </w:rPr>
        <w:t>. (a)</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General</w:t>
      </w:r>
      <w:r>
        <w:rPr>
          <w:rFonts w:ascii="Arial" w:cs="Arial" w:eastAsia="Arial" w:hAnsi="Arial"/>
          <w:sz w:val="16"/>
          <w:szCs w:val="16"/>
          <w:color w:val="auto"/>
        </w:rPr>
        <w:t>. All payments to be made by the Borrowers shall be made free and clear of</w:t>
      </w:r>
      <w:r>
        <w:rPr>
          <w:rFonts w:ascii="Arial" w:cs="Arial" w:eastAsia="Arial" w:hAnsi="Arial"/>
          <w:sz w:val="16"/>
          <w:szCs w:val="16"/>
          <w:b w:val="1"/>
          <w:bCs w:val="1"/>
          <w:color w:val="auto"/>
        </w:rPr>
        <w:t xml:space="preserve"> </w:t>
      </w:r>
      <w:r>
        <w:rPr>
          <w:rFonts w:ascii="Arial" w:cs="Arial" w:eastAsia="Arial" w:hAnsi="Arial"/>
          <w:sz w:val="16"/>
          <w:szCs w:val="16"/>
          <w:color w:val="auto"/>
        </w:rPr>
        <w:t>and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any Borrower is prohibited by any Law from making any required payment hereunder in an Alternative Currency, such Borrower shall make such payment in Dollars in the Dollar Equivalent of the Alternative Currency payment amount.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If any payment to be made by a Borrower shall come due on a day other than a Business Day, payment shall be made on the next following Business Day, and such extension of time shall be reflected in computing interest or fees, as the case may be.</w:t>
      </w:r>
    </w:p>
    <w:p>
      <w:pPr>
        <w:spacing w:after="0" w:line="156" w:lineRule="exact"/>
        <w:rPr>
          <w:sz w:val="20"/>
          <w:szCs w:val="20"/>
          <w:color w:val="auto"/>
        </w:rPr>
      </w:pPr>
    </w:p>
    <w:p>
      <w:pPr>
        <w:jc w:val="both"/>
        <w:ind w:left="760" w:firstLine="709"/>
        <w:spacing w:after="0" w:line="281" w:lineRule="auto"/>
        <w:tabs>
          <w:tab w:leader="none" w:pos="1727" w:val="left"/>
        </w:tabs>
        <w:numPr>
          <w:ilvl w:val="0"/>
          <w:numId w:val="63"/>
        </w:numPr>
        <w:rPr>
          <w:rFonts w:ascii="Arial" w:cs="Arial" w:eastAsia="Arial" w:hAnsi="Arial"/>
          <w:sz w:val="15"/>
          <w:szCs w:val="15"/>
          <w:color w:val="auto"/>
        </w:rPr>
      </w:pPr>
      <w:r>
        <w:rPr>
          <w:rFonts w:ascii="Arial" w:cs="Arial" w:eastAsia="Arial" w:hAnsi="Arial"/>
          <w:sz w:val="15"/>
          <w:szCs w:val="15"/>
          <w:color w:val="auto"/>
        </w:rPr>
        <w:t xml:space="preserve">(i) </w:t>
      </w:r>
      <w:r>
        <w:rPr>
          <w:rFonts w:ascii="Arial" w:cs="Arial" w:eastAsia="Arial" w:hAnsi="Arial"/>
          <w:sz w:val="15"/>
          <w:szCs w:val="15"/>
          <w:u w:val="single" w:color="auto"/>
          <w:color w:val="auto"/>
        </w:rPr>
        <w:t>Funding by Lenders; Presumption by Administrative Agent</w:t>
      </w:r>
      <w:r>
        <w:rPr>
          <w:rFonts w:ascii="Arial" w:cs="Arial" w:eastAsia="Arial" w:hAnsi="Arial"/>
          <w:sz w:val="15"/>
          <w:szCs w:val="15"/>
          <w:color w:val="auto"/>
        </w:rPr>
        <w:t xml:space="preserve">. Unless the Administrative Agent shall have received notice from a Lender prior to the proposed date of any Borrowing of Eurocurrency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5"/>
          <w:szCs w:val="15"/>
          <w:u w:val="single" w:color="auto"/>
          <w:color w:val="auto"/>
        </w:rPr>
        <w:t>Section 2.02</w:t>
      </w:r>
      <w:r>
        <w:rPr>
          <w:rFonts w:ascii="Arial" w:cs="Arial" w:eastAsia="Arial" w:hAnsi="Arial"/>
          <w:sz w:val="15"/>
          <w:szCs w:val="15"/>
          <w:color w:val="auto"/>
        </w:rPr>
        <w:t xml:space="preserve"> (or, in the case of a Borrowing of Base Rate Loans, that such Lender has made such share available in accordance with and at the time required by </w:t>
      </w:r>
      <w:r>
        <w:rPr>
          <w:rFonts w:ascii="Arial" w:cs="Arial" w:eastAsia="Arial" w:hAnsi="Arial"/>
          <w:sz w:val="15"/>
          <w:szCs w:val="15"/>
          <w:u w:val="single" w:color="auto"/>
          <w:color w:val="auto"/>
        </w:rPr>
        <w:t>Section 2.02)</w:t>
      </w:r>
      <w:r>
        <w:rPr>
          <w:rFonts w:ascii="Arial" w:cs="Arial" w:eastAsia="Arial" w:hAnsi="Arial"/>
          <w:sz w:val="15"/>
          <w:szCs w:val="15"/>
          <w:color w:val="auto"/>
        </w:rPr>
        <w:t xml:space="preserve">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such Borrower, the interest rate applicable to Base Rate Loans.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and, for purposes of clarification, such Borrower shall be relieved of its obligation under this paragraph (i) to pay an equivalent amount to the Administrative Agent.</w:t>
      </w:r>
    </w:p>
    <w:p>
      <w:pPr>
        <w:spacing w:after="0" w:line="147" w:lineRule="exact"/>
        <w:rPr>
          <w:sz w:val="20"/>
          <w:szCs w:val="20"/>
          <w:color w:val="auto"/>
        </w:rPr>
      </w:pPr>
    </w:p>
    <w:p>
      <w:pPr>
        <w:ind w:left="760" w:right="20" w:firstLine="712"/>
        <w:spacing w:after="0" w:line="271" w:lineRule="auto"/>
        <w:rPr>
          <w:sz w:val="20"/>
          <w:szCs w:val="20"/>
          <w:color w:val="auto"/>
        </w:rPr>
      </w:pPr>
      <w:r>
        <w:rPr>
          <w:rFonts w:ascii="Arial" w:cs="Arial" w:eastAsia="Arial" w:hAnsi="Arial"/>
          <w:sz w:val="17"/>
          <w:szCs w:val="17"/>
          <w:color w:val="auto"/>
        </w:rPr>
        <w:t>Any payment by such Borrower shall be without prejudice to any claim such Borrower may have against a Lender that shall have failed to make such payment to the Administrative Agent.</w:t>
      </w:r>
    </w:p>
    <w:p>
      <w:pPr>
        <w:spacing w:after="0" w:line="145" w:lineRule="exact"/>
        <w:rPr>
          <w:sz w:val="20"/>
          <w:szCs w:val="20"/>
          <w:color w:val="auto"/>
        </w:rPr>
      </w:pPr>
    </w:p>
    <w:p>
      <w:pPr>
        <w:jc w:val="both"/>
        <w:ind w:left="1520" w:firstLine="660"/>
        <w:spacing w:after="0" w:line="253" w:lineRule="auto"/>
        <w:tabs>
          <w:tab w:leader="none" w:pos="2434"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Payments by Borrowers; Presumptions by Administrative Agent</w:t>
      </w:r>
      <w:r>
        <w:rPr>
          <w:rFonts w:ascii="Arial" w:cs="Arial" w:eastAsia="Arial" w:hAnsi="Arial"/>
          <w:sz w:val="17"/>
          <w:szCs w:val="17"/>
          <w:color w:val="auto"/>
        </w:rPr>
        <w:t>. Unless the Administrative Agent shall have received notice from a Borrower prior to the date on which any payment is due to the Administrative Agent for the account of the Lenders or the L/C Issuer hereunder that such Borrower will not make such payment, the Administrative Agent may assume that such Borrower has made such payment on such date in accordance herewith and may, in reliance upon such assumption, distribute to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40"/>
          </w:cols>
          <w:pgMar w:left="240" w:top="312" w:right="219" w:bottom="1440" w:gutter="0" w:footer="0" w:header="0"/>
        </w:sectPr>
      </w:pPr>
    </w:p>
    <w:bookmarkStart w:id="68" w:name="page69"/>
    <w:bookmarkEnd w:id="68"/>
    <w:p>
      <w:pPr>
        <w:jc w:val="both"/>
        <w:ind w:left="1526"/>
        <w:spacing w:after="0" w:line="274" w:lineRule="auto"/>
        <w:rPr>
          <w:sz w:val="20"/>
          <w:szCs w:val="20"/>
          <w:color w:val="auto"/>
        </w:rPr>
      </w:pPr>
      <w:r>
        <w:rPr>
          <w:rFonts w:ascii="Arial" w:cs="Arial" w:eastAsia="Arial" w:hAnsi="Arial"/>
          <w:sz w:val="16"/>
          <w:szCs w:val="16"/>
          <w:color w:val="auto"/>
        </w:rPr>
        <w:t>Lenders or the L/C Issuer, as the case may be, the amount due. In such event, if such Borrower has not in fact made such payment, then each of the Appropriate Lenders or the L/C Issuer, as the case may be, severally agrees to repay to the Administrative Agent forthwith on demand the amount so distributed to such Lender or the L/C Issuer, in Same Day Funds with interest thereon, for each day from and including the date such amount is distributed to it to but excluding the date of payment to the Administrative Agent, at the Overnight Rate.</w:t>
      </w:r>
    </w:p>
    <w:p>
      <w:pPr>
        <w:spacing w:after="0" w:line="144" w:lineRule="exact"/>
        <w:rPr>
          <w:sz w:val="20"/>
          <w:szCs w:val="20"/>
          <w:color w:val="auto"/>
        </w:rPr>
      </w:pPr>
    </w:p>
    <w:p>
      <w:pPr>
        <w:ind w:left="766" w:right="20" w:firstLine="712"/>
        <w:spacing w:after="0" w:line="271" w:lineRule="auto"/>
        <w:rPr>
          <w:sz w:val="20"/>
          <w:szCs w:val="20"/>
          <w:color w:val="auto"/>
        </w:rPr>
      </w:pPr>
      <w:r>
        <w:rPr>
          <w:rFonts w:ascii="Arial" w:cs="Arial" w:eastAsia="Arial" w:hAnsi="Arial"/>
          <w:sz w:val="17"/>
          <w:szCs w:val="17"/>
          <w:color w:val="auto"/>
        </w:rPr>
        <w:t xml:space="preserve">A notice of the Administrative Agent to any Lender or Borrower with respect to any amount owing under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shall be conclusive, absent manifest error.</w:t>
      </w:r>
    </w:p>
    <w:p>
      <w:pPr>
        <w:spacing w:after="0" w:line="145" w:lineRule="exact"/>
        <w:rPr>
          <w:sz w:val="20"/>
          <w:szCs w:val="20"/>
          <w:color w:val="auto"/>
        </w:rPr>
      </w:pPr>
    </w:p>
    <w:p>
      <w:pPr>
        <w:jc w:val="both"/>
        <w:ind w:left="766" w:firstLine="709"/>
        <w:spacing w:after="0" w:line="274" w:lineRule="auto"/>
        <w:tabs>
          <w:tab w:leader="none" w:pos="1712"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Failure to Satisfy Conditions Precedent</w:t>
      </w:r>
      <w:r>
        <w:rPr>
          <w:rFonts w:ascii="Arial" w:cs="Arial" w:eastAsia="Arial" w:hAnsi="Arial"/>
          <w:sz w:val="16"/>
          <w:szCs w:val="16"/>
          <w:color w:val="auto"/>
        </w:rPr>
        <w:t xml:space="preserve">. If any Lender makes available to the Administrative Agent funds for any Loan to be made by such Lender to a Borrower as provided in the foregoing provisions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such funds are not made available to such Borrower by the Administrative Agent because the conditions to the applicable Credit Extension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are not satisfied or waived in accordance with the terms hereof, the Administrative Agent shall promptly return such funds (in like funds as received from such Lender) to such Lender, without interest.</w:t>
      </w:r>
    </w:p>
    <w:p>
      <w:pPr>
        <w:spacing w:after="0" w:line="144" w:lineRule="exact"/>
        <w:rPr>
          <w:rFonts w:ascii="Arial" w:cs="Arial" w:eastAsia="Arial" w:hAnsi="Arial"/>
          <w:sz w:val="16"/>
          <w:szCs w:val="16"/>
          <w:color w:val="auto"/>
        </w:rPr>
      </w:pPr>
    </w:p>
    <w:p>
      <w:pPr>
        <w:jc w:val="both"/>
        <w:ind w:left="766" w:firstLine="709"/>
        <w:spacing w:after="0" w:line="251" w:lineRule="auto"/>
        <w:tabs>
          <w:tab w:leader="none" w:pos="1733"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Obligations of Lenders Several</w:t>
      </w:r>
      <w:r>
        <w:rPr>
          <w:rFonts w:ascii="Arial" w:cs="Arial" w:eastAsia="Arial" w:hAnsi="Arial"/>
          <w:sz w:val="17"/>
          <w:szCs w:val="17"/>
          <w:color w:val="auto"/>
        </w:rPr>
        <w:t xml:space="preserve">. The obligations of the Lenders hereunder to make Loans, to fund participations in Letters of Credit and Swing Line Loans and to make payments pursuant to </w:t>
      </w:r>
      <w:r>
        <w:rPr>
          <w:rFonts w:ascii="Arial" w:cs="Arial" w:eastAsia="Arial" w:hAnsi="Arial"/>
          <w:sz w:val="17"/>
          <w:szCs w:val="17"/>
          <w:u w:val="single" w:color="auto"/>
          <w:color w:val="auto"/>
        </w:rPr>
        <w:t>Section 11.04(c)</w:t>
      </w:r>
      <w:r>
        <w:rPr>
          <w:rFonts w:ascii="Arial" w:cs="Arial" w:eastAsia="Arial" w:hAnsi="Arial"/>
          <w:sz w:val="17"/>
          <w:szCs w:val="17"/>
          <w:color w:val="auto"/>
        </w:rPr>
        <w:t xml:space="preserve"> are several and not joint. The failure of any Lender to make any Loan, to fund any such participation or to make any payment under </w:t>
      </w:r>
      <w:r>
        <w:rPr>
          <w:rFonts w:ascii="Arial" w:cs="Arial" w:eastAsia="Arial" w:hAnsi="Arial"/>
          <w:sz w:val="17"/>
          <w:szCs w:val="17"/>
          <w:u w:val="single" w:color="auto"/>
          <w:color w:val="auto"/>
        </w:rPr>
        <w:t>Section 11.04(c)</w:t>
      </w:r>
      <w:r>
        <w:rPr>
          <w:rFonts w:ascii="Arial" w:cs="Arial" w:eastAsia="Arial" w:hAnsi="Arial"/>
          <w:sz w:val="17"/>
          <w:szCs w:val="17"/>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7"/>
          <w:szCs w:val="17"/>
          <w:u w:val="single" w:color="auto"/>
          <w:color w:val="auto"/>
        </w:rPr>
        <w:t>Section 11.04(c)</w:t>
      </w:r>
      <w:r>
        <w:rPr>
          <w:rFonts w:ascii="Arial" w:cs="Arial" w:eastAsia="Arial" w:hAnsi="Arial"/>
          <w:sz w:val="17"/>
          <w:szCs w:val="17"/>
          <w:color w:val="auto"/>
        </w:rPr>
        <w:t>.</w:t>
      </w:r>
    </w:p>
    <w:p>
      <w:pPr>
        <w:spacing w:after="0" w:line="161" w:lineRule="exact"/>
        <w:rPr>
          <w:rFonts w:ascii="Arial" w:cs="Arial" w:eastAsia="Arial" w:hAnsi="Arial"/>
          <w:sz w:val="17"/>
          <w:szCs w:val="17"/>
          <w:color w:val="auto"/>
        </w:rPr>
      </w:pPr>
    </w:p>
    <w:p>
      <w:pPr>
        <w:ind w:left="766" w:firstLine="709"/>
        <w:spacing w:after="0" w:line="303" w:lineRule="auto"/>
        <w:tabs>
          <w:tab w:leader="none" w:pos="1712"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Funding Source</w:t>
      </w:r>
      <w:r>
        <w:rPr>
          <w:rFonts w:ascii="Arial" w:cs="Arial" w:eastAsia="Arial" w:hAnsi="Arial"/>
          <w:sz w:val="16"/>
          <w:szCs w:val="16"/>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21" w:lineRule="exact"/>
        <w:rPr>
          <w:rFonts w:ascii="Arial" w:cs="Arial" w:eastAsia="Arial" w:hAnsi="Arial"/>
          <w:sz w:val="16"/>
          <w:szCs w:val="16"/>
          <w:color w:val="auto"/>
        </w:rPr>
      </w:pPr>
    </w:p>
    <w:p>
      <w:pPr>
        <w:jc w:val="both"/>
        <w:ind w:left="766" w:right="20" w:firstLine="709"/>
        <w:spacing w:after="0" w:line="251" w:lineRule="auto"/>
        <w:tabs>
          <w:tab w:leader="none" w:pos="1704"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Insufficient Funds</w:t>
      </w:r>
      <w:r>
        <w:rPr>
          <w:rFonts w:ascii="Arial" w:cs="Arial" w:eastAsia="Arial" w:hAnsi="Arial"/>
          <w:sz w:val="17"/>
          <w:szCs w:val="17"/>
          <w:color w:val="auto"/>
        </w:rPr>
        <w:t xml:space="preserve">. If at any time insufficient funds are received by and available to the Administrative Agent to pay fully all amounts of principal, L/C Borrowings, interest and fees then due hereunder, such funds shall be applied (i)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toward payment of interest and fees then due hereunder, ratably among the parties entitled thereto in accordance with the amounts of interest and fees then due to such parties, and (ii) </w:t>
      </w:r>
      <w:r>
        <w:rPr>
          <w:rFonts w:ascii="Arial" w:cs="Arial" w:eastAsia="Arial" w:hAnsi="Arial"/>
          <w:sz w:val="17"/>
          <w:szCs w:val="17"/>
          <w:u w:val="single" w:color="auto"/>
          <w:color w:val="auto"/>
        </w:rPr>
        <w:t>second</w:t>
      </w:r>
      <w:r>
        <w:rPr>
          <w:rFonts w:ascii="Arial" w:cs="Arial" w:eastAsia="Arial" w:hAnsi="Arial"/>
          <w:sz w:val="17"/>
          <w:szCs w:val="17"/>
          <w:color w:val="auto"/>
        </w:rPr>
        <w:t>, toward payment of principal and L/C Borrowings then due hereunder, ratably among the parties entitled thereto in accordance with the amounts of principal and L/C Borrowings then due to such parties.</w:t>
      </w:r>
    </w:p>
    <w:p>
      <w:pPr>
        <w:spacing w:after="0" w:line="156" w:lineRule="exact"/>
        <w:rPr>
          <w:sz w:val="20"/>
          <w:szCs w:val="20"/>
          <w:color w:val="auto"/>
        </w:rPr>
      </w:pPr>
    </w:p>
    <w:p>
      <w:pPr>
        <w:ind w:left="766"/>
        <w:spacing w:after="0"/>
        <w:rPr>
          <w:sz w:val="20"/>
          <w:szCs w:val="20"/>
          <w:color w:val="auto"/>
        </w:rPr>
      </w:pPr>
      <w:r>
        <w:rPr>
          <w:rFonts w:ascii="Arial" w:cs="Arial" w:eastAsia="Arial" w:hAnsi="Arial"/>
          <w:sz w:val="15"/>
          <w:szCs w:val="15"/>
          <w:b w:val="1"/>
          <w:bCs w:val="1"/>
          <w:color w:val="auto"/>
        </w:rPr>
        <w:t>2.13 Sharing of Payments by Lenders</w:t>
      </w:r>
      <w:r>
        <w:rPr>
          <w:rFonts w:ascii="Arial" w:cs="Arial" w:eastAsia="Arial" w:hAnsi="Arial"/>
          <w:sz w:val="15"/>
          <w:szCs w:val="15"/>
          <w:color w:val="auto"/>
        </w:rPr>
        <w:t>. If any Lender shall, by exercising any right of setoff or counterclaim or otherwise, obtain payment in respect of</w:t>
      </w:r>
    </w:p>
    <w:p>
      <w:pPr>
        <w:spacing w:after="0" w:line="47" w:lineRule="exact"/>
        <w:rPr>
          <w:sz w:val="20"/>
          <w:szCs w:val="20"/>
          <w:color w:val="auto"/>
        </w:rPr>
      </w:pPr>
    </w:p>
    <w:p>
      <w:pPr>
        <w:jc w:val="both"/>
        <w:ind w:left="6" w:hanging="6"/>
        <w:spacing w:after="0" w:line="281" w:lineRule="auto"/>
        <w:tabs>
          <w:tab w:leader="none" w:pos="244" w:val="left"/>
        </w:tabs>
        <w:numPr>
          <w:ilvl w:val="0"/>
          <w:numId w:val="66"/>
        </w:numPr>
        <w:rPr>
          <w:rFonts w:ascii="Arial" w:cs="Arial" w:eastAsia="Arial" w:hAnsi="Arial"/>
          <w:sz w:val="15"/>
          <w:szCs w:val="15"/>
          <w:color w:val="auto"/>
        </w:rPr>
      </w:pPr>
      <w:r>
        <w:rPr>
          <w:rFonts w:ascii="Arial" w:cs="Arial" w:eastAsia="Arial" w:hAnsi="Arial"/>
          <w:sz w:val="15"/>
          <w:szCs w:val="15"/>
          <w:color w:val="auto"/>
        </w:rPr>
        <w:t xml:space="preserve">Obligations in respect of any of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any of the Facilities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Facilities owing (but not due and payable) to all Lenders hereunder and under the other Loan Documents at such time) of payment on account of the Obligations in respect of the Facilities owing (but not due and payable) to all Lenders hereunder and under the other Loan Documents at such time obtained by all of the Lenders at such time then the Lender receiving such greater proportion shall (x) notify the Administrative Agent of such fact and (y)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w:t>
      </w:r>
    </w:p>
    <w:p>
      <w:pPr>
        <w:spacing w:after="0" w:line="141"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46"/>
          </w:cols>
          <w:pgMar w:left="234" w:top="312" w:right="219" w:bottom="1440" w:gutter="0" w:footer="0" w:header="0"/>
        </w:sectPr>
      </w:pPr>
    </w:p>
    <w:bookmarkStart w:id="69" w:name="page70"/>
    <w:bookmarkEnd w:id="69"/>
    <w:p>
      <w:pPr>
        <w:ind w:left="760" w:right="20" w:firstLine="709"/>
        <w:spacing w:after="0" w:line="303" w:lineRule="auto"/>
        <w:tabs>
          <w:tab w:leader="none" w:pos="1698"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21" w:lineRule="exact"/>
        <w:rPr>
          <w:rFonts w:ascii="Arial" w:cs="Arial" w:eastAsia="Arial" w:hAnsi="Arial"/>
          <w:sz w:val="16"/>
          <w:szCs w:val="16"/>
          <w:color w:val="auto"/>
        </w:rPr>
      </w:pPr>
    </w:p>
    <w:p>
      <w:pPr>
        <w:jc w:val="both"/>
        <w:ind w:left="760" w:right="20" w:firstLine="709"/>
        <w:spacing w:after="0" w:line="251" w:lineRule="auto"/>
        <w:tabs>
          <w:tab w:leader="none" w:pos="1726"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the provisions of this Section shall not be construed to apply to (A) any payment made by a Borrower pursuant to and in accordance with the express terms of this Agreement (including the application of funds arising from the existence of a Defaulting Lender), (B) the application of Cash Collateral provided for in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or (C) any payment obtained by a Lender as consideration for the assignment of or sale of a participation in any of its Loans or subparticipations in L/C Obligations or Swing Line Loans to any assignee or participant, other than to the Company or any Affiliate thereof (as to which the provisions of this Section shall apply).</w:t>
      </w:r>
    </w:p>
    <w:p>
      <w:pPr>
        <w:spacing w:after="0" w:line="162" w:lineRule="exact"/>
        <w:rPr>
          <w:sz w:val="20"/>
          <w:szCs w:val="20"/>
          <w:color w:val="auto"/>
        </w:rPr>
      </w:pPr>
    </w:p>
    <w:p>
      <w:pPr>
        <w:jc w:val="both"/>
        <w:ind w:right="20" w:firstLine="763"/>
        <w:spacing w:after="0" w:line="257" w:lineRule="auto"/>
        <w:rPr>
          <w:sz w:val="20"/>
          <w:szCs w:val="20"/>
          <w:color w:val="auto"/>
        </w:rPr>
      </w:pPr>
      <w:r>
        <w:rPr>
          <w:rFonts w:ascii="Arial" w:cs="Arial" w:eastAsia="Arial" w:hAnsi="Arial"/>
          <w:sz w:val="17"/>
          <w:szCs w:val="17"/>
          <w:color w:val="auto"/>
        </w:rPr>
        <w:t>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51" w:lineRule="exact"/>
        <w:rPr>
          <w:sz w:val="20"/>
          <w:szCs w:val="20"/>
          <w:color w:val="auto"/>
        </w:rPr>
      </w:pPr>
    </w:p>
    <w:p>
      <w:pPr>
        <w:jc w:val="both"/>
        <w:ind w:right="20" w:firstLine="763"/>
        <w:spacing w:after="0" w:line="285" w:lineRule="auto"/>
        <w:rPr>
          <w:sz w:val="20"/>
          <w:szCs w:val="20"/>
          <w:color w:val="auto"/>
        </w:rPr>
      </w:pPr>
      <w:r>
        <w:rPr>
          <w:rFonts w:ascii="Arial" w:cs="Arial" w:eastAsia="Arial" w:hAnsi="Arial"/>
          <w:sz w:val="16"/>
          <w:szCs w:val="16"/>
          <w:b w:val="1"/>
          <w:bCs w:val="1"/>
          <w:color w:val="auto"/>
        </w:rPr>
        <w:t>2.14 German Loan Parties</w:t>
      </w:r>
      <w:r>
        <w:rPr>
          <w:rFonts w:ascii="Arial" w:cs="Arial" w:eastAsia="Arial" w:hAnsi="Arial"/>
          <w:sz w:val="16"/>
          <w:szCs w:val="16"/>
          <w:color w:val="auto"/>
        </w:rPr>
        <w:t>. With respect to the liability of a German Loan Party which is a GmbH or a limited partnership (</w:t>
      </w:r>
      <w:r>
        <w:rPr>
          <w:rFonts w:ascii="Arial" w:cs="Arial" w:eastAsia="Arial" w:hAnsi="Arial"/>
          <w:sz w:val="16"/>
          <w:szCs w:val="16"/>
          <w:i w:val="1"/>
          <w:iCs w:val="1"/>
          <w:color w:val="auto"/>
        </w:rPr>
        <w:t>Kommanditgesellschaft</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where the sole general partner is a GmbH (</w:t>
      </w:r>
      <w:r>
        <w:rPr>
          <w:rFonts w:ascii="Arial" w:cs="Arial" w:eastAsia="Arial" w:hAnsi="Arial"/>
          <w:sz w:val="16"/>
          <w:szCs w:val="16"/>
          <w:i w:val="1"/>
          <w:iCs w:val="1"/>
          <w:color w:val="auto"/>
        </w:rPr>
        <w:t>GmbH &amp; Co. KG</w:t>
      </w:r>
      <w:r>
        <w:rPr>
          <w:rFonts w:ascii="Arial" w:cs="Arial" w:eastAsia="Arial" w:hAnsi="Arial"/>
          <w:sz w:val="16"/>
          <w:szCs w:val="16"/>
          <w:color w:val="auto"/>
        </w:rPr>
        <w:t>), and, in each case, only to the extent such German Loan Party secures the Obligations of the Company and its Subsidiaries (other than such German Loan Party and its direct or indirect Subsidiaries), the following provisions apply:</w:t>
      </w:r>
    </w:p>
    <w:p>
      <w:pPr>
        <w:spacing w:after="0" w:line="136" w:lineRule="exact"/>
        <w:rPr>
          <w:sz w:val="20"/>
          <w:szCs w:val="20"/>
          <w:color w:val="auto"/>
        </w:rPr>
      </w:pPr>
    </w:p>
    <w:p>
      <w:pPr>
        <w:jc w:val="both"/>
        <w:ind w:left="760" w:firstLine="709"/>
        <w:spacing w:after="0" w:line="284" w:lineRule="auto"/>
        <w:tabs>
          <w:tab w:leader="none" w:pos="1714"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enforcement of any Guaranty granted by such German Loan Party (the “</w:t>
      </w:r>
      <w:r>
        <w:rPr>
          <w:rFonts w:ascii="Arial" w:cs="Arial" w:eastAsia="Arial" w:hAnsi="Arial"/>
          <w:sz w:val="15"/>
          <w:szCs w:val="15"/>
          <w:u w:val="single" w:color="auto"/>
          <w:color w:val="auto"/>
        </w:rPr>
        <w:t>German Obligation</w:t>
      </w:r>
      <w:r>
        <w:rPr>
          <w:rFonts w:ascii="Arial" w:cs="Arial" w:eastAsia="Arial" w:hAnsi="Arial"/>
          <w:sz w:val="15"/>
          <w:szCs w:val="15"/>
          <w:color w:val="auto"/>
        </w:rPr>
        <w:t>”) shall be limited, if and to the extent that the relevant German Loan Party secures the obligations of an affiliated company (</w:t>
      </w:r>
      <w:r>
        <w:rPr>
          <w:rFonts w:ascii="Arial" w:cs="Arial" w:eastAsia="Arial" w:hAnsi="Arial"/>
          <w:sz w:val="15"/>
          <w:szCs w:val="15"/>
          <w:i w:val="1"/>
          <w:iCs w:val="1"/>
          <w:color w:val="auto"/>
        </w:rPr>
        <w:t>verbundenes Unternehmen</w:t>
      </w:r>
      <w:r>
        <w:rPr>
          <w:rFonts w:ascii="Arial" w:cs="Arial" w:eastAsia="Arial" w:hAnsi="Arial"/>
          <w:sz w:val="15"/>
          <w:szCs w:val="15"/>
          <w:color w:val="auto"/>
        </w:rPr>
        <w:t>) within the meaning of section 15 of the German Stock Corporation Act (</w:t>
      </w:r>
      <w:r>
        <w:rPr>
          <w:rFonts w:ascii="Arial" w:cs="Arial" w:eastAsia="Arial" w:hAnsi="Arial"/>
          <w:sz w:val="15"/>
          <w:szCs w:val="15"/>
          <w:i w:val="1"/>
          <w:iCs w:val="1"/>
          <w:color w:val="auto"/>
        </w:rPr>
        <w:t>Aktiengesetz</w:t>
      </w:r>
      <w:r>
        <w:rPr>
          <w:rFonts w:ascii="Arial" w:cs="Arial" w:eastAsia="Arial" w:hAnsi="Arial"/>
          <w:sz w:val="15"/>
          <w:szCs w:val="15"/>
          <w:color w:val="auto"/>
        </w:rPr>
        <w:t>) (other than a direct or indirect Subsidiary of that German Loan Party), and if and to the extent that, in such case, the enforcement of the German Obligation (i) would cause such German Loan Party’s or, in case of a GmbH &amp; Co. KG, its sole general partner’s assets (the calculation of which shall include all items set forth in section 266(2) A, B, C, D and E of the German Commercial Code (</w:t>
      </w:r>
      <w:r>
        <w:rPr>
          <w:rFonts w:ascii="Arial" w:cs="Arial" w:eastAsia="Arial" w:hAnsi="Arial"/>
          <w:sz w:val="15"/>
          <w:szCs w:val="15"/>
          <w:i w:val="1"/>
          <w:iCs w:val="1"/>
          <w:color w:val="auto"/>
        </w:rPr>
        <w:t>Handelsgesetzbuch</w:t>
      </w:r>
      <w:r>
        <w:rPr>
          <w:rFonts w:ascii="Arial" w:cs="Arial" w:eastAsia="Arial" w:hAnsi="Arial"/>
          <w:sz w:val="15"/>
          <w:szCs w:val="15"/>
          <w:color w:val="auto"/>
        </w:rPr>
        <w:t>)) less such German Loan Party’s or, in case of a GmbH &amp; Co. KG, its general partner’s liabilities (the calculation of which shall include all items set forth in section 266(3) B, C, D and E of the German Commercial Code) (</w:t>
      </w:r>
      <w:r>
        <w:rPr>
          <w:rFonts w:ascii="Arial" w:cs="Arial" w:eastAsia="Arial" w:hAnsi="Arial"/>
          <w:sz w:val="15"/>
          <w:szCs w:val="15"/>
          <w:i w:val="1"/>
          <w:iCs w:val="1"/>
          <w:color w:val="auto"/>
        </w:rPr>
        <w:t>Handelsgesetzbuch</w:t>
      </w:r>
      <w:r>
        <w:rPr>
          <w:rFonts w:ascii="Arial" w:cs="Arial" w:eastAsia="Arial" w:hAnsi="Arial"/>
          <w:sz w:val="15"/>
          <w:szCs w:val="15"/>
          <w:color w:val="auto"/>
        </w:rPr>
        <w:t>), but shall, for the avoidance of doubt, exclude the liabilities under the German Obligation) (the “</w:t>
      </w:r>
      <w:r>
        <w:rPr>
          <w:rFonts w:ascii="Arial" w:cs="Arial" w:eastAsia="Arial" w:hAnsi="Arial"/>
          <w:sz w:val="15"/>
          <w:szCs w:val="15"/>
          <w:u w:val="single" w:color="auto"/>
          <w:color w:val="auto"/>
        </w:rPr>
        <w:t>Net Assets</w:t>
      </w:r>
      <w:r>
        <w:rPr>
          <w:rFonts w:ascii="Arial" w:cs="Arial" w:eastAsia="Arial" w:hAnsi="Arial"/>
          <w:sz w:val="15"/>
          <w:szCs w:val="15"/>
          <w:color w:val="auto"/>
        </w:rPr>
        <w:t>”) to be less than its or, in case of a GmbH &amp; Co. KG, its sole general partner’s registered share capital (</w:t>
      </w:r>
      <w:r>
        <w:rPr>
          <w:rFonts w:ascii="Arial" w:cs="Arial" w:eastAsia="Arial" w:hAnsi="Arial"/>
          <w:sz w:val="15"/>
          <w:szCs w:val="15"/>
          <w:i w:val="1"/>
          <w:iCs w:val="1"/>
          <w:color w:val="auto"/>
        </w:rPr>
        <w:t>Stammkapital</w:t>
      </w:r>
      <w:r>
        <w:rPr>
          <w:rFonts w:ascii="Arial" w:cs="Arial" w:eastAsia="Arial" w:hAnsi="Arial"/>
          <w:sz w:val="15"/>
          <w:szCs w:val="15"/>
          <w:color w:val="auto"/>
        </w:rPr>
        <w:t>) (</w:t>
      </w:r>
      <w:r>
        <w:rPr>
          <w:rFonts w:ascii="Arial" w:cs="Arial" w:eastAsia="Arial" w:hAnsi="Arial"/>
          <w:sz w:val="15"/>
          <w:szCs w:val="15"/>
          <w:i w:val="1"/>
          <w:iCs w:val="1"/>
          <w:color w:val="auto"/>
        </w:rPr>
        <w:t>Begründung einer Unterbilanz</w:t>
      </w:r>
      <w:r>
        <w:rPr>
          <w:rFonts w:ascii="Arial" w:cs="Arial" w:eastAsia="Arial" w:hAnsi="Arial"/>
          <w:sz w:val="15"/>
          <w:szCs w:val="15"/>
          <w:color w:val="auto"/>
        </w:rPr>
        <w:t>), or (ii) (if such German Loan Party’s or, in case of a GmbH &amp; Co. KG, its sole general partner’s Net Assets are already less than its registered share capital) would cause such amount to be further reduced (</w:t>
      </w:r>
      <w:r>
        <w:rPr>
          <w:rFonts w:ascii="Arial" w:cs="Arial" w:eastAsia="Arial" w:hAnsi="Arial"/>
          <w:sz w:val="15"/>
          <w:szCs w:val="15"/>
          <w:i w:val="1"/>
          <w:iCs w:val="1"/>
          <w:color w:val="auto"/>
        </w:rPr>
        <w:t>Vertiefung einer Unterbilanz</w:t>
      </w:r>
      <w:r>
        <w:rPr>
          <w:rFonts w:ascii="Arial" w:cs="Arial" w:eastAsia="Arial" w:hAnsi="Arial"/>
          <w:sz w:val="15"/>
          <w:szCs w:val="15"/>
          <w:color w:val="auto"/>
        </w:rPr>
        <w:t>).</w:t>
      </w:r>
    </w:p>
    <w:p>
      <w:pPr>
        <w:spacing w:after="0" w:line="139" w:lineRule="exact"/>
        <w:rPr>
          <w:rFonts w:ascii="Arial" w:cs="Arial" w:eastAsia="Arial" w:hAnsi="Arial"/>
          <w:sz w:val="15"/>
          <w:szCs w:val="15"/>
          <w:color w:val="auto"/>
        </w:rPr>
      </w:pPr>
    </w:p>
    <w:p>
      <w:pPr>
        <w:ind w:left="1720" w:hanging="251"/>
        <w:spacing w:after="0"/>
        <w:tabs>
          <w:tab w:leader="none" w:pos="17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For the purposes of such calculation, the following balance sheet items shall be adjusted as follows:</w:t>
      </w:r>
    </w:p>
    <w:p>
      <w:pPr>
        <w:spacing w:after="0" w:line="191" w:lineRule="exact"/>
        <w:rPr>
          <w:rFonts w:ascii="Arial" w:cs="Arial" w:eastAsia="Arial" w:hAnsi="Arial"/>
          <w:sz w:val="17"/>
          <w:szCs w:val="17"/>
          <w:color w:val="auto"/>
        </w:rPr>
      </w:pPr>
    </w:p>
    <w:p>
      <w:pPr>
        <w:ind w:left="1520" w:firstLine="660"/>
        <w:spacing w:after="0" w:line="303" w:lineRule="auto"/>
        <w:tabs>
          <w:tab w:leader="none" w:pos="2391" w:val="left"/>
        </w:tabs>
        <w:numPr>
          <w:ilvl w:val="1"/>
          <w:numId w:val="68"/>
        </w:numPr>
        <w:rPr>
          <w:rFonts w:ascii="Arial" w:cs="Arial" w:eastAsia="Arial" w:hAnsi="Arial"/>
          <w:sz w:val="16"/>
          <w:szCs w:val="16"/>
          <w:color w:val="auto"/>
        </w:rPr>
      </w:pPr>
      <w:r>
        <w:rPr>
          <w:rFonts w:ascii="Arial" w:cs="Arial" w:eastAsia="Arial" w:hAnsi="Arial"/>
          <w:sz w:val="16"/>
          <w:szCs w:val="16"/>
          <w:color w:val="auto"/>
        </w:rPr>
        <w:t>if the registered share capital of such German Loan Party or, in the case of a GmbH &amp; Co. KG, its sole general partner is not fully paid up (</w:t>
      </w:r>
      <w:r>
        <w:rPr>
          <w:rFonts w:ascii="Arial" w:cs="Arial" w:eastAsia="Arial" w:hAnsi="Arial"/>
          <w:sz w:val="16"/>
          <w:szCs w:val="16"/>
          <w:i w:val="1"/>
          <w:iCs w:val="1"/>
          <w:color w:val="auto"/>
        </w:rPr>
        <w:t>nicht voll eingezahlt</w:t>
      </w:r>
      <w:r>
        <w:rPr>
          <w:rFonts w:ascii="Arial" w:cs="Arial" w:eastAsia="Arial" w:hAnsi="Arial"/>
          <w:sz w:val="16"/>
          <w:szCs w:val="16"/>
          <w:color w:val="auto"/>
        </w:rPr>
        <w:t>), the relevant amount which is not paid up shall be deducted from the registered share capital;</w:t>
      </w:r>
    </w:p>
    <w:p>
      <w:pPr>
        <w:spacing w:after="0" w:line="121" w:lineRule="exact"/>
        <w:rPr>
          <w:rFonts w:ascii="Arial" w:cs="Arial" w:eastAsia="Arial" w:hAnsi="Arial"/>
          <w:sz w:val="16"/>
          <w:szCs w:val="16"/>
          <w:color w:val="auto"/>
        </w:rPr>
      </w:pPr>
    </w:p>
    <w:p>
      <w:pPr>
        <w:jc w:val="both"/>
        <w:ind w:left="1520" w:firstLine="660"/>
        <w:spacing w:after="0" w:line="281" w:lineRule="auto"/>
        <w:tabs>
          <w:tab w:leader="none" w:pos="2434"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amount of any increase of such German Loan Party’s and/or, in case of a GmbH &amp; Co. KG, its sole general partner’s registered share capital out of retained earnings (</w:t>
      </w:r>
      <w:r>
        <w:rPr>
          <w:rFonts w:ascii="Arial" w:cs="Arial" w:eastAsia="Arial" w:hAnsi="Arial"/>
          <w:sz w:val="16"/>
          <w:szCs w:val="16"/>
          <w:i w:val="1"/>
          <w:iCs w:val="1"/>
          <w:color w:val="auto"/>
        </w:rPr>
        <w:t>Kapitalerhöhung aus Gesellschaftsmitteln</w:t>
      </w:r>
      <w:r>
        <w:rPr>
          <w:rFonts w:ascii="Arial" w:cs="Arial" w:eastAsia="Arial" w:hAnsi="Arial"/>
          <w:sz w:val="16"/>
          <w:szCs w:val="16"/>
          <w:color w:val="auto"/>
        </w:rPr>
        <w:t>) after the date of this Agreement that has been effected without the prior written consent of the Administrative Agent shall be deducted from the registered share capital;</w:t>
      </w:r>
    </w:p>
    <w:p>
      <w:pPr>
        <w:spacing w:after="0" w:line="139" w:lineRule="exact"/>
        <w:rPr>
          <w:rFonts w:ascii="Arial" w:cs="Arial" w:eastAsia="Arial" w:hAnsi="Arial"/>
          <w:sz w:val="16"/>
          <w:szCs w:val="16"/>
          <w:color w:val="auto"/>
        </w:rPr>
      </w:pPr>
    </w:p>
    <w:p>
      <w:pPr>
        <w:jc w:val="both"/>
        <w:ind w:left="1520" w:right="20" w:firstLine="660"/>
        <w:spacing w:after="0" w:line="257" w:lineRule="auto"/>
        <w:tabs>
          <w:tab w:leader="none" w:pos="2498" w:val="left"/>
        </w:tabs>
        <w:numPr>
          <w:ilvl w:val="1"/>
          <w:numId w:val="68"/>
        </w:numPr>
        <w:rPr>
          <w:rFonts w:ascii="Arial" w:cs="Arial" w:eastAsia="Arial" w:hAnsi="Arial"/>
          <w:sz w:val="17"/>
          <w:szCs w:val="17"/>
          <w:color w:val="auto"/>
        </w:rPr>
      </w:pPr>
      <w:r>
        <w:rPr>
          <w:rFonts w:ascii="Arial" w:cs="Arial" w:eastAsia="Arial" w:hAnsi="Arial"/>
          <w:sz w:val="17"/>
          <w:szCs w:val="17"/>
          <w:color w:val="auto"/>
        </w:rPr>
        <w:t>loans and other liabilities shall be disregarded if and to the extent such loans and other liabilities or would, in the case of any insolvency, be considered subordinated (</w:t>
      </w:r>
      <w:r>
        <w:rPr>
          <w:rFonts w:ascii="Arial" w:cs="Arial" w:eastAsia="Arial" w:hAnsi="Arial"/>
          <w:sz w:val="17"/>
          <w:szCs w:val="17"/>
          <w:i w:val="1"/>
          <w:iCs w:val="1"/>
          <w:color w:val="auto"/>
        </w:rPr>
        <w:t>nachrangig</w:t>
      </w:r>
      <w:r>
        <w:rPr>
          <w:rFonts w:ascii="Arial" w:cs="Arial" w:eastAsia="Arial" w:hAnsi="Arial"/>
          <w:sz w:val="17"/>
          <w:szCs w:val="17"/>
          <w:color w:val="auto"/>
        </w:rPr>
        <w:t>) within the meaning of section 39 para 2 or section 39 para 1 No. 5 of the German Insolvency Code (</w:t>
      </w:r>
      <w:r>
        <w:rPr>
          <w:rFonts w:ascii="Arial" w:cs="Arial" w:eastAsia="Arial" w:hAnsi="Arial"/>
          <w:sz w:val="17"/>
          <w:szCs w:val="17"/>
          <w:i w:val="1"/>
          <w:iCs w:val="1"/>
          <w:color w:val="auto"/>
        </w:rPr>
        <w:t>Insolvenzordnung</w:t>
      </w:r>
      <w:r>
        <w:rPr>
          <w:rFonts w:ascii="Arial" w:cs="Arial" w:eastAsia="Arial" w:hAnsi="Arial"/>
          <w:sz w:val="17"/>
          <w:szCs w:val="17"/>
          <w:color w:val="auto"/>
        </w:rPr>
        <w:t>); and</w:t>
      </w:r>
    </w:p>
    <w:p>
      <w:pPr>
        <w:spacing w:after="0" w:line="157" w:lineRule="exact"/>
        <w:rPr>
          <w:rFonts w:ascii="Arial" w:cs="Arial" w:eastAsia="Arial" w:hAnsi="Arial"/>
          <w:sz w:val="17"/>
          <w:szCs w:val="17"/>
          <w:color w:val="auto"/>
        </w:rPr>
      </w:pPr>
    </w:p>
    <w:p>
      <w:pPr>
        <w:ind w:left="2480" w:hanging="300"/>
        <w:spacing w:after="0"/>
        <w:tabs>
          <w:tab w:leader="none" w:pos="2480" w:val="left"/>
        </w:tabs>
        <w:numPr>
          <w:ilvl w:val="1"/>
          <w:numId w:val="68"/>
        </w:numPr>
        <w:rPr>
          <w:rFonts w:ascii="Arial" w:cs="Arial" w:eastAsia="Arial" w:hAnsi="Arial"/>
          <w:sz w:val="17"/>
          <w:szCs w:val="17"/>
          <w:color w:val="auto"/>
        </w:rPr>
      </w:pPr>
      <w:r>
        <w:rPr>
          <w:rFonts w:ascii="Arial" w:cs="Arial" w:eastAsia="Arial" w:hAnsi="Arial"/>
          <w:sz w:val="17"/>
          <w:szCs w:val="17"/>
          <w:color w:val="auto"/>
        </w:rPr>
        <w:t>loans and other contractual liabilities incurred in violation of the provisions of any Loan Document shall be disregarded.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40"/>
          </w:cols>
          <w:pgMar w:left="240" w:top="312" w:right="219" w:bottom="1440" w:gutter="0" w:footer="0" w:header="0"/>
        </w:sectPr>
      </w:pPr>
    </w:p>
    <w:bookmarkStart w:id="70" w:name="page71"/>
    <w:bookmarkEnd w:id="70"/>
    <w:p>
      <w:pPr>
        <w:jc w:val="both"/>
        <w:ind w:left="-440" w:firstLine="709"/>
        <w:spacing w:after="0" w:line="264" w:lineRule="auto"/>
        <w:tabs>
          <w:tab w:leader="none" w:pos="509" w:val="left"/>
        </w:tabs>
        <w:numPr>
          <w:ilvl w:val="0"/>
          <w:numId w:val="69"/>
        </w:numPr>
        <w:rPr>
          <w:rFonts w:ascii="Arial" w:cs="Arial" w:eastAsia="Arial" w:hAnsi="Arial"/>
          <w:sz w:val="16"/>
          <w:szCs w:val="16"/>
          <w:color w:val="auto"/>
        </w:rPr>
      </w:pPr>
      <w:r>
        <w:rPr>
          <w:rFonts w:ascii="Arial" w:cs="Arial" w:eastAsia="Arial" w:hAnsi="Arial"/>
          <w:sz w:val="16"/>
          <w:szCs w:val="16"/>
          <w:color w:val="auto"/>
        </w:rPr>
        <w:t>Each German Loan Party shall realize by sale, within 10 (ten) Business Days after receipt of written demand by the Administrative Agent to make a payment under the German Obligation (a “</w:t>
      </w:r>
      <w:r>
        <w:rPr>
          <w:rFonts w:ascii="Arial" w:cs="Arial" w:eastAsia="Arial" w:hAnsi="Arial"/>
          <w:sz w:val="16"/>
          <w:szCs w:val="16"/>
          <w:u w:val="single" w:color="auto"/>
          <w:color w:val="auto"/>
        </w:rPr>
        <w:t>Demand</w:t>
      </w:r>
      <w:r>
        <w:rPr>
          <w:rFonts w:ascii="Arial" w:cs="Arial" w:eastAsia="Arial" w:hAnsi="Arial"/>
          <w:sz w:val="16"/>
          <w:szCs w:val="16"/>
          <w:color w:val="auto"/>
        </w:rPr>
        <w:t>”), to the extent legally permitted and commercially reasonable, in a situation where after enforcement of the German Obligation such German Loan Party and/or, in case of GmbH &amp; Co. KG, its sole general partner would not have Net Assets in excess of its registered share capital, any and all of its assets that are shown in the balance sheet with a book value (</w:t>
      </w:r>
      <w:r>
        <w:rPr>
          <w:rFonts w:ascii="Arial" w:cs="Arial" w:eastAsia="Arial" w:hAnsi="Arial"/>
          <w:sz w:val="16"/>
          <w:szCs w:val="16"/>
          <w:i w:val="1"/>
          <w:iCs w:val="1"/>
          <w:color w:val="auto"/>
        </w:rPr>
        <w:t>Buchwert</w:t>
      </w:r>
      <w:r>
        <w:rPr>
          <w:rFonts w:ascii="Arial" w:cs="Arial" w:eastAsia="Arial" w:hAnsi="Arial"/>
          <w:sz w:val="16"/>
          <w:szCs w:val="16"/>
          <w:color w:val="auto"/>
        </w:rPr>
        <w:t>) that is significantly lower than the market value of such asset if such asset is not necessary for such German Loan Party’s and/or, in case of a GmbH &amp; Co. KG, its sole general partner’s business (</w:t>
      </w:r>
      <w:r>
        <w:rPr>
          <w:rFonts w:ascii="Arial" w:cs="Arial" w:eastAsia="Arial" w:hAnsi="Arial"/>
          <w:sz w:val="16"/>
          <w:szCs w:val="16"/>
          <w:i w:val="1"/>
          <w:iCs w:val="1"/>
          <w:color w:val="auto"/>
        </w:rPr>
        <w:t>nicht betriebsnotwendig</w:t>
      </w:r>
      <w:r>
        <w:rPr>
          <w:rFonts w:ascii="Arial" w:cs="Arial" w:eastAsia="Arial" w:hAnsi="Arial"/>
          <w:sz w:val="16"/>
          <w:szCs w:val="16"/>
          <w:color w:val="auto"/>
        </w:rPr>
        <w:t>). Prior to such realization, the German Loan Party shall assign its respective claim for the purchase price or other proceeds from the realization to the Administrative Agent for security purposes (</w:t>
      </w:r>
      <w:r>
        <w:rPr>
          <w:rFonts w:ascii="Arial" w:cs="Arial" w:eastAsia="Arial" w:hAnsi="Arial"/>
          <w:sz w:val="16"/>
          <w:szCs w:val="16"/>
          <w:i w:val="1"/>
          <w:iCs w:val="1"/>
          <w:color w:val="auto"/>
        </w:rPr>
        <w:t>Sicherungsabtretung</w:t>
      </w:r>
      <w:r>
        <w:rPr>
          <w:rFonts w:ascii="Arial" w:cs="Arial" w:eastAsia="Arial" w:hAnsi="Arial"/>
          <w:sz w:val="16"/>
          <w:szCs w:val="16"/>
          <w:color w:val="auto"/>
        </w:rPr>
        <w:t>). After the expiry of the above mentioned period, such German Loan Party shall inform the Administrative Agent in writing of the amount of the proceeds from any such sale and provide a new Management Determination (as defined below) regarding its or, in case of a GmbH &amp; Co. KG, its sole general partner’s Net Assets taking into account such sale proceeds. Upon request of the Administrative Agent, such calculation is to be confirmed in the form of an Auditor’s Determination (as defined below) within 30 Business Days after the Administrative Agent’s receipt thereof.</w:t>
      </w:r>
    </w:p>
    <w:p>
      <w:pPr>
        <w:spacing w:after="0" w:line="153" w:lineRule="exact"/>
        <w:rPr>
          <w:rFonts w:ascii="Arial" w:cs="Arial" w:eastAsia="Arial" w:hAnsi="Arial"/>
          <w:sz w:val="16"/>
          <w:szCs w:val="16"/>
          <w:color w:val="auto"/>
        </w:rPr>
      </w:pPr>
    </w:p>
    <w:p>
      <w:pPr>
        <w:jc w:val="both"/>
        <w:ind w:left="-440" w:firstLine="709"/>
        <w:spacing w:after="0" w:line="281" w:lineRule="auto"/>
        <w:tabs>
          <w:tab w:leader="none" w:pos="523" w:val="left"/>
        </w:tabs>
        <w:numPr>
          <w:ilvl w:val="0"/>
          <w:numId w:val="69"/>
        </w:numPr>
        <w:rPr>
          <w:rFonts w:ascii="Arial" w:cs="Arial" w:eastAsia="Arial" w:hAnsi="Arial"/>
          <w:sz w:val="15"/>
          <w:szCs w:val="15"/>
          <w:color w:val="auto"/>
        </w:rPr>
      </w:pPr>
      <w:r>
        <w:rPr>
          <w:rFonts w:ascii="Arial" w:cs="Arial" w:eastAsia="Arial" w:hAnsi="Arial"/>
          <w:sz w:val="15"/>
          <w:szCs w:val="15"/>
          <w:color w:val="auto"/>
        </w:rPr>
        <w:t xml:space="preserve">The limitations set out in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above shall only apply (i) if and to the extent that, within 10 (ten) Business Days following a Demand, the managing directors of such German Loan Party have confirmed in writing to the Administrative Agent (A) the extent to which the German Obligation is an up-stream or cross-stream security (as described in clause (a) above) and (B) the amount of which cannot be enforced as such enforcement would cause the Net Assets of such German Loan Party and/or, in case of a GmbH &amp; Co. KG, its sole general partner to fall below its stated share capital;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confirmation shall be supported by interim financial statements through the end of the most recently ended calendar month (calculated and adjusted as set out in </w:t>
      </w:r>
      <w:r>
        <w:rPr>
          <w:rFonts w:ascii="Arial" w:cs="Arial" w:eastAsia="Arial" w:hAnsi="Arial"/>
          <w:sz w:val="15"/>
          <w:szCs w:val="15"/>
          <w:u w:val="single" w:color="auto"/>
          <w:color w:val="auto"/>
        </w:rPr>
        <w:t>clauses (a) and (b)</w:t>
      </w:r>
      <w:r>
        <w:rPr>
          <w:rFonts w:ascii="Arial" w:cs="Arial" w:eastAsia="Arial" w:hAnsi="Arial"/>
          <w:sz w:val="15"/>
          <w:szCs w:val="15"/>
          <w:color w:val="auto"/>
        </w:rPr>
        <w:t xml:space="preserve"> above (the “</w:t>
      </w:r>
      <w:r>
        <w:rPr>
          <w:rFonts w:ascii="Arial" w:cs="Arial" w:eastAsia="Arial" w:hAnsi="Arial"/>
          <w:sz w:val="15"/>
          <w:szCs w:val="15"/>
          <w:u w:val="single" w:color="auto"/>
          <w:color w:val="auto"/>
        </w:rPr>
        <w:t>Management Determination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further that the Administrative Agent shall not have contested the Management Determination for any reason, including the Administrative Agent’s determination that no amount or a lesser amount would be necessary for such German Loan Party and/or, in case of GmbH &amp; Co. KG, its sole general partner to maintain its stated share capital; or (B) within twenty (20) Business Days from the date the Administrative Agent has contested the Management Determination, the Administrative Agent receives a determination by auditors of international standard and reputation (the “</w:t>
      </w:r>
      <w:r>
        <w:rPr>
          <w:rFonts w:ascii="Arial" w:cs="Arial" w:eastAsia="Arial" w:hAnsi="Arial"/>
          <w:sz w:val="15"/>
          <w:szCs w:val="15"/>
          <w:u w:val="single" w:color="auto"/>
          <w:color w:val="auto"/>
        </w:rPr>
        <w:t>Auditor’s Determination</w:t>
      </w:r>
      <w:r>
        <w:rPr>
          <w:rFonts w:ascii="Arial" w:cs="Arial" w:eastAsia="Arial" w:hAnsi="Arial"/>
          <w:sz w:val="15"/>
          <w:szCs w:val="15"/>
          <w:color w:val="auto"/>
        </w:rPr>
        <w:t xml:space="preserve">”) as appointed by such German Loan Party that such amount would have been necessary on the date of the Demand to maintain such German Loan Party’s and/or, in case of GmbH &amp; Co. KG, its sole general partner’s stated share capital based on an up to date balance sheet which was produced using the same accounting principles applied to the establishment of the previous year’s balance sheet and calculated and adjusted in accordance with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xml:space="preserve"> above. The Administrative Agent shall in any event be entitled to enforce the German Obligation for any amounts where such enforcement would, in accordance with the Management Determination, not cause the relevant German Loan Party’s or, in the case of a GmbH &amp; Co. KG, its general partner’s Net Assets to be less than (or to fall further below) the amount of its respective registered share capital (in each case as calculated and adjusted in accordance with </w:t>
      </w:r>
      <w:r>
        <w:rPr>
          <w:rFonts w:ascii="Arial" w:cs="Arial" w:eastAsia="Arial" w:hAnsi="Arial"/>
          <w:sz w:val="15"/>
          <w:szCs w:val="15"/>
          <w:u w:val="single" w:color="auto"/>
          <w:color w:val="auto"/>
        </w:rPr>
        <w:t>clauses (a) and (b)</w:t>
      </w:r>
      <w:r>
        <w:rPr>
          <w:rFonts w:ascii="Arial" w:cs="Arial" w:eastAsia="Arial" w:hAnsi="Arial"/>
          <w:sz w:val="15"/>
          <w:szCs w:val="15"/>
          <w:color w:val="auto"/>
        </w:rPr>
        <w:t xml:space="preserve"> above).</w:t>
      </w:r>
    </w:p>
    <w:p>
      <w:pPr>
        <w:spacing w:after="0" w:line="144" w:lineRule="exact"/>
        <w:rPr>
          <w:rFonts w:ascii="Arial" w:cs="Arial" w:eastAsia="Arial" w:hAnsi="Arial"/>
          <w:sz w:val="15"/>
          <w:szCs w:val="15"/>
          <w:color w:val="auto"/>
        </w:rPr>
      </w:pPr>
    </w:p>
    <w:p>
      <w:pPr>
        <w:jc w:val="both"/>
        <w:ind w:left="-440" w:firstLine="709"/>
        <w:spacing w:after="0" w:line="249" w:lineRule="auto"/>
        <w:tabs>
          <w:tab w:leader="none" w:pos="517"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If such German Loan Party fails to deliver an Auditor’s Determination within twenty (20) Business Days after the date the Administrative Agent has contested the Management Determination, the Administrative Agent shall be entitled to enforce the German Obligation without limitation or restriction. If such German Loan Party delivers to the Administrative Agent an Auditor’s Determination as provided for in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within two (2) months after the commencement of any enforcement action, the Administrative Agent agrees to repay to such German Loan Party, without interest or recourse, the difference between the amount enforced pursuant to first sentence of this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and the amount which is determined as enforceable pursuant to the Auditor’s Determination.</w:t>
      </w:r>
    </w:p>
    <w:p>
      <w:pPr>
        <w:spacing w:after="0" w:line="166" w:lineRule="exact"/>
        <w:rPr>
          <w:rFonts w:ascii="Arial" w:cs="Arial" w:eastAsia="Arial" w:hAnsi="Arial"/>
          <w:sz w:val="17"/>
          <w:szCs w:val="17"/>
          <w:color w:val="auto"/>
        </w:rPr>
      </w:pPr>
    </w:p>
    <w:p>
      <w:pPr>
        <w:jc w:val="both"/>
        <w:ind w:left="-440" w:firstLine="709"/>
        <w:spacing w:after="0" w:line="251" w:lineRule="auto"/>
        <w:tabs>
          <w:tab w:leader="none" w:pos="49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the Administrative Agent disagrees with the Auditor’s Determination, the German Obligation shall be enforceable up to the amount which is undisputed between the Administrative Agent and such German Loan Party. In relation to the amount which is disputed, the Administrative Agent shall be entitled to further pursue its claims by legal action provided that it shall be incumbent upon the Administrative Agent to produce evidence that the amount required for the German Loan Party and/or, in case of a GmbH &amp; Co. KG, its sole general partner to maintain the relevant state share capital is in fact lower.</w:t>
      </w:r>
    </w:p>
    <w:p>
      <w:pPr>
        <w:spacing w:after="0" w:line="16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0240"/>
          </w:cols>
          <w:pgMar w:left="1440" w:top="312" w:right="219" w:bottom="1440" w:gutter="0" w:footer="0" w:header="0"/>
        </w:sectPr>
      </w:pPr>
    </w:p>
    <w:bookmarkStart w:id="71" w:name="page72"/>
    <w:bookmarkEnd w:id="71"/>
    <w:p>
      <w:pPr>
        <w:jc w:val="both"/>
        <w:ind w:left="-440" w:right="20" w:firstLine="709"/>
        <w:spacing w:after="0" w:line="257" w:lineRule="auto"/>
        <w:tabs>
          <w:tab w:leader="none" w:pos="529"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For the avoidance of doubt, nothing in this Agreement shall be interpreted as a restriction or limitation of the enforcement of the German Obligation to the extent it secures the prompt and complete payment and discharge of any and all obligations of such German Loan Party or any of such German Loan Party’s Subsidiaries. The limitations set out in </w:t>
      </w:r>
      <w:r>
        <w:rPr>
          <w:rFonts w:ascii="Arial" w:cs="Arial" w:eastAsia="Arial" w:hAnsi="Arial"/>
          <w:sz w:val="17"/>
          <w:szCs w:val="17"/>
          <w:u w:val="single" w:color="auto"/>
          <w:color w:val="auto"/>
        </w:rPr>
        <w:t>clauses (a) through (d)</w:t>
      </w:r>
      <w:r>
        <w:rPr>
          <w:rFonts w:ascii="Arial" w:cs="Arial" w:eastAsia="Arial" w:hAnsi="Arial"/>
          <w:sz w:val="17"/>
          <w:szCs w:val="17"/>
          <w:color w:val="auto"/>
        </w:rPr>
        <w:t xml:space="preserve"> shall not apply:</w:t>
      </w:r>
    </w:p>
    <w:p>
      <w:pPr>
        <w:spacing w:after="0" w:line="157" w:lineRule="exact"/>
        <w:rPr>
          <w:rFonts w:ascii="Arial" w:cs="Arial" w:eastAsia="Arial" w:hAnsi="Arial"/>
          <w:sz w:val="17"/>
          <w:szCs w:val="17"/>
          <w:color w:val="auto"/>
        </w:rPr>
      </w:pPr>
    </w:p>
    <w:p>
      <w:pPr>
        <w:jc w:val="both"/>
        <w:ind w:left="320" w:firstLine="660"/>
        <w:spacing w:after="0" w:line="287" w:lineRule="auto"/>
        <w:tabs>
          <w:tab w:leader="none" w:pos="1196" w:val="left"/>
        </w:tabs>
        <w:numPr>
          <w:ilvl w:val="1"/>
          <w:numId w:val="70"/>
        </w:numPr>
        <w:rPr>
          <w:rFonts w:ascii="Arial" w:cs="Arial" w:eastAsia="Arial" w:hAnsi="Arial"/>
          <w:sz w:val="15"/>
          <w:szCs w:val="15"/>
          <w:color w:val="auto"/>
        </w:rPr>
      </w:pPr>
      <w:r>
        <w:rPr>
          <w:rFonts w:ascii="Arial" w:cs="Arial" w:eastAsia="Arial" w:hAnsi="Arial"/>
          <w:sz w:val="15"/>
          <w:szCs w:val="15"/>
          <w:color w:val="auto"/>
        </w:rPr>
        <w:t xml:space="preserve">in relation to any amounts borrowed under any Loan Document to the extent such proceeds were lent, on-lent or otherwise made available to such German Loan Party or any of such German Loan Party’s Subsidiaries from time to time and which have not been repaid by such German Loan Party or any of such German Loan Party’s Subsidiaries;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repayment by such German Loan Party or any of such German Loan Party’s Subsidiaries shall only reduce the enforceable amount to an extent it has effectively resulted in a discharge of the secured claims of the Secured Parties which have advanced such loans to the relevant borrowers or which were otherwise made available to such German Loan Party or any of such German Loan Party’s Subsidiaries, and further provided that the relevant German Loan Party must prove that some or all of such amounts have not been lent, on-lent or otherwise made available to it or any of its Subsidiaries;</w:t>
      </w:r>
    </w:p>
    <w:p>
      <w:pPr>
        <w:spacing w:after="0" w:line="138" w:lineRule="exact"/>
        <w:rPr>
          <w:rFonts w:ascii="Arial" w:cs="Arial" w:eastAsia="Arial" w:hAnsi="Arial"/>
          <w:sz w:val="15"/>
          <w:szCs w:val="15"/>
          <w:color w:val="auto"/>
        </w:rPr>
      </w:pPr>
    </w:p>
    <w:p>
      <w:pPr>
        <w:ind w:left="320" w:firstLine="660"/>
        <w:spacing w:after="0" w:line="271" w:lineRule="auto"/>
        <w:tabs>
          <w:tab w:leader="none" w:pos="1303" w:val="left"/>
        </w:tabs>
        <w:numPr>
          <w:ilvl w:val="1"/>
          <w:numId w:val="70"/>
        </w:numPr>
        <w:rPr>
          <w:rFonts w:ascii="Arial" w:cs="Arial" w:eastAsia="Arial" w:hAnsi="Arial"/>
          <w:sz w:val="17"/>
          <w:szCs w:val="17"/>
          <w:color w:val="auto"/>
        </w:rPr>
      </w:pPr>
      <w:r>
        <w:rPr>
          <w:rFonts w:ascii="Arial" w:cs="Arial" w:eastAsia="Arial" w:hAnsi="Arial"/>
          <w:sz w:val="17"/>
          <w:szCs w:val="17"/>
          <w:color w:val="auto"/>
        </w:rPr>
        <w:t>if such German Loan Party is a party as dominated entity (</w:t>
      </w:r>
      <w:r>
        <w:rPr>
          <w:rFonts w:ascii="Arial" w:cs="Arial" w:eastAsia="Arial" w:hAnsi="Arial"/>
          <w:sz w:val="17"/>
          <w:szCs w:val="17"/>
          <w:i w:val="1"/>
          <w:iCs w:val="1"/>
          <w:color w:val="auto"/>
        </w:rPr>
        <w:t>beherrschtes Unternehmen</w:t>
      </w:r>
      <w:r>
        <w:rPr>
          <w:rFonts w:ascii="Arial" w:cs="Arial" w:eastAsia="Arial" w:hAnsi="Arial"/>
          <w:sz w:val="17"/>
          <w:szCs w:val="17"/>
          <w:color w:val="auto"/>
        </w:rPr>
        <w:t>) to a domination agreement (</w:t>
      </w:r>
      <w:r>
        <w:rPr>
          <w:rFonts w:ascii="Arial" w:cs="Arial" w:eastAsia="Arial" w:hAnsi="Arial"/>
          <w:sz w:val="17"/>
          <w:szCs w:val="17"/>
          <w:i w:val="1"/>
          <w:iCs w:val="1"/>
          <w:color w:val="auto"/>
        </w:rPr>
        <w:t>Beherrschungsvertrag</w:t>
      </w:r>
      <w:r>
        <w:rPr>
          <w:rFonts w:ascii="Arial" w:cs="Arial" w:eastAsia="Arial" w:hAnsi="Arial"/>
          <w:sz w:val="17"/>
          <w:szCs w:val="17"/>
          <w:color w:val="auto"/>
        </w:rPr>
        <w:t>) and/or profit and loss transfer agreement (</w:t>
      </w:r>
      <w:r>
        <w:rPr>
          <w:rFonts w:ascii="Arial" w:cs="Arial" w:eastAsia="Arial" w:hAnsi="Arial"/>
          <w:sz w:val="17"/>
          <w:szCs w:val="17"/>
          <w:i w:val="1"/>
          <w:iCs w:val="1"/>
          <w:color w:val="auto"/>
        </w:rPr>
        <w:t>Gewinnabführungsvertrag</w:t>
      </w:r>
      <w:r>
        <w:rPr>
          <w:rFonts w:ascii="Arial" w:cs="Arial" w:eastAsia="Arial" w:hAnsi="Arial"/>
          <w:sz w:val="17"/>
          <w:szCs w:val="17"/>
          <w:color w:val="auto"/>
        </w:rPr>
        <w:t>) with:</w:t>
      </w:r>
    </w:p>
    <w:p>
      <w:pPr>
        <w:spacing w:after="0" w:line="144" w:lineRule="exact"/>
        <w:rPr>
          <w:rFonts w:ascii="Arial" w:cs="Arial" w:eastAsia="Arial" w:hAnsi="Arial"/>
          <w:sz w:val="17"/>
          <w:szCs w:val="17"/>
          <w:color w:val="auto"/>
        </w:rPr>
      </w:pPr>
    </w:p>
    <w:p>
      <w:pPr>
        <w:jc w:val="both"/>
        <w:ind w:left="1840" w:firstLine="5"/>
        <w:spacing w:after="0" w:line="281" w:lineRule="auto"/>
        <w:tabs>
          <w:tab w:leader="none" w:pos="2110" w:val="left"/>
        </w:tabs>
        <w:numPr>
          <w:ilvl w:val="2"/>
          <w:numId w:val="70"/>
        </w:numPr>
        <w:rPr>
          <w:rFonts w:ascii="Arial" w:cs="Arial" w:eastAsia="Arial" w:hAnsi="Arial"/>
          <w:sz w:val="16"/>
          <w:szCs w:val="16"/>
          <w:color w:val="auto"/>
        </w:rPr>
      </w:pPr>
      <w:r>
        <w:rPr>
          <w:rFonts w:ascii="Arial" w:cs="Arial" w:eastAsia="Arial" w:hAnsi="Arial"/>
          <w:sz w:val="16"/>
          <w:szCs w:val="16"/>
          <w:color w:val="auto"/>
        </w:rPr>
        <w:t>in case the German Loan Party (and/or, in case of a GmbH &amp; Co KG, its general partner (</w:t>
      </w:r>
      <w:r>
        <w:rPr>
          <w:rFonts w:ascii="Arial" w:cs="Arial" w:eastAsia="Arial" w:hAnsi="Arial"/>
          <w:sz w:val="16"/>
          <w:szCs w:val="16"/>
          <w:i w:val="1"/>
          <w:iCs w:val="1"/>
          <w:color w:val="auto"/>
        </w:rPr>
        <w:t>persönlich haftender</w:t>
      </w:r>
      <w:r>
        <w:rPr>
          <w:rFonts w:ascii="Arial" w:cs="Arial" w:eastAsia="Arial" w:hAnsi="Arial"/>
          <w:sz w:val="16"/>
          <w:szCs w:val="16"/>
          <w:color w:val="auto"/>
        </w:rPr>
        <w:t xml:space="preserve"> </w:t>
      </w:r>
      <w:r>
        <w:rPr>
          <w:rFonts w:ascii="Arial" w:cs="Arial" w:eastAsia="Arial" w:hAnsi="Arial"/>
          <w:sz w:val="16"/>
          <w:szCs w:val="16"/>
          <w:i w:val="1"/>
          <w:iCs w:val="1"/>
          <w:color w:val="auto"/>
        </w:rPr>
        <w:t>Gesellschafter</w:t>
      </w:r>
      <w:r>
        <w:rPr>
          <w:rFonts w:ascii="Arial" w:cs="Arial" w:eastAsia="Arial" w:hAnsi="Arial"/>
          <w:sz w:val="16"/>
          <w:szCs w:val="16"/>
          <w:color w:val="auto"/>
        </w:rPr>
        <w:t>) is a Subsidiary of the relevant affiliate whose obligations are secured by the relevant German Obligation</w:t>
      </w:r>
      <w:r>
        <w:rPr>
          <w:rFonts w:ascii="Arial" w:cs="Arial" w:eastAsia="Arial" w:hAnsi="Arial"/>
          <w:sz w:val="16"/>
          <w:szCs w:val="16"/>
          <w:i w:val="1"/>
          <w:iCs w:val="1"/>
          <w:color w:val="auto"/>
        </w:rPr>
        <w:t xml:space="preserve"> </w:t>
      </w:r>
      <w:r>
        <w:rPr>
          <w:rFonts w:ascii="Arial" w:cs="Arial" w:eastAsia="Arial" w:hAnsi="Arial"/>
          <w:sz w:val="16"/>
          <w:szCs w:val="16"/>
          <w:color w:val="auto"/>
        </w:rPr>
        <w:t>by the German Obligation, that affiliate as dominating entity (</w:t>
      </w:r>
      <w:r>
        <w:rPr>
          <w:rFonts w:ascii="Arial" w:cs="Arial" w:eastAsia="Arial" w:hAnsi="Arial"/>
          <w:sz w:val="16"/>
          <w:szCs w:val="16"/>
          <w:i w:val="1"/>
          <w:iCs w:val="1"/>
          <w:color w:val="auto"/>
        </w:rPr>
        <w:t>beherrschendes Unternehmen</w:t>
      </w:r>
      <w:r>
        <w:rPr>
          <w:rFonts w:ascii="Arial" w:cs="Arial" w:eastAsia="Arial" w:hAnsi="Arial"/>
          <w:sz w:val="16"/>
          <w:szCs w:val="16"/>
          <w:color w:val="auto"/>
        </w:rPr>
        <w:t>); or</w:t>
      </w:r>
    </w:p>
    <w:p>
      <w:pPr>
        <w:spacing w:after="0" w:line="139" w:lineRule="exact"/>
        <w:rPr>
          <w:rFonts w:ascii="Arial" w:cs="Arial" w:eastAsia="Arial" w:hAnsi="Arial"/>
          <w:sz w:val="16"/>
          <w:szCs w:val="16"/>
          <w:color w:val="auto"/>
        </w:rPr>
      </w:pPr>
    </w:p>
    <w:p>
      <w:pPr>
        <w:jc w:val="both"/>
        <w:ind w:left="1840" w:firstLine="5"/>
        <w:spacing w:after="0" w:line="253" w:lineRule="auto"/>
        <w:tabs>
          <w:tab w:leader="none" w:pos="2121" w:val="left"/>
        </w:tabs>
        <w:numPr>
          <w:ilvl w:val="2"/>
          <w:numId w:val="70"/>
        </w:numPr>
        <w:rPr>
          <w:rFonts w:ascii="Arial" w:cs="Arial" w:eastAsia="Arial" w:hAnsi="Arial"/>
          <w:sz w:val="17"/>
          <w:szCs w:val="17"/>
          <w:color w:val="auto"/>
        </w:rPr>
      </w:pPr>
      <w:r>
        <w:rPr>
          <w:rFonts w:ascii="Arial" w:cs="Arial" w:eastAsia="Arial" w:hAnsi="Arial"/>
          <w:sz w:val="17"/>
          <w:szCs w:val="17"/>
          <w:color w:val="auto"/>
        </w:rPr>
        <w:t>in case the German Loan Party (and/or, in case of a German GmbH &amp; Co KG Guarantor, its general partner (</w:t>
      </w:r>
      <w:r>
        <w:rPr>
          <w:rFonts w:ascii="Arial" w:cs="Arial" w:eastAsia="Arial" w:hAnsi="Arial"/>
          <w:sz w:val="17"/>
          <w:szCs w:val="17"/>
          <w:i w:val="1"/>
          <w:iCs w:val="1"/>
          <w:color w:val="auto"/>
        </w:rPr>
        <w:t>persönlich haftender Gesellschafter</w:t>
      </w:r>
      <w:r>
        <w:rPr>
          <w:rFonts w:ascii="Arial" w:cs="Arial" w:eastAsia="Arial" w:hAnsi="Arial"/>
          <w:sz w:val="17"/>
          <w:szCs w:val="17"/>
          <w:color w:val="auto"/>
        </w:rPr>
        <w:t>)) and the relevant affiliate whose obligations are secured by the relevant German Obligation are both subsidiaries of a joint (direct or indirect) holding company, such holding company as dominating entity (</w:t>
      </w:r>
      <w:r>
        <w:rPr>
          <w:rFonts w:ascii="Arial" w:cs="Arial" w:eastAsia="Arial" w:hAnsi="Arial"/>
          <w:sz w:val="17"/>
          <w:szCs w:val="17"/>
          <w:i w:val="1"/>
          <w:iCs w:val="1"/>
          <w:color w:val="auto"/>
        </w:rPr>
        <w:t>beherrschendes Unternehmen</w:t>
      </w:r>
      <w:r>
        <w:rPr>
          <w:rFonts w:ascii="Arial" w:cs="Arial" w:eastAsia="Arial" w:hAnsi="Arial"/>
          <w:sz w:val="17"/>
          <w:szCs w:val="17"/>
          <w:color w:val="auto"/>
        </w:rPr>
        <w:t>),</w:t>
      </w:r>
    </w:p>
    <w:p>
      <w:pPr>
        <w:spacing w:after="0" w:line="160" w:lineRule="exact"/>
        <w:rPr>
          <w:sz w:val="20"/>
          <w:szCs w:val="20"/>
          <w:color w:val="auto"/>
        </w:rPr>
      </w:pPr>
    </w:p>
    <w:p>
      <w:pPr>
        <w:jc w:val="both"/>
        <w:ind w:left="1080" w:firstLine="610"/>
        <w:spacing w:after="0" w:line="247" w:lineRule="auto"/>
        <w:rPr>
          <w:sz w:val="20"/>
          <w:szCs w:val="20"/>
          <w:color w:val="auto"/>
        </w:rPr>
      </w:pPr>
      <w:r>
        <w:rPr>
          <w:rFonts w:ascii="Arial" w:cs="Arial" w:eastAsia="Arial" w:hAnsi="Arial"/>
          <w:sz w:val="17"/>
          <w:szCs w:val="17"/>
          <w:color w:val="auto"/>
        </w:rPr>
        <w:t>provided that, if a supreme court decision (</w:t>
      </w:r>
      <w:r>
        <w:rPr>
          <w:rFonts w:ascii="Arial" w:cs="Arial" w:eastAsia="Arial" w:hAnsi="Arial"/>
          <w:sz w:val="17"/>
          <w:szCs w:val="17"/>
          <w:i w:val="1"/>
          <w:iCs w:val="1"/>
          <w:color w:val="auto"/>
        </w:rPr>
        <w:t>höchstrichterliche Rechtsprechung</w:t>
      </w:r>
      <w:r>
        <w:rPr>
          <w:rFonts w:ascii="Arial" w:cs="Arial" w:eastAsia="Arial" w:hAnsi="Arial"/>
          <w:sz w:val="17"/>
          <w:szCs w:val="17"/>
          <w:color w:val="auto"/>
        </w:rPr>
        <w:t>) determined that – in order for section 30 paragraph 1 sentence 2 of the German Limited Liability Companies Act (</w:t>
      </w:r>
      <w:r>
        <w:rPr>
          <w:rFonts w:ascii="Arial" w:cs="Arial" w:eastAsia="Arial" w:hAnsi="Arial"/>
          <w:sz w:val="17"/>
          <w:szCs w:val="17"/>
          <w:i w:val="1"/>
          <w:iCs w:val="1"/>
          <w:color w:val="auto"/>
        </w:rPr>
        <w:t>GmbHG</w:t>
      </w:r>
      <w:r>
        <w:rPr>
          <w:rFonts w:ascii="Arial" w:cs="Arial" w:eastAsia="Arial" w:hAnsi="Arial"/>
          <w:sz w:val="17"/>
          <w:szCs w:val="17"/>
          <w:color w:val="auto"/>
        </w:rPr>
        <w:t>) to apply – a company’s or, in case of a German GmbH &amp; Co KG, its general partner's (</w:t>
      </w:r>
      <w:r>
        <w:rPr>
          <w:rFonts w:ascii="Arial" w:cs="Arial" w:eastAsia="Arial" w:hAnsi="Arial"/>
          <w:sz w:val="17"/>
          <w:szCs w:val="17"/>
          <w:i w:val="1"/>
          <w:iCs w:val="1"/>
          <w:color w:val="auto"/>
        </w:rPr>
        <w:t>persönlich haftender Gesellschafter</w:t>
      </w:r>
      <w:r>
        <w:rPr>
          <w:rFonts w:ascii="Arial" w:cs="Arial" w:eastAsia="Arial" w:hAnsi="Arial"/>
          <w:sz w:val="17"/>
          <w:szCs w:val="17"/>
          <w:color w:val="auto"/>
        </w:rPr>
        <w:t>) claim against the relevant dominating entity under a domination agreement and/or profit and loss transfer agreement must be fully recoverable (</w:t>
      </w:r>
      <w:r>
        <w:rPr>
          <w:rFonts w:ascii="Arial" w:cs="Arial" w:eastAsia="Arial" w:hAnsi="Arial"/>
          <w:sz w:val="17"/>
          <w:szCs w:val="17"/>
          <w:i w:val="1"/>
          <w:iCs w:val="1"/>
          <w:color w:val="auto"/>
        </w:rPr>
        <w:t>voll werthaltig</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clause (g)(ii)</w:t>
      </w:r>
      <w:r>
        <w:rPr>
          <w:rFonts w:ascii="Arial" w:cs="Arial" w:eastAsia="Arial" w:hAnsi="Arial"/>
          <w:sz w:val="17"/>
          <w:szCs w:val="17"/>
          <w:color w:val="auto"/>
        </w:rPr>
        <w:t xml:space="preserve"> shall only apply if the German Loan Party’s or, in case of a GmbH &amp; Co KG, its general partner's claim against the relevant dominating entity is fully recoverable (</w:t>
      </w:r>
      <w:r>
        <w:rPr>
          <w:rFonts w:ascii="Arial" w:cs="Arial" w:eastAsia="Arial" w:hAnsi="Arial"/>
          <w:sz w:val="17"/>
          <w:szCs w:val="17"/>
          <w:i w:val="1"/>
          <w:iCs w:val="1"/>
          <w:color w:val="auto"/>
        </w:rPr>
        <w:t>voll werthaltig</w:t>
      </w:r>
      <w:r>
        <w:rPr>
          <w:rFonts w:ascii="Arial" w:cs="Arial" w:eastAsia="Arial" w:hAnsi="Arial"/>
          <w:sz w:val="17"/>
          <w:szCs w:val="17"/>
          <w:color w:val="auto"/>
        </w:rPr>
        <w:t>), but further provided that, in such case, the relevant German Loan Party or, in case of a GmbH &amp; Co KG, its general partner must prove that or to which extent such claim for loss compensation (</w:t>
      </w:r>
      <w:r>
        <w:rPr>
          <w:rFonts w:ascii="Arial" w:cs="Arial" w:eastAsia="Arial" w:hAnsi="Arial"/>
          <w:sz w:val="17"/>
          <w:szCs w:val="17"/>
          <w:i w:val="1"/>
          <w:iCs w:val="1"/>
          <w:color w:val="auto"/>
        </w:rPr>
        <w:t>Verlustausgleichsanspruch</w:t>
      </w:r>
      <w:r>
        <w:rPr>
          <w:rFonts w:ascii="Arial" w:cs="Arial" w:eastAsia="Arial" w:hAnsi="Arial"/>
          <w:sz w:val="17"/>
          <w:szCs w:val="17"/>
          <w:color w:val="auto"/>
        </w:rPr>
        <w:t>) pursuant to section 302 of the German Stock Corporation Act (</w:t>
      </w:r>
      <w:r>
        <w:rPr>
          <w:rFonts w:ascii="Arial" w:cs="Arial" w:eastAsia="Arial" w:hAnsi="Arial"/>
          <w:sz w:val="17"/>
          <w:szCs w:val="17"/>
          <w:i w:val="1"/>
          <w:iCs w:val="1"/>
          <w:color w:val="auto"/>
        </w:rPr>
        <w:t>Aktiengesetz</w:t>
      </w:r>
      <w:r>
        <w:rPr>
          <w:rFonts w:ascii="Arial" w:cs="Arial" w:eastAsia="Arial" w:hAnsi="Arial"/>
          <w:sz w:val="17"/>
          <w:szCs w:val="17"/>
          <w:color w:val="auto"/>
        </w:rPr>
        <w:t>) is not fully recoverable (</w:t>
      </w:r>
      <w:r>
        <w:rPr>
          <w:rFonts w:ascii="Arial" w:cs="Arial" w:eastAsia="Arial" w:hAnsi="Arial"/>
          <w:sz w:val="17"/>
          <w:szCs w:val="17"/>
          <w:i w:val="1"/>
          <w:iCs w:val="1"/>
          <w:color w:val="auto"/>
        </w:rPr>
        <w:t>voll werthaltig</w:t>
      </w:r>
      <w:r>
        <w:rPr>
          <w:rFonts w:ascii="Arial" w:cs="Arial" w:eastAsia="Arial" w:hAnsi="Arial"/>
          <w:sz w:val="17"/>
          <w:szCs w:val="17"/>
          <w:color w:val="auto"/>
        </w:rPr>
        <w:t>);</w:t>
      </w:r>
    </w:p>
    <w:p>
      <w:pPr>
        <w:spacing w:after="0" w:line="170" w:lineRule="exact"/>
        <w:rPr>
          <w:sz w:val="20"/>
          <w:szCs w:val="20"/>
          <w:color w:val="auto"/>
        </w:rPr>
      </w:pPr>
    </w:p>
    <w:p>
      <w:pPr>
        <w:ind w:left="1280" w:hanging="300"/>
        <w:spacing w:after="0"/>
        <w:tabs>
          <w:tab w:leader="none" w:pos="12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if and to the extent such German Loan Party does not fulfill its obligations set out in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above;</w:t>
      </w:r>
    </w:p>
    <w:p>
      <w:pPr>
        <w:spacing w:after="0" w:line="191" w:lineRule="exact"/>
        <w:rPr>
          <w:rFonts w:ascii="Arial" w:cs="Arial" w:eastAsia="Arial" w:hAnsi="Arial"/>
          <w:sz w:val="17"/>
          <w:szCs w:val="17"/>
          <w:color w:val="auto"/>
        </w:rPr>
      </w:pPr>
    </w:p>
    <w:p>
      <w:pPr>
        <w:jc w:val="both"/>
        <w:ind w:left="320" w:firstLine="660"/>
        <w:spacing w:after="0" w:line="257" w:lineRule="auto"/>
        <w:tabs>
          <w:tab w:leader="none" w:pos="1283" w:val="left"/>
        </w:tabs>
        <w:numPr>
          <w:ilvl w:val="0"/>
          <w:numId w:val="71"/>
        </w:numPr>
        <w:rPr>
          <w:rFonts w:ascii="Arial" w:cs="Arial" w:eastAsia="Arial" w:hAnsi="Arial"/>
          <w:sz w:val="17"/>
          <w:szCs w:val="17"/>
          <w:color w:val="auto"/>
        </w:rPr>
      </w:pPr>
      <w:r>
        <w:rPr>
          <w:rFonts w:ascii="Arial" w:cs="Arial" w:eastAsia="Arial" w:hAnsi="Arial"/>
          <w:sz w:val="17"/>
          <w:szCs w:val="17"/>
          <w:color w:val="auto"/>
        </w:rPr>
        <w:t>if and to the extent that the German Loan Party (or in case of a GmbH &amp; Co. KG, its sole general partner) holds on the date of enforcement of the German Obligation a fully recoverable indemnity or claim for refund (</w:t>
      </w:r>
      <w:r>
        <w:rPr>
          <w:rFonts w:ascii="Arial" w:cs="Arial" w:eastAsia="Arial" w:hAnsi="Arial"/>
          <w:sz w:val="17"/>
          <w:szCs w:val="17"/>
          <w:i w:val="1"/>
          <w:iCs w:val="1"/>
          <w:color w:val="auto"/>
        </w:rPr>
        <w:t>voll werthaltiger Gegenleistungs- oder</w:t>
      </w:r>
      <w:r>
        <w:rPr>
          <w:rFonts w:ascii="Arial" w:cs="Arial" w:eastAsia="Arial" w:hAnsi="Arial"/>
          <w:sz w:val="17"/>
          <w:szCs w:val="17"/>
          <w:color w:val="auto"/>
        </w:rPr>
        <w:t xml:space="preserve"> </w:t>
      </w:r>
      <w:r>
        <w:rPr>
          <w:rFonts w:ascii="Arial" w:cs="Arial" w:eastAsia="Arial" w:hAnsi="Arial"/>
          <w:sz w:val="17"/>
          <w:szCs w:val="17"/>
          <w:i w:val="1"/>
          <w:iCs w:val="1"/>
          <w:color w:val="auto"/>
        </w:rPr>
        <w:t>Rückgewähranspruch</w:t>
      </w:r>
      <w:r>
        <w:rPr>
          <w:rFonts w:ascii="Arial" w:cs="Arial" w:eastAsia="Arial" w:hAnsi="Arial"/>
          <w:sz w:val="17"/>
          <w:szCs w:val="17"/>
          <w:color w:val="auto"/>
        </w:rPr>
        <w:t>) against its shareholder; or</w:t>
      </w:r>
    </w:p>
    <w:p>
      <w:pPr>
        <w:spacing w:after="0" w:line="157" w:lineRule="exact"/>
        <w:rPr>
          <w:rFonts w:ascii="Arial" w:cs="Arial" w:eastAsia="Arial" w:hAnsi="Arial"/>
          <w:sz w:val="17"/>
          <w:szCs w:val="17"/>
          <w:color w:val="auto"/>
        </w:rPr>
      </w:pPr>
    </w:p>
    <w:p>
      <w:pPr>
        <w:jc w:val="both"/>
        <w:ind w:left="320" w:firstLine="660"/>
        <w:spacing w:after="0" w:line="281" w:lineRule="auto"/>
        <w:tabs>
          <w:tab w:leader="none" w:pos="1229"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if and to the extent that, at the time of enforcement of the German Obligation, the limitations set out in </w:t>
      </w:r>
      <w:r>
        <w:rPr>
          <w:rFonts w:ascii="Arial" w:cs="Arial" w:eastAsia="Arial" w:hAnsi="Arial"/>
          <w:sz w:val="16"/>
          <w:szCs w:val="16"/>
          <w:u w:val="single" w:color="auto"/>
          <w:color w:val="auto"/>
        </w:rPr>
        <w:t>clauses (a) through (d)</w:t>
      </w:r>
      <w:r>
        <w:rPr>
          <w:rFonts w:ascii="Arial" w:cs="Arial" w:eastAsia="Arial" w:hAnsi="Arial"/>
          <w:sz w:val="16"/>
          <w:szCs w:val="16"/>
          <w:color w:val="auto"/>
        </w:rPr>
        <w:t xml:space="preserve"> are (due to a Change in Law or otherwise) no longer required in order to protect the managing director(s) of such German Loan Party from being personally liable for such obligation pursuant to sections 43, 30 of the German Limited Liability Companies Act (</w:t>
      </w:r>
      <w:r>
        <w:rPr>
          <w:rFonts w:ascii="Arial" w:cs="Arial" w:eastAsia="Arial" w:hAnsi="Arial"/>
          <w:sz w:val="16"/>
          <w:szCs w:val="16"/>
          <w:i w:val="1"/>
          <w:iCs w:val="1"/>
          <w:color w:val="auto"/>
        </w:rPr>
        <w:t>GmbHG</w:t>
      </w:r>
      <w:r>
        <w:rPr>
          <w:rFonts w:ascii="Arial" w:cs="Arial" w:eastAsia="Arial" w:hAnsi="Arial"/>
          <w:sz w:val="16"/>
          <w:szCs w:val="16"/>
          <w:color w:val="auto"/>
        </w:rPr>
        <w:t>).</w:t>
      </w:r>
    </w:p>
    <w:p>
      <w:pPr>
        <w:spacing w:after="0" w:line="13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240"/>
          </w:cols>
          <w:pgMar w:left="1440" w:top="312" w:right="219" w:bottom="1440" w:gutter="0" w:footer="0" w:header="0"/>
        </w:sectPr>
      </w:pPr>
    </w:p>
    <w:bookmarkStart w:id="72" w:name="page73"/>
    <w:bookmarkEnd w:id="72"/>
    <w:p>
      <w:pPr>
        <w:ind w:left="3" w:right="20" w:firstLine="709"/>
        <w:spacing w:after="0" w:line="271" w:lineRule="auto"/>
        <w:tabs>
          <w:tab w:leader="none" w:pos="961"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No reduction or limitation of the amount enforceable pursuant to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shall prejudice the right of the Secured Parties to continue enforcing the German Obligation until full and final satisfaction of the claims secured.</w:t>
      </w:r>
    </w:p>
    <w:p>
      <w:pPr>
        <w:spacing w:after="0" w:line="139" w:lineRule="exact"/>
        <w:rPr>
          <w:sz w:val="20"/>
          <w:szCs w:val="20"/>
          <w:color w:val="auto"/>
        </w:rPr>
      </w:pPr>
    </w:p>
    <w:p>
      <w:pPr>
        <w:ind w:left="3"/>
        <w:spacing w:after="0"/>
        <w:rPr>
          <w:sz w:val="20"/>
          <w:szCs w:val="20"/>
          <w:color w:val="auto"/>
        </w:rPr>
      </w:pPr>
      <w:r>
        <w:rPr>
          <w:rFonts w:ascii="Arial" w:cs="Arial" w:eastAsia="Arial" w:hAnsi="Arial"/>
          <w:sz w:val="17"/>
          <w:szCs w:val="17"/>
          <w:b w:val="1"/>
          <w:bCs w:val="1"/>
          <w:color w:val="auto"/>
        </w:rPr>
        <w:t>2.15 Cash Collateral</w:t>
      </w:r>
      <w:r>
        <w:rPr>
          <w:rFonts w:ascii="Arial" w:cs="Arial" w:eastAsia="Arial" w:hAnsi="Arial"/>
          <w:sz w:val="17"/>
          <w:szCs w:val="17"/>
          <w:color w:val="auto"/>
        </w:rPr>
        <w:t>.</w:t>
      </w:r>
    </w:p>
    <w:p>
      <w:pPr>
        <w:spacing w:after="0" w:line="197" w:lineRule="exact"/>
        <w:rPr>
          <w:sz w:val="20"/>
          <w:szCs w:val="20"/>
          <w:color w:val="auto"/>
        </w:rPr>
      </w:pPr>
    </w:p>
    <w:p>
      <w:pPr>
        <w:jc w:val="both"/>
        <w:ind w:left="3" w:firstLine="709"/>
        <w:spacing w:after="0" w:line="248" w:lineRule="auto"/>
        <w:tabs>
          <w:tab w:leader="none" w:pos="961" w:val="left"/>
        </w:tabs>
        <w:numPr>
          <w:ilvl w:val="1"/>
          <w:numId w:val="73"/>
        </w:numPr>
        <w:rPr>
          <w:rFonts w:ascii="Arial" w:cs="Arial" w:eastAsia="Arial" w:hAnsi="Arial"/>
          <w:sz w:val="17"/>
          <w:szCs w:val="17"/>
          <w:color w:val="auto"/>
        </w:rPr>
      </w:pPr>
      <w:r>
        <w:rPr>
          <w:rFonts w:ascii="Arial" w:cs="Arial" w:eastAsia="Arial" w:hAnsi="Arial"/>
          <w:sz w:val="17"/>
          <w:szCs w:val="17"/>
          <w:u w:val="single" w:color="auto"/>
          <w:color w:val="auto"/>
        </w:rPr>
        <w:t>Certain Credit Support Events</w:t>
      </w:r>
      <w:r>
        <w:rPr>
          <w:rFonts w:ascii="Arial" w:cs="Arial" w:eastAsia="Arial" w:hAnsi="Arial"/>
          <w:sz w:val="17"/>
          <w:szCs w:val="17"/>
          <w:color w:val="auto"/>
        </w:rPr>
        <w:t xml:space="preserve">. If (i) the L/C Issuer has honored any full or partial drawing request under any Letter of Credit and such drawing has resulted in an L/C Borrowing, (ii) as of the date that is one hundred and eighty (180) days prior to the Maturity Date, any L/C Obligation for any reason remains outstanding, (iii) as of the Maturity Date, any L/C Obligation that has not been Cash Collateralized in accordance with clause (ii) for any reason remains outstanding, (iv) the Borrowers shall be required to provide Cash Collateral pursuant to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8.02(c)</w:t>
      </w:r>
      <w:r>
        <w:rPr>
          <w:rFonts w:ascii="Arial" w:cs="Arial" w:eastAsia="Arial" w:hAnsi="Arial"/>
          <w:sz w:val="17"/>
          <w:szCs w:val="17"/>
          <w:color w:val="auto"/>
        </w:rPr>
        <w:t xml:space="preserve">, or (v) there shall exist a Defaulting Lender, the Company shall immediately (in the case of clause (iv) above) or within one (1) Business Day (in all other cases) following any request by the Administrative Agent or the L/C Issuer, provide Cash Collateral in an amount not less than the applicable Minimum Collateral Amount (determined in the case of Cash Collateral provided pursuant to clause (v) above, after giving effect to </w:t>
      </w:r>
      <w:r>
        <w:rPr>
          <w:rFonts w:ascii="Arial" w:cs="Arial" w:eastAsia="Arial" w:hAnsi="Arial"/>
          <w:sz w:val="17"/>
          <w:szCs w:val="17"/>
          <w:u w:val="single" w:color="auto"/>
          <w:color w:val="auto"/>
        </w:rPr>
        <w:t>Section 2.16(a)(iv)</w:t>
      </w:r>
      <w:r>
        <w:rPr>
          <w:rFonts w:ascii="Arial" w:cs="Arial" w:eastAsia="Arial" w:hAnsi="Arial"/>
          <w:sz w:val="17"/>
          <w:szCs w:val="17"/>
          <w:color w:val="auto"/>
        </w:rPr>
        <w:t xml:space="preserve"> and any Cash Collateral provided by the Defaulting Lender).</w:t>
      </w:r>
    </w:p>
    <w:p>
      <w:pPr>
        <w:spacing w:after="0" w:line="165" w:lineRule="exact"/>
        <w:rPr>
          <w:rFonts w:ascii="Arial" w:cs="Arial" w:eastAsia="Arial" w:hAnsi="Arial"/>
          <w:sz w:val="17"/>
          <w:szCs w:val="17"/>
          <w:color w:val="auto"/>
        </w:rPr>
      </w:pPr>
    </w:p>
    <w:p>
      <w:pPr>
        <w:jc w:val="both"/>
        <w:ind w:left="3" w:firstLine="709"/>
        <w:spacing w:after="0" w:line="247" w:lineRule="auto"/>
        <w:tabs>
          <w:tab w:leader="none" w:pos="970" w:val="left"/>
        </w:tabs>
        <w:numPr>
          <w:ilvl w:val="1"/>
          <w:numId w:val="73"/>
        </w:numPr>
        <w:rPr>
          <w:rFonts w:ascii="Arial" w:cs="Arial" w:eastAsia="Arial" w:hAnsi="Arial"/>
          <w:sz w:val="17"/>
          <w:szCs w:val="17"/>
          <w:color w:val="auto"/>
        </w:rPr>
      </w:pPr>
      <w:r>
        <w:rPr>
          <w:rFonts w:ascii="Arial" w:cs="Arial" w:eastAsia="Arial" w:hAnsi="Arial"/>
          <w:sz w:val="17"/>
          <w:szCs w:val="17"/>
          <w:u w:val="single" w:color="auto"/>
          <w:color w:val="auto"/>
        </w:rPr>
        <w:t>Grant of Security Interest</w:t>
      </w:r>
      <w:r>
        <w:rPr>
          <w:rFonts w:ascii="Arial" w:cs="Arial" w:eastAsia="Arial" w:hAnsi="Arial"/>
          <w:sz w:val="17"/>
          <w:szCs w:val="17"/>
          <w:color w:val="auto"/>
        </w:rPr>
        <w:t xml:space="preserve">. The Company,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Collateral provided pursuant to this Agreement,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7"/>
          <w:szCs w:val="17"/>
          <w:u w:val="single" w:color="auto"/>
          <w:color w:val="auto"/>
        </w:rPr>
        <w:t>Section 2.15(c)</w:t>
      </w:r>
      <w:r>
        <w:rPr>
          <w:rFonts w:ascii="Arial" w:cs="Arial" w:eastAsia="Arial" w:hAnsi="Arial"/>
          <w:sz w:val="17"/>
          <w:szCs w:val="17"/>
          <w:color w:val="auto"/>
        </w:rPr>
        <w:t>. If at any time the Administrative Agent determines that Cash Collateral is subject to any right or claim of any Person other than the Administrative Agent or the L/C Issuer as herein provided, or that the total amount of such Cash Collateral is less than the Minimum Collateral Amount, the Company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one or more blocked, non-interest bearing deposit accounts at Bank of America. The Company shall pay on demand therefor from time to time all customary account opening, activity and other administrative fees and charges in connection with the maintenance and disbursement of Cash Collateral.</w:t>
      </w:r>
    </w:p>
    <w:p>
      <w:pPr>
        <w:spacing w:after="0" w:line="166" w:lineRule="exact"/>
        <w:rPr>
          <w:rFonts w:ascii="Arial" w:cs="Arial" w:eastAsia="Arial" w:hAnsi="Arial"/>
          <w:sz w:val="17"/>
          <w:szCs w:val="17"/>
          <w:color w:val="auto"/>
        </w:rPr>
      </w:pPr>
    </w:p>
    <w:p>
      <w:pPr>
        <w:jc w:val="both"/>
        <w:ind w:left="3" w:firstLine="709"/>
        <w:spacing w:after="0" w:line="251" w:lineRule="auto"/>
        <w:tabs>
          <w:tab w:leader="none" w:pos="949" w:val="left"/>
        </w:tabs>
        <w:numPr>
          <w:ilvl w:val="1"/>
          <w:numId w:val="73"/>
        </w:numPr>
        <w:rPr>
          <w:rFonts w:ascii="Arial" w:cs="Arial" w:eastAsia="Arial" w:hAnsi="Arial"/>
          <w:sz w:val="17"/>
          <w:szCs w:val="17"/>
          <w:color w:val="auto"/>
        </w:rPr>
      </w:pPr>
      <w:r>
        <w:rPr>
          <w:rFonts w:ascii="Arial" w:cs="Arial" w:eastAsia="Arial" w:hAnsi="Arial"/>
          <w:sz w:val="17"/>
          <w:szCs w:val="17"/>
          <w:u w:val="single" w:color="auto"/>
          <w:color w:val="auto"/>
        </w:rPr>
        <w:t>Application</w:t>
      </w:r>
      <w:r>
        <w:rPr>
          <w:rFonts w:ascii="Arial" w:cs="Arial" w:eastAsia="Arial" w:hAnsi="Arial"/>
          <w:sz w:val="17"/>
          <w:szCs w:val="17"/>
          <w:color w:val="auto"/>
        </w:rPr>
        <w:t xml:space="preserve">. Notwithstanding anything to the contrary contained in this Agreement, Cash Collateral provided under any of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Sections 2.03</w:t>
      </w:r>
      <w:r>
        <w:rPr>
          <w:rFonts w:ascii="Arial" w:cs="Arial" w:eastAsia="Arial" w:hAnsi="Arial"/>
          <w:sz w:val="17"/>
          <w:szCs w:val="17"/>
          <w:color w:val="auto"/>
        </w:rPr>
        <w:t xml:space="preserve">, </w:t>
      </w:r>
      <w:r>
        <w:rPr>
          <w:rFonts w:ascii="Arial" w:cs="Arial" w:eastAsia="Arial" w:hAnsi="Arial"/>
          <w:sz w:val="17"/>
          <w:szCs w:val="17"/>
          <w:u w:val="single" w:color="auto"/>
          <w:color w:val="auto"/>
        </w:rPr>
        <w:t>2.05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8.02</w:t>
      </w:r>
      <w:r>
        <w:rPr>
          <w:rFonts w:ascii="Arial" w:cs="Arial" w:eastAsia="Arial" w:hAnsi="Arial"/>
          <w:sz w:val="17"/>
          <w:szCs w:val="17"/>
          <w:color w:val="auto"/>
        </w:rPr>
        <w:t xml:space="preserve"> in respect of Letters of Credit shall be held and applied to the satisfaction of the specific L/C Obligations, obligations to fund participations therein (including, as to Cash Collateral provided by a Revolving Credit Lender that is a Defaulting Lender, any interest accrued on such obligation) and other obligations for which the Cash Collateral was so provided, prior to any other application of such property as may be provided for herein.</w:t>
      </w:r>
    </w:p>
    <w:p>
      <w:pPr>
        <w:spacing w:after="0" w:line="161" w:lineRule="exact"/>
        <w:rPr>
          <w:rFonts w:ascii="Arial" w:cs="Arial" w:eastAsia="Arial" w:hAnsi="Arial"/>
          <w:sz w:val="17"/>
          <w:szCs w:val="17"/>
          <w:color w:val="auto"/>
        </w:rPr>
      </w:pPr>
    </w:p>
    <w:p>
      <w:pPr>
        <w:jc w:val="both"/>
        <w:ind w:left="3" w:firstLine="709"/>
        <w:spacing w:after="0" w:line="283" w:lineRule="auto"/>
        <w:tabs>
          <w:tab w:leader="none" w:pos="970" w:val="left"/>
        </w:tabs>
        <w:numPr>
          <w:ilvl w:val="1"/>
          <w:numId w:val="73"/>
        </w:numPr>
        <w:rPr>
          <w:rFonts w:ascii="Arial" w:cs="Arial" w:eastAsia="Arial" w:hAnsi="Arial"/>
          <w:sz w:val="15"/>
          <w:szCs w:val="15"/>
          <w:color w:val="auto"/>
        </w:rPr>
      </w:pPr>
      <w:r>
        <w:rPr>
          <w:rFonts w:ascii="Arial" w:cs="Arial" w:eastAsia="Arial" w:hAnsi="Arial"/>
          <w:sz w:val="15"/>
          <w:szCs w:val="15"/>
          <w:u w:val="single" w:color="auto"/>
          <w:color w:val="auto"/>
        </w:rPr>
        <w:t>Release</w:t>
      </w:r>
      <w:r>
        <w:rPr>
          <w:rFonts w:ascii="Arial" w:cs="Arial" w:eastAsia="Arial" w:hAnsi="Arial"/>
          <w:sz w:val="15"/>
          <w:szCs w:val="15"/>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Revolving Credit Lender (or, as appropriate, its assignee following compliance with </w:t>
      </w:r>
      <w:r>
        <w:rPr>
          <w:rFonts w:ascii="Arial" w:cs="Arial" w:eastAsia="Arial" w:hAnsi="Arial"/>
          <w:sz w:val="15"/>
          <w:szCs w:val="15"/>
          <w:u w:val="single" w:color="auto"/>
          <w:color w:val="auto"/>
        </w:rPr>
        <w:t>Section 11.06(b)(vi)</w:t>
      </w:r>
      <w:r>
        <w:rPr>
          <w:rFonts w:ascii="Arial" w:cs="Arial" w:eastAsia="Arial" w:hAnsi="Arial"/>
          <w:sz w:val="15"/>
          <w:szCs w:val="15"/>
          <w:color w:val="auto"/>
        </w:rPr>
        <w:t>)) or</w:t>
      </w:r>
    </w:p>
    <w:p>
      <w:pPr>
        <w:spacing w:after="0" w:line="1" w:lineRule="exact"/>
        <w:rPr>
          <w:rFonts w:ascii="Arial" w:cs="Arial" w:eastAsia="Arial" w:hAnsi="Arial"/>
          <w:sz w:val="15"/>
          <w:szCs w:val="15"/>
          <w:color w:val="auto"/>
        </w:rPr>
      </w:pPr>
    </w:p>
    <w:p>
      <w:pPr>
        <w:jc w:val="both"/>
        <w:ind w:left="3" w:hanging="3"/>
        <w:spacing w:after="0" w:line="268" w:lineRule="auto"/>
        <w:tabs>
          <w:tab w:leader="none" w:pos="270"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the determination by the Administrative Agent and the L/C Issuer that there exists excess Cash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(A) any such release shall be without prejudice to, and any disbursement or other transfer of Cash Collateral shall be and remain subject to, any other Lien conferred under the Loan Documents and the other applicable provisions of the Loan Documents, and (B) the Person providing Cash Collateral and the L/C Issuer may agree that Cash Collateral shall not be released but instead held to support future anticipated Fronting Exposure or other obligations.</w:t>
      </w:r>
    </w:p>
    <w:p>
      <w:pPr>
        <w:spacing w:after="0" w:line="143" w:lineRule="exact"/>
        <w:rPr>
          <w:sz w:val="20"/>
          <w:szCs w:val="20"/>
          <w:color w:val="auto"/>
        </w:rPr>
      </w:pPr>
    </w:p>
    <w:p>
      <w:pPr>
        <w:ind w:left="3"/>
        <w:spacing w:after="0"/>
        <w:rPr>
          <w:sz w:val="20"/>
          <w:szCs w:val="20"/>
          <w:color w:val="auto"/>
        </w:rPr>
      </w:pPr>
      <w:r>
        <w:rPr>
          <w:rFonts w:ascii="Arial" w:cs="Arial" w:eastAsia="Arial" w:hAnsi="Arial"/>
          <w:sz w:val="17"/>
          <w:szCs w:val="17"/>
          <w:b w:val="1"/>
          <w:bCs w:val="1"/>
          <w:color w:val="auto"/>
        </w:rPr>
        <w:t>2.16 Defaulting Lenders</w:t>
      </w:r>
      <w:r>
        <w:rPr>
          <w:rFonts w:ascii="Arial" w:cs="Arial" w:eastAsia="Arial" w:hAnsi="Arial"/>
          <w:sz w:val="17"/>
          <w:szCs w:val="17"/>
          <w:color w:val="auto"/>
        </w:rPr>
        <w:t>.</w:t>
      </w:r>
    </w:p>
    <w:p>
      <w:pPr>
        <w:spacing w:after="0" w:line="197" w:lineRule="exact"/>
        <w:rPr>
          <w:sz w:val="20"/>
          <w:szCs w:val="20"/>
          <w:color w:val="auto"/>
        </w:rPr>
      </w:pPr>
    </w:p>
    <w:p>
      <w:pPr>
        <w:ind w:left="3" w:firstLine="709"/>
        <w:spacing w:after="0" w:line="271" w:lineRule="auto"/>
        <w:tabs>
          <w:tab w:leader="none" w:pos="949"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45" w:lineRule="exact"/>
        <w:rPr>
          <w:sz w:val="20"/>
          <w:szCs w:val="20"/>
          <w:color w:val="auto"/>
        </w:rPr>
      </w:pPr>
    </w:p>
    <w:p>
      <w:pPr>
        <w:ind w:left="4863"/>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0683"/>
          </w:cols>
          <w:pgMar w:left="997" w:top="312" w:right="219" w:bottom="1440" w:gutter="0" w:footer="0" w:header="0"/>
        </w:sectPr>
      </w:pPr>
    </w:p>
    <w:bookmarkStart w:id="73" w:name="page74"/>
    <w:bookmarkEnd w:id="73"/>
    <w:p>
      <w:pPr>
        <w:jc w:val="both"/>
        <w:ind w:left="320" w:firstLine="660"/>
        <w:spacing w:after="0" w:line="257" w:lineRule="auto"/>
        <w:tabs>
          <w:tab w:leader="none" w:pos="1210"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Waivers and Amendments</w:t>
      </w:r>
      <w:r>
        <w:rPr>
          <w:rFonts w:ascii="Arial" w:cs="Arial" w:eastAsia="Arial" w:hAnsi="Arial"/>
          <w:sz w:val="17"/>
          <w:szCs w:val="17"/>
          <w:color w:val="auto"/>
        </w:rPr>
        <w:t xml:space="preserve">. Such Defaulting Lender’s right to approve or disapprove any amendment, waiver or consent with respect to this Agreement shall be restricted as set forth in the definitions of “Required Lenders”, “Required Company Term Lenders”, “Required Gentherm Germany Term Lenders” and “Required Revolving Lenders” and </w:t>
      </w:r>
      <w:r>
        <w:rPr>
          <w:rFonts w:ascii="Arial" w:cs="Arial" w:eastAsia="Arial" w:hAnsi="Arial"/>
          <w:sz w:val="17"/>
          <w:szCs w:val="17"/>
          <w:u w:val="single" w:color="auto"/>
          <w:color w:val="auto"/>
        </w:rPr>
        <w:t>Section 11.01</w:t>
      </w:r>
      <w:r>
        <w:rPr>
          <w:rFonts w:ascii="Arial" w:cs="Arial" w:eastAsia="Arial" w:hAnsi="Arial"/>
          <w:sz w:val="17"/>
          <w:szCs w:val="17"/>
          <w:color w:val="auto"/>
        </w:rPr>
        <w:t>.</w:t>
      </w:r>
    </w:p>
    <w:p>
      <w:pPr>
        <w:spacing w:after="0" w:line="157" w:lineRule="exact"/>
        <w:rPr>
          <w:rFonts w:ascii="Arial" w:cs="Arial" w:eastAsia="Arial" w:hAnsi="Arial"/>
          <w:sz w:val="17"/>
          <w:szCs w:val="17"/>
          <w:color w:val="auto"/>
        </w:rPr>
      </w:pPr>
    </w:p>
    <w:p>
      <w:pPr>
        <w:jc w:val="both"/>
        <w:ind w:left="320" w:firstLine="660"/>
        <w:spacing w:after="0" w:line="279" w:lineRule="auto"/>
        <w:tabs>
          <w:tab w:leader="none" w:pos="1234" w:val="left"/>
        </w:tabs>
        <w:numPr>
          <w:ilvl w:val="0"/>
          <w:numId w:val="76"/>
        </w:numPr>
        <w:rPr>
          <w:rFonts w:ascii="Arial" w:cs="Arial" w:eastAsia="Arial" w:hAnsi="Arial"/>
          <w:sz w:val="15"/>
          <w:szCs w:val="15"/>
          <w:color w:val="auto"/>
        </w:rPr>
      </w:pPr>
      <w:r>
        <w:rPr>
          <w:rFonts w:ascii="Arial" w:cs="Arial" w:eastAsia="Arial" w:hAnsi="Arial"/>
          <w:sz w:val="15"/>
          <w:szCs w:val="15"/>
          <w:u w:val="single" w:color="auto"/>
          <w:color w:val="auto"/>
        </w:rPr>
        <w:t>Defaulting Lender Waterfall</w:t>
      </w:r>
      <w:r>
        <w:rPr>
          <w:rFonts w:ascii="Arial" w:cs="Arial" w:eastAsia="Arial" w:hAnsi="Arial"/>
          <w:sz w:val="15"/>
          <w:szCs w:val="15"/>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or otherwise) or received by the Administrative Agent from a Defaulting Lender pursuant to </w:t>
      </w:r>
      <w:r>
        <w:rPr>
          <w:rFonts w:ascii="Arial" w:cs="Arial" w:eastAsia="Arial" w:hAnsi="Arial"/>
          <w:sz w:val="15"/>
          <w:szCs w:val="15"/>
          <w:u w:val="single" w:color="auto"/>
          <w:color w:val="auto"/>
        </w:rPr>
        <w:t>Section 11.08</w:t>
      </w:r>
      <w:r>
        <w:rPr>
          <w:rFonts w:ascii="Arial" w:cs="Arial" w:eastAsia="Arial" w:hAnsi="Arial"/>
          <w:sz w:val="15"/>
          <w:szCs w:val="15"/>
          <w:color w:val="auto"/>
        </w:rPr>
        <w:t xml:space="preserve"> shall be applied at such time or times as may be determined by the Administrative Agent as follows: </w:t>
      </w:r>
      <w:r>
        <w:rPr>
          <w:rFonts w:ascii="Arial" w:cs="Arial" w:eastAsia="Arial" w:hAnsi="Arial"/>
          <w:sz w:val="15"/>
          <w:szCs w:val="15"/>
          <w:u w:val="single" w:color="auto"/>
          <w:color w:val="auto"/>
        </w:rPr>
        <w:t>first</w:t>
      </w:r>
      <w:r>
        <w:rPr>
          <w:rFonts w:ascii="Arial" w:cs="Arial" w:eastAsia="Arial" w:hAnsi="Arial"/>
          <w:sz w:val="15"/>
          <w:szCs w:val="15"/>
          <w:color w:val="auto"/>
        </w:rPr>
        <w:t xml:space="preserve">, to the payment of any amounts owing by such Defaulting Lender to the Administrative Agent hereunder; </w:t>
      </w:r>
      <w:r>
        <w:rPr>
          <w:rFonts w:ascii="Arial" w:cs="Arial" w:eastAsia="Arial" w:hAnsi="Arial"/>
          <w:sz w:val="15"/>
          <w:szCs w:val="15"/>
          <w:u w:val="single" w:color="auto"/>
          <w:color w:val="auto"/>
        </w:rPr>
        <w:t>second</w:t>
      </w:r>
      <w:r>
        <w:rPr>
          <w:rFonts w:ascii="Arial" w:cs="Arial" w:eastAsia="Arial" w:hAnsi="Arial"/>
          <w:sz w:val="15"/>
          <w:szCs w:val="15"/>
          <w:color w:val="auto"/>
        </w:rPr>
        <w:t xml:space="preserve">, to the payment on a pro rata basis of any amounts owing by such Defaulting Lender to the L/C Issuer or Swing Line Lender hereunder; </w:t>
      </w:r>
      <w:r>
        <w:rPr>
          <w:rFonts w:ascii="Arial" w:cs="Arial" w:eastAsia="Arial" w:hAnsi="Arial"/>
          <w:sz w:val="15"/>
          <w:szCs w:val="15"/>
          <w:u w:val="single" w:color="auto"/>
          <w:color w:val="auto"/>
        </w:rPr>
        <w:t>third</w:t>
      </w:r>
      <w:r>
        <w:rPr>
          <w:rFonts w:ascii="Arial" w:cs="Arial" w:eastAsia="Arial" w:hAnsi="Arial"/>
          <w:sz w:val="15"/>
          <w:szCs w:val="15"/>
          <w:color w:val="auto"/>
        </w:rPr>
        <w:t xml:space="preserve">, to Cash Collateralize the L/C Issuer’s Fronting Exposure with respect to such Defaulting Lender in accordance with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2.15</w:t>
      </w:r>
      <w:r>
        <w:rPr>
          <w:rFonts w:ascii="Arial" w:cs="Arial" w:eastAsia="Arial" w:hAnsi="Arial"/>
          <w:sz w:val="15"/>
          <w:szCs w:val="15"/>
          <w:color w:val="auto"/>
        </w:rPr>
        <w:t xml:space="preserve">; </w:t>
      </w:r>
      <w:r>
        <w:rPr>
          <w:rFonts w:ascii="Arial" w:cs="Arial" w:eastAsia="Arial" w:hAnsi="Arial"/>
          <w:sz w:val="15"/>
          <w:szCs w:val="15"/>
          <w:u w:val="single" w:color="auto"/>
          <w:color w:val="auto"/>
        </w:rPr>
        <w:t>fourth</w:t>
      </w:r>
      <w:r>
        <w:rPr>
          <w:rFonts w:ascii="Arial" w:cs="Arial" w:eastAsia="Arial" w:hAnsi="Arial"/>
          <w:sz w:val="15"/>
          <w:szCs w:val="15"/>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5"/>
          <w:szCs w:val="15"/>
          <w:u w:val="single" w:color="auto"/>
          <w:color w:val="auto"/>
        </w:rPr>
        <w:t>fifth</w:t>
      </w:r>
      <w:r>
        <w:rPr>
          <w:rFonts w:ascii="Arial" w:cs="Arial" w:eastAsia="Arial" w:hAnsi="Arial"/>
          <w:sz w:val="15"/>
          <w:szCs w:val="15"/>
          <w:color w:val="auto"/>
        </w:rPr>
        <w:t xml:space="preserve">, if so determined by the Administrative Agent and the Company, to be held in a deposit account and released pro rata in order to (A) satisfy such Defaulting Lender’s potential future funding obligations with respect to Loans under this Agreement and (B) Cash Collateralize the L/C Issuer’s future Fronting Exposure with respect to such Defaulting Lender with respect to future Letters of Credit issued under this Agreement, in accordance with </w:t>
      </w:r>
      <w:r>
        <w:rPr>
          <w:rFonts w:ascii="Arial" w:cs="Arial" w:eastAsia="Arial" w:hAnsi="Arial"/>
          <w:sz w:val="15"/>
          <w:szCs w:val="15"/>
          <w:u w:val="single" w:color="auto"/>
          <w:color w:val="auto"/>
        </w:rPr>
        <w:t>Section 2.15</w:t>
      </w:r>
      <w:r>
        <w:rPr>
          <w:rFonts w:ascii="Arial" w:cs="Arial" w:eastAsia="Arial" w:hAnsi="Arial"/>
          <w:sz w:val="15"/>
          <w:szCs w:val="15"/>
          <w:color w:val="auto"/>
        </w:rPr>
        <w:t xml:space="preserve">; </w:t>
      </w:r>
      <w:r>
        <w:rPr>
          <w:rFonts w:ascii="Arial" w:cs="Arial" w:eastAsia="Arial" w:hAnsi="Arial"/>
          <w:sz w:val="15"/>
          <w:szCs w:val="15"/>
          <w:u w:val="single" w:color="auto"/>
          <w:color w:val="auto"/>
        </w:rPr>
        <w:t>sixth</w:t>
      </w:r>
      <w:r>
        <w:rPr>
          <w:rFonts w:ascii="Arial" w:cs="Arial" w:eastAsia="Arial" w:hAnsi="Arial"/>
          <w:sz w:val="15"/>
          <w:szCs w:val="15"/>
          <w:color w:val="auto"/>
        </w:rPr>
        <w:t xml:space="preserve">, to the payment of any amounts owing to the Lenders, the L/C Issuer or Swing Line Lender as a result of any judgment of a court of competent jurisdiction obtained by any Lender, the L/C Issuer or the Swing Line Lender against such Defaulting Lender as a result of such Defaulting Lender’s breach of its obligations under this Agreement; </w:t>
      </w:r>
      <w:r>
        <w:rPr>
          <w:rFonts w:ascii="Arial" w:cs="Arial" w:eastAsia="Arial" w:hAnsi="Arial"/>
          <w:sz w:val="15"/>
          <w:szCs w:val="15"/>
          <w:u w:val="single" w:color="auto"/>
          <w:color w:val="auto"/>
        </w:rPr>
        <w:t>seventh</w:t>
      </w:r>
      <w:r>
        <w:rPr>
          <w:rFonts w:ascii="Arial" w:cs="Arial" w:eastAsia="Arial" w:hAnsi="Arial"/>
          <w:sz w:val="15"/>
          <w:szCs w:val="15"/>
          <w:color w:val="auto"/>
        </w:rPr>
        <w:t xml:space="preserve">, so long as no Default or Event of Default exists, to the payment of any amounts owing to the Company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5"/>
          <w:szCs w:val="15"/>
          <w:u w:val="single" w:color="auto"/>
          <w:color w:val="auto"/>
        </w:rPr>
        <w:t>eighth</w:t>
      </w:r>
      <w:r>
        <w:rPr>
          <w:rFonts w:ascii="Arial" w:cs="Arial" w:eastAsia="Arial" w:hAnsi="Arial"/>
          <w:sz w:val="15"/>
          <w:szCs w:val="15"/>
          <w:color w:val="auto"/>
        </w:rPr>
        <w:t xml:space="preserve">, to such Defaulting Lender or as otherwise as may be required under the Loan Documents in connection with any Lien conferred thereunder or directed by a court of competent jurisdiction;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(1) such payment is a payment of the principal amount of any Loans or L/C Borrowings in respect of which such Defaulting Lender has not fully funded its appropriate share, and (2) such Loans were made or the related Letters of Credit were issued at a time when the conditions set forth in </w:t>
      </w:r>
      <w:r>
        <w:rPr>
          <w:rFonts w:ascii="Arial" w:cs="Arial" w:eastAsia="Arial" w:hAnsi="Arial"/>
          <w:sz w:val="15"/>
          <w:szCs w:val="15"/>
          <w:u w:val="single" w:color="auto"/>
          <w:color w:val="auto"/>
        </w:rPr>
        <w:t>Section 4.02</w:t>
      </w:r>
      <w:r>
        <w:rPr>
          <w:rFonts w:ascii="Arial" w:cs="Arial" w:eastAsia="Arial" w:hAnsi="Arial"/>
          <w:sz w:val="15"/>
          <w:szCs w:val="15"/>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Arial" w:cs="Arial" w:eastAsia="Arial" w:hAnsi="Arial"/>
          <w:sz w:val="15"/>
          <w:szCs w:val="15"/>
          <w:u w:val="single" w:color="auto"/>
          <w:color w:val="auto"/>
        </w:rPr>
        <w:t>Section 2.16(a)(v)</w:t>
      </w:r>
      <w:r>
        <w:rPr>
          <w:rFonts w:ascii="Arial" w:cs="Arial" w:eastAsia="Arial" w:hAnsi="Arial"/>
          <w:sz w:val="15"/>
          <w:szCs w:val="15"/>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5"/>
          <w:szCs w:val="15"/>
          <w:u w:val="single" w:color="auto"/>
          <w:color w:val="auto"/>
        </w:rPr>
        <w:t>Section 2.16(a)(ii)</w:t>
      </w:r>
      <w:r>
        <w:rPr>
          <w:rFonts w:ascii="Arial" w:cs="Arial" w:eastAsia="Arial" w:hAnsi="Arial"/>
          <w:sz w:val="15"/>
          <w:szCs w:val="15"/>
          <w:color w:val="auto"/>
        </w:rPr>
        <w:t xml:space="preserve"> shall be deemed paid to and redirected by such Defaulting Lender, and each Lender irrevocably consents hereto.</w:t>
      </w:r>
    </w:p>
    <w:p>
      <w:pPr>
        <w:spacing w:after="0" w:line="355" w:lineRule="exact"/>
        <w:rPr>
          <w:rFonts w:ascii="Arial" w:cs="Arial" w:eastAsia="Arial" w:hAnsi="Arial"/>
          <w:sz w:val="15"/>
          <w:szCs w:val="15"/>
          <w:color w:val="auto"/>
        </w:rPr>
      </w:pPr>
    </w:p>
    <w:p>
      <w:pPr>
        <w:ind w:left="1280" w:hanging="300"/>
        <w:spacing w:after="0"/>
        <w:tabs>
          <w:tab w:leader="none" w:pos="1280"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Certain Fees</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jc w:val="both"/>
        <w:ind w:left="1080" w:right="20" w:firstLine="612"/>
        <w:spacing w:after="0" w:line="261" w:lineRule="auto"/>
        <w:tabs>
          <w:tab w:leader="none" w:pos="1983"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Fees</w:t>
      </w:r>
      <w:r>
        <w:rPr>
          <w:rFonts w:ascii="Arial" w:cs="Arial" w:eastAsia="Arial" w:hAnsi="Arial"/>
          <w:sz w:val="17"/>
          <w:szCs w:val="17"/>
          <w:b w:val="1"/>
          <w:bCs w:val="1"/>
          <w:color w:val="auto"/>
        </w:rPr>
        <w:t>.</w:t>
      </w:r>
      <w:r>
        <w:rPr>
          <w:rFonts w:ascii="Arial" w:cs="Arial" w:eastAsia="Arial" w:hAnsi="Arial"/>
          <w:sz w:val="17"/>
          <w:szCs w:val="17"/>
          <w:color w:val="auto"/>
        </w:rPr>
        <w:t xml:space="preserve"> No Defaulting Lender shall be entitled to receive any fee payable under </w:t>
      </w:r>
      <w:r>
        <w:rPr>
          <w:rFonts w:ascii="Arial" w:cs="Arial" w:eastAsia="Arial" w:hAnsi="Arial"/>
          <w:sz w:val="17"/>
          <w:szCs w:val="17"/>
          <w:u w:val="single" w:color="auto"/>
          <w:color w:val="auto"/>
        </w:rPr>
        <w:t>Section 2.09(a)</w:t>
      </w:r>
      <w:r>
        <w:rPr>
          <w:rFonts w:ascii="Arial" w:cs="Arial" w:eastAsia="Arial" w:hAnsi="Arial"/>
          <w:sz w:val="17"/>
          <w:szCs w:val="17"/>
          <w:color w:val="auto"/>
        </w:rPr>
        <w:t xml:space="preserve"> for any period during which that Lender is a Defaulting Lender (and the Company shall not be required to pay any such fee that otherwise would have been required to have been paid to that Defaulting Lender).</w:t>
      </w:r>
    </w:p>
    <w:p>
      <w:pPr>
        <w:spacing w:after="0" w:line="153" w:lineRule="exact"/>
        <w:rPr>
          <w:rFonts w:ascii="Arial" w:cs="Arial" w:eastAsia="Arial" w:hAnsi="Arial"/>
          <w:sz w:val="17"/>
          <w:szCs w:val="17"/>
          <w:color w:val="auto"/>
        </w:rPr>
      </w:pPr>
    </w:p>
    <w:p>
      <w:pPr>
        <w:jc w:val="both"/>
        <w:ind w:left="1080" w:firstLine="612"/>
        <w:spacing w:after="0" w:line="257" w:lineRule="auto"/>
        <w:tabs>
          <w:tab w:leader="none" w:pos="1974"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Letter of Credit Fees</w:t>
      </w:r>
      <w:r>
        <w:rPr>
          <w:rFonts w:ascii="Arial" w:cs="Arial" w:eastAsia="Arial" w:hAnsi="Arial"/>
          <w:sz w:val="17"/>
          <w:szCs w:val="17"/>
          <w:color w:val="auto"/>
        </w:rPr>
        <w:t xml:space="preserve">. Each Defaulting Lender shall be entitled to receive Letter of Credit Fees for any period during which that Lender is a Defaulting Lender only to the extent allocable to its Applicable Revolving Percentage of the stated amount of Letters of Credit for which it has provided Cash Collateral pursuant to </w:t>
      </w:r>
      <w:r>
        <w:rPr>
          <w:rFonts w:ascii="Arial" w:cs="Arial" w:eastAsia="Arial" w:hAnsi="Arial"/>
          <w:sz w:val="17"/>
          <w:szCs w:val="17"/>
          <w:u w:val="single" w:color="auto"/>
          <w:color w:val="auto"/>
        </w:rPr>
        <w:t>Section 2.15</w:t>
      </w:r>
      <w:r>
        <w:rPr>
          <w:rFonts w:ascii="Arial" w:cs="Arial" w:eastAsia="Arial" w:hAnsi="Arial"/>
          <w:sz w:val="17"/>
          <w:szCs w:val="17"/>
          <w:color w:val="auto"/>
        </w:rPr>
        <w:t>.</w:t>
      </w:r>
    </w:p>
    <w:p>
      <w:pPr>
        <w:spacing w:after="0" w:line="157"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0240"/>
          </w:cols>
          <w:pgMar w:left="1440" w:top="500" w:right="219" w:bottom="1440" w:gutter="0" w:footer="0" w:header="0"/>
        </w:sectPr>
      </w:pPr>
    </w:p>
    <w:bookmarkStart w:id="74" w:name="page75"/>
    <w:bookmarkEnd w:id="74"/>
    <w:p>
      <w:pPr>
        <w:jc w:val="both"/>
        <w:ind w:left="2280" w:firstLine="612"/>
        <w:spacing w:after="0" w:line="249" w:lineRule="auto"/>
        <w:tabs>
          <w:tab w:leader="none" w:pos="3174" w:val="left"/>
        </w:tabs>
        <w:numPr>
          <w:ilvl w:val="2"/>
          <w:numId w:val="77"/>
        </w:numPr>
        <w:rPr>
          <w:rFonts w:ascii="Arial" w:cs="Arial" w:eastAsia="Arial" w:hAnsi="Arial"/>
          <w:sz w:val="17"/>
          <w:szCs w:val="17"/>
          <w:color w:val="auto"/>
        </w:rPr>
      </w:pPr>
      <w:r>
        <w:rPr>
          <w:rFonts w:ascii="Arial" w:cs="Arial" w:eastAsia="Arial" w:hAnsi="Arial"/>
          <w:sz w:val="17"/>
          <w:szCs w:val="17"/>
          <w:u w:val="single" w:color="auto"/>
          <w:color w:val="auto"/>
        </w:rPr>
        <w:t>Defaulting Lender Fees</w:t>
      </w:r>
      <w:r>
        <w:rPr>
          <w:rFonts w:ascii="Arial" w:cs="Arial" w:eastAsia="Arial" w:hAnsi="Arial"/>
          <w:sz w:val="17"/>
          <w:szCs w:val="17"/>
          <w:color w:val="auto"/>
        </w:rPr>
        <w:t>. With respect to any Letter of Credit Fee not required to be paid to any Defaulting Lender pursuant to clause (B) above, the Company shall (1) pay to each Non-Defaulting Lender that portion of any such fee otherwise payable to such Defaulting Lender with respect to such Defaulting Lender’s participation in L/C Obligations that has been reallocated to such Non-Defaulting Lender pursuant to clause (iv) below, (2) pay to the L/C Issuer the amount of any such fee otherwise payable to such Defaulting Lender to the extent allocable to such L/C Issuer’s Fronting Exposure to such Defaulting Lender, and (3) not be required to pay the remaining amount of any such fee.</w:t>
      </w:r>
    </w:p>
    <w:p>
      <w:pPr>
        <w:spacing w:after="0" w:line="166" w:lineRule="exact"/>
        <w:rPr>
          <w:rFonts w:ascii="Arial" w:cs="Arial" w:eastAsia="Arial" w:hAnsi="Arial"/>
          <w:sz w:val="17"/>
          <w:szCs w:val="17"/>
          <w:color w:val="auto"/>
        </w:rPr>
      </w:pPr>
    </w:p>
    <w:p>
      <w:pPr>
        <w:jc w:val="both"/>
        <w:ind w:left="1520" w:firstLine="660"/>
        <w:spacing w:after="0" w:line="285" w:lineRule="auto"/>
        <w:tabs>
          <w:tab w:leader="none" w:pos="2484" w:val="left"/>
        </w:tabs>
        <w:numPr>
          <w:ilvl w:val="1"/>
          <w:numId w:val="78"/>
        </w:numPr>
        <w:rPr>
          <w:rFonts w:ascii="Arial" w:cs="Arial" w:eastAsia="Arial" w:hAnsi="Arial"/>
          <w:sz w:val="15"/>
          <w:szCs w:val="15"/>
          <w:color w:val="auto"/>
        </w:rPr>
      </w:pPr>
      <w:r>
        <w:rPr>
          <w:rFonts w:ascii="Arial" w:cs="Arial" w:eastAsia="Arial" w:hAnsi="Arial"/>
          <w:sz w:val="15"/>
          <w:szCs w:val="15"/>
          <w:u w:val="single" w:color="auto"/>
          <w:color w:val="auto"/>
        </w:rPr>
        <w:t>Reallocation of Applicable Revolving Percentages to Reduce Fronting Exposure</w:t>
      </w:r>
      <w:r>
        <w:rPr>
          <w:rFonts w:ascii="Arial" w:cs="Arial" w:eastAsia="Arial" w:hAnsi="Arial"/>
          <w:sz w:val="15"/>
          <w:szCs w:val="15"/>
          <w:color w:val="auto"/>
        </w:rPr>
        <w:t xml:space="preserve">. All or any part of such Defaulting Lender’s participation in L/C Obligations and Swing Line Loans shall be reallocated among the Non-Defaulting Lenders in accordance with their respective Applicable Revolving Percentages (calculated without regard to such Defaulting Lender’s Revolving Credit Commitment) but only to the extent that (A) the conditions set forth in </w:t>
      </w:r>
      <w:r>
        <w:rPr>
          <w:rFonts w:ascii="Arial" w:cs="Arial" w:eastAsia="Arial" w:hAnsi="Arial"/>
          <w:sz w:val="15"/>
          <w:szCs w:val="15"/>
          <w:u w:val="single" w:color="auto"/>
          <w:color w:val="auto"/>
        </w:rPr>
        <w:t>Section 4.02</w:t>
      </w:r>
      <w:r>
        <w:rPr>
          <w:rFonts w:ascii="Arial" w:cs="Arial" w:eastAsia="Arial" w:hAnsi="Arial"/>
          <w:sz w:val="15"/>
          <w:szCs w:val="15"/>
          <w:color w:val="auto"/>
        </w:rPr>
        <w:t xml:space="preserve"> are satisfied at the time of such reallocation (and, unless the Company shall have otherwise notified the Administrative Agent at such time, the Company shall be deemed to have represented and warranted that such conditions are satisfied at such time), and (B) such reallocation does not cause the aggregate Revolving Credit Exposure of any Non-Defaulting Lender to exceed such Non-Defaulting Lender’s Revolving Credit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37" w:lineRule="exact"/>
        <w:rPr>
          <w:rFonts w:ascii="Arial" w:cs="Arial" w:eastAsia="Arial" w:hAnsi="Arial"/>
          <w:sz w:val="15"/>
          <w:szCs w:val="15"/>
          <w:color w:val="auto"/>
        </w:rPr>
      </w:pPr>
    </w:p>
    <w:p>
      <w:pPr>
        <w:jc w:val="both"/>
        <w:ind w:left="1520" w:firstLine="660"/>
        <w:spacing w:after="0" w:line="253" w:lineRule="auto"/>
        <w:tabs>
          <w:tab w:leader="none" w:pos="2448" w:val="left"/>
        </w:tabs>
        <w:numPr>
          <w:ilvl w:val="1"/>
          <w:numId w:val="78"/>
        </w:numPr>
        <w:rPr>
          <w:rFonts w:ascii="Arial" w:cs="Arial" w:eastAsia="Arial" w:hAnsi="Arial"/>
          <w:sz w:val="17"/>
          <w:szCs w:val="17"/>
          <w:color w:val="auto"/>
        </w:rPr>
      </w:pPr>
      <w:r>
        <w:rPr>
          <w:rFonts w:ascii="Arial" w:cs="Arial" w:eastAsia="Arial" w:hAnsi="Arial"/>
          <w:sz w:val="17"/>
          <w:szCs w:val="17"/>
          <w:u w:val="single" w:color="auto"/>
          <w:color w:val="auto"/>
        </w:rPr>
        <w:t>Cash Collateral, Repayment of Swing Line Loans</w:t>
      </w:r>
      <w:r>
        <w:rPr>
          <w:rFonts w:ascii="Arial" w:cs="Arial" w:eastAsia="Arial" w:hAnsi="Arial"/>
          <w:sz w:val="17"/>
          <w:szCs w:val="17"/>
          <w:color w:val="auto"/>
        </w:rPr>
        <w:t xml:space="preserve">. If the reallocation described in clause (a)(iv) above cannot, or can only partially, be effected, the Company shall, without prejudice to any right or remedy available to it hereunder or under applicable Law, (A) first, prepay Swing Line Loans in an amount equal to the Swing Line Lender’s Fronting Exposure and (B) second, Cash Collateralize the L/C Issuer’s Fronting Exposure in accordance with the procedures set forth in </w:t>
      </w:r>
      <w:r>
        <w:rPr>
          <w:rFonts w:ascii="Arial" w:cs="Arial" w:eastAsia="Arial" w:hAnsi="Arial"/>
          <w:sz w:val="17"/>
          <w:szCs w:val="17"/>
          <w:u w:val="single" w:color="auto"/>
          <w:color w:val="auto"/>
        </w:rPr>
        <w:t>Section 2.15</w:t>
      </w:r>
      <w:r>
        <w:rPr>
          <w:rFonts w:ascii="Arial" w:cs="Arial" w:eastAsia="Arial" w:hAnsi="Arial"/>
          <w:sz w:val="17"/>
          <w:szCs w:val="17"/>
          <w:color w:val="auto"/>
        </w:rPr>
        <w:t>.</w:t>
      </w:r>
    </w:p>
    <w:p>
      <w:pPr>
        <w:spacing w:after="0" w:line="160" w:lineRule="exact"/>
        <w:rPr>
          <w:rFonts w:ascii="Arial" w:cs="Arial" w:eastAsia="Arial" w:hAnsi="Arial"/>
          <w:sz w:val="17"/>
          <w:szCs w:val="17"/>
          <w:color w:val="auto"/>
        </w:rPr>
      </w:pPr>
    </w:p>
    <w:p>
      <w:pPr>
        <w:jc w:val="both"/>
        <w:ind w:left="760" w:firstLine="709"/>
        <w:spacing w:after="0" w:line="247" w:lineRule="auto"/>
        <w:tabs>
          <w:tab w:leader="none" w:pos="1715"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Company, the Administrative Agent, the Swing Line Lender and the L/C Issuer agree in writing that a Lender is no longer a Defaulting Lender, the Administrative Agent will promptly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Line Loans to be held on a pro rata basis by the Lenders in accordance with their Applicable Percentages (without giving effect to </w:t>
      </w:r>
      <w:r>
        <w:rPr>
          <w:rFonts w:ascii="Arial" w:cs="Arial" w:eastAsia="Arial" w:hAnsi="Arial"/>
          <w:sz w:val="17"/>
          <w:szCs w:val="17"/>
          <w:u w:val="single" w:color="auto"/>
          <w:color w:val="auto"/>
        </w:rPr>
        <w:t>Section 2.16(a)(iv)</w:t>
      </w:r>
      <w:r>
        <w:rPr>
          <w:rFonts w:ascii="Arial" w:cs="Arial" w:eastAsia="Arial" w:hAnsi="Arial"/>
          <w:sz w:val="17"/>
          <w:szCs w:val="17"/>
          <w:color w:val="auto"/>
        </w:rPr>
        <w:t xml:space="preserve">),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Company while that Lender was a Defaulting Lender;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63" w:lineRule="exact"/>
        <w:rPr>
          <w:sz w:val="20"/>
          <w:szCs w:val="20"/>
          <w:color w:val="auto"/>
        </w:rPr>
      </w:pPr>
    </w:p>
    <w:p>
      <w:pPr>
        <w:jc w:val="both"/>
        <w:ind w:firstLine="763"/>
        <w:spacing w:after="0" w:line="267" w:lineRule="auto"/>
        <w:rPr>
          <w:sz w:val="20"/>
          <w:szCs w:val="20"/>
          <w:color w:val="auto"/>
        </w:rPr>
      </w:pPr>
      <w:r>
        <w:rPr>
          <w:rFonts w:ascii="Arial" w:cs="Arial" w:eastAsia="Arial" w:hAnsi="Arial"/>
          <w:sz w:val="16"/>
          <w:szCs w:val="16"/>
          <w:b w:val="1"/>
          <w:bCs w:val="1"/>
          <w:color w:val="auto"/>
        </w:rPr>
        <w:t xml:space="preserve">2.17 Appointment of Borrower Agent. </w:t>
      </w:r>
      <w:r>
        <w:rPr>
          <w:rFonts w:ascii="Arial" w:cs="Arial" w:eastAsia="Arial" w:hAnsi="Arial"/>
          <w:sz w:val="16"/>
          <w:szCs w:val="16"/>
          <w:color w:val="auto"/>
        </w:rPr>
        <w:t>Each Borrower (other than the Company) hereby irrevocably appoints the Company as its agent for all purposes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relevant to this Agreement, each of the other Loan Documents, and all other documents and electronic platforms entered into in connection herewith, including (a) the giving and receipt of notices and (b) the execution and delivery of all documents, instruments and certificates contemplated herein and all modifications hereto. Any acknowledgment, consent, direction, certification or other action which might otherwise be valid or effective only if given or taken by all Borrowers, or by each Borrower acting singly, shall be valid and effective if given or taken only by the Company, whether or not any other Borrower joins therein. Any notice, demand, consent, acknowledgement, direction, certification or other communication delivered to the Company in accordance with the terms of this Agreement shall be deemed to have been delivered to each other Borrower. For the purpose of this </w:t>
      </w:r>
      <w:r>
        <w:rPr>
          <w:rFonts w:ascii="Arial" w:cs="Arial" w:eastAsia="Arial" w:hAnsi="Arial"/>
          <w:sz w:val="16"/>
          <w:szCs w:val="16"/>
          <w:u w:val="single" w:color="auto"/>
          <w:color w:val="auto"/>
        </w:rPr>
        <w:t>Section 2.17</w:t>
      </w:r>
      <w:r>
        <w:rPr>
          <w:rFonts w:ascii="Arial" w:cs="Arial" w:eastAsia="Arial" w:hAnsi="Arial"/>
          <w:sz w:val="16"/>
          <w:szCs w:val="16"/>
          <w:color w:val="auto"/>
        </w:rPr>
        <w:t>, each Borrower (other than the Company) releases the Company to the extent applicable from the restrictions on self-dealing and multi-representation pursuant to Section 181 of the German Civil Code.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40"/>
          </w:cols>
          <w:pgMar w:left="240" w:top="500" w:right="219" w:bottom="1440" w:gutter="0" w:footer="0" w:header="0"/>
        </w:sectPr>
      </w:pPr>
    </w:p>
    <w:bookmarkStart w:id="75" w:name="page76"/>
    <w:bookmarkEnd w:id="75"/>
    <w:p>
      <w:pPr>
        <w:jc w:val="both"/>
        <w:ind w:firstLine="763"/>
        <w:spacing w:after="0" w:line="255" w:lineRule="auto"/>
        <w:rPr>
          <w:sz w:val="20"/>
          <w:szCs w:val="20"/>
          <w:color w:val="auto"/>
        </w:rPr>
      </w:pPr>
      <w:r>
        <w:rPr>
          <w:rFonts w:ascii="Arial" w:cs="Arial" w:eastAsia="Arial" w:hAnsi="Arial"/>
          <w:sz w:val="17"/>
          <w:szCs w:val="17"/>
          <w:b w:val="1"/>
          <w:bCs w:val="1"/>
          <w:color w:val="auto"/>
        </w:rPr>
        <w:t xml:space="preserve">2.18 Designated Lenders. </w:t>
      </w:r>
      <w:r>
        <w:rPr>
          <w:rFonts w:ascii="Arial" w:cs="Arial" w:eastAsia="Arial" w:hAnsi="Arial"/>
          <w:sz w:val="17"/>
          <w:szCs w:val="17"/>
          <w:color w:val="auto"/>
        </w:rPr>
        <w:t>Each Lender at its option may make any Credit Extension to any Borrower by causing any domestic or foreign branch or</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 of such Lender (a “</w:t>
      </w:r>
      <w:r>
        <w:rPr>
          <w:rFonts w:ascii="Arial" w:cs="Arial" w:eastAsia="Arial" w:hAnsi="Arial"/>
          <w:sz w:val="17"/>
          <w:szCs w:val="17"/>
          <w:u w:val="single" w:color="auto"/>
          <w:color w:val="auto"/>
        </w:rPr>
        <w:t>Designated Lender</w:t>
      </w:r>
      <w:r>
        <w:rPr>
          <w:rFonts w:ascii="Arial" w:cs="Arial" w:eastAsia="Arial" w:hAnsi="Arial"/>
          <w:sz w:val="17"/>
          <w:szCs w:val="17"/>
          <w:color w:val="auto"/>
        </w:rPr>
        <w:t xml:space="preserve">”) to make such Credit Extension (and in the case of an Affiliate, the provisions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11.04</w:t>
      </w:r>
      <w:r>
        <w:rPr>
          <w:rFonts w:ascii="Arial" w:cs="Arial" w:eastAsia="Arial" w:hAnsi="Arial"/>
          <w:sz w:val="17"/>
          <w:szCs w:val="17"/>
          <w:color w:val="auto"/>
        </w:rPr>
        <w:t xml:space="preserve"> shall apply to such Affiliate to the same extent as to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exercise of such option shall not affect the obligation of the relevant Borrower to repay such Credit Extension in accordance with the terms of this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TAXES, YIELD PROTECTION AND ILLEGALITY</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3.01 Taxes</w:t>
      </w:r>
      <w:r>
        <w:rPr>
          <w:rFonts w:ascii="Arial" w:cs="Arial" w:eastAsia="Arial" w:hAnsi="Arial"/>
          <w:sz w:val="17"/>
          <w:szCs w:val="17"/>
          <w:color w:val="auto"/>
        </w:rPr>
        <w:t>.</w:t>
      </w:r>
    </w:p>
    <w:p>
      <w:pPr>
        <w:spacing w:after="0" w:line="191" w:lineRule="exact"/>
        <w:rPr>
          <w:sz w:val="20"/>
          <w:szCs w:val="20"/>
          <w:color w:val="auto"/>
        </w:rPr>
      </w:pPr>
    </w:p>
    <w:p>
      <w:pPr>
        <w:ind w:left="1700" w:hanging="231"/>
        <w:spacing w:after="0"/>
        <w:tabs>
          <w:tab w:leader="none" w:pos="1700" w:val="left"/>
        </w:tabs>
        <w:numPr>
          <w:ilvl w:val="0"/>
          <w:numId w:val="80"/>
        </w:numPr>
        <w:rPr>
          <w:rFonts w:ascii="Arial" w:cs="Arial" w:eastAsia="Arial" w:hAnsi="Arial"/>
          <w:sz w:val="17"/>
          <w:szCs w:val="17"/>
          <w:color w:val="auto"/>
        </w:rPr>
      </w:pPr>
      <w:r>
        <w:rPr>
          <w:rFonts w:ascii="Arial" w:cs="Arial" w:eastAsia="Arial" w:hAnsi="Arial"/>
          <w:sz w:val="17"/>
          <w:szCs w:val="17"/>
          <w:b w:val="1"/>
          <w:bCs w:val="1"/>
          <w:color w:val="auto"/>
        </w:rPr>
        <w:t>Payments Free of Taxes; Obligation to Withhold; Payments on Account of Taxes</w:t>
      </w:r>
      <w:r>
        <w:rPr>
          <w:rFonts w:ascii="Arial" w:cs="Arial" w:eastAsia="Arial" w:hAnsi="Arial"/>
          <w:sz w:val="17"/>
          <w:szCs w:val="17"/>
          <w:color w:val="auto"/>
        </w:rPr>
        <w:t>.</w:t>
      </w:r>
    </w:p>
    <w:p>
      <w:pPr>
        <w:spacing w:after="0" w:line="197" w:lineRule="exact"/>
        <w:rPr>
          <w:rFonts w:ascii="Arial" w:cs="Arial" w:eastAsia="Arial" w:hAnsi="Arial"/>
          <w:sz w:val="17"/>
          <w:szCs w:val="17"/>
          <w:color w:val="auto"/>
        </w:rPr>
      </w:pPr>
    </w:p>
    <w:p>
      <w:pPr>
        <w:jc w:val="both"/>
        <w:ind w:left="1520" w:firstLine="660"/>
        <w:spacing w:after="0" w:line="251" w:lineRule="auto"/>
        <w:tabs>
          <w:tab w:leader="none" w:pos="2422" w:val="left"/>
        </w:tabs>
        <w:numPr>
          <w:ilvl w:val="2"/>
          <w:numId w:val="80"/>
        </w:numPr>
        <w:rPr>
          <w:rFonts w:ascii="Arial" w:cs="Arial" w:eastAsia="Arial" w:hAnsi="Arial"/>
          <w:sz w:val="17"/>
          <w:szCs w:val="17"/>
          <w:color w:val="auto"/>
        </w:rPr>
      </w:pPr>
      <w:r>
        <w:rPr>
          <w:rFonts w:ascii="Arial" w:cs="Arial" w:eastAsia="Arial" w:hAnsi="Arial"/>
          <w:sz w:val="17"/>
          <w:szCs w:val="17"/>
          <w:color w:val="auto"/>
        </w:rPr>
        <w:t xml:space="preserve">Any and all payments by or on account of any obligation of the respective Borrowers hereunder or under any other Loan Document shall to the extent permitted by applicable Laws be made free and clear of and without reduction or withholding for any Taxes. If, however, applicable Laws require a Borrower or the Administrative Agent to withhold or deduct any Tax, such Tax shall be withheld or deducted in accordance with such Laws as determined by such Borrower or the Administrative Agent, as the case may be, upon the basis of the information and documentation to be delivered pursuant to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below.</w:t>
      </w:r>
    </w:p>
    <w:p>
      <w:pPr>
        <w:spacing w:after="0" w:line="161" w:lineRule="exact"/>
        <w:rPr>
          <w:rFonts w:ascii="Arial" w:cs="Arial" w:eastAsia="Arial" w:hAnsi="Arial"/>
          <w:sz w:val="17"/>
          <w:szCs w:val="17"/>
          <w:color w:val="auto"/>
        </w:rPr>
      </w:pPr>
    </w:p>
    <w:p>
      <w:pPr>
        <w:jc w:val="both"/>
        <w:ind w:left="1520" w:firstLine="660"/>
        <w:spacing w:after="0" w:line="286" w:lineRule="auto"/>
        <w:tabs>
          <w:tab w:leader="none" w:pos="2442" w:val="left"/>
        </w:tabs>
        <w:numPr>
          <w:ilvl w:val="2"/>
          <w:numId w:val="80"/>
        </w:numPr>
        <w:rPr>
          <w:rFonts w:ascii="Arial" w:cs="Arial" w:eastAsia="Arial" w:hAnsi="Arial"/>
          <w:sz w:val="15"/>
          <w:szCs w:val="15"/>
          <w:color w:val="auto"/>
        </w:rPr>
      </w:pPr>
      <w:r>
        <w:rPr>
          <w:rFonts w:ascii="Arial" w:cs="Arial" w:eastAsia="Arial" w:hAnsi="Arial"/>
          <w:sz w:val="15"/>
          <w:szCs w:val="15"/>
          <w:color w:val="auto"/>
        </w:rPr>
        <w:t xml:space="preserve">If a Borrower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Arial" w:cs="Arial" w:eastAsia="Arial" w:hAnsi="Arial"/>
          <w:sz w:val="15"/>
          <w:szCs w:val="15"/>
          <w:u w:val="single" w:color="auto"/>
          <w:color w:val="auto"/>
        </w:rPr>
        <w:t>clause (e)</w:t>
      </w:r>
      <w:r>
        <w:rPr>
          <w:rFonts w:ascii="Arial" w:cs="Arial" w:eastAsia="Arial" w:hAnsi="Arial"/>
          <w:sz w:val="15"/>
          <w:szCs w:val="15"/>
          <w:color w:val="auto"/>
        </w:rPr>
        <w:t xml:space="preserve"> below, (B) the Administrative Agent shall timely pay the full amount withheld or deducted to the relevant Governmental Authority in accordance with the Code, and (C) to the extent that the withholding or deduction is made on account of Indemnified Taxes, the sum payable by such Borrower shall be increased as necessary so that after any required withholding or the making of all required deductions (including deductions applicable to additional sums payable under this Section) the Administrative Agent, Lender or L/C Issuer, as the case may be, receives an amount equal to the sum it would have received had no such withholding or deduction been made.</w:t>
      </w:r>
    </w:p>
    <w:p>
      <w:pPr>
        <w:spacing w:after="0" w:line="137" w:lineRule="exact"/>
        <w:rPr>
          <w:rFonts w:ascii="Arial" w:cs="Arial" w:eastAsia="Arial" w:hAnsi="Arial"/>
          <w:sz w:val="15"/>
          <w:szCs w:val="15"/>
          <w:color w:val="auto"/>
        </w:rPr>
      </w:pPr>
    </w:p>
    <w:p>
      <w:pPr>
        <w:jc w:val="both"/>
        <w:ind w:left="1520" w:firstLine="660"/>
        <w:spacing w:after="0" w:line="283" w:lineRule="auto"/>
        <w:tabs>
          <w:tab w:leader="none" w:pos="2486" w:val="left"/>
        </w:tabs>
        <w:numPr>
          <w:ilvl w:val="2"/>
          <w:numId w:val="80"/>
        </w:numPr>
        <w:rPr>
          <w:rFonts w:ascii="Arial" w:cs="Arial" w:eastAsia="Arial" w:hAnsi="Arial"/>
          <w:sz w:val="15"/>
          <w:szCs w:val="15"/>
          <w:color w:val="auto"/>
        </w:rPr>
      </w:pPr>
      <w:r>
        <w:rPr>
          <w:rFonts w:ascii="Arial" w:cs="Arial" w:eastAsia="Arial" w:hAnsi="Arial"/>
          <w:sz w:val="15"/>
          <w:szCs w:val="15"/>
          <w:color w:val="auto"/>
        </w:rPr>
        <w:t xml:space="preserve">If any Borrower or the Administrative Agent shall be required by any applicable Laws other than the Code to withhold or deduct any Taxes from any payment, then (A) such Borrower or the Administrative Agent, as required by such Laws, shall withhold or make such deductions as are determined by it to be required based upon the information and documentation it has received pursuant to </w:t>
      </w:r>
      <w:r>
        <w:rPr>
          <w:rFonts w:ascii="Arial" w:cs="Arial" w:eastAsia="Arial" w:hAnsi="Arial"/>
          <w:sz w:val="15"/>
          <w:szCs w:val="15"/>
          <w:u w:val="single" w:color="auto"/>
          <w:color w:val="auto"/>
        </w:rPr>
        <w:t>clause (e)</w:t>
      </w:r>
      <w:r>
        <w:rPr>
          <w:rFonts w:ascii="Arial" w:cs="Arial" w:eastAsia="Arial" w:hAnsi="Arial"/>
          <w:sz w:val="15"/>
          <w:szCs w:val="15"/>
          <w:color w:val="auto"/>
        </w:rPr>
        <w:t xml:space="preserve"> below,</w:t>
      </w:r>
    </w:p>
    <w:p>
      <w:pPr>
        <w:spacing w:after="0" w:line="1" w:lineRule="exact"/>
        <w:rPr>
          <w:rFonts w:ascii="Arial" w:cs="Arial" w:eastAsia="Arial" w:hAnsi="Arial"/>
          <w:sz w:val="15"/>
          <w:szCs w:val="15"/>
          <w:color w:val="auto"/>
        </w:rPr>
      </w:pPr>
    </w:p>
    <w:p>
      <w:pPr>
        <w:jc w:val="both"/>
        <w:ind w:left="1520" w:hanging="1"/>
        <w:spacing w:after="0" w:line="246" w:lineRule="auto"/>
        <w:tabs>
          <w:tab w:leader="none" w:pos="1798" w:val="left"/>
        </w:tabs>
        <w:numPr>
          <w:ilvl w:val="1"/>
          <w:numId w:val="80"/>
        </w:numPr>
        <w:rPr>
          <w:rFonts w:ascii="Arial" w:cs="Arial" w:eastAsia="Arial" w:hAnsi="Arial"/>
          <w:sz w:val="17"/>
          <w:szCs w:val="17"/>
          <w:color w:val="auto"/>
        </w:rPr>
      </w:pPr>
      <w:r>
        <w:rPr>
          <w:rFonts w:ascii="Arial" w:cs="Arial" w:eastAsia="Arial" w:hAnsi="Arial"/>
          <w:sz w:val="17"/>
          <w:szCs w:val="17"/>
          <w:color w:val="auto"/>
        </w:rPr>
        <w:t>such Borrower or the Administrative Agent, to the extent required by such Laws, shall timely pay the full amount so withheld or deducted by it to the relevant Governmental Authority in accordance with such Laws, and (C) to the extent that the withholding or deduction is made on account of Indemnified Taxes, the sum payable by such Borrower shall be increased as necessary so that after any required withholding or the making of all required deductions (including deductions applicable to additional sums payable under this Section) the Administrative Agent, Lender or L/C Issuer, as the case may be, receives an amount equal to the sum it would have received had no such withholding or deduction been made.</w:t>
      </w:r>
    </w:p>
    <w:p>
      <w:pPr>
        <w:spacing w:after="0" w:line="167" w:lineRule="exact"/>
        <w:rPr>
          <w:rFonts w:ascii="Arial" w:cs="Arial" w:eastAsia="Arial" w:hAnsi="Arial"/>
          <w:sz w:val="17"/>
          <w:szCs w:val="17"/>
          <w:color w:val="auto"/>
        </w:rPr>
      </w:pPr>
    </w:p>
    <w:p>
      <w:pPr>
        <w:ind w:left="760" w:firstLine="709"/>
        <w:spacing w:after="0" w:line="271" w:lineRule="auto"/>
        <w:tabs>
          <w:tab w:leader="none" w:pos="1727"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Payment of Other Taxes by the Borrowers</w:t>
      </w:r>
      <w:r>
        <w:rPr>
          <w:rFonts w:ascii="Arial" w:cs="Arial" w:eastAsia="Arial" w:hAnsi="Arial"/>
          <w:sz w:val="17"/>
          <w:szCs w:val="17"/>
          <w:color w:val="auto"/>
        </w:rPr>
        <w:t xml:space="preserve">. Without limiting the provisions of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each Borrower shall timely pay any Other Taxes to the relevant Governmental Authority in accordance with applicable Laws.</w:t>
      </w:r>
    </w:p>
    <w:p>
      <w:pPr>
        <w:spacing w:after="0" w:line="144" w:lineRule="exact"/>
        <w:rPr>
          <w:rFonts w:ascii="Arial" w:cs="Arial" w:eastAsia="Arial" w:hAnsi="Arial"/>
          <w:sz w:val="17"/>
          <w:szCs w:val="17"/>
          <w:color w:val="auto"/>
        </w:rPr>
      </w:pPr>
    </w:p>
    <w:p>
      <w:pPr>
        <w:jc w:val="both"/>
        <w:ind w:left="760" w:firstLine="709"/>
        <w:spacing w:after="0" w:line="253" w:lineRule="auto"/>
        <w:tabs>
          <w:tab w:leader="none" w:pos="1717"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Tax Indemnifications</w:t>
      </w:r>
      <w:r>
        <w:rPr>
          <w:rFonts w:ascii="Arial" w:cs="Arial" w:eastAsia="Arial" w:hAnsi="Arial"/>
          <w:sz w:val="17"/>
          <w:szCs w:val="17"/>
          <w:color w:val="auto"/>
        </w:rPr>
        <w:t xml:space="preserve">. (i) Without limiting the provisions of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each Borrower shall, and does hereby, indemnify the Administrative Agent, each Lender and the L/C Issuer, and shall make payment in respect thereof within 10 days after written demand therefor, for the full amount of any Indemnified Taxes (including Indemnified Taxes imposed or asserted on or attributable to amounts payable under this Section) withheld or deducted by such Borrower or the Administrative Agent or paid by the Administrative Agent, such</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40"/>
          </w:cols>
          <w:pgMar w:left="240" w:top="494" w:right="219" w:bottom="1440" w:gutter="0" w:footer="0" w:header="0"/>
        </w:sectPr>
      </w:pPr>
    </w:p>
    <w:bookmarkStart w:id="76" w:name="page77"/>
    <w:bookmarkEnd w:id="76"/>
    <w:p>
      <w:pPr>
        <w:jc w:val="both"/>
        <w:spacing w:after="0" w:line="249" w:lineRule="auto"/>
        <w:rPr>
          <w:sz w:val="20"/>
          <w:szCs w:val="20"/>
          <w:color w:val="auto"/>
        </w:rPr>
      </w:pPr>
      <w:r>
        <w:rPr>
          <w:rFonts w:ascii="Arial" w:cs="Arial" w:eastAsia="Arial" w:hAnsi="Arial"/>
          <w:sz w:val="17"/>
          <w:szCs w:val="17"/>
          <w:color w:val="auto"/>
        </w:rPr>
        <w:t xml:space="preserve">Lender or the L/C Issuer, as the case may be, and any reasonable expenses arising therefrom or with respect thereto, whether or not such Indemnified Taxes were correctly or legally imposed or asserted by the relevant Governmental Authority. Each Borrower shall also, and does hereby, indemnify the Administrative Agent, and shall make payment in respect thereof within 10 days after demand therefor, for any amount which a Lender or the L/C Issuer for any reason fails to pay indefeasibly to the Administrative Agent as required by </w:t>
      </w:r>
      <w:r>
        <w:rPr>
          <w:rFonts w:ascii="Arial" w:cs="Arial" w:eastAsia="Arial" w:hAnsi="Arial"/>
          <w:sz w:val="15"/>
          <w:szCs w:val="15"/>
          <w:u w:val="single" w:color="auto"/>
          <w:color w:val="auto"/>
        </w:rPr>
        <w:t>clause (ii)</w:t>
      </w:r>
      <w:r>
        <w:rPr>
          <w:rFonts w:ascii="Arial" w:cs="Arial" w:eastAsia="Arial" w:hAnsi="Arial"/>
          <w:sz w:val="17"/>
          <w:szCs w:val="17"/>
          <w:color w:val="auto"/>
        </w:rPr>
        <w:t xml:space="preserve"> </w:t>
      </w:r>
      <w:r>
        <w:rPr>
          <w:rFonts w:ascii="Arial" w:cs="Arial" w:eastAsia="Arial" w:hAnsi="Arial"/>
          <w:sz w:val="15"/>
          <w:szCs w:val="15"/>
          <w:color w:val="auto"/>
        </w:rPr>
        <w:t>of this</w:t>
      </w:r>
      <w:r>
        <w:rPr>
          <w:rFonts w:ascii="Arial" w:cs="Arial" w:eastAsia="Arial" w:hAnsi="Arial"/>
          <w:sz w:val="17"/>
          <w:szCs w:val="17"/>
          <w:color w:val="auto"/>
        </w:rPr>
        <w:t xml:space="preserve"> </w:t>
      </w:r>
      <w:r>
        <w:rPr>
          <w:rFonts w:ascii="Arial" w:cs="Arial" w:eastAsia="Arial" w:hAnsi="Arial"/>
          <w:sz w:val="15"/>
          <w:szCs w:val="15"/>
          <w:u w:val="single" w:color="auto"/>
          <w:color w:val="auto"/>
        </w:rPr>
        <w:t>clause (c)</w:t>
      </w:r>
      <w:r>
        <w:rPr>
          <w:rFonts w:ascii="Arial" w:cs="Arial" w:eastAsia="Arial" w:hAnsi="Arial"/>
          <w:sz w:val="15"/>
          <w:szCs w:val="15"/>
          <w:color w:val="auto"/>
        </w:rPr>
        <w:t>. A certificate as to the amount of any such payment</w:t>
      </w:r>
      <w:r>
        <w:rPr>
          <w:rFonts w:ascii="Arial" w:cs="Arial" w:eastAsia="Arial" w:hAnsi="Arial"/>
          <w:sz w:val="17"/>
          <w:szCs w:val="17"/>
          <w:color w:val="auto"/>
        </w:rPr>
        <w:t xml:space="preserve"> </w:t>
      </w:r>
      <w:r>
        <w:rPr>
          <w:rFonts w:ascii="Arial" w:cs="Arial" w:eastAsia="Arial" w:hAnsi="Arial"/>
          <w:sz w:val="15"/>
          <w:szCs w:val="15"/>
          <w:color w:val="auto"/>
        </w:rPr>
        <w:t>or liability delivered to a Borrower by a Lender or the L/C Issuer (with a copy to the Administrative Agent), or by the Administrative Agent on its own behalf or on behalf of a Lender or the L/C Issuer, shall be conclusive absent manifest error.</w:t>
      </w:r>
    </w:p>
    <w:p>
      <w:pPr>
        <w:spacing w:after="0" w:line="167" w:lineRule="exact"/>
        <w:rPr>
          <w:sz w:val="20"/>
          <w:szCs w:val="20"/>
          <w:color w:val="auto"/>
        </w:rPr>
      </w:pPr>
    </w:p>
    <w:p>
      <w:pPr>
        <w:jc w:val="both"/>
        <w:ind w:left="760" w:firstLine="660"/>
        <w:spacing w:after="0" w:line="263" w:lineRule="auto"/>
        <w:tabs>
          <w:tab w:leader="none" w:pos="1678" w:val="left"/>
        </w:tabs>
        <w:numPr>
          <w:ilvl w:val="1"/>
          <w:numId w:val="81"/>
        </w:numPr>
        <w:rPr>
          <w:rFonts w:ascii="Arial" w:cs="Arial" w:eastAsia="Arial" w:hAnsi="Arial"/>
          <w:sz w:val="16"/>
          <w:szCs w:val="16"/>
          <w:color w:val="auto"/>
        </w:rPr>
      </w:pPr>
      <w:r>
        <w:rPr>
          <w:rFonts w:ascii="Arial" w:cs="Arial" w:eastAsia="Arial" w:hAnsi="Arial"/>
          <w:sz w:val="16"/>
          <w:szCs w:val="16"/>
          <w:color w:val="auto"/>
        </w:rPr>
        <w:t xml:space="preserve">Without limiting the provisions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each Lender and the L/C Issuer shall, and does hereby, indemnify and shall make payment in respect thereof within 10 days after demand therefor, (x) the Administrative Agent against any Indemnified Taxes attributable to such Lender or the L/C Issuer (but only to the extent that any Borrower has not already indemnified the Administrative Agent for such Indemnified Taxes and without limiting the obligation of the Borrowers to do so) and (y) the Administrative Agent and each Borrower, as applicable, against any Excluded Taxes attributable to such Lender or the L/C Issuer, in each case, that are payable or paid by the Administrative Agent or a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The agreements in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shall survive the resignation and/or replacement of the Administrative Agent, any assignment of rights by, or the replacement of, a Lender or the L/C Issuer, the termination of the aggregate Revolving Credit Commitments and the repayment, satisfaction or discharge of all other Obligations.</w:t>
      </w:r>
    </w:p>
    <w:p>
      <w:pPr>
        <w:spacing w:after="0" w:line="157" w:lineRule="exact"/>
        <w:rPr>
          <w:rFonts w:ascii="Arial" w:cs="Arial" w:eastAsia="Arial" w:hAnsi="Arial"/>
          <w:sz w:val="16"/>
          <w:szCs w:val="16"/>
          <w:color w:val="auto"/>
        </w:rPr>
      </w:pPr>
    </w:p>
    <w:p>
      <w:pPr>
        <w:jc w:val="both"/>
        <w:ind w:firstLine="709"/>
        <w:spacing w:after="0" w:line="251" w:lineRule="auto"/>
        <w:tabs>
          <w:tab w:leader="none" w:pos="955"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Evidence of Payments</w:t>
      </w:r>
      <w:r>
        <w:rPr>
          <w:rFonts w:ascii="Arial" w:cs="Arial" w:eastAsia="Arial" w:hAnsi="Arial"/>
          <w:sz w:val="17"/>
          <w:szCs w:val="17"/>
          <w:color w:val="auto"/>
        </w:rPr>
        <w:t xml:space="preserve">. Upon request by a Borrower or the Administrative Agent, as the case may be, after any payment of Taxes by such Borrower or by the Administrative Agent to a Governmental Authority as provided in this </w:t>
      </w:r>
      <w:r>
        <w:rPr>
          <w:rFonts w:ascii="Arial" w:cs="Arial" w:eastAsia="Arial" w:hAnsi="Arial"/>
          <w:sz w:val="17"/>
          <w:szCs w:val="17"/>
          <w:u w:val="single" w:color="auto"/>
          <w:color w:val="auto"/>
        </w:rPr>
        <w:t>Section 3.01</w:t>
      </w:r>
      <w:r>
        <w:rPr>
          <w:rFonts w:ascii="Arial" w:cs="Arial" w:eastAsia="Arial" w:hAnsi="Arial"/>
          <w:sz w:val="17"/>
          <w:szCs w:val="17"/>
          <w:color w:val="auto"/>
        </w:rPr>
        <w:t>, such Borrower shall deliver to the Administrative Agent or the Administrative Agent shall deliver to such Borrower, as the case may be, the original or a certified copy of a receipt issued by such Governmental Authority evidencing such payment, a copy of any return required by Laws to report such payment or other evidence of such payment reasonably satisfactory to such Borrower or the Administrative Agent, as the case may be.</w:t>
      </w:r>
    </w:p>
    <w:p>
      <w:pPr>
        <w:spacing w:after="0" w:line="161" w:lineRule="exact"/>
        <w:rPr>
          <w:rFonts w:ascii="Arial" w:cs="Arial" w:eastAsia="Arial" w:hAnsi="Arial"/>
          <w:sz w:val="17"/>
          <w:szCs w:val="17"/>
          <w:color w:val="auto"/>
        </w:rPr>
      </w:pPr>
    </w:p>
    <w:p>
      <w:pPr>
        <w:jc w:val="both"/>
        <w:ind w:firstLine="709"/>
        <w:spacing w:after="0" w:line="287" w:lineRule="auto"/>
        <w:tabs>
          <w:tab w:leader="none" w:pos="946" w:val="left"/>
        </w:tabs>
        <w:numPr>
          <w:ilvl w:val="0"/>
          <w:numId w:val="82"/>
        </w:numPr>
        <w:rPr>
          <w:rFonts w:ascii="Arial" w:cs="Arial" w:eastAsia="Arial" w:hAnsi="Arial"/>
          <w:sz w:val="15"/>
          <w:szCs w:val="15"/>
          <w:color w:val="auto"/>
        </w:rPr>
      </w:pPr>
      <w:r>
        <w:rPr>
          <w:rFonts w:ascii="Arial" w:cs="Arial" w:eastAsia="Arial" w:hAnsi="Arial"/>
          <w:sz w:val="15"/>
          <w:szCs w:val="15"/>
          <w:u w:val="single" w:color="auto"/>
          <w:color w:val="auto"/>
        </w:rPr>
        <w:t>Status of Lenders; Tax Documentation</w:t>
      </w:r>
      <w:r>
        <w:rPr>
          <w:rFonts w:ascii="Arial" w:cs="Arial" w:eastAsia="Arial" w:hAnsi="Arial"/>
          <w:sz w:val="15"/>
          <w:szCs w:val="15"/>
          <w:color w:val="auto"/>
        </w:rPr>
        <w:t>. (i) Each Lender shall deliver to the Company and to the Administrative Agent, at the time or times prescribed by applicable Laws or when reasonably requested by the Company or the Administrative Agent, such properly completed and executed documentation prescribed by applicable Laws or by the taxing authorities of any jurisdiction and such other reasonably requested information as will permit the Company or the Administrative Agent, as the case may be, to determine (A) whether or not payments made by the respective Borrowers hereunder or under any other Loan Document are subject to Taxes, (B) if applicable, the required rate of withholding or deduction, and (C) such Lender’s entitlement to any available exemption from, or reduction of, applicable Taxes in respect of all payments to be made to such Lender by the respective Borrowers pursuant to this Agreement or otherwise to establish such Lender’s status for withholding tax purposes in the applicable jurisdictions.</w:t>
      </w:r>
    </w:p>
    <w:p>
      <w:pPr>
        <w:spacing w:after="0" w:line="138" w:lineRule="exact"/>
        <w:rPr>
          <w:rFonts w:ascii="Arial" w:cs="Arial" w:eastAsia="Arial" w:hAnsi="Arial"/>
          <w:sz w:val="15"/>
          <w:szCs w:val="15"/>
          <w:color w:val="auto"/>
        </w:rPr>
      </w:pPr>
    </w:p>
    <w:p>
      <w:pPr>
        <w:ind w:left="1680" w:hanging="260"/>
        <w:spacing w:after="0"/>
        <w:tabs>
          <w:tab w:leader="none" w:pos="1680" w:val="left"/>
        </w:tabs>
        <w:numPr>
          <w:ilvl w:val="1"/>
          <w:numId w:val="82"/>
        </w:numPr>
        <w:rPr>
          <w:rFonts w:ascii="Arial" w:cs="Arial" w:eastAsia="Arial" w:hAnsi="Arial"/>
          <w:sz w:val="17"/>
          <w:szCs w:val="17"/>
          <w:color w:val="auto"/>
        </w:rPr>
      </w:pPr>
      <w:r>
        <w:rPr>
          <w:rFonts w:ascii="Arial" w:cs="Arial" w:eastAsia="Arial" w:hAnsi="Arial"/>
          <w:sz w:val="17"/>
          <w:szCs w:val="17"/>
          <w:color w:val="auto"/>
        </w:rPr>
        <w:t>Without limiting the generality of the foregoing,</w:t>
      </w:r>
    </w:p>
    <w:p>
      <w:pPr>
        <w:spacing w:after="0" w:line="191" w:lineRule="exact"/>
        <w:rPr>
          <w:rFonts w:ascii="Arial" w:cs="Arial" w:eastAsia="Arial" w:hAnsi="Arial"/>
          <w:sz w:val="17"/>
          <w:szCs w:val="17"/>
          <w:color w:val="auto"/>
        </w:rPr>
      </w:pPr>
    </w:p>
    <w:p>
      <w:pPr>
        <w:jc w:val="both"/>
        <w:ind w:left="1520" w:firstLine="612"/>
        <w:spacing w:after="0" w:line="251" w:lineRule="auto"/>
        <w:tabs>
          <w:tab w:leader="none" w:pos="2435" w:val="left"/>
        </w:tabs>
        <w:numPr>
          <w:ilvl w:val="2"/>
          <w:numId w:val="82"/>
        </w:numPr>
        <w:rPr>
          <w:rFonts w:ascii="Arial" w:cs="Arial" w:eastAsia="Arial" w:hAnsi="Arial"/>
          <w:sz w:val="17"/>
          <w:szCs w:val="17"/>
          <w:color w:val="auto"/>
        </w:rPr>
      </w:pPr>
      <w:r>
        <w:rPr>
          <w:rFonts w:ascii="Arial" w:cs="Arial" w:eastAsia="Arial" w:hAnsi="Arial"/>
          <w:sz w:val="17"/>
          <w:szCs w:val="17"/>
          <w:color w:val="auto"/>
        </w:rPr>
        <w:t>any Lender that is a U.S. Person shall deliver to the Company and the Administrative Agent executed originals of Internal Revenue Service Form W-9 or such other documentation or information prescribed by applicable Laws or reasonably requested by the Company on behalf of such Borrower or the Administrative Agent as will enable such Borrower or the Administrative Agent, as the case may be, to determine whether or not such Lender is subject to backup withholding or information reporting requirements; and</w:t>
      </w:r>
    </w:p>
    <w:p>
      <w:pPr>
        <w:spacing w:after="0" w:line="162"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0680"/>
          </w:cols>
          <w:pgMar w:left="1000" w:top="312" w:right="219" w:bottom="1440" w:gutter="0" w:footer="0" w:header="0"/>
        </w:sectPr>
      </w:pPr>
    </w:p>
    <w:bookmarkStart w:id="77" w:name="page78"/>
    <w:bookmarkEnd w:id="77"/>
    <w:p>
      <w:pPr>
        <w:jc w:val="both"/>
        <w:ind w:left="1080" w:firstLine="612"/>
        <w:spacing w:after="0" w:line="249" w:lineRule="auto"/>
        <w:tabs>
          <w:tab w:leader="none" w:pos="1986" w:val="left"/>
        </w:tabs>
        <w:numPr>
          <w:ilvl w:val="0"/>
          <w:numId w:val="83"/>
        </w:numPr>
        <w:rPr>
          <w:rFonts w:ascii="Arial" w:cs="Arial" w:eastAsia="Arial" w:hAnsi="Arial"/>
          <w:sz w:val="17"/>
          <w:szCs w:val="17"/>
          <w:color w:val="auto"/>
        </w:rPr>
      </w:pPr>
      <w:r>
        <w:rPr>
          <w:rFonts w:ascii="Arial" w:cs="Arial" w:eastAsia="Arial" w:hAnsi="Arial"/>
          <w:sz w:val="17"/>
          <w:szCs w:val="17"/>
          <w:color w:val="auto"/>
        </w:rPr>
        <w:t>each Foreign Lender that is entitled under the Code or any applicable treaty to an exemption from or reduction of withholding tax with respect to payments hereunder or under any other Loan Document shall deliver to the Company and the Administrative Agent (in such number of copies as shall be requested by the recipient) on or prior to the date on which such Foreign Lender becomes a Lender under this Agreement (and from time to time thereafter upon the request of the Company on behalf of such Borrower or the Administrative Agent, but only if such Foreign Lender is legally entitled to do so), whichever of the following is applicable:</w:t>
      </w:r>
    </w:p>
    <w:p>
      <w:pPr>
        <w:spacing w:after="0" w:line="166" w:lineRule="exact"/>
        <w:rPr>
          <w:rFonts w:ascii="Arial" w:cs="Arial" w:eastAsia="Arial" w:hAnsi="Arial"/>
          <w:sz w:val="17"/>
          <w:szCs w:val="17"/>
          <w:color w:val="auto"/>
        </w:rPr>
      </w:pPr>
    </w:p>
    <w:p>
      <w:pPr>
        <w:ind w:left="1840" w:right="20" w:firstLine="564"/>
        <w:spacing w:after="0" w:line="208" w:lineRule="exact"/>
        <w:tabs>
          <w:tab w:leader="none" w:pos="2624" w:val="left"/>
        </w:tabs>
        <w:numPr>
          <w:ilvl w:val="1"/>
          <w:numId w:val="83"/>
        </w:numPr>
        <w:rPr>
          <w:rFonts w:ascii="Arial" w:cs="Arial" w:eastAsia="Arial" w:hAnsi="Arial"/>
          <w:sz w:val="17"/>
          <w:szCs w:val="17"/>
          <w:color w:val="auto"/>
        </w:rPr>
      </w:pPr>
      <w:r>
        <w:rPr>
          <w:rFonts w:ascii="Arial" w:cs="Arial" w:eastAsia="Arial" w:hAnsi="Arial"/>
          <w:sz w:val="17"/>
          <w:szCs w:val="17"/>
          <w:color w:val="auto"/>
        </w:rPr>
        <w:t>executed originals of Internal Revenue Service Form W</w:t>
      </w:r>
      <w:r>
        <w:rPr>
          <w:rFonts w:ascii="MS PGothic" w:cs="MS PGothic" w:eastAsia="MS PGothic" w:hAnsi="MS PGothic"/>
          <w:sz w:val="17"/>
          <w:szCs w:val="17"/>
          <w:color w:val="auto"/>
        </w:rPr>
        <w:t>‑</w:t>
      </w:r>
      <w:r>
        <w:rPr>
          <w:rFonts w:ascii="Arial" w:cs="Arial" w:eastAsia="Arial" w:hAnsi="Arial"/>
          <w:sz w:val="17"/>
          <w:szCs w:val="17"/>
          <w:color w:val="auto"/>
        </w:rPr>
        <w:t>8BEN claiming eligibility for benefits of an income tax treaty to which the United States is a party,</w:t>
      </w:r>
    </w:p>
    <w:p>
      <w:pPr>
        <w:spacing w:after="0" w:line="171" w:lineRule="exact"/>
        <w:rPr>
          <w:sz w:val="20"/>
          <w:szCs w:val="20"/>
          <w:color w:val="auto"/>
        </w:rPr>
      </w:pPr>
    </w:p>
    <w:p>
      <w:pPr>
        <w:ind w:left="2400"/>
        <w:spacing w:after="0" w:line="196" w:lineRule="exact"/>
        <w:rPr>
          <w:sz w:val="20"/>
          <w:szCs w:val="20"/>
          <w:color w:val="auto"/>
        </w:rPr>
      </w:pPr>
      <w:r>
        <w:rPr>
          <w:rFonts w:ascii="Arial" w:cs="Arial" w:eastAsia="Arial" w:hAnsi="Arial"/>
          <w:sz w:val="17"/>
          <w:szCs w:val="17"/>
          <w:color w:val="auto"/>
        </w:rPr>
        <w:t>(II) executed originals of Internal Revenue Service Form W</w:t>
      </w:r>
      <w:r>
        <w:rPr>
          <w:rFonts w:ascii="MS PGothic" w:cs="MS PGothic" w:eastAsia="MS PGothic" w:hAnsi="MS PGothic"/>
          <w:sz w:val="17"/>
          <w:szCs w:val="17"/>
          <w:color w:val="auto"/>
        </w:rPr>
        <w:t>‑</w:t>
      </w:r>
      <w:r>
        <w:rPr>
          <w:rFonts w:ascii="Arial" w:cs="Arial" w:eastAsia="Arial" w:hAnsi="Arial"/>
          <w:sz w:val="17"/>
          <w:szCs w:val="17"/>
          <w:color w:val="auto"/>
        </w:rPr>
        <w:t>8ECI,</w:t>
      </w:r>
    </w:p>
    <w:p>
      <w:pPr>
        <w:spacing w:after="0" w:line="191"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(III) executed originals of Internal Revenue Service Form W8IMY and all required supporting documentation,</w:t>
      </w:r>
    </w:p>
    <w:p>
      <w:pPr>
        <w:spacing w:after="0" w:line="203" w:lineRule="exact"/>
        <w:rPr>
          <w:sz w:val="20"/>
          <w:szCs w:val="20"/>
          <w:color w:val="auto"/>
        </w:rPr>
      </w:pPr>
    </w:p>
    <w:p>
      <w:pPr>
        <w:jc w:val="both"/>
        <w:ind w:left="1840" w:right="20" w:firstLine="559"/>
        <w:spacing w:after="0" w:line="266" w:lineRule="auto"/>
        <w:rPr>
          <w:sz w:val="20"/>
          <w:szCs w:val="20"/>
          <w:color w:val="auto"/>
        </w:rPr>
      </w:pPr>
      <w:r>
        <w:rPr>
          <w:rFonts w:ascii="Arial" w:cs="Arial" w:eastAsia="Arial" w:hAnsi="Arial"/>
          <w:sz w:val="16"/>
          <w:szCs w:val="16"/>
          <w:color w:val="auto"/>
        </w:rPr>
        <w:t>(IV) in the case of a Foreign Lender claiming the benefits of the exemption for portfolio interest under section 881(c) of the Code, (x) a certificate to the effect that such Foreign Lender is not (A) a “bank” within the meaning of section 881(c)(3)(A) of the Code, (B) a “10 percent shareholder” of such Borrower within the meaning of section 881(c)</w:t>
      </w:r>
    </w:p>
    <w:p>
      <w:pPr>
        <w:jc w:val="both"/>
        <w:ind w:left="1840" w:right="20"/>
        <w:spacing w:after="0" w:line="254" w:lineRule="auto"/>
        <w:rPr>
          <w:sz w:val="20"/>
          <w:szCs w:val="20"/>
          <w:color w:val="auto"/>
        </w:rPr>
      </w:pPr>
      <w:r>
        <w:rPr>
          <w:rFonts w:ascii="Arial" w:cs="Arial" w:eastAsia="Arial" w:hAnsi="Arial"/>
          <w:sz w:val="17"/>
          <w:szCs w:val="17"/>
          <w:color w:val="auto"/>
        </w:rPr>
        <w:t>(3)(B) of the Code, or (C) a “controlled foreign corporation” described in section 881(c)(3)(C) of the Code and (y) executed originals of Internal Revenue Service Form W-8BEN, or</w:t>
      </w:r>
    </w:p>
    <w:p>
      <w:pPr>
        <w:spacing w:after="0" w:line="158" w:lineRule="exact"/>
        <w:rPr>
          <w:sz w:val="20"/>
          <w:szCs w:val="20"/>
          <w:color w:val="auto"/>
        </w:rPr>
      </w:pPr>
    </w:p>
    <w:p>
      <w:pPr>
        <w:jc w:val="both"/>
        <w:ind w:left="1840" w:right="20" w:firstLine="564"/>
        <w:spacing w:after="0" w:line="253" w:lineRule="auto"/>
        <w:tabs>
          <w:tab w:leader="none" w:pos="2691" w:val="left"/>
        </w:tabs>
        <w:numPr>
          <w:ilvl w:val="1"/>
          <w:numId w:val="84"/>
        </w:numPr>
        <w:rPr>
          <w:rFonts w:ascii="Arial" w:cs="Arial" w:eastAsia="Arial" w:hAnsi="Arial"/>
          <w:sz w:val="17"/>
          <w:szCs w:val="17"/>
          <w:color w:val="auto"/>
        </w:rPr>
      </w:pPr>
      <w:r>
        <w:rPr>
          <w:rFonts w:ascii="Arial" w:cs="Arial" w:eastAsia="Arial" w:hAnsi="Arial"/>
          <w:sz w:val="17"/>
          <w:szCs w:val="17"/>
          <w:color w:val="auto"/>
        </w:rPr>
        <w:t>executed originals of any other form prescribed by applicable Laws as a basis for claiming exemption from or a reduction in United States federal withholding tax together with such supplementary documentation as may be prescribed by applicable Laws to permit such Borrower or the Administrative Agent to determine the withholding or deduction required to be made.</w:t>
      </w:r>
    </w:p>
    <w:p>
      <w:pPr>
        <w:spacing w:after="0" w:line="160" w:lineRule="exact"/>
        <w:rPr>
          <w:rFonts w:ascii="Arial" w:cs="Arial" w:eastAsia="Arial" w:hAnsi="Arial"/>
          <w:sz w:val="17"/>
          <w:szCs w:val="17"/>
          <w:color w:val="auto"/>
        </w:rPr>
      </w:pPr>
    </w:p>
    <w:p>
      <w:pPr>
        <w:jc w:val="both"/>
        <w:ind w:left="320" w:firstLine="660"/>
        <w:spacing w:after="0" w:line="257" w:lineRule="auto"/>
        <w:tabs>
          <w:tab w:leader="none" w:pos="1304" w:val="left"/>
        </w:tabs>
        <w:numPr>
          <w:ilvl w:val="0"/>
          <w:numId w:val="85"/>
        </w:numPr>
        <w:rPr>
          <w:rFonts w:ascii="Arial" w:cs="Arial" w:eastAsia="Arial" w:hAnsi="Arial"/>
          <w:sz w:val="17"/>
          <w:szCs w:val="17"/>
          <w:color w:val="auto"/>
        </w:rPr>
      </w:pPr>
      <w:r>
        <w:rPr>
          <w:rFonts w:ascii="Arial" w:cs="Arial" w:eastAsia="Arial" w:hAnsi="Arial"/>
          <w:sz w:val="17"/>
          <w:szCs w:val="17"/>
          <w:color w:val="auto"/>
        </w:rPr>
        <w:t>Each Lender agrees that if any form or certification it previously delivered expires or becomes obsolete or inaccurate in any respect, it shall update such form or certification or promptly notify the Company and the Administrative Agent in writing of its legal inability to do so.</w:t>
      </w:r>
    </w:p>
    <w:p>
      <w:pPr>
        <w:spacing w:after="0" w:line="157" w:lineRule="exact"/>
        <w:rPr>
          <w:rFonts w:ascii="Arial" w:cs="Arial" w:eastAsia="Arial" w:hAnsi="Arial"/>
          <w:sz w:val="17"/>
          <w:szCs w:val="17"/>
          <w:color w:val="auto"/>
        </w:rPr>
      </w:pPr>
    </w:p>
    <w:p>
      <w:pPr>
        <w:jc w:val="both"/>
        <w:ind w:left="320" w:firstLine="660"/>
        <w:spacing w:after="0" w:line="249" w:lineRule="auto"/>
        <w:tabs>
          <w:tab w:leader="none" w:pos="1288" w:val="left"/>
        </w:tabs>
        <w:numPr>
          <w:ilvl w:val="0"/>
          <w:numId w:val="85"/>
        </w:numPr>
        <w:rPr>
          <w:rFonts w:ascii="Arial" w:cs="Arial" w:eastAsia="Arial" w:hAnsi="Arial"/>
          <w:sz w:val="17"/>
          <w:szCs w:val="17"/>
          <w:color w:val="auto"/>
        </w:rPr>
      </w:pPr>
      <w:r>
        <w:rPr>
          <w:rFonts w:ascii="Arial" w:cs="Arial" w:eastAsia="Arial" w:hAnsi="Arial"/>
          <w:sz w:val="17"/>
          <w:szCs w:val="17"/>
          <w:color w:val="auto"/>
        </w:rPr>
        <w:t>Each of the Borrowers shall promptly deliver to the Administrative Agent or any Lender, as the Administrative Agent or such Lender shall reasonably request, on or prior to the Closing Date (or such later date on which it first becomes a Borrower), and in a timely fashion thereafter, such documents and forms required by any relevant taxing authorities under the Laws of any jurisdiction, duly executed and completed by such Borrower, as are required to be furnished by such Lender or the Administrative Agent under such Laws in connection with any payment by the Administrative Agent or any Lender of Taxes, or otherwise in connection with the Loan Documents, with respect to such jurisdiction.</w:t>
      </w:r>
    </w:p>
    <w:p>
      <w:pPr>
        <w:spacing w:after="0" w:line="166" w:lineRule="exact"/>
        <w:rPr>
          <w:rFonts w:ascii="Arial" w:cs="Arial" w:eastAsia="Arial" w:hAnsi="Arial"/>
          <w:sz w:val="17"/>
          <w:szCs w:val="17"/>
          <w:color w:val="auto"/>
        </w:rPr>
      </w:pPr>
    </w:p>
    <w:p>
      <w:pPr>
        <w:jc w:val="both"/>
        <w:ind w:left="320" w:firstLine="660"/>
        <w:spacing w:after="0" w:line="247" w:lineRule="auto"/>
        <w:tabs>
          <w:tab w:leader="none" w:pos="1225" w:val="left"/>
        </w:tabs>
        <w:numPr>
          <w:ilvl w:val="0"/>
          <w:numId w:val="85"/>
        </w:numPr>
        <w:rPr>
          <w:rFonts w:ascii="Arial" w:cs="Arial" w:eastAsia="Arial" w:hAnsi="Arial"/>
          <w:sz w:val="17"/>
          <w:szCs w:val="17"/>
          <w:color w:val="auto"/>
        </w:rPr>
      </w:pPr>
      <w:r>
        <w:rPr>
          <w:rFonts w:ascii="Arial" w:cs="Arial" w:eastAsia="Arial" w:hAnsi="Arial"/>
          <w:sz w:val="17"/>
          <w:szCs w:val="17"/>
          <w:color w:val="auto"/>
        </w:rPr>
        <w:t>If a payment made to a Recipient under any Loan Document would be subject to U.S. federal withholding Tax imposed by FATCA if such Recipient were to fail to comply with the applicable reporting requirements of FATCA (including those contained in Section 1471(b) or 1472(b) of the Code, as applicable), such Recipient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Recipient has complied with such Recipient’s obligations under FATCA or to determine the amount to deduct and withhold from such payment. Solely for purposes of this clause (v), “FATCA” shall include any amendments made to FATCA after the date of this Agreement.</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0240"/>
          </w:cols>
          <w:pgMar w:left="1440" w:top="312" w:right="219" w:bottom="1440" w:gutter="0" w:footer="0" w:header="0"/>
        </w:sectPr>
      </w:pPr>
    </w:p>
    <w:bookmarkStart w:id="78" w:name="page79"/>
    <w:bookmarkEnd w:id="78"/>
    <w:p>
      <w:pPr>
        <w:jc w:val="both"/>
        <w:ind w:left="760" w:firstLine="709"/>
        <w:spacing w:after="0" w:line="307" w:lineRule="auto"/>
        <w:tabs>
          <w:tab w:leader="none" w:pos="1667" w:val="left"/>
        </w:tabs>
        <w:numPr>
          <w:ilvl w:val="0"/>
          <w:numId w:val="86"/>
        </w:numPr>
        <w:rPr>
          <w:rFonts w:ascii="Arial" w:cs="Arial" w:eastAsia="Arial" w:hAnsi="Arial"/>
          <w:sz w:val="13"/>
          <w:szCs w:val="13"/>
          <w:color w:val="auto"/>
        </w:rPr>
      </w:pPr>
      <w:r>
        <w:rPr>
          <w:rFonts w:ascii="Arial" w:cs="Arial" w:eastAsia="Arial" w:hAnsi="Arial"/>
          <w:sz w:val="13"/>
          <w:szCs w:val="13"/>
          <w:u w:val="single" w:color="auto"/>
          <w:color w:val="auto"/>
        </w:rPr>
        <w:t>Treatment of Certain Refunds</w:t>
      </w:r>
      <w:r>
        <w:rPr>
          <w:rFonts w:ascii="Arial" w:cs="Arial" w:eastAsia="Arial" w:hAnsi="Arial"/>
          <w:sz w:val="13"/>
          <w:szCs w:val="13"/>
          <w:color w:val="auto"/>
        </w:rPr>
        <w:t xml:space="preserve">. Unless required by applicable Laws, at no time shall the Administrative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the Administrative Agent, any Lender or the L/C Issuer determines, in its sole discretion exercised in good faith, that it has received a refund of any Taxes or Other Taxes as to which it has been indemnified by a Borrower or with respect to which a Borrower has paid additional amounts pursuant to this Section, it shall pay to such Borrower an amount equal to such refund (but only to the extent of indemnity payments made, or additional amounts paid, by such Borrower under this Section with respect to the Taxes or Other Taxes giving rise to such refund), net of all out-of-pocket expenses and net of any loss or gain realized in the conversion of such funds from or to another currency incurred by the Administrative Agent, such Lender or the L/C Issuer, as the case may be, and without interest (other than any interest paid by the relevant Governmental Authority with respect to such refund),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each Borrower, upon the request of the Administrative Agent, such Lender or the L/C Issuer, agrees to repay the amount paid over to such Borrower (plus any penalties, interest or other charges imposed by the relevant Governmental Authority) to the Administrative Agent, such Lender or the L/C Issuer in the event the Administrative Agent, such Lender or the L/C Issuer is required to repay such refund to such Governmental Authority. Notwithstanding anything to the contrary in this subsection, in no event will the applicable Recipient be required to pay any amount to a Borrower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clause shall not be construed to require the Administrative Agent, any Lender or the L/C Issuer to make available its tax returns (or any other information relating to its taxes that it deems confidential) to any Borrower or any other Person.</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3.02 Illegality.</w:t>
      </w:r>
    </w:p>
    <w:p>
      <w:pPr>
        <w:spacing w:after="0" w:line="193" w:lineRule="exact"/>
        <w:rPr>
          <w:sz w:val="20"/>
          <w:szCs w:val="20"/>
          <w:color w:val="auto"/>
        </w:rPr>
      </w:pPr>
    </w:p>
    <w:p>
      <w:pPr>
        <w:jc w:val="both"/>
        <w:ind w:firstLine="757"/>
        <w:spacing w:after="0" w:line="280" w:lineRule="auto"/>
        <w:tabs>
          <w:tab w:leader="none" w:pos="1001" w:val="left"/>
        </w:tabs>
        <w:numPr>
          <w:ilvl w:val="0"/>
          <w:numId w:val="87"/>
        </w:numPr>
        <w:rPr>
          <w:rFonts w:ascii="Arial" w:cs="Arial" w:eastAsia="Arial" w:hAnsi="Arial"/>
          <w:sz w:val="15"/>
          <w:szCs w:val="15"/>
          <w:color w:val="auto"/>
        </w:rPr>
      </w:pPr>
      <w:r>
        <w:rPr>
          <w:rFonts w:ascii="Arial" w:cs="Arial" w:eastAsia="Arial" w:hAnsi="Arial"/>
          <w:sz w:val="15"/>
          <w:szCs w:val="15"/>
          <w:color w:val="auto"/>
        </w:rPr>
        <w:t>If any Lender determines that any Law has made it unlawful, or that any Governmental Authority has asserted that it is unlawful, for any Lender or its applicable Lending Office to make, maintain or fund any Credit Extension whose interest is determined by reference to the Eurocurrency Rate or CDOR Rate, or to determine or charge interest rates based upon the Eurocurrency Rate, or any Governmental Authority has imposed material restrictions on the authority of such Lender to purchase or sell, or to take deposits of, Dollars or any Alternative Currency in the applicable interbank market, then, on notice thereof by such Lender to the Company through the Administrative Agent, (a) any obligation of such Lender to make or continue Eurodollar Rate Loans in the affected currency or currencies or, in the case of Eurocurrency Rate Loans in Dollars, to convert Base Rate Loans to Eurocurrency Rate Loans shall be suspended, and (b) if such notice asserts the illegality of such Lender making or maintaining Base Rate Loans the interest rate on which is determined by reference to the Eurocurrency Rate component of the Base Rate, the interest rate on which Base Rate Loans of such Lender shall, if necessary to avoid such illegality, be determined by the Administrative Agent without reference to the Eurocurrency Rate component of the Base Rate, in each case until such Lender notifies the Administrative Agent and the Company that the circumstances giving rise to such determination no longer exist. Upon receipt of such notice, (x) the Borrowers shall, upon demand from such Lender (with a copy to the Administrative Agent), prepay or, if applicable and such Loans are denominated in Dollars, convert all Eurocurrency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Eurocurrency Rate Loans to such day, or immediately, if such Lender may not lawfully continue to maintain such Eurocurrency Rate Loans and (y) if such notice asserts the illegality of such Lender determining or charging interest rates based upon the Eurocurrency Rate, the Administrative Agent shall during the period of such suspension compute the Base Rate applicable to such Lender without reference to the Eurocurrency Rate component thereof until the Administrative Agent is advised in writing by such Lender that it is no longer illegal for such Lender to determine or charge interest rates based upon the Eurocurrency Rate. Upon any such prepayment or conversion, the Borrowers shall also pay accrued interest on the amount so prepaid or converted.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40"/>
          </w:cols>
          <w:pgMar w:left="240" w:top="314" w:right="219" w:bottom="1440" w:gutter="0" w:footer="0" w:header="0"/>
        </w:sectPr>
      </w:pPr>
    </w:p>
    <w:bookmarkStart w:id="79" w:name="page80"/>
    <w:bookmarkEnd w:id="79"/>
    <w:p>
      <w:pPr>
        <w:jc w:val="both"/>
        <w:ind w:left="6" w:firstLine="757"/>
        <w:spacing w:after="0" w:line="264" w:lineRule="auto"/>
        <w:tabs>
          <w:tab w:leader="none" w:pos="1146" w:val="left"/>
        </w:tabs>
        <w:numPr>
          <w:ilvl w:val="0"/>
          <w:numId w:val="88"/>
        </w:numPr>
        <w:rPr>
          <w:rFonts w:ascii="Arial" w:cs="Arial" w:eastAsia="Arial" w:hAnsi="Arial"/>
          <w:sz w:val="16"/>
          <w:szCs w:val="16"/>
          <w:color w:val="auto"/>
        </w:rPr>
      </w:pPr>
      <w:r>
        <w:rPr>
          <w:rFonts w:ascii="Arial" w:cs="Arial" w:eastAsia="Arial" w:hAnsi="Arial"/>
          <w:sz w:val="16"/>
          <w:szCs w:val="16"/>
          <w:color w:val="auto"/>
        </w:rPr>
        <w:t>If, in any applicable jurisdiction, any Lender or any Designated Lender determines that any Law has made it unlawful, or that any Governmental Authority has asserted that it is unlawful, for any Lender or its applicable Designated Lender to (i) perform any of its obligations hereunder or under any other Loan Document, (ii) to fund or maintain its participation in any Loan or (iii) issue, make, maintain, fund or charge interest with respect to any Credit Extension to any Foreign Borrower such Lender or such Designated Lender shall promptly notify the Administrative Agent, then, upon the Administrative Agent notifying the Company, and until such notice by such Lender or such Designated Lender is revoked, any obligation of such Lender to issue, make, maintain, fund or charge interest with respect to any such Credit Extension shall be suspended, and to the extent required by applicable Law, cancelled. Upon receipt of such notice, the Loan Parties shall, (A) repay that Lender’s (or Designated Lender’s) participation in the Loans or other applicable Obligations on the last day of the Interest Period for each Loan or other Obligation occurring after the Administrative Agent has notified the Company or, if earlier, the date specified by the Lender (or the Designated Lender) in the notice delivered to the Administrative Agent (being no earlier than the last day of any applicable grace period permitted by applicable Law) and (B) take all reasonable actions requested by such Lender or such Designated Lender to mitigate or avoid such illegality.</w:t>
      </w:r>
    </w:p>
    <w:p>
      <w:pPr>
        <w:spacing w:after="0" w:line="150" w:lineRule="exact"/>
        <w:rPr>
          <w:sz w:val="20"/>
          <w:szCs w:val="20"/>
          <w:color w:val="auto"/>
        </w:rPr>
      </w:pPr>
    </w:p>
    <w:p>
      <w:pPr>
        <w:ind w:left="766"/>
        <w:spacing w:after="0"/>
        <w:rPr>
          <w:sz w:val="20"/>
          <w:szCs w:val="20"/>
          <w:color w:val="auto"/>
        </w:rPr>
      </w:pPr>
      <w:r>
        <w:rPr>
          <w:rFonts w:ascii="Arial" w:cs="Arial" w:eastAsia="Arial" w:hAnsi="Arial"/>
          <w:sz w:val="17"/>
          <w:szCs w:val="17"/>
          <w:b w:val="1"/>
          <w:bCs w:val="1"/>
          <w:color w:val="auto"/>
        </w:rPr>
        <w:t>3.03 Inability to Determine Rates</w:t>
      </w:r>
      <w:r>
        <w:rPr>
          <w:rFonts w:ascii="Arial" w:cs="Arial" w:eastAsia="Arial" w:hAnsi="Arial"/>
          <w:sz w:val="17"/>
          <w:szCs w:val="17"/>
          <w:color w:val="auto"/>
        </w:rPr>
        <w:t>.</w:t>
      </w:r>
    </w:p>
    <w:p>
      <w:pPr>
        <w:spacing w:after="0" w:line="197" w:lineRule="exact"/>
        <w:rPr>
          <w:sz w:val="20"/>
          <w:szCs w:val="20"/>
          <w:color w:val="auto"/>
        </w:rPr>
      </w:pPr>
    </w:p>
    <w:p>
      <w:pPr>
        <w:ind w:left="1006" w:hanging="243"/>
        <w:spacing w:after="0"/>
        <w:tabs>
          <w:tab w:leader="none" w:pos="1006" w:val="left"/>
        </w:tabs>
        <w:numPr>
          <w:ilvl w:val="1"/>
          <w:numId w:val="89"/>
        </w:numPr>
        <w:rPr>
          <w:rFonts w:ascii="Arial" w:cs="Arial" w:eastAsia="Arial" w:hAnsi="Arial"/>
          <w:sz w:val="15"/>
          <w:szCs w:val="15"/>
          <w:color w:val="auto"/>
        </w:rPr>
      </w:pPr>
      <w:r>
        <w:rPr>
          <w:rFonts w:ascii="Arial" w:cs="Arial" w:eastAsia="Arial" w:hAnsi="Arial"/>
          <w:sz w:val="15"/>
          <w:szCs w:val="15"/>
          <w:color w:val="auto"/>
        </w:rPr>
        <w:t>If in connection with any request for a Eurocurrency Rate Loan or a conversion to or continuation thereof, (i) the Administrative Agent determines that</w:t>
      </w:r>
    </w:p>
    <w:p>
      <w:pPr>
        <w:spacing w:after="0" w:line="40" w:lineRule="exact"/>
        <w:rPr>
          <w:rFonts w:ascii="Arial" w:cs="Arial" w:eastAsia="Arial" w:hAnsi="Arial"/>
          <w:sz w:val="15"/>
          <w:szCs w:val="15"/>
          <w:color w:val="auto"/>
        </w:rPr>
      </w:pPr>
    </w:p>
    <w:p>
      <w:pPr>
        <w:jc w:val="both"/>
        <w:ind w:left="6" w:hanging="6"/>
        <w:spacing w:after="0" w:line="281" w:lineRule="auto"/>
        <w:tabs>
          <w:tab w:leader="none" w:pos="349" w:val="left"/>
        </w:tabs>
        <w:numPr>
          <w:ilvl w:val="0"/>
          <w:numId w:val="90"/>
        </w:numPr>
        <w:rPr>
          <w:rFonts w:ascii="Arial" w:cs="Arial" w:eastAsia="Arial" w:hAnsi="Arial"/>
          <w:sz w:val="15"/>
          <w:szCs w:val="15"/>
          <w:color w:val="auto"/>
        </w:rPr>
      </w:pPr>
      <w:r>
        <w:rPr>
          <w:rFonts w:ascii="Arial" w:cs="Arial" w:eastAsia="Arial" w:hAnsi="Arial"/>
          <w:sz w:val="15"/>
          <w:szCs w:val="15"/>
          <w:color w:val="auto"/>
        </w:rPr>
        <w:t>deposits (whether in Dollars or an Alternative Currency) are not being offered to banks in the applicable interbank market for such currency for the applicable amount and Interest Period of such Eurocurrency Rate Loan or (B) adequate and reasonable means do not exist for determining the Eurocurrency Rate for any requested Interest Period with respect to a proposed Eurocurrency Rate Loan (whether denominated in Dollars or an Alternative Currency) or in connection with an existing or proposed Base Rate Loan (in each case with respect to clause (i), “</w:t>
      </w:r>
      <w:r>
        <w:rPr>
          <w:rFonts w:ascii="Arial" w:cs="Arial" w:eastAsia="Arial" w:hAnsi="Arial"/>
          <w:sz w:val="15"/>
          <w:szCs w:val="15"/>
          <w:u w:val="single" w:color="auto"/>
          <w:color w:val="auto"/>
        </w:rPr>
        <w:t>Impacted Loans</w:t>
      </w:r>
      <w:r>
        <w:rPr>
          <w:rFonts w:ascii="Arial" w:cs="Arial" w:eastAsia="Arial" w:hAnsi="Arial"/>
          <w:sz w:val="15"/>
          <w:szCs w:val="15"/>
          <w:color w:val="auto"/>
        </w:rPr>
        <w:t>”), or (ii) the Administrative Agent or the Required Lenders determine that for any reason the Eurocurrency Rate for any requested Interest Period with respect to a proposed Eurocurrency Rate Loan does not adequately and fairly reflect the cost to such Lenders of funding such Loan, the Administrative Agent will promptly so notify the Company and each Lender. Thereafter, (x) the obligation of the Lenders to make or maintain Eurocurrency Rate Loans in the affected currency or currencies shall be suspended (to the extent of the affected Eurocurrency Rate Loans or Interest Periods), and (y) in the event of a determination described in the preceding sentence with respect to the Eurocurrency Rate component of the Base Rate, the utilization of the Eurocurrency Rate component in determining the Base Rate shall be suspended, in each case until the Administrative Agent (upon the instruction of the Required Lenders) revokes such notice. Upon receipt of such notice, the Borrowers may revoke any pending request for a Borrowing of, conversion to or continuation of Eurocurrency Rate Loans in the affected currency or currencies (to the extent of the affected Eurocurrency Rate Loans or Interest Periods) or, failing that, will be deemed to have converted such request into a request for a Borrowing of Base Rate Loans in Dollars in the amount specified therein.</w:t>
      </w:r>
    </w:p>
    <w:p>
      <w:pPr>
        <w:spacing w:after="0" w:line="141" w:lineRule="exact"/>
        <w:rPr>
          <w:rFonts w:ascii="Arial" w:cs="Arial" w:eastAsia="Arial" w:hAnsi="Arial"/>
          <w:sz w:val="15"/>
          <w:szCs w:val="15"/>
          <w:color w:val="auto"/>
        </w:rPr>
      </w:pPr>
    </w:p>
    <w:p>
      <w:pPr>
        <w:jc w:val="both"/>
        <w:ind w:left="6" w:firstLine="757"/>
        <w:spacing w:after="0" w:line="247" w:lineRule="auto"/>
        <w:tabs>
          <w:tab w:leader="none" w:pos="1025" w:val="left"/>
        </w:tabs>
        <w:numPr>
          <w:ilvl w:val="1"/>
          <w:numId w:val="90"/>
        </w:numPr>
        <w:rPr>
          <w:rFonts w:ascii="Arial" w:cs="Arial" w:eastAsia="Arial" w:hAnsi="Arial"/>
          <w:sz w:val="17"/>
          <w:szCs w:val="17"/>
          <w:color w:val="auto"/>
        </w:rPr>
      </w:pPr>
      <w:r>
        <w:rPr>
          <w:rFonts w:ascii="Arial" w:cs="Arial" w:eastAsia="Arial" w:hAnsi="Arial"/>
          <w:sz w:val="17"/>
          <w:szCs w:val="17"/>
          <w:color w:val="auto"/>
        </w:rPr>
        <w:t>Notwithstanding the foregoing, if the Administrative Agent has made the determination described in clause (a)(i) of this Section, the Administrative Agent, in consultation with the Company and the Required Lenders, may establish an alternative interest rate for the Impacted Loans, in which case, such alternative rate of interest shall apply with respect to the Impacted Loans until (1) the Administrative Agent revokes the notice delivered with respect to the Impacted Loans under clause (a)(i) of this Section, (2) the Administrative Agent or the Required Lenders notify the Administrative Agent and the Company that such alternative interest rate does not adequately and fairly reflect the cost to the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Company written notice thereof.</w:t>
      </w:r>
    </w:p>
    <w:p>
      <w:pPr>
        <w:spacing w:after="0" w:line="164" w:lineRule="exact"/>
        <w:rPr>
          <w:sz w:val="20"/>
          <w:szCs w:val="20"/>
          <w:color w:val="auto"/>
        </w:rPr>
      </w:pPr>
    </w:p>
    <w:p>
      <w:pPr>
        <w:ind w:left="766"/>
        <w:spacing w:after="0"/>
        <w:rPr>
          <w:sz w:val="20"/>
          <w:szCs w:val="20"/>
          <w:color w:val="auto"/>
        </w:rPr>
      </w:pPr>
      <w:r>
        <w:rPr>
          <w:rFonts w:ascii="Arial" w:cs="Arial" w:eastAsia="Arial" w:hAnsi="Arial"/>
          <w:sz w:val="17"/>
          <w:szCs w:val="17"/>
          <w:b w:val="1"/>
          <w:bCs w:val="1"/>
          <w:color w:val="auto"/>
        </w:rPr>
        <w:t>3.04 Increased Costs; Reserves on Eurocurrency Rate Loans</w:t>
      </w:r>
      <w:r>
        <w:rPr>
          <w:rFonts w:ascii="Arial" w:cs="Arial" w:eastAsia="Arial" w:hAnsi="Arial"/>
          <w:sz w:val="17"/>
          <w:szCs w:val="17"/>
          <w:color w:val="auto"/>
        </w:rPr>
        <w:t>.</w:t>
      </w:r>
    </w:p>
    <w:p>
      <w:pPr>
        <w:spacing w:after="0" w:line="197" w:lineRule="exact"/>
        <w:rPr>
          <w:sz w:val="20"/>
          <w:szCs w:val="20"/>
          <w:color w:val="auto"/>
        </w:rPr>
      </w:pPr>
    </w:p>
    <w:p>
      <w:pPr>
        <w:ind w:left="1706" w:hanging="231"/>
        <w:spacing w:after="0"/>
        <w:tabs>
          <w:tab w:leader="none" w:pos="1706"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Increased Costs Generally</w:t>
      </w:r>
      <w:r>
        <w:rPr>
          <w:rFonts w:ascii="Arial" w:cs="Arial" w:eastAsia="Arial" w:hAnsi="Arial"/>
          <w:sz w:val="17"/>
          <w:szCs w:val="17"/>
          <w:color w:val="auto"/>
        </w:rPr>
        <w:t>. If any Change in Law shall:</w:t>
      </w:r>
    </w:p>
    <w:p>
      <w:pPr>
        <w:spacing w:after="0" w:line="191" w:lineRule="exact"/>
        <w:rPr>
          <w:rFonts w:ascii="Arial" w:cs="Arial" w:eastAsia="Arial" w:hAnsi="Arial"/>
          <w:sz w:val="17"/>
          <w:szCs w:val="17"/>
          <w:color w:val="auto"/>
        </w:rPr>
      </w:pPr>
    </w:p>
    <w:p>
      <w:pPr>
        <w:ind w:left="1526" w:right="20" w:firstLine="660"/>
        <w:spacing w:after="0" w:line="271" w:lineRule="auto"/>
        <w:tabs>
          <w:tab w:leader="none" w:pos="2398" w:val="left"/>
        </w:tabs>
        <w:numPr>
          <w:ilvl w:val="1"/>
          <w:numId w:val="91"/>
        </w:numPr>
        <w:rPr>
          <w:rFonts w:ascii="Arial" w:cs="Arial" w:eastAsia="Arial" w:hAnsi="Arial"/>
          <w:sz w:val="17"/>
          <w:szCs w:val="17"/>
          <w:color w:val="auto"/>
        </w:rPr>
      </w:pPr>
      <w:r>
        <w:rPr>
          <w:rFonts w:ascii="Arial" w:cs="Arial" w:eastAsia="Arial" w:hAnsi="Arial"/>
          <w:sz w:val="17"/>
          <w:szCs w:val="17"/>
          <w:color w:val="auto"/>
        </w:rPr>
        <w:t>impose, modify or deem applicable any reserve, special deposit, compulsory loan, insurance charge or similar requirement against assets of, deposits with or for the account of, or credit extended or</w:t>
      </w:r>
    </w:p>
    <w:p>
      <w:pPr>
        <w:spacing w:after="0" w:line="145"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46"/>
          </w:cols>
          <w:pgMar w:left="234" w:top="312" w:right="219" w:bottom="1440" w:gutter="0" w:footer="0" w:header="0"/>
        </w:sectPr>
      </w:pPr>
    </w:p>
    <w:bookmarkStart w:id="80" w:name="page81"/>
    <w:bookmarkEnd w:id="80"/>
    <w:p>
      <w:pPr>
        <w:ind w:left="760"/>
        <w:spacing w:after="0"/>
        <w:rPr>
          <w:sz w:val="20"/>
          <w:szCs w:val="20"/>
          <w:color w:val="auto"/>
        </w:rPr>
      </w:pPr>
      <w:r>
        <w:rPr>
          <w:rFonts w:ascii="Arial" w:cs="Arial" w:eastAsia="Arial" w:hAnsi="Arial"/>
          <w:sz w:val="17"/>
          <w:szCs w:val="17"/>
          <w:color w:val="auto"/>
        </w:rPr>
        <w:t>participated in by, any Lender (except any reserve requirement contemplated by Section 3.04(f)</w:t>
      </w:r>
      <w:r>
        <w:rPr>
          <w:rFonts w:ascii="Arial" w:cs="Arial" w:eastAsia="Arial" w:hAnsi="Arial"/>
          <w:sz w:val="15"/>
          <w:szCs w:val="15"/>
          <w:color w:val="auto"/>
        </w:rPr>
        <w:t>) or the L/C Issuer; or</w:t>
      </w:r>
    </w:p>
    <w:p>
      <w:pPr>
        <w:spacing w:after="0" w:line="191" w:lineRule="exact"/>
        <w:rPr>
          <w:sz w:val="20"/>
          <w:szCs w:val="20"/>
          <w:color w:val="auto"/>
        </w:rPr>
      </w:pPr>
    </w:p>
    <w:p>
      <w:pPr>
        <w:jc w:val="both"/>
        <w:ind w:left="760" w:right="20" w:firstLine="660"/>
        <w:spacing w:after="0" w:line="257" w:lineRule="auto"/>
        <w:tabs>
          <w:tab w:leader="none" w:pos="17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57" w:lineRule="exact"/>
        <w:rPr>
          <w:rFonts w:ascii="Arial" w:cs="Arial" w:eastAsia="Arial" w:hAnsi="Arial"/>
          <w:sz w:val="17"/>
          <w:szCs w:val="17"/>
          <w:color w:val="auto"/>
        </w:rPr>
      </w:pPr>
    </w:p>
    <w:p>
      <w:pPr>
        <w:ind w:left="760" w:firstLine="660"/>
        <w:spacing w:after="0" w:line="271" w:lineRule="auto"/>
        <w:tabs>
          <w:tab w:leader="none" w:pos="1739" w:val="left"/>
        </w:tabs>
        <w:numPr>
          <w:ilvl w:val="0"/>
          <w:numId w:val="92"/>
        </w:numPr>
        <w:rPr>
          <w:rFonts w:ascii="Arial" w:cs="Arial" w:eastAsia="Arial" w:hAnsi="Arial"/>
          <w:sz w:val="17"/>
          <w:szCs w:val="17"/>
          <w:color w:val="auto"/>
        </w:rPr>
      </w:pPr>
      <w:r>
        <w:rPr>
          <w:rFonts w:ascii="Arial" w:cs="Arial" w:eastAsia="Arial" w:hAnsi="Arial"/>
          <w:sz w:val="17"/>
          <w:szCs w:val="17"/>
          <w:color w:val="auto"/>
        </w:rPr>
        <w:t>impose on any Lender or the L/C Issuer or the applicable interbank market any other condition, cost or expense affecting this Agreement or Eurocurrency Rate Loans made by such Lender or any Letter of Credit or participation therein;</w:t>
      </w:r>
    </w:p>
    <w:p>
      <w:pPr>
        <w:spacing w:after="0" w:line="145" w:lineRule="exact"/>
        <w:rPr>
          <w:sz w:val="20"/>
          <w:szCs w:val="20"/>
          <w:color w:val="auto"/>
        </w:rPr>
      </w:pPr>
    </w:p>
    <w:p>
      <w:pPr>
        <w:jc w:val="both"/>
        <w:ind w:right="20"/>
        <w:spacing w:after="0" w:line="249" w:lineRule="auto"/>
        <w:rPr>
          <w:sz w:val="20"/>
          <w:szCs w:val="20"/>
          <w:color w:val="auto"/>
        </w:rPr>
      </w:pPr>
      <w:r>
        <w:rPr>
          <w:rFonts w:ascii="Arial" w:cs="Arial" w:eastAsia="Arial" w:hAnsi="Arial"/>
          <w:sz w:val="17"/>
          <w:szCs w:val="17"/>
          <w:color w:val="auto"/>
        </w:rPr>
        <w:t>and the result of any of the foregoing shall be to increase the cost to such Lender of making, converting, continuing or maintaining any Loan the interest on which is determined by reference to the Eurocurrency Rate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Company will pay (or cause the applicable Borrower to pay) to such Lender or the L/C Issuer, as the case may be, such additional amount or amounts as will compensate such Lender or the L/C Issuer, as the case may be, for such additional costs incurred or reduction suffered.</w:t>
      </w:r>
    </w:p>
    <w:p>
      <w:pPr>
        <w:spacing w:after="0" w:line="163" w:lineRule="exact"/>
        <w:rPr>
          <w:sz w:val="20"/>
          <w:szCs w:val="20"/>
          <w:color w:val="auto"/>
        </w:rPr>
      </w:pPr>
    </w:p>
    <w:p>
      <w:pPr>
        <w:jc w:val="both"/>
        <w:ind w:firstLine="709"/>
        <w:spacing w:after="0" w:line="285" w:lineRule="auto"/>
        <w:tabs>
          <w:tab w:leader="none" w:pos="967" w:val="left"/>
        </w:tabs>
        <w:numPr>
          <w:ilvl w:val="0"/>
          <w:numId w:val="93"/>
        </w:numPr>
        <w:rPr>
          <w:rFonts w:ascii="Arial" w:cs="Arial" w:eastAsia="Arial" w:hAnsi="Arial"/>
          <w:sz w:val="15"/>
          <w:szCs w:val="15"/>
          <w:color w:val="auto"/>
        </w:rPr>
      </w:pPr>
      <w:r>
        <w:rPr>
          <w:rFonts w:ascii="Arial" w:cs="Arial" w:eastAsia="Arial" w:hAnsi="Arial"/>
          <w:sz w:val="15"/>
          <w:szCs w:val="15"/>
          <w:u w:val="single" w:color="auto"/>
          <w:color w:val="auto"/>
        </w:rPr>
        <w:t>Capital Requirements</w:t>
      </w:r>
      <w:r>
        <w:rPr>
          <w:rFonts w:ascii="Arial" w:cs="Arial" w:eastAsia="Arial" w:hAnsi="Arial"/>
          <w:sz w:val="15"/>
          <w:szCs w:val="15"/>
          <w:color w:val="auto"/>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and/or liquidity), then from time to time the Company will pay (or cause the applicable Borrower to pay) to such Lender or the L/C Issuer, as the case may be, such additional amount or amounts as will compensate such Lender or the L/C Issuer or such Lender’s or the L/C Issuer’s holding company for any such reduction suffered.</w:t>
      </w:r>
    </w:p>
    <w:p>
      <w:pPr>
        <w:spacing w:after="0" w:line="137" w:lineRule="exact"/>
        <w:rPr>
          <w:rFonts w:ascii="Arial" w:cs="Arial" w:eastAsia="Arial" w:hAnsi="Arial"/>
          <w:sz w:val="15"/>
          <w:szCs w:val="15"/>
          <w:color w:val="auto"/>
        </w:rPr>
      </w:pPr>
    </w:p>
    <w:p>
      <w:pPr>
        <w:jc w:val="both"/>
        <w:ind w:firstLine="709"/>
        <w:spacing w:after="0" w:line="281" w:lineRule="auto"/>
        <w:tabs>
          <w:tab w:leader="none" w:pos="957"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Mandatory Costs</w:t>
      </w:r>
      <w:r>
        <w:rPr>
          <w:rFonts w:ascii="Arial" w:cs="Arial" w:eastAsia="Arial" w:hAnsi="Arial"/>
          <w:sz w:val="16"/>
          <w:szCs w:val="16"/>
          <w:color w:val="auto"/>
        </w:rPr>
        <w:t>. If any Lender or the L/C Issuer incurs any Mandatory Costs attributable to the Obligations, then from time to time the Company will pay (or cause the applicable Borrower to pay) to such Lender or the L/C Issuer, as the case may be, such Mandatory Costs. Such amount shall be expressed as a percentage rate per annum and shall be payable on the full amount of the applicable Obligations.</w:t>
      </w:r>
    </w:p>
    <w:p>
      <w:pPr>
        <w:spacing w:after="0" w:line="139" w:lineRule="exact"/>
        <w:rPr>
          <w:rFonts w:ascii="Arial" w:cs="Arial" w:eastAsia="Arial" w:hAnsi="Arial"/>
          <w:sz w:val="16"/>
          <w:szCs w:val="16"/>
          <w:color w:val="auto"/>
        </w:rPr>
      </w:pPr>
    </w:p>
    <w:p>
      <w:pPr>
        <w:jc w:val="both"/>
        <w:ind w:firstLine="709"/>
        <w:spacing w:after="0" w:line="297" w:lineRule="auto"/>
        <w:tabs>
          <w:tab w:leader="none" w:pos="967" w:val="left"/>
        </w:tabs>
        <w:numPr>
          <w:ilvl w:val="0"/>
          <w:numId w:val="93"/>
        </w:numPr>
        <w:rPr>
          <w:rFonts w:ascii="Arial" w:cs="Arial" w:eastAsia="Arial" w:hAnsi="Arial"/>
          <w:sz w:val="15"/>
          <w:szCs w:val="15"/>
          <w:color w:val="auto"/>
        </w:rPr>
      </w:pPr>
      <w:r>
        <w:rPr>
          <w:rFonts w:ascii="Arial" w:cs="Arial" w:eastAsia="Arial" w:hAnsi="Arial"/>
          <w:sz w:val="15"/>
          <w:szCs w:val="15"/>
          <w:u w:val="single" w:color="auto"/>
          <w:color w:val="auto"/>
        </w:rPr>
        <w:t>Certificates for Reimbursement</w:t>
      </w:r>
      <w:r>
        <w:rPr>
          <w:rFonts w:ascii="Arial" w:cs="Arial" w:eastAsia="Arial" w:hAnsi="Arial"/>
          <w:sz w:val="15"/>
          <w:szCs w:val="15"/>
          <w:color w:val="auto"/>
        </w:rPr>
        <w:t xml:space="preserve">. A certificate of a Lender or the L/C Issuer prepared in good faith setting forth in reasonable detail the calculation of the amount or amounts necessary to compensate such Lender or the L/C Issuer or its holding company, as the case may be, as specified in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w:t>
      </w:r>
      <w:r>
        <w:rPr>
          <w:rFonts w:ascii="Arial" w:cs="Arial" w:eastAsia="Arial" w:hAnsi="Arial"/>
          <w:sz w:val="15"/>
          <w:szCs w:val="15"/>
          <w:u w:val="single" w:color="auto"/>
          <w:color w:val="auto"/>
        </w:rPr>
        <w:t>(b)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(c)</w:t>
      </w:r>
      <w:r>
        <w:rPr>
          <w:rFonts w:ascii="Arial" w:cs="Arial" w:eastAsia="Arial" w:hAnsi="Arial"/>
          <w:sz w:val="15"/>
          <w:szCs w:val="15"/>
          <w:color w:val="auto"/>
        </w:rPr>
        <w:t xml:space="preserve"> and delivered to the Company shall be conclusive absent manifest error. The Company shall pay (or cause the applicable Borrower to pay) such Lender or the L/C Issuer, as the case may be, the amount shown as due on any such certificate within 10 days after receipt thereof.</w:t>
      </w:r>
    </w:p>
    <w:p>
      <w:pPr>
        <w:spacing w:after="0" w:line="130" w:lineRule="exact"/>
        <w:rPr>
          <w:rFonts w:ascii="Arial" w:cs="Arial" w:eastAsia="Arial" w:hAnsi="Arial"/>
          <w:sz w:val="15"/>
          <w:szCs w:val="15"/>
          <w:color w:val="auto"/>
        </w:rPr>
      </w:pPr>
    </w:p>
    <w:p>
      <w:pPr>
        <w:jc w:val="both"/>
        <w:ind w:firstLine="709"/>
        <w:spacing w:after="0" w:line="249" w:lineRule="auto"/>
        <w:tabs>
          <w:tab w:leader="none" w:pos="946"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Delay in Requests</w:t>
      </w:r>
      <w:r>
        <w:rPr>
          <w:rFonts w:ascii="Arial" w:cs="Arial" w:eastAsia="Arial" w:hAnsi="Arial"/>
          <w:sz w:val="17"/>
          <w:szCs w:val="17"/>
          <w:color w:val="auto"/>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Borrower shall be required to compensate a Lender or the L/C Issuer pursuant to the foregoing provisions of this Section for any increased costs incurred or reductions suffered more than nine months prior to the date that such Lender or the L/C Issuer, as the case may be, notifies the Company of the Change in Law giving rise to such increased costs or reductions and of such Lender’s or the L/C Issuer’s intention to claim compensation therefor (except that, if the Change in Law</w:t>
      </w:r>
    </w:p>
    <w:p>
      <w:pPr>
        <w:spacing w:after="0" w:line="166"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0680"/>
          </w:cols>
          <w:pgMar w:left="1000" w:top="312" w:right="219" w:bottom="1440" w:gutter="0" w:footer="0" w:header="0"/>
        </w:sectPr>
      </w:pPr>
    </w:p>
    <w:bookmarkStart w:id="81" w:name="page82"/>
    <w:bookmarkEnd w:id="81"/>
    <w:p>
      <w:pPr>
        <w:ind w:left="760" w:right="20"/>
        <w:spacing w:after="0" w:line="271" w:lineRule="auto"/>
        <w:rPr>
          <w:sz w:val="20"/>
          <w:szCs w:val="20"/>
          <w:color w:val="auto"/>
        </w:rPr>
      </w:pPr>
      <w:r>
        <w:rPr>
          <w:rFonts w:ascii="Arial" w:cs="Arial" w:eastAsia="Arial" w:hAnsi="Arial"/>
          <w:sz w:val="17"/>
          <w:szCs w:val="17"/>
          <w:color w:val="auto"/>
        </w:rPr>
        <w:t>giving rise to such increased costs or reductions is retroactive, then the nine-month period referred to above shall be extended to include the period of retroactive effect thereof).</w:t>
      </w:r>
    </w:p>
    <w:p>
      <w:pPr>
        <w:spacing w:after="0" w:line="145" w:lineRule="exact"/>
        <w:rPr>
          <w:sz w:val="20"/>
          <w:szCs w:val="20"/>
          <w:color w:val="auto"/>
        </w:rPr>
      </w:pPr>
    </w:p>
    <w:p>
      <w:pPr>
        <w:jc w:val="both"/>
        <w:ind w:left="760" w:firstLine="709"/>
        <w:spacing w:after="0" w:line="264" w:lineRule="auto"/>
        <w:tabs>
          <w:tab w:leader="none" w:pos="1687"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Additional Reserve Requirements</w:t>
      </w:r>
      <w:r>
        <w:rPr>
          <w:rFonts w:ascii="Arial" w:cs="Arial" w:eastAsia="Arial" w:hAnsi="Arial"/>
          <w:sz w:val="16"/>
          <w:szCs w:val="16"/>
          <w:color w:val="auto"/>
        </w:rPr>
        <w:t xml:space="preserve">. The Borrowers shall pay to each Lender, (i) as long as such Lender shall be required to maintain reserves with respect to liabilities or assets consisting of or including Eurocurrency funds or deposits (currently known as “Eurocurrency liabilities”), additional interest on the unpaid principal amount of each Eurocurrency Rate Loan equal to the actual costs of such reserves allocated to such Loan by such Lender (as determined by such Lender in good faith, which determination shall be conclusive), and (ii) as long as such Lender shall be required to comply with any reserve ratio requirement or analogous requirement of any other central banking or financial regulatory authority imposed in respect of the maintenance of the Commitments or the funding of the Eurocurrency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which, in each case, shall be due and payable on each date on which interest is payable on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Company shall have received at least 10 days’ prior notice (with a copy to the Administrative Agent) of such additional interest or costs from such Lender. If a Lender fails to give notice 10 days prior to the relevant Interest Payment Date, such additional interest or costs shall be due and payable 10 days from receipt of such notice.</w:t>
      </w:r>
    </w:p>
    <w:p>
      <w:pPr>
        <w:spacing w:after="0" w:line="147" w:lineRule="exact"/>
        <w:rPr>
          <w:sz w:val="20"/>
          <w:szCs w:val="20"/>
          <w:color w:val="auto"/>
        </w:rPr>
      </w:pPr>
    </w:p>
    <w:p>
      <w:pPr>
        <w:jc w:val="both"/>
        <w:ind w:firstLine="763"/>
        <w:spacing w:after="0" w:line="261" w:lineRule="auto"/>
        <w:rPr>
          <w:sz w:val="20"/>
          <w:szCs w:val="20"/>
          <w:color w:val="auto"/>
        </w:rPr>
      </w:pPr>
      <w:r>
        <w:rPr>
          <w:rFonts w:ascii="Arial" w:cs="Arial" w:eastAsia="Arial" w:hAnsi="Arial"/>
          <w:sz w:val="17"/>
          <w:szCs w:val="17"/>
          <w:b w:val="1"/>
          <w:bCs w:val="1"/>
          <w:color w:val="auto"/>
        </w:rPr>
        <w:t>3.05 Compensation for Losses</w:t>
      </w:r>
      <w:r>
        <w:rPr>
          <w:rFonts w:ascii="Arial" w:cs="Arial" w:eastAsia="Arial" w:hAnsi="Arial"/>
          <w:sz w:val="17"/>
          <w:szCs w:val="17"/>
          <w:color w:val="auto"/>
        </w:rPr>
        <w:t>. Upon demand of any Lender (with a copy to the Administrative Agent) from time to time, the Company shall promptly</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compensate (or cause the applicable Borrower to compensate) such Lender for and hold such Lender harmless from any loss, cost or expense incurred by it as a result of:</w:t>
      </w:r>
    </w:p>
    <w:p>
      <w:pPr>
        <w:spacing w:after="0" w:line="154" w:lineRule="exact"/>
        <w:rPr>
          <w:sz w:val="20"/>
          <w:szCs w:val="20"/>
          <w:color w:val="auto"/>
        </w:rPr>
      </w:pPr>
    </w:p>
    <w:p>
      <w:pPr>
        <w:ind w:left="760" w:firstLine="709"/>
        <w:spacing w:after="0" w:line="271" w:lineRule="auto"/>
        <w:tabs>
          <w:tab w:leader="none" w:pos="1727" w:val="left"/>
        </w:tabs>
        <w:numPr>
          <w:ilvl w:val="0"/>
          <w:numId w:val="95"/>
        </w:numPr>
        <w:rPr>
          <w:rFonts w:ascii="Arial" w:cs="Arial" w:eastAsia="Arial" w:hAnsi="Arial"/>
          <w:sz w:val="17"/>
          <w:szCs w:val="17"/>
          <w:color w:val="auto"/>
        </w:rPr>
      </w:pPr>
      <w:r>
        <w:rPr>
          <w:rFonts w:ascii="Arial" w:cs="Arial" w:eastAsia="Arial" w:hAnsi="Arial"/>
          <w:sz w:val="17"/>
          <w:szCs w:val="17"/>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44" w:lineRule="exact"/>
        <w:rPr>
          <w:rFonts w:ascii="Arial" w:cs="Arial" w:eastAsia="Arial" w:hAnsi="Arial"/>
          <w:sz w:val="17"/>
          <w:szCs w:val="17"/>
          <w:color w:val="auto"/>
        </w:rPr>
      </w:pPr>
    </w:p>
    <w:p>
      <w:pPr>
        <w:ind w:left="760" w:right="20" w:firstLine="709"/>
        <w:spacing w:after="0" w:line="271" w:lineRule="auto"/>
        <w:tabs>
          <w:tab w:leader="none" w:pos="1729" w:val="left"/>
        </w:tabs>
        <w:numPr>
          <w:ilvl w:val="0"/>
          <w:numId w:val="95"/>
        </w:numPr>
        <w:rPr>
          <w:rFonts w:ascii="Arial" w:cs="Arial" w:eastAsia="Arial" w:hAnsi="Arial"/>
          <w:sz w:val="17"/>
          <w:szCs w:val="17"/>
          <w:color w:val="auto"/>
        </w:rPr>
      </w:pPr>
      <w:r>
        <w:rPr>
          <w:rFonts w:ascii="Arial" w:cs="Arial" w:eastAsia="Arial" w:hAnsi="Arial"/>
          <w:sz w:val="17"/>
          <w:szCs w:val="17"/>
          <w:color w:val="auto"/>
        </w:rPr>
        <w:t>any failure by a Borrower (for a reason other than the failure of such Lender to make a Loan) to prepay, borrow, continue or convert any Loan other than a Base Rate Loan on the date or in the amount notified by such Borrower;</w:t>
      </w:r>
    </w:p>
    <w:p>
      <w:pPr>
        <w:spacing w:after="0" w:line="144" w:lineRule="exact"/>
        <w:rPr>
          <w:rFonts w:ascii="Arial" w:cs="Arial" w:eastAsia="Arial" w:hAnsi="Arial"/>
          <w:sz w:val="17"/>
          <w:szCs w:val="17"/>
          <w:color w:val="auto"/>
        </w:rPr>
      </w:pPr>
    </w:p>
    <w:p>
      <w:pPr>
        <w:ind w:left="760" w:right="20" w:firstLine="709"/>
        <w:spacing w:after="0" w:line="271" w:lineRule="auto"/>
        <w:tabs>
          <w:tab w:leader="none" w:pos="1714" w:val="left"/>
        </w:tabs>
        <w:numPr>
          <w:ilvl w:val="0"/>
          <w:numId w:val="95"/>
        </w:numPr>
        <w:rPr>
          <w:rFonts w:ascii="Arial" w:cs="Arial" w:eastAsia="Arial" w:hAnsi="Arial"/>
          <w:sz w:val="17"/>
          <w:szCs w:val="17"/>
          <w:color w:val="auto"/>
        </w:rPr>
      </w:pPr>
      <w:r>
        <w:rPr>
          <w:rFonts w:ascii="Arial" w:cs="Arial" w:eastAsia="Arial" w:hAnsi="Arial"/>
          <w:sz w:val="17"/>
          <w:szCs w:val="17"/>
          <w:color w:val="auto"/>
        </w:rPr>
        <w:t>any failure by a Borrower to make payment of any Loan or drawing under any Letter of Credit (or interest due thereon) denominated in an Alternative Currency on its scheduled due date or any payment thereof in a different currency; or</w:t>
      </w:r>
    </w:p>
    <w:p>
      <w:pPr>
        <w:spacing w:after="0" w:line="144" w:lineRule="exact"/>
        <w:rPr>
          <w:rFonts w:ascii="Arial" w:cs="Arial" w:eastAsia="Arial" w:hAnsi="Arial"/>
          <w:sz w:val="17"/>
          <w:szCs w:val="17"/>
          <w:color w:val="auto"/>
        </w:rPr>
      </w:pPr>
    </w:p>
    <w:p>
      <w:pPr>
        <w:ind w:left="760" w:firstLine="709"/>
        <w:spacing w:after="0" w:line="271" w:lineRule="auto"/>
        <w:tabs>
          <w:tab w:leader="none" w:pos="1727"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any assignment of a Eurocurrency Rate Loan on a day other than the last day of the Interest Period therefor as a result of a request by the Company pursuant to </w:t>
      </w:r>
      <w:r>
        <w:rPr>
          <w:rFonts w:ascii="Arial" w:cs="Arial" w:eastAsia="Arial" w:hAnsi="Arial"/>
          <w:sz w:val="17"/>
          <w:szCs w:val="17"/>
          <w:u w:val="single" w:color="auto"/>
          <w:color w:val="auto"/>
        </w:rPr>
        <w:t>Section 11.13</w:t>
      </w:r>
      <w:r>
        <w:rPr>
          <w:rFonts w:ascii="Arial" w:cs="Arial" w:eastAsia="Arial" w:hAnsi="Arial"/>
          <w:sz w:val="17"/>
          <w:szCs w:val="17"/>
          <w:color w:val="auto"/>
        </w:rPr>
        <w:t>;</w:t>
      </w:r>
    </w:p>
    <w:p>
      <w:pPr>
        <w:spacing w:after="0" w:line="145"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including any loss of anticipated profits,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The Company shall also pay (or cause the applicable Borrower to pay) any customary administrative fees charged by such Lender in connection with the foregoing.</w:t>
      </w:r>
    </w:p>
    <w:p>
      <w:pPr>
        <w:spacing w:after="0" w:line="121" w:lineRule="exact"/>
        <w:rPr>
          <w:sz w:val="20"/>
          <w:szCs w:val="20"/>
          <w:color w:val="auto"/>
        </w:rPr>
      </w:pPr>
    </w:p>
    <w:p>
      <w:pPr>
        <w:jc w:val="both"/>
        <w:ind w:right="20" w:firstLine="763"/>
        <w:spacing w:after="0" w:line="308" w:lineRule="auto"/>
        <w:rPr>
          <w:sz w:val="20"/>
          <w:szCs w:val="20"/>
          <w:color w:val="auto"/>
        </w:rPr>
      </w:pPr>
      <w:r>
        <w:rPr>
          <w:rFonts w:ascii="Arial" w:cs="Arial" w:eastAsia="Arial" w:hAnsi="Arial"/>
          <w:sz w:val="15"/>
          <w:szCs w:val="15"/>
          <w:color w:val="auto"/>
        </w:rPr>
        <w:t xml:space="preserve">For purposes of calculating amounts payable by the Company (or the applicable Borrower) to the Lenders under this </w:t>
      </w:r>
      <w:r>
        <w:rPr>
          <w:rFonts w:ascii="Arial" w:cs="Arial" w:eastAsia="Arial" w:hAnsi="Arial"/>
          <w:sz w:val="15"/>
          <w:szCs w:val="15"/>
          <w:u w:val="single" w:color="auto"/>
          <w:color w:val="auto"/>
        </w:rPr>
        <w:t>Section 3.05</w:t>
      </w:r>
      <w:r>
        <w:rPr>
          <w:rFonts w:ascii="Arial" w:cs="Arial" w:eastAsia="Arial" w:hAnsi="Arial"/>
          <w:sz w:val="15"/>
          <w:szCs w:val="15"/>
          <w:color w:val="auto"/>
        </w:rPr>
        <w:t>, each Lender shall be deemed to have funded each Eurocurrency Rate Loan made by it at the Eurocurrency Rate for such Loan by a matching deposit or other borrowing in the applicable interbank market for such currency for a comparable amount and for a comparable period, whether or not such Eurocurrency Rate Loan was in fact so funded.</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3.06 Mitigation Obligations; Replacement of Lenders</w:t>
      </w:r>
      <w:r>
        <w:rPr>
          <w:rFonts w:ascii="Arial" w:cs="Arial" w:eastAsia="Arial" w:hAnsi="Arial"/>
          <w:sz w:val="17"/>
          <w:szCs w:val="17"/>
          <w:color w:val="auto"/>
        </w:rPr>
        <w:t>.</w:t>
      </w:r>
    </w:p>
    <w:p>
      <w:pPr>
        <w:spacing w:after="0" w:line="197" w:lineRule="exact"/>
        <w:rPr>
          <w:sz w:val="20"/>
          <w:szCs w:val="20"/>
          <w:color w:val="auto"/>
        </w:rPr>
      </w:pPr>
    </w:p>
    <w:p>
      <w:pPr>
        <w:jc w:val="both"/>
        <w:ind w:left="760" w:firstLine="709"/>
        <w:spacing w:after="0" w:line="257" w:lineRule="auto"/>
        <w:tabs>
          <w:tab w:leader="none" w:pos="1717"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Designation of a Different Lending Office</w:t>
      </w:r>
      <w:r>
        <w:rPr>
          <w:rFonts w:ascii="Arial" w:cs="Arial" w:eastAsia="Arial" w:hAnsi="Arial"/>
          <w:sz w:val="17"/>
          <w:szCs w:val="17"/>
          <w:color w:val="auto"/>
        </w:rPr>
        <w:t xml:space="preserve">. If any Lender requests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requires any Borrower to pay any Indemnified Taxes or additional amounts to any Lender, the L/C Issuer or any Governmental Authority for the account of any Lender or the L/C Issuer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or if any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40"/>
          </w:cols>
          <w:pgMar w:left="240" w:top="312" w:right="219" w:bottom="1440" w:gutter="0" w:footer="0" w:header="0"/>
        </w:sectPr>
      </w:pPr>
    </w:p>
    <w:bookmarkStart w:id="82" w:name="page83"/>
    <w:bookmarkEnd w:id="82"/>
    <w:p>
      <w:pPr>
        <w:jc w:val="both"/>
        <w:ind w:left="760"/>
        <w:spacing w:after="0" w:line="258" w:lineRule="auto"/>
        <w:rPr>
          <w:sz w:val="20"/>
          <w:szCs w:val="20"/>
          <w:color w:val="auto"/>
        </w:rPr>
      </w:pPr>
      <w:r>
        <w:rPr>
          <w:rFonts w:ascii="Arial" w:cs="Arial" w:eastAsia="Arial" w:hAnsi="Arial"/>
          <w:sz w:val="17"/>
          <w:szCs w:val="17"/>
          <w:color w:val="auto"/>
        </w:rPr>
        <w:t xml:space="preserve">Lender gives a notice pursuant to </w:t>
      </w:r>
      <w:r>
        <w:rPr>
          <w:rFonts w:ascii="Arial" w:cs="Arial" w:eastAsia="Arial" w:hAnsi="Arial"/>
          <w:sz w:val="15"/>
          <w:szCs w:val="15"/>
          <w:u w:val="single" w:color="auto"/>
          <w:color w:val="auto"/>
        </w:rPr>
        <w:t>Section 3.02</w:t>
      </w:r>
      <w:r>
        <w:rPr>
          <w:rFonts w:ascii="Arial" w:cs="Arial" w:eastAsia="Arial" w:hAnsi="Arial"/>
          <w:sz w:val="15"/>
          <w:szCs w:val="15"/>
          <w:color w:val="auto"/>
        </w:rPr>
        <w:t>, then at the request of the Company such Lender or the L/C Issuer shall, as applicable, use reasonable efforts to</w:t>
      </w:r>
      <w:r>
        <w:rPr>
          <w:rFonts w:ascii="Arial" w:cs="Arial" w:eastAsia="Arial" w:hAnsi="Arial"/>
          <w:sz w:val="17"/>
          <w:szCs w:val="17"/>
          <w:color w:val="auto"/>
        </w:rPr>
        <w:t xml:space="preserve"> </w:t>
      </w:r>
      <w:r>
        <w:rPr>
          <w:rFonts w:ascii="Arial" w:cs="Arial" w:eastAsia="Arial" w:hAnsi="Arial"/>
          <w:sz w:val="15"/>
          <w:szCs w:val="15"/>
          <w:color w:val="auto"/>
        </w:rPr>
        <w:t xml:space="preserve">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Arial" w:cs="Arial" w:eastAsia="Arial" w:hAnsi="Arial"/>
          <w:sz w:val="15"/>
          <w:szCs w:val="15"/>
          <w:u w:val="single" w:color="auto"/>
          <w:color w:val="auto"/>
        </w:rPr>
        <w:t>Section 3.01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3.04</w:t>
      </w:r>
      <w:r>
        <w:rPr>
          <w:rFonts w:ascii="Arial" w:cs="Arial" w:eastAsia="Arial" w:hAnsi="Arial"/>
          <w:sz w:val="15"/>
          <w:szCs w:val="15"/>
          <w:color w:val="auto"/>
        </w:rPr>
        <w:t xml:space="preserve">, as the case may be, in the future, or eliminate the need for the notice pursuant to </w:t>
      </w:r>
      <w:r>
        <w:rPr>
          <w:rFonts w:ascii="Arial" w:cs="Arial" w:eastAsia="Arial" w:hAnsi="Arial"/>
          <w:sz w:val="15"/>
          <w:szCs w:val="15"/>
          <w:u w:val="single" w:color="auto"/>
          <w:color w:val="auto"/>
        </w:rPr>
        <w:t>Section 3.02</w:t>
      </w:r>
      <w:r>
        <w:rPr>
          <w:rFonts w:ascii="Arial" w:cs="Arial" w:eastAsia="Arial" w:hAnsi="Arial"/>
          <w:sz w:val="15"/>
          <w:szCs w:val="15"/>
          <w:color w:val="auto"/>
        </w:rPr>
        <w:t>, as applicable, and (ii) in each case, would not subject such Lender or the L/C Issuer, as the case may be, to any unreimbursed cost or expense and would not otherwise be disadvantageous to such Lender or the L/C Issuer, as the case may be. The Company hereby agrees to pay (or cause the applicable Borrower to pay) all reasonable costs and expenses incurred by any Lender or the L/C Issuer in connection with any such designation or assignment.</w:t>
      </w:r>
    </w:p>
    <w:p>
      <w:pPr>
        <w:spacing w:after="0" w:line="165" w:lineRule="exact"/>
        <w:rPr>
          <w:sz w:val="20"/>
          <w:szCs w:val="20"/>
          <w:color w:val="auto"/>
        </w:rPr>
      </w:pPr>
    </w:p>
    <w:p>
      <w:pPr>
        <w:jc w:val="both"/>
        <w:ind w:left="760" w:right="20" w:firstLine="709"/>
        <w:spacing w:after="0" w:line="253" w:lineRule="auto"/>
        <w:tabs>
          <w:tab w:leader="none" w:pos="1727"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Replacement of Lenders</w:t>
      </w:r>
      <w:r>
        <w:rPr>
          <w:rFonts w:ascii="Arial" w:cs="Arial" w:eastAsia="Arial" w:hAnsi="Arial"/>
          <w:sz w:val="17"/>
          <w:szCs w:val="17"/>
          <w:color w:val="auto"/>
        </w:rPr>
        <w:t xml:space="preserve">. If any Lender requests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if any Borrower is required to pay any Indemnified Taxes or additional amounts to any Lender or any Governmental Authority for the account of any Lender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and, in each case, such Lender has declined or is unable to designate a different Lending Office in accordance with </w:t>
      </w:r>
      <w:r>
        <w:rPr>
          <w:rFonts w:ascii="Arial" w:cs="Arial" w:eastAsia="Arial" w:hAnsi="Arial"/>
          <w:sz w:val="17"/>
          <w:szCs w:val="17"/>
          <w:u w:val="single" w:color="auto"/>
          <w:color w:val="auto"/>
        </w:rPr>
        <w:t>Section 3.06(a)</w:t>
      </w:r>
      <w:r>
        <w:rPr>
          <w:rFonts w:ascii="Arial" w:cs="Arial" w:eastAsia="Arial" w:hAnsi="Arial"/>
          <w:sz w:val="17"/>
          <w:szCs w:val="17"/>
          <w:color w:val="auto"/>
        </w:rPr>
        <w:t xml:space="preserve">, the Company may replace such Lender in accordance with </w:t>
      </w:r>
      <w:r>
        <w:rPr>
          <w:rFonts w:ascii="Arial" w:cs="Arial" w:eastAsia="Arial" w:hAnsi="Arial"/>
          <w:sz w:val="17"/>
          <w:szCs w:val="17"/>
          <w:u w:val="single" w:color="auto"/>
          <w:color w:val="auto"/>
        </w:rPr>
        <w:t>Section 11.13</w:t>
      </w:r>
      <w:r>
        <w:rPr>
          <w:rFonts w:ascii="Arial" w:cs="Arial" w:eastAsia="Arial" w:hAnsi="Arial"/>
          <w:sz w:val="17"/>
          <w:szCs w:val="17"/>
          <w:color w:val="auto"/>
        </w:rPr>
        <w:t>.</w:t>
      </w:r>
    </w:p>
    <w:p>
      <w:pPr>
        <w:spacing w:after="0" w:line="154" w:lineRule="exact"/>
        <w:rPr>
          <w:sz w:val="20"/>
          <w:szCs w:val="20"/>
          <w:color w:val="auto"/>
        </w:rPr>
      </w:pPr>
    </w:p>
    <w:p>
      <w:pPr>
        <w:ind w:right="20" w:firstLine="763"/>
        <w:spacing w:after="0" w:line="278" w:lineRule="auto"/>
        <w:rPr>
          <w:sz w:val="20"/>
          <w:szCs w:val="20"/>
          <w:color w:val="auto"/>
        </w:rPr>
      </w:pPr>
      <w:r>
        <w:rPr>
          <w:rFonts w:ascii="Arial" w:cs="Arial" w:eastAsia="Arial" w:hAnsi="Arial"/>
          <w:sz w:val="17"/>
          <w:szCs w:val="17"/>
          <w:b w:val="1"/>
          <w:bCs w:val="1"/>
          <w:color w:val="auto"/>
        </w:rPr>
        <w:t>3.07 Survival</w:t>
      </w:r>
      <w:r>
        <w:rPr>
          <w:rFonts w:ascii="Arial" w:cs="Arial" w:eastAsia="Arial" w:hAnsi="Arial"/>
          <w:sz w:val="17"/>
          <w:szCs w:val="17"/>
          <w:color w:val="auto"/>
        </w:rPr>
        <w:t>. All of the Borrowers’ obligations under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III</w:t>
      </w:r>
      <w:r>
        <w:rPr>
          <w:rFonts w:ascii="Arial" w:cs="Arial" w:eastAsia="Arial" w:hAnsi="Arial"/>
          <w:sz w:val="17"/>
          <w:szCs w:val="17"/>
          <w:b w:val="1"/>
          <w:bCs w:val="1"/>
          <w:color w:val="auto"/>
        </w:rPr>
        <w:t xml:space="preserve"> </w:t>
      </w:r>
      <w:r>
        <w:rPr>
          <w:rFonts w:ascii="Arial" w:cs="Arial" w:eastAsia="Arial" w:hAnsi="Arial"/>
          <w:sz w:val="17"/>
          <w:szCs w:val="17"/>
          <w:color w:val="auto"/>
        </w:rPr>
        <w:t>shall survive termination of the aggregate Revolving Credit Commitments,</w:t>
      </w:r>
      <w:r>
        <w:rPr>
          <w:rFonts w:ascii="Arial" w:cs="Arial" w:eastAsia="Arial" w:hAnsi="Arial"/>
          <w:sz w:val="17"/>
          <w:szCs w:val="17"/>
          <w:b w:val="1"/>
          <w:bCs w:val="1"/>
          <w:color w:val="auto"/>
        </w:rPr>
        <w:t xml:space="preserve"> </w:t>
      </w:r>
      <w:r>
        <w:rPr>
          <w:rFonts w:ascii="Arial" w:cs="Arial" w:eastAsia="Arial" w:hAnsi="Arial"/>
          <w:sz w:val="17"/>
          <w:szCs w:val="17"/>
          <w:color w:val="auto"/>
        </w:rPr>
        <w:t>repayment of all other Obligations hereunder, and resignation of the Administrative Agent.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CONDITIONS PRECEDENT TO CREDIT EXTENSIONS</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4.01 Conditions of Closing Date</w:t>
      </w:r>
      <w:r>
        <w:rPr>
          <w:rFonts w:ascii="Arial" w:cs="Arial" w:eastAsia="Arial" w:hAnsi="Arial"/>
          <w:sz w:val="16"/>
          <w:szCs w:val="16"/>
          <w:color w:val="auto"/>
        </w:rPr>
        <w:t>. This Agreement shall become effective upon and the obligation of the L/C Issuer and each Lender to make its initial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Credit Extension hereunder is subject to satisfaction of the following conditions precedent:</w:t>
      </w:r>
    </w:p>
    <w:p>
      <w:pPr>
        <w:spacing w:after="0" w:line="177" w:lineRule="exact"/>
        <w:rPr>
          <w:sz w:val="20"/>
          <w:szCs w:val="20"/>
          <w:color w:val="auto"/>
        </w:rPr>
      </w:pPr>
    </w:p>
    <w:p>
      <w:pPr>
        <w:jc w:val="both"/>
        <w:ind w:left="760" w:right="20" w:firstLine="709"/>
        <w:spacing w:after="0" w:line="257" w:lineRule="auto"/>
        <w:tabs>
          <w:tab w:leader="none" w:pos="1717"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Loan Documents</w:t>
      </w:r>
      <w:r>
        <w:rPr>
          <w:rFonts w:ascii="Arial" w:cs="Arial" w:eastAsia="Arial" w:hAnsi="Arial"/>
          <w:sz w:val="17"/>
          <w:szCs w:val="17"/>
          <w:color w:val="auto"/>
        </w:rPr>
        <w:t xml:space="preserve">. Receipt by the Administrative Agent of executed counterparts of this Agreement and the other Loan Documents (other than the German Share Pledge Agreement and the German Parallel Debt Agreement, both of which are subject to </w:t>
      </w:r>
      <w:r>
        <w:rPr>
          <w:rFonts w:ascii="Arial" w:cs="Arial" w:eastAsia="Arial" w:hAnsi="Arial"/>
          <w:sz w:val="17"/>
          <w:szCs w:val="17"/>
          <w:u w:val="single" w:color="auto"/>
          <w:color w:val="auto"/>
        </w:rPr>
        <w:t>Section 6.19(a)</w:t>
      </w:r>
      <w:r>
        <w:rPr>
          <w:rFonts w:ascii="Arial" w:cs="Arial" w:eastAsia="Arial" w:hAnsi="Arial"/>
          <w:sz w:val="17"/>
          <w:szCs w:val="17"/>
          <w:color w:val="auto"/>
        </w:rPr>
        <w:t>), each properly executed by a Responsible Officer of the signing Loan Party and, in the case of this Agreement, by each Lender.</w:t>
      </w:r>
    </w:p>
    <w:p>
      <w:pPr>
        <w:spacing w:after="0" w:line="157" w:lineRule="exact"/>
        <w:rPr>
          <w:rFonts w:ascii="Arial" w:cs="Arial" w:eastAsia="Arial" w:hAnsi="Arial"/>
          <w:sz w:val="17"/>
          <w:szCs w:val="17"/>
          <w:color w:val="auto"/>
        </w:rPr>
      </w:pPr>
    </w:p>
    <w:p>
      <w:pPr>
        <w:ind w:left="760" w:right="20" w:firstLine="709"/>
        <w:spacing w:after="0" w:line="303" w:lineRule="auto"/>
        <w:tabs>
          <w:tab w:leader="none" w:pos="1739"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Opinions of Counsel</w:t>
      </w:r>
      <w:r>
        <w:rPr>
          <w:rFonts w:ascii="Arial" w:cs="Arial" w:eastAsia="Arial" w:hAnsi="Arial"/>
          <w:sz w:val="16"/>
          <w:szCs w:val="16"/>
          <w:color w:val="auto"/>
        </w:rPr>
        <w:t>. Receipt by the Administrative Agent of favorable opinions of legal counsel to the Loan Parties, addressed to the Administrative Agent and each Lender, dated as of the Closing Date, and in form and substance reasonably satisfactory to the Administrative Agent.</w:t>
      </w:r>
    </w:p>
    <w:p>
      <w:pPr>
        <w:spacing w:after="0" w:line="121" w:lineRule="exact"/>
        <w:rPr>
          <w:rFonts w:ascii="Arial" w:cs="Arial" w:eastAsia="Arial" w:hAnsi="Arial"/>
          <w:sz w:val="16"/>
          <w:szCs w:val="16"/>
          <w:color w:val="auto"/>
        </w:rPr>
      </w:pPr>
    </w:p>
    <w:p>
      <w:pPr>
        <w:ind w:left="1760" w:hanging="241"/>
        <w:spacing w:after="0"/>
        <w:tabs>
          <w:tab w:leader="none" w:pos="1760" w:val="left"/>
        </w:tabs>
        <w:numPr>
          <w:ilvl w:val="1"/>
          <w:numId w:val="98"/>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Administrative Agent shall have received:</w:t>
      </w:r>
    </w:p>
    <w:p>
      <w:pPr>
        <w:spacing w:after="0" w:line="191" w:lineRule="exact"/>
        <w:rPr>
          <w:rFonts w:ascii="Arial" w:cs="Arial" w:eastAsia="Arial" w:hAnsi="Arial"/>
          <w:sz w:val="17"/>
          <w:szCs w:val="17"/>
          <w:color w:val="auto"/>
        </w:rPr>
      </w:pPr>
    </w:p>
    <w:p>
      <w:pPr>
        <w:ind w:left="2380" w:hanging="200"/>
        <w:spacing w:after="0"/>
        <w:tabs>
          <w:tab w:leader="none" w:pos="2380" w:val="left"/>
        </w:tabs>
        <w:numPr>
          <w:ilvl w:val="2"/>
          <w:numId w:val="98"/>
        </w:numPr>
        <w:rPr>
          <w:rFonts w:ascii="Arial" w:cs="Arial" w:eastAsia="Arial" w:hAnsi="Arial"/>
          <w:sz w:val="17"/>
          <w:szCs w:val="17"/>
          <w:color w:val="auto"/>
        </w:rPr>
      </w:pPr>
      <w:r>
        <w:rPr>
          <w:rFonts w:ascii="Arial" w:cs="Arial" w:eastAsia="Arial" w:hAnsi="Arial"/>
          <w:sz w:val="17"/>
          <w:szCs w:val="17"/>
          <w:color w:val="auto"/>
        </w:rPr>
        <w:t>the Audited Financial Statements and the Interim Financial Statements; and</w:t>
      </w:r>
    </w:p>
    <w:p>
      <w:pPr>
        <w:spacing w:after="0" w:line="191" w:lineRule="exact"/>
        <w:rPr>
          <w:rFonts w:ascii="Arial" w:cs="Arial" w:eastAsia="Arial" w:hAnsi="Arial"/>
          <w:sz w:val="17"/>
          <w:szCs w:val="17"/>
          <w:color w:val="auto"/>
        </w:rPr>
      </w:pPr>
    </w:p>
    <w:p>
      <w:pPr>
        <w:ind w:left="1520" w:right="20" w:firstLine="660"/>
        <w:spacing w:after="0" w:line="271" w:lineRule="auto"/>
        <w:tabs>
          <w:tab w:leader="none" w:pos="2468" w:val="left"/>
        </w:tabs>
        <w:numPr>
          <w:ilvl w:val="2"/>
          <w:numId w:val="98"/>
        </w:numPr>
        <w:rPr>
          <w:rFonts w:ascii="Arial" w:cs="Arial" w:eastAsia="Arial" w:hAnsi="Arial"/>
          <w:sz w:val="17"/>
          <w:szCs w:val="17"/>
          <w:color w:val="auto"/>
        </w:rPr>
      </w:pPr>
      <w:r>
        <w:rPr>
          <w:rFonts w:ascii="Arial" w:cs="Arial" w:eastAsia="Arial" w:hAnsi="Arial"/>
          <w:sz w:val="17"/>
          <w:szCs w:val="17"/>
          <w:color w:val="auto"/>
        </w:rPr>
        <w:t>financial projections for the Company and its Subsidiaries in form and substance satisfactory to the Lenders for each year commencing with the fiscal year ended December 31, 2014 through December 31, 2018; and</w:t>
      </w:r>
    </w:p>
    <w:p>
      <w:pPr>
        <w:spacing w:after="0" w:line="145" w:lineRule="exact"/>
        <w:rPr>
          <w:sz w:val="20"/>
          <w:szCs w:val="20"/>
          <w:color w:val="auto"/>
        </w:rPr>
      </w:pPr>
    </w:p>
    <w:p>
      <w:pPr>
        <w:jc w:val="both"/>
        <w:ind w:left="760" w:firstLine="709"/>
        <w:spacing w:after="0" w:line="257" w:lineRule="auto"/>
        <w:tabs>
          <w:tab w:leader="none" w:pos="1715"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No Material Adverse Change</w:t>
      </w:r>
      <w:r>
        <w:rPr>
          <w:rFonts w:ascii="Arial" w:cs="Arial" w:eastAsia="Arial" w:hAnsi="Arial"/>
          <w:sz w:val="17"/>
          <w:szCs w:val="17"/>
          <w:color w:val="auto"/>
        </w:rPr>
        <w:t>. There shall not have occurred a material adverse change since December 31, 2013 in the operations, business, properties, liabilities (actual or contingent) or condition (financial or otherwise) of any Borrower or the Company and its Material Subsidiaries taken as a whole.</w:t>
      </w:r>
    </w:p>
    <w:p>
      <w:pPr>
        <w:spacing w:after="0" w:line="157" w:lineRule="exact"/>
        <w:rPr>
          <w:rFonts w:ascii="Arial" w:cs="Arial" w:eastAsia="Arial" w:hAnsi="Arial"/>
          <w:sz w:val="17"/>
          <w:szCs w:val="17"/>
          <w:color w:val="auto"/>
        </w:rPr>
      </w:pPr>
    </w:p>
    <w:p>
      <w:pPr>
        <w:ind w:left="760" w:firstLine="709"/>
        <w:spacing w:after="0" w:line="303" w:lineRule="auto"/>
        <w:tabs>
          <w:tab w:leader="none" w:pos="1717"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There shall not exist any action, suit, investigation or proceeding pending or, to the knowledge of any Borrower, threatened in any court or before an arbitrator or Governmental Authority that could reasonably be expected to have a Material Adverse Effect.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40"/>
          </w:cols>
          <w:pgMar w:left="240" w:top="312" w:right="219" w:bottom="1440" w:gutter="0" w:footer="0" w:header="0"/>
        </w:sectPr>
      </w:pPr>
    </w:p>
    <w:bookmarkStart w:id="83" w:name="page84"/>
    <w:bookmarkEnd w:id="83"/>
    <w:p>
      <w:pPr>
        <w:ind w:left="-440" w:right="20" w:firstLine="709"/>
        <w:spacing w:after="0" w:line="271" w:lineRule="auto"/>
        <w:tabs>
          <w:tab w:leader="none" w:pos="510"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Organization Documents, Resolutions, Etc</w:t>
      </w:r>
      <w:r>
        <w:rPr>
          <w:rFonts w:ascii="Arial" w:cs="Arial" w:eastAsia="Arial" w:hAnsi="Arial"/>
          <w:sz w:val="17"/>
          <w:szCs w:val="17"/>
          <w:color w:val="auto"/>
        </w:rPr>
        <w:t>. Receipt by the Administrative Agent of the following, each of which shall be originals or facsimiles (followed promptly by originals), in form and substance satisfactory to the Administrative Agent and its legal counsel:</w:t>
      </w:r>
    </w:p>
    <w:p>
      <w:pPr>
        <w:spacing w:after="0" w:line="144" w:lineRule="exact"/>
        <w:rPr>
          <w:rFonts w:ascii="Arial" w:cs="Arial" w:eastAsia="Arial" w:hAnsi="Arial"/>
          <w:sz w:val="17"/>
          <w:szCs w:val="17"/>
          <w:color w:val="auto"/>
        </w:rPr>
      </w:pPr>
    </w:p>
    <w:p>
      <w:pPr>
        <w:jc w:val="both"/>
        <w:ind w:left="320" w:right="20" w:firstLine="660"/>
        <w:spacing w:after="0" w:line="281" w:lineRule="auto"/>
        <w:tabs>
          <w:tab w:leader="none" w:pos="1196" w:val="left"/>
        </w:tabs>
        <w:numPr>
          <w:ilvl w:val="1"/>
          <w:numId w:val="100"/>
        </w:numPr>
        <w:rPr>
          <w:rFonts w:ascii="Arial" w:cs="Arial" w:eastAsia="Arial" w:hAnsi="Arial"/>
          <w:sz w:val="16"/>
          <w:szCs w:val="16"/>
          <w:color w:val="auto"/>
        </w:rPr>
      </w:pPr>
      <w:r>
        <w:rPr>
          <w:rFonts w:ascii="Arial" w:cs="Arial" w:eastAsia="Arial" w:hAnsi="Arial"/>
          <w:sz w:val="16"/>
          <w:szCs w:val="16"/>
          <w:color w:val="auto"/>
        </w:rPr>
        <w:t>copies of the Organization Documents of each Loan Party certified to be true and complete as of a recent date by the appropriate Governmental Authority of the state or other jurisdiction of its incorporation or organization, where applicable, and certified by a secretary or assistant secretary or managing director (</w:t>
      </w:r>
      <w:r>
        <w:rPr>
          <w:rFonts w:ascii="Arial" w:cs="Arial" w:eastAsia="Arial" w:hAnsi="Arial"/>
          <w:sz w:val="16"/>
          <w:szCs w:val="16"/>
          <w:i w:val="1"/>
          <w:iCs w:val="1"/>
          <w:color w:val="auto"/>
        </w:rPr>
        <w:t>Geschäftsführer</w:t>
      </w:r>
      <w:r>
        <w:rPr>
          <w:rFonts w:ascii="Arial" w:cs="Arial" w:eastAsia="Arial" w:hAnsi="Arial"/>
          <w:sz w:val="16"/>
          <w:szCs w:val="16"/>
          <w:color w:val="auto"/>
        </w:rPr>
        <w:t>) of such Loan Party to be true and correct as of the Closing Date;</w:t>
      </w:r>
    </w:p>
    <w:p>
      <w:pPr>
        <w:spacing w:after="0" w:line="139" w:lineRule="exact"/>
        <w:rPr>
          <w:rFonts w:ascii="Arial" w:cs="Arial" w:eastAsia="Arial" w:hAnsi="Arial"/>
          <w:sz w:val="16"/>
          <w:szCs w:val="16"/>
          <w:color w:val="auto"/>
        </w:rPr>
      </w:pPr>
    </w:p>
    <w:p>
      <w:pPr>
        <w:jc w:val="both"/>
        <w:ind w:left="320" w:right="20" w:firstLine="660"/>
        <w:spacing w:after="0" w:line="253" w:lineRule="auto"/>
        <w:tabs>
          <w:tab w:leader="none" w:pos="1249" w:val="left"/>
        </w:tabs>
        <w:numPr>
          <w:ilvl w:val="1"/>
          <w:numId w:val="100"/>
        </w:numPr>
        <w:rPr>
          <w:rFonts w:ascii="Arial" w:cs="Arial" w:eastAsia="Arial" w:hAnsi="Arial"/>
          <w:sz w:val="17"/>
          <w:szCs w:val="17"/>
          <w:color w:val="auto"/>
        </w:rPr>
      </w:pPr>
      <w:r>
        <w:rPr>
          <w:rFonts w:ascii="Arial" w:cs="Arial" w:eastAsia="Arial" w:hAnsi="Arial"/>
          <w:sz w:val="17"/>
          <w:szCs w:val="17"/>
          <w:color w:val="auto"/>
        </w:rPr>
        <w:t>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w:t>
      </w:r>
    </w:p>
    <w:p>
      <w:pPr>
        <w:spacing w:after="0" w:line="160" w:lineRule="exact"/>
        <w:rPr>
          <w:rFonts w:ascii="Arial" w:cs="Arial" w:eastAsia="Arial" w:hAnsi="Arial"/>
          <w:sz w:val="17"/>
          <w:szCs w:val="17"/>
          <w:color w:val="auto"/>
        </w:rPr>
      </w:pPr>
    </w:p>
    <w:p>
      <w:pPr>
        <w:jc w:val="both"/>
        <w:ind w:left="320" w:right="20" w:firstLine="660"/>
        <w:spacing w:after="0" w:line="257" w:lineRule="auto"/>
        <w:tabs>
          <w:tab w:leader="none" w:pos="1292" w:val="left"/>
        </w:tabs>
        <w:numPr>
          <w:ilvl w:val="1"/>
          <w:numId w:val="100"/>
        </w:numPr>
        <w:rPr>
          <w:rFonts w:ascii="Arial" w:cs="Arial" w:eastAsia="Arial" w:hAnsi="Arial"/>
          <w:sz w:val="17"/>
          <w:szCs w:val="17"/>
          <w:color w:val="auto"/>
        </w:rPr>
      </w:pPr>
      <w:r>
        <w:rPr>
          <w:rFonts w:ascii="Arial" w:cs="Arial" w:eastAsia="Arial" w:hAnsi="Arial"/>
          <w:sz w:val="17"/>
          <w:szCs w:val="17"/>
          <w:color w:val="auto"/>
        </w:rPr>
        <w:t>such documents and certifications as the Administrative Agent may reasonably require to evidence that each Loan Party is duly organized or formed, and that each Loan Party is validly existing, in good standing and qualified to engage in business in its jurisdiction or organization or formation; and</w:t>
      </w:r>
    </w:p>
    <w:p>
      <w:pPr>
        <w:spacing w:after="0" w:line="157" w:lineRule="exact"/>
        <w:rPr>
          <w:rFonts w:ascii="Arial" w:cs="Arial" w:eastAsia="Arial" w:hAnsi="Arial"/>
          <w:sz w:val="17"/>
          <w:szCs w:val="17"/>
          <w:color w:val="auto"/>
        </w:rPr>
      </w:pPr>
    </w:p>
    <w:p>
      <w:pPr>
        <w:ind w:left="1280" w:hanging="300"/>
        <w:spacing w:after="0"/>
        <w:tabs>
          <w:tab w:leader="none" w:pos="1280" w:val="left"/>
        </w:tabs>
        <w:numPr>
          <w:ilvl w:val="1"/>
          <w:numId w:val="100"/>
        </w:numPr>
        <w:rPr>
          <w:rFonts w:ascii="Arial" w:cs="Arial" w:eastAsia="Arial" w:hAnsi="Arial"/>
          <w:sz w:val="15"/>
          <w:szCs w:val="15"/>
          <w:color w:val="auto"/>
        </w:rPr>
      </w:pPr>
      <w:r>
        <w:rPr>
          <w:rFonts w:ascii="Arial" w:cs="Arial" w:eastAsia="Arial" w:hAnsi="Arial"/>
          <w:sz w:val="15"/>
          <w:szCs w:val="15"/>
          <w:color w:val="auto"/>
        </w:rPr>
        <w:t>in the case of Gentherm Hungary Kft., a current excerpt of the entry of Gentherm Hungary Kft. in the court of registration records</w:t>
      </w:r>
    </w:p>
    <w:p>
      <w:pPr>
        <w:spacing w:after="0" w:line="40" w:lineRule="exact"/>
        <w:rPr>
          <w:rFonts w:ascii="Arial" w:cs="Arial" w:eastAsia="Arial" w:hAnsi="Arial"/>
          <w:sz w:val="15"/>
          <w:szCs w:val="15"/>
          <w:color w:val="auto"/>
        </w:rPr>
      </w:pPr>
    </w:p>
    <w:p>
      <w:pPr>
        <w:ind w:left="320"/>
        <w:spacing w:after="0"/>
        <w:rPr>
          <w:rFonts w:ascii="Arial" w:cs="Arial" w:eastAsia="Arial" w:hAnsi="Arial"/>
          <w:sz w:val="15"/>
          <w:szCs w:val="15"/>
          <w:color w:val="auto"/>
        </w:rPr>
      </w:pPr>
      <w:r>
        <w:rPr>
          <w:rFonts w:ascii="Arial" w:cs="Arial" w:eastAsia="Arial" w:hAnsi="Arial"/>
          <w:sz w:val="17"/>
          <w:szCs w:val="17"/>
          <w:color w:val="auto"/>
        </w:rPr>
        <w:t>(</w:t>
      </w:r>
      <w:r>
        <w:rPr>
          <w:rFonts w:ascii="Arial" w:cs="Arial" w:eastAsia="Arial" w:hAnsi="Arial"/>
          <w:sz w:val="17"/>
          <w:szCs w:val="17"/>
          <w:i w:val="1"/>
          <w:iCs w:val="1"/>
          <w:color w:val="auto"/>
        </w:rPr>
        <w:t>cégkivonat</w:t>
      </w:r>
      <w:r>
        <w:rPr>
          <w:rFonts w:ascii="Arial" w:cs="Arial" w:eastAsia="Arial" w:hAnsi="Arial"/>
          <w:sz w:val="17"/>
          <w:szCs w:val="17"/>
          <w:color w:val="auto"/>
        </w:rPr>
        <w:t>).</w:t>
      </w:r>
    </w:p>
    <w:p>
      <w:pPr>
        <w:spacing w:after="0" w:line="177" w:lineRule="exact"/>
        <w:rPr>
          <w:rFonts w:ascii="Arial" w:cs="Arial" w:eastAsia="Arial" w:hAnsi="Arial"/>
          <w:sz w:val="15"/>
          <w:szCs w:val="15"/>
          <w:color w:val="auto"/>
        </w:rPr>
      </w:pPr>
    </w:p>
    <w:p>
      <w:pPr>
        <w:ind w:left="520" w:hanging="251"/>
        <w:spacing w:after="0"/>
        <w:tabs>
          <w:tab w:leader="none" w:pos="520"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Perfection and Priority of Liens</w:t>
      </w:r>
      <w:r>
        <w:rPr>
          <w:rFonts w:ascii="Arial" w:cs="Arial" w:eastAsia="Arial" w:hAnsi="Arial"/>
          <w:sz w:val="17"/>
          <w:szCs w:val="17"/>
          <w:color w:val="auto"/>
        </w:rPr>
        <w:t>. Receipt by the Administrative Agent of the following:</w:t>
      </w:r>
    </w:p>
    <w:p>
      <w:pPr>
        <w:spacing w:after="0" w:line="191" w:lineRule="exact"/>
        <w:rPr>
          <w:rFonts w:ascii="Arial" w:cs="Arial" w:eastAsia="Arial" w:hAnsi="Arial"/>
          <w:sz w:val="17"/>
          <w:szCs w:val="17"/>
          <w:color w:val="auto"/>
        </w:rPr>
      </w:pPr>
    </w:p>
    <w:p>
      <w:pPr>
        <w:ind w:left="1200" w:hanging="220"/>
        <w:spacing w:after="0"/>
        <w:tabs>
          <w:tab w:leader="none" w:pos="120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the Account Control Agreements, in each case, as referred to in the Security Agreement and duly executed by the appropriate</w:t>
      </w:r>
    </w:p>
    <w:p>
      <w:pPr>
        <w:spacing w:after="0" w:line="29"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7"/>
          <w:szCs w:val="17"/>
          <w:color w:val="auto"/>
        </w:rPr>
        <w:t>parties;</w:t>
      </w:r>
    </w:p>
    <w:p>
      <w:pPr>
        <w:spacing w:after="0" w:line="177" w:lineRule="exact"/>
        <w:rPr>
          <w:rFonts w:ascii="Arial" w:cs="Arial" w:eastAsia="Arial" w:hAnsi="Arial"/>
          <w:sz w:val="16"/>
          <w:szCs w:val="16"/>
          <w:color w:val="auto"/>
        </w:rPr>
      </w:pPr>
    </w:p>
    <w:p>
      <w:pPr>
        <w:jc w:val="both"/>
        <w:ind w:left="320" w:firstLine="660"/>
        <w:spacing w:after="0" w:line="257" w:lineRule="auto"/>
        <w:tabs>
          <w:tab w:leader="none" w:pos="1247" w:val="left"/>
        </w:tabs>
        <w:numPr>
          <w:ilvl w:val="1"/>
          <w:numId w:val="100"/>
        </w:numPr>
        <w:rPr>
          <w:rFonts w:ascii="Arial" w:cs="Arial" w:eastAsia="Arial" w:hAnsi="Arial"/>
          <w:sz w:val="17"/>
          <w:szCs w:val="17"/>
          <w:color w:val="auto"/>
        </w:rPr>
      </w:pPr>
      <w:r>
        <w:rPr>
          <w:rFonts w:ascii="Arial" w:cs="Arial" w:eastAsia="Arial" w:hAnsi="Arial"/>
          <w:sz w:val="17"/>
          <w:szCs w:val="17"/>
          <w:color w:val="auto"/>
        </w:rPr>
        <w:t>proper financing statements in form appropriate for filing under the UCC of all jurisdictions that the Administrative Agent may deem necessary or desirable in order to perfect the Liens created under the Security Agreement, covering the Collateral described in the Security Agreement;</w:t>
      </w:r>
    </w:p>
    <w:p>
      <w:pPr>
        <w:spacing w:after="0" w:line="157" w:lineRule="exact"/>
        <w:rPr>
          <w:rFonts w:ascii="Arial" w:cs="Arial" w:eastAsia="Arial" w:hAnsi="Arial"/>
          <w:sz w:val="17"/>
          <w:szCs w:val="17"/>
          <w:color w:val="auto"/>
        </w:rPr>
      </w:pPr>
    </w:p>
    <w:p>
      <w:pPr>
        <w:jc w:val="both"/>
        <w:ind w:left="320" w:firstLine="660"/>
        <w:spacing w:after="0" w:line="257" w:lineRule="auto"/>
        <w:tabs>
          <w:tab w:leader="none" w:pos="1306" w:val="left"/>
        </w:tabs>
        <w:numPr>
          <w:ilvl w:val="1"/>
          <w:numId w:val="100"/>
        </w:numPr>
        <w:rPr>
          <w:rFonts w:ascii="Arial" w:cs="Arial" w:eastAsia="Arial" w:hAnsi="Arial"/>
          <w:sz w:val="17"/>
          <w:szCs w:val="17"/>
          <w:color w:val="auto"/>
        </w:rPr>
      </w:pPr>
      <w:r>
        <w:rPr>
          <w:rFonts w:ascii="Arial" w:cs="Arial" w:eastAsia="Arial" w:hAnsi="Arial"/>
          <w:sz w:val="17"/>
          <w:szCs w:val="17"/>
          <w:color w:val="auto"/>
        </w:rPr>
        <w:t xml:space="preserve">completed requests for information, dated on or before the date of the initial Credit Extension, listing all effective financing statements filed in the jurisdictions referred to in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above that name any Loan Party as debtor, together with copies of such other financing statements;</w:t>
      </w:r>
    </w:p>
    <w:p>
      <w:pPr>
        <w:spacing w:after="0" w:line="157" w:lineRule="exact"/>
        <w:rPr>
          <w:rFonts w:ascii="Arial" w:cs="Arial" w:eastAsia="Arial" w:hAnsi="Arial"/>
          <w:sz w:val="17"/>
          <w:szCs w:val="17"/>
          <w:color w:val="auto"/>
        </w:rPr>
      </w:pPr>
    </w:p>
    <w:p>
      <w:pPr>
        <w:jc w:val="both"/>
        <w:ind w:left="320" w:right="20" w:firstLine="660"/>
        <w:spacing w:after="0" w:line="257" w:lineRule="auto"/>
        <w:tabs>
          <w:tab w:leader="none" w:pos="1288" w:val="left"/>
        </w:tabs>
        <w:numPr>
          <w:ilvl w:val="1"/>
          <w:numId w:val="100"/>
        </w:numPr>
        <w:rPr>
          <w:rFonts w:ascii="Arial" w:cs="Arial" w:eastAsia="Arial" w:hAnsi="Arial"/>
          <w:sz w:val="17"/>
          <w:szCs w:val="17"/>
          <w:color w:val="auto"/>
        </w:rPr>
      </w:pPr>
      <w:r>
        <w:rPr>
          <w:rFonts w:ascii="Arial" w:cs="Arial" w:eastAsia="Arial" w:hAnsi="Arial"/>
          <w:sz w:val="17"/>
          <w:szCs w:val="17"/>
          <w:color w:val="auto"/>
        </w:rPr>
        <w:t>certificates representing any Equity Interests pledged under the Security Agreement accompanied by undated stock powers (or other transfers, stock transfer forms or the equivalent thereof) executed in blank and instruments evidencing any Indebtedness pledged under the Security Agreement indorsed in blank;</w:t>
      </w:r>
    </w:p>
    <w:p>
      <w:pPr>
        <w:spacing w:after="0" w:line="157" w:lineRule="exact"/>
        <w:rPr>
          <w:rFonts w:ascii="Arial" w:cs="Arial" w:eastAsia="Arial" w:hAnsi="Arial"/>
          <w:sz w:val="17"/>
          <w:szCs w:val="17"/>
          <w:color w:val="auto"/>
        </w:rPr>
      </w:pPr>
    </w:p>
    <w:p>
      <w:pPr>
        <w:ind w:left="1220" w:hanging="240"/>
        <w:spacing w:after="0"/>
        <w:tabs>
          <w:tab w:leader="none" w:pos="1220" w:val="left"/>
        </w:tabs>
        <w:numPr>
          <w:ilvl w:val="1"/>
          <w:numId w:val="100"/>
        </w:numPr>
        <w:rPr>
          <w:rFonts w:ascii="Arial" w:cs="Arial" w:eastAsia="Arial" w:hAnsi="Arial"/>
          <w:sz w:val="15"/>
          <w:szCs w:val="15"/>
          <w:color w:val="auto"/>
        </w:rPr>
      </w:pPr>
      <w:r>
        <w:rPr>
          <w:rFonts w:ascii="Arial" w:cs="Arial" w:eastAsia="Arial" w:hAnsi="Arial"/>
          <w:sz w:val="15"/>
          <w:szCs w:val="15"/>
          <w:color w:val="auto"/>
        </w:rPr>
        <w:t>searches of ownership of, and Liens on, intellectual property of each Domestic Loan Party in the appropriate governmental offices;</w:t>
      </w:r>
    </w:p>
    <w:p>
      <w:pPr>
        <w:spacing w:after="0" w:line="214" w:lineRule="exact"/>
        <w:rPr>
          <w:rFonts w:ascii="Arial" w:cs="Arial" w:eastAsia="Arial" w:hAnsi="Arial"/>
          <w:sz w:val="15"/>
          <w:szCs w:val="15"/>
          <w:color w:val="auto"/>
        </w:rPr>
      </w:pPr>
    </w:p>
    <w:p>
      <w:pPr>
        <w:jc w:val="both"/>
        <w:ind w:left="320" w:right="20" w:firstLine="660"/>
        <w:spacing w:after="0" w:line="257" w:lineRule="auto"/>
        <w:tabs>
          <w:tab w:leader="none" w:pos="1303" w:val="left"/>
        </w:tabs>
        <w:numPr>
          <w:ilvl w:val="1"/>
          <w:numId w:val="100"/>
        </w:numPr>
        <w:rPr>
          <w:rFonts w:ascii="Arial" w:cs="Arial" w:eastAsia="Arial" w:hAnsi="Arial"/>
          <w:sz w:val="17"/>
          <w:szCs w:val="17"/>
          <w:color w:val="auto"/>
        </w:rPr>
      </w:pPr>
      <w:r>
        <w:rPr>
          <w:rFonts w:ascii="Arial" w:cs="Arial" w:eastAsia="Arial" w:hAnsi="Arial"/>
          <w:sz w:val="17"/>
          <w:szCs w:val="17"/>
          <w:color w:val="auto"/>
        </w:rPr>
        <w:t>duly executed notices of grant of security interest in the form required by the Security Agreement as are necessary, in the Administrative Agent’s sole discretion, to perfect the Administrative Agent’s security interest in the intellectual property of the Domestic Loan Parties;</w:t>
      </w:r>
    </w:p>
    <w:p>
      <w:pPr>
        <w:spacing w:after="0" w:line="157" w:lineRule="exact"/>
        <w:rPr>
          <w:rFonts w:ascii="Arial" w:cs="Arial" w:eastAsia="Arial" w:hAnsi="Arial"/>
          <w:sz w:val="17"/>
          <w:szCs w:val="17"/>
          <w:color w:val="auto"/>
        </w:rPr>
      </w:pPr>
    </w:p>
    <w:p>
      <w:pPr>
        <w:jc w:val="both"/>
        <w:ind w:left="320" w:firstLine="660"/>
        <w:spacing w:after="0" w:line="257" w:lineRule="auto"/>
        <w:tabs>
          <w:tab w:leader="none" w:pos="1321" w:val="left"/>
        </w:tabs>
        <w:numPr>
          <w:ilvl w:val="1"/>
          <w:numId w:val="100"/>
        </w:numPr>
        <w:rPr>
          <w:rFonts w:ascii="Arial" w:cs="Arial" w:eastAsia="Arial" w:hAnsi="Arial"/>
          <w:sz w:val="17"/>
          <w:szCs w:val="17"/>
          <w:color w:val="auto"/>
        </w:rPr>
      </w:pPr>
      <w:r>
        <w:rPr>
          <w:rFonts w:ascii="Arial" w:cs="Arial" w:eastAsia="Arial" w:hAnsi="Arial"/>
          <w:sz w:val="17"/>
          <w:szCs w:val="17"/>
          <w:color w:val="auto"/>
        </w:rPr>
        <w:t>in the case of any personal property Collateral located at a premises leased by a Domestic Loan Party (excluding locations owned by a Domestic Loan Party and leased to another Domestic Loan Party), such estoppel letters, consents and waivers from the landlords on such real property as may be required by the Administrative Agent; and</w:t>
      </w:r>
    </w:p>
    <w:p>
      <w:pPr>
        <w:spacing w:after="0" w:line="157" w:lineRule="exact"/>
        <w:rPr>
          <w:rFonts w:ascii="Arial" w:cs="Arial" w:eastAsia="Arial" w:hAnsi="Arial"/>
          <w:sz w:val="17"/>
          <w:szCs w:val="17"/>
          <w:color w:val="auto"/>
        </w:rPr>
      </w:pPr>
    </w:p>
    <w:p>
      <w:pPr>
        <w:jc w:val="both"/>
        <w:ind w:left="320" w:right="20" w:firstLine="660"/>
        <w:spacing w:after="0" w:line="257" w:lineRule="auto"/>
        <w:tabs>
          <w:tab w:leader="none" w:pos="1379" w:val="left"/>
        </w:tabs>
        <w:numPr>
          <w:ilvl w:val="1"/>
          <w:numId w:val="100"/>
        </w:numPr>
        <w:rPr>
          <w:rFonts w:ascii="Arial" w:cs="Arial" w:eastAsia="Arial" w:hAnsi="Arial"/>
          <w:sz w:val="17"/>
          <w:szCs w:val="17"/>
          <w:color w:val="auto"/>
        </w:rPr>
      </w:pPr>
      <w:r>
        <w:rPr>
          <w:rFonts w:ascii="Arial" w:cs="Arial" w:eastAsia="Arial" w:hAnsi="Arial"/>
          <w:sz w:val="17"/>
          <w:szCs w:val="17"/>
          <w:color w:val="auto"/>
        </w:rPr>
        <w:t>evidence of the completion of all other actions, recordings and filings of or with respect to the Security Agreement (including the payment of any recording or filing fees) that the Administrative Agent may deem necessary or desirable in order to perfect the Liens created thereby.</w:t>
      </w:r>
    </w:p>
    <w:p>
      <w:pPr>
        <w:spacing w:after="0" w:line="157"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0240"/>
          </w:cols>
          <w:pgMar w:left="1440" w:top="312" w:right="219" w:bottom="1440" w:gutter="0" w:footer="0" w:header="0"/>
        </w:sectPr>
      </w:pPr>
    </w:p>
    <w:bookmarkStart w:id="84" w:name="page85"/>
    <w:bookmarkEnd w:id="84"/>
    <w:p>
      <w:pPr>
        <w:jc w:val="both"/>
        <w:ind w:left="760" w:right="20" w:firstLine="709"/>
        <w:spacing w:after="0" w:line="253" w:lineRule="auto"/>
        <w:tabs>
          <w:tab w:leader="none" w:pos="1715" w:val="left"/>
        </w:tabs>
        <w:numPr>
          <w:ilvl w:val="1"/>
          <w:numId w:val="101"/>
        </w:numPr>
        <w:rPr>
          <w:rFonts w:ascii="Arial" w:cs="Arial" w:eastAsia="Arial" w:hAnsi="Arial"/>
          <w:sz w:val="17"/>
          <w:szCs w:val="17"/>
          <w:color w:val="auto"/>
        </w:rPr>
      </w:pPr>
      <w:r>
        <w:rPr>
          <w:rFonts w:ascii="Arial" w:cs="Arial" w:eastAsia="Arial" w:hAnsi="Arial"/>
          <w:sz w:val="17"/>
          <w:szCs w:val="17"/>
          <w:u w:val="single" w:color="auto"/>
          <w:color w:val="auto"/>
        </w:rPr>
        <w:t>Evidence of Insurance</w:t>
      </w:r>
      <w:r>
        <w:rPr>
          <w:rFonts w:ascii="Arial" w:cs="Arial" w:eastAsia="Arial" w:hAnsi="Arial"/>
          <w:sz w:val="17"/>
          <w:szCs w:val="17"/>
          <w:color w:val="auto"/>
        </w:rPr>
        <w:t>. Receipt by the Administrative Agent of evidence that all insurance required to be maintained pursuant to the Loan Documents has been obtained and is in effect, together with the certificates of insurance, naming the Administrative Agent, on behalf of the Secured Parties, as an additional insured or loss payee, as the case may be, under all insurance policies maintained with respect to the assets and properties of the Loan Parties that constitutes Collateral.</w:t>
      </w:r>
    </w:p>
    <w:p>
      <w:pPr>
        <w:spacing w:after="0" w:line="160" w:lineRule="exact"/>
        <w:rPr>
          <w:rFonts w:ascii="Arial" w:cs="Arial" w:eastAsia="Arial" w:hAnsi="Arial"/>
          <w:sz w:val="17"/>
          <w:szCs w:val="17"/>
          <w:color w:val="auto"/>
        </w:rPr>
      </w:pPr>
    </w:p>
    <w:p>
      <w:pPr>
        <w:ind w:left="1680" w:hanging="211"/>
        <w:spacing w:after="0"/>
        <w:tabs>
          <w:tab w:leader="none" w:pos="1680" w:val="left"/>
        </w:tabs>
        <w:numPr>
          <w:ilvl w:val="1"/>
          <w:numId w:val="101"/>
        </w:numPr>
        <w:rPr>
          <w:rFonts w:ascii="Arial" w:cs="Arial" w:eastAsia="Arial" w:hAnsi="Arial"/>
          <w:sz w:val="16"/>
          <w:szCs w:val="16"/>
          <w:color w:val="auto"/>
        </w:rPr>
      </w:pPr>
      <w:r>
        <w:rPr>
          <w:rFonts w:ascii="Arial" w:cs="Arial" w:eastAsia="Arial" w:hAnsi="Arial"/>
          <w:sz w:val="16"/>
          <w:szCs w:val="16"/>
          <w:u w:val="single" w:color="auto"/>
          <w:color w:val="auto"/>
        </w:rPr>
        <w:t>Closing Certificate</w:t>
      </w:r>
      <w:r>
        <w:rPr>
          <w:rFonts w:ascii="Arial" w:cs="Arial" w:eastAsia="Arial" w:hAnsi="Arial"/>
          <w:sz w:val="16"/>
          <w:szCs w:val="16"/>
          <w:color w:val="auto"/>
        </w:rPr>
        <w:t>. Receipt by the Administrative Agent of a certificate signed by the chief financial officer of the Company certifying that</w:t>
      </w:r>
    </w:p>
    <w:p>
      <w:pPr>
        <w:spacing w:after="0" w:line="29" w:lineRule="exact"/>
        <w:rPr>
          <w:rFonts w:ascii="Arial" w:cs="Arial" w:eastAsia="Arial" w:hAnsi="Arial"/>
          <w:sz w:val="16"/>
          <w:szCs w:val="16"/>
          <w:color w:val="auto"/>
        </w:rPr>
      </w:pPr>
    </w:p>
    <w:p>
      <w:pPr>
        <w:jc w:val="both"/>
        <w:ind w:left="760" w:hanging="3"/>
        <w:spacing w:after="0" w:line="247" w:lineRule="auto"/>
        <w:tabs>
          <w:tab w:leader="none" w:pos="96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the conditions specified in </w:t>
      </w:r>
      <w:r>
        <w:rPr>
          <w:rFonts w:ascii="Arial" w:cs="Arial" w:eastAsia="Arial" w:hAnsi="Arial"/>
          <w:sz w:val="17"/>
          <w:szCs w:val="17"/>
          <w:u w:val="single" w:color="auto"/>
          <w:color w:val="auto"/>
        </w:rPr>
        <w:t>Sections 4.01(d)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Sections 4.02(a)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have been satisfied, (ii) the Company and its Material Subsidiaries have no Indebtedness for borrowed money (other than Indebtedness permitted by </w:t>
      </w:r>
      <w:r>
        <w:rPr>
          <w:rFonts w:ascii="Arial" w:cs="Arial" w:eastAsia="Arial" w:hAnsi="Arial"/>
          <w:sz w:val="17"/>
          <w:szCs w:val="17"/>
          <w:u w:val="single" w:color="auto"/>
          <w:color w:val="auto"/>
        </w:rPr>
        <w:t>Section 7.03</w:t>
      </w:r>
      <w:r>
        <w:rPr>
          <w:rFonts w:ascii="Arial" w:cs="Arial" w:eastAsia="Arial" w:hAnsi="Arial"/>
          <w:sz w:val="17"/>
          <w:szCs w:val="17"/>
          <w:color w:val="auto"/>
        </w:rPr>
        <w:t>) and (ii) each Loan Party is (after giving effect to the transactions contemplated hereby and the incurrence of Indebtedness related thereto), individually and together with its Material Subsidiaries on a consolidated basis, Solvent.</w:t>
      </w:r>
    </w:p>
    <w:p>
      <w:pPr>
        <w:spacing w:after="0" w:line="165" w:lineRule="exact"/>
        <w:rPr>
          <w:rFonts w:ascii="Arial" w:cs="Arial" w:eastAsia="Arial" w:hAnsi="Arial"/>
          <w:sz w:val="17"/>
          <w:szCs w:val="17"/>
          <w:color w:val="auto"/>
        </w:rPr>
      </w:pPr>
    </w:p>
    <w:p>
      <w:pPr>
        <w:jc w:val="both"/>
        <w:ind w:left="760" w:firstLine="709"/>
        <w:spacing w:after="0" w:line="257" w:lineRule="auto"/>
        <w:tabs>
          <w:tab w:leader="none" w:pos="1712" w:val="left"/>
        </w:tabs>
        <w:numPr>
          <w:ilvl w:val="1"/>
          <w:numId w:val="102"/>
        </w:numPr>
        <w:rPr>
          <w:rFonts w:ascii="Arial" w:cs="Arial" w:eastAsia="Arial" w:hAnsi="Arial"/>
          <w:sz w:val="17"/>
          <w:szCs w:val="17"/>
          <w:color w:val="auto"/>
        </w:rPr>
      </w:pPr>
      <w:r>
        <w:rPr>
          <w:rFonts w:ascii="Arial" w:cs="Arial" w:eastAsia="Arial" w:hAnsi="Arial"/>
          <w:sz w:val="17"/>
          <w:szCs w:val="17"/>
          <w:u w:val="single" w:color="auto"/>
          <w:color w:val="auto"/>
        </w:rPr>
        <w:t>Termination of Existing Credit Agreements</w:t>
      </w:r>
      <w:r>
        <w:rPr>
          <w:rFonts w:ascii="Arial" w:cs="Arial" w:eastAsia="Arial" w:hAnsi="Arial"/>
          <w:sz w:val="17"/>
          <w:szCs w:val="17"/>
          <w:color w:val="auto"/>
        </w:rPr>
        <w:t>. Receipt by the Administrative Agent of evidence that the Existing Credit Agreements concurrently with the Closing Date are being terminated and all Liens securing obligations under the Existing Credit Agreements concurrently with the Closing Date are being released.</w:t>
      </w:r>
    </w:p>
    <w:p>
      <w:pPr>
        <w:spacing w:after="0" w:line="157" w:lineRule="exact"/>
        <w:rPr>
          <w:rFonts w:ascii="Arial" w:cs="Arial" w:eastAsia="Arial" w:hAnsi="Arial"/>
          <w:sz w:val="17"/>
          <w:szCs w:val="17"/>
          <w:color w:val="auto"/>
        </w:rPr>
      </w:pPr>
    </w:p>
    <w:p>
      <w:pPr>
        <w:ind w:left="1720" w:hanging="251"/>
        <w:spacing w:after="0"/>
        <w:tabs>
          <w:tab w:leader="none" w:pos="1720" w:val="left"/>
        </w:tabs>
        <w:numPr>
          <w:ilvl w:val="1"/>
          <w:numId w:val="102"/>
        </w:numPr>
        <w:rPr>
          <w:rFonts w:ascii="Arial" w:cs="Arial" w:eastAsia="Arial" w:hAnsi="Arial"/>
          <w:sz w:val="16"/>
          <w:szCs w:val="16"/>
          <w:color w:val="auto"/>
        </w:rPr>
      </w:pPr>
      <w:r>
        <w:rPr>
          <w:rFonts w:ascii="Arial" w:cs="Arial" w:eastAsia="Arial" w:hAnsi="Arial"/>
          <w:sz w:val="16"/>
          <w:szCs w:val="16"/>
          <w:u w:val="single" w:color="auto"/>
          <w:color w:val="auto"/>
        </w:rPr>
        <w:t>Fees</w:t>
      </w:r>
      <w:r>
        <w:rPr>
          <w:rFonts w:ascii="Arial" w:cs="Arial" w:eastAsia="Arial" w:hAnsi="Arial"/>
          <w:sz w:val="16"/>
          <w:szCs w:val="16"/>
          <w:color w:val="auto"/>
        </w:rPr>
        <w:t>. Receipt by the Administrative Agent, the Arranger and the Lenders of any fees required to be paid on or before the Closing Date.</w:t>
      </w:r>
    </w:p>
    <w:p>
      <w:pPr>
        <w:spacing w:after="0" w:line="202" w:lineRule="exact"/>
        <w:rPr>
          <w:rFonts w:ascii="Arial" w:cs="Arial" w:eastAsia="Arial" w:hAnsi="Arial"/>
          <w:sz w:val="16"/>
          <w:szCs w:val="16"/>
          <w:color w:val="auto"/>
        </w:rPr>
      </w:pPr>
    </w:p>
    <w:p>
      <w:pPr>
        <w:ind w:left="760" w:right="20" w:firstLine="709"/>
        <w:spacing w:after="0" w:line="271" w:lineRule="auto"/>
        <w:tabs>
          <w:tab w:leader="none" w:pos="1677" w:val="left"/>
        </w:tabs>
        <w:numPr>
          <w:ilvl w:val="1"/>
          <w:numId w:val="102"/>
        </w:numPr>
        <w:rPr>
          <w:rFonts w:ascii="Arial" w:cs="Arial" w:eastAsia="Arial" w:hAnsi="Arial"/>
          <w:sz w:val="17"/>
          <w:szCs w:val="17"/>
          <w:color w:val="auto"/>
        </w:rPr>
      </w:pPr>
      <w:r>
        <w:rPr>
          <w:rFonts w:ascii="Arial" w:cs="Arial" w:eastAsia="Arial" w:hAnsi="Arial"/>
          <w:sz w:val="17"/>
          <w:szCs w:val="17"/>
          <w:u w:val="single" w:color="auto"/>
          <w:color w:val="auto"/>
        </w:rPr>
        <w:t>Licensing Requirements</w:t>
      </w:r>
      <w:r>
        <w:rPr>
          <w:rFonts w:ascii="Arial" w:cs="Arial" w:eastAsia="Arial" w:hAnsi="Arial"/>
          <w:sz w:val="17"/>
          <w:szCs w:val="17"/>
          <w:color w:val="auto"/>
        </w:rPr>
        <w:t>. Each Lender shall have obtained all applicable licenses, consents, permits and approvals as deemed necessary by such Lender in order to execute and perform the transactions contemplated by the Loan Documents.</w:t>
      </w:r>
    </w:p>
    <w:p>
      <w:pPr>
        <w:spacing w:after="0" w:line="144" w:lineRule="exact"/>
        <w:rPr>
          <w:rFonts w:ascii="Arial" w:cs="Arial" w:eastAsia="Arial" w:hAnsi="Arial"/>
          <w:sz w:val="17"/>
          <w:szCs w:val="17"/>
          <w:color w:val="auto"/>
        </w:rPr>
      </w:pPr>
    </w:p>
    <w:p>
      <w:pPr>
        <w:jc w:val="both"/>
        <w:ind w:left="760" w:firstLine="709"/>
        <w:spacing w:after="0" w:line="253" w:lineRule="auto"/>
        <w:tabs>
          <w:tab w:leader="none" w:pos="1763" w:val="left"/>
        </w:tabs>
        <w:numPr>
          <w:ilvl w:val="1"/>
          <w:numId w:val="102"/>
        </w:numPr>
        <w:rPr>
          <w:rFonts w:ascii="Arial" w:cs="Arial" w:eastAsia="Arial" w:hAnsi="Arial"/>
          <w:sz w:val="17"/>
          <w:szCs w:val="17"/>
          <w:color w:val="auto"/>
        </w:rPr>
      </w:pPr>
      <w:r>
        <w:rPr>
          <w:rFonts w:ascii="Arial" w:cs="Arial" w:eastAsia="Arial" w:hAnsi="Arial"/>
          <w:sz w:val="17"/>
          <w:szCs w:val="17"/>
          <w:u w:val="single" w:color="auto"/>
          <w:color w:val="auto"/>
        </w:rPr>
        <w:t>Consents</w:t>
      </w:r>
      <w:r>
        <w:rPr>
          <w:rFonts w:ascii="Arial" w:cs="Arial" w:eastAsia="Arial" w:hAnsi="Arial"/>
          <w:sz w:val="17"/>
          <w:szCs w:val="17"/>
          <w:color w:val="auto"/>
        </w:rPr>
        <w:t>. Receipt by the Administrative Agent of a certificate of a Responsible Officer of each Loan Party either (A) attaching copies of all consents, licenses and approvals required in connection with the execution, delivery and performance by such Loan Party and the validity against such Loan Party of the Loan Documents to which it is a party, and such consents, licenses and approvals shall be in full force and effect, or (B) stating that no such consents, licenses or approvals are so required;</w:t>
      </w:r>
    </w:p>
    <w:p>
      <w:pPr>
        <w:spacing w:after="0" w:line="160" w:lineRule="exact"/>
        <w:rPr>
          <w:rFonts w:ascii="Arial" w:cs="Arial" w:eastAsia="Arial" w:hAnsi="Arial"/>
          <w:sz w:val="17"/>
          <w:szCs w:val="17"/>
          <w:color w:val="auto"/>
        </w:rPr>
      </w:pPr>
    </w:p>
    <w:p>
      <w:pPr>
        <w:jc w:val="both"/>
        <w:ind w:left="760" w:right="20" w:firstLine="709"/>
        <w:spacing w:after="0" w:line="297" w:lineRule="auto"/>
        <w:tabs>
          <w:tab w:leader="none" w:pos="1715" w:val="left"/>
        </w:tabs>
        <w:numPr>
          <w:ilvl w:val="1"/>
          <w:numId w:val="102"/>
        </w:numPr>
        <w:rPr>
          <w:rFonts w:ascii="Arial" w:cs="Arial" w:eastAsia="Arial" w:hAnsi="Arial"/>
          <w:sz w:val="15"/>
          <w:szCs w:val="15"/>
          <w:color w:val="auto"/>
        </w:rPr>
      </w:pPr>
      <w:r>
        <w:rPr>
          <w:rFonts w:ascii="Arial" w:cs="Arial" w:eastAsia="Arial" w:hAnsi="Arial"/>
          <w:sz w:val="15"/>
          <w:szCs w:val="15"/>
          <w:u w:val="single" w:color="auto"/>
          <w:color w:val="auto"/>
        </w:rPr>
        <w:t>Attorney Costs</w:t>
      </w:r>
      <w:r>
        <w:rPr>
          <w:rFonts w:ascii="Arial" w:cs="Arial" w:eastAsia="Arial" w:hAnsi="Arial"/>
          <w:sz w:val="15"/>
          <w:szCs w:val="15"/>
          <w:color w:val="auto"/>
        </w:rPr>
        <w:t xml:space="preserve">. Unless waived by the Administrative Agent, the Company shall have paid all fees, charges and disbursements of counsel to the Administrative Agent to the extent invoiced prior to or on the Closing Date,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the Company and the Administrative Agent).</w:t>
      </w:r>
    </w:p>
    <w:p>
      <w:pPr>
        <w:spacing w:after="0" w:line="130" w:lineRule="exact"/>
        <w:rPr>
          <w:rFonts w:ascii="Arial" w:cs="Arial" w:eastAsia="Arial" w:hAnsi="Arial"/>
          <w:sz w:val="15"/>
          <w:szCs w:val="15"/>
          <w:color w:val="auto"/>
        </w:rPr>
      </w:pPr>
    </w:p>
    <w:p>
      <w:pPr>
        <w:ind w:left="760" w:right="20" w:firstLine="709"/>
        <w:spacing w:after="0" w:line="271" w:lineRule="auto"/>
        <w:tabs>
          <w:tab w:leader="none" w:pos="1750" w:val="left"/>
        </w:tabs>
        <w:numPr>
          <w:ilvl w:val="1"/>
          <w:numId w:val="102"/>
        </w:numPr>
        <w:rPr>
          <w:rFonts w:ascii="Arial" w:cs="Arial" w:eastAsia="Arial" w:hAnsi="Arial"/>
          <w:sz w:val="17"/>
          <w:szCs w:val="17"/>
          <w:color w:val="auto"/>
        </w:rPr>
      </w:pPr>
      <w:r>
        <w:rPr>
          <w:rFonts w:ascii="Arial" w:cs="Arial" w:eastAsia="Arial" w:hAnsi="Arial"/>
          <w:sz w:val="17"/>
          <w:szCs w:val="17"/>
          <w:u w:val="single" w:color="auto"/>
          <w:color w:val="auto"/>
        </w:rPr>
        <w:t>Other</w:t>
      </w:r>
      <w:r>
        <w:rPr>
          <w:rFonts w:ascii="Arial" w:cs="Arial" w:eastAsia="Arial" w:hAnsi="Arial"/>
          <w:sz w:val="17"/>
          <w:szCs w:val="17"/>
          <w:color w:val="auto"/>
        </w:rPr>
        <w:t>. Receipt by the Administrative Agent and the Lenders of such other documents, instruments, agreements and information as reasonably requested by the Administrative Agent or any Lender.</w:t>
      </w:r>
    </w:p>
    <w:p>
      <w:pPr>
        <w:spacing w:after="0" w:line="145" w:lineRule="exact"/>
        <w:rPr>
          <w:sz w:val="20"/>
          <w:szCs w:val="20"/>
          <w:color w:val="auto"/>
        </w:rPr>
      </w:pPr>
    </w:p>
    <w:p>
      <w:pPr>
        <w:jc w:val="both"/>
        <w:ind w:firstLine="763"/>
        <w:spacing w:after="0" w:line="253" w:lineRule="auto"/>
        <w:rPr>
          <w:sz w:val="20"/>
          <w:szCs w:val="20"/>
          <w:color w:val="auto"/>
        </w:rPr>
      </w:pPr>
      <w:r>
        <w:rPr>
          <w:rFonts w:ascii="Arial" w:cs="Arial" w:eastAsia="Arial" w:hAnsi="Arial"/>
          <w:sz w:val="17"/>
          <w:szCs w:val="17"/>
          <w:color w:val="auto"/>
        </w:rPr>
        <w:t xml:space="preserve">Without limiting the generality of the provisions of the last paragraph of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for purposes of determining compliance with the conditions specified in this </w:t>
      </w:r>
      <w:r>
        <w:rPr>
          <w:rFonts w:ascii="Arial" w:cs="Arial" w:eastAsia="Arial" w:hAnsi="Arial"/>
          <w:sz w:val="17"/>
          <w:szCs w:val="17"/>
          <w:u w:val="single" w:color="auto"/>
          <w:color w:val="auto"/>
        </w:rPr>
        <w:t>Section 4.01</w:t>
      </w:r>
      <w:r>
        <w:rPr>
          <w:rFonts w:ascii="Arial" w:cs="Arial" w:eastAsia="Arial" w:hAnsi="Arial"/>
          <w:sz w:val="17"/>
          <w:szCs w:val="17"/>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54" w:lineRule="exact"/>
        <w:rPr>
          <w:sz w:val="20"/>
          <w:szCs w:val="20"/>
          <w:color w:val="auto"/>
        </w:rPr>
      </w:pPr>
    </w:p>
    <w:p>
      <w:pPr>
        <w:jc w:val="both"/>
        <w:ind w:firstLine="763"/>
        <w:spacing w:after="0" w:line="310" w:lineRule="auto"/>
        <w:rPr>
          <w:sz w:val="20"/>
          <w:szCs w:val="20"/>
          <w:color w:val="auto"/>
        </w:rPr>
      </w:pPr>
      <w:r>
        <w:rPr>
          <w:rFonts w:ascii="Arial" w:cs="Arial" w:eastAsia="Arial" w:hAnsi="Arial"/>
          <w:sz w:val="16"/>
          <w:szCs w:val="16"/>
          <w:b w:val="1"/>
          <w:bCs w:val="1"/>
          <w:color w:val="auto"/>
        </w:rPr>
        <w:t>4.02 Conditions to all Credit Extensions</w:t>
      </w:r>
      <w:r>
        <w:rPr>
          <w:rFonts w:ascii="Arial" w:cs="Arial" w:eastAsia="Arial" w:hAnsi="Arial"/>
          <w:sz w:val="16"/>
          <w:szCs w:val="16"/>
          <w:color w:val="auto"/>
        </w:rPr>
        <w:t>. The obligation of each Lender to honor any Request for Credit Extension (other than a Committed Loan Notice</w:t>
      </w:r>
      <w:r>
        <w:rPr>
          <w:rFonts w:ascii="Arial" w:cs="Arial" w:eastAsia="Arial" w:hAnsi="Arial"/>
          <w:sz w:val="16"/>
          <w:szCs w:val="16"/>
          <w:b w:val="1"/>
          <w:bCs w:val="1"/>
          <w:color w:val="auto"/>
        </w:rPr>
        <w:t xml:space="preserve"> </w:t>
      </w:r>
      <w:r>
        <w:rPr>
          <w:rFonts w:ascii="Arial" w:cs="Arial" w:eastAsia="Arial" w:hAnsi="Arial"/>
          <w:sz w:val="16"/>
          <w:szCs w:val="16"/>
          <w:color w:val="auto"/>
        </w:rPr>
        <w:t>requesting only a conversion of Loans to the other Type, or a continuation of Eurocurrency Rate Loans) is subject to the following conditions precedent:</w:t>
      </w:r>
    </w:p>
    <w:p>
      <w:pPr>
        <w:spacing w:after="0" w:line="117" w:lineRule="exact"/>
        <w:rPr>
          <w:sz w:val="20"/>
          <w:szCs w:val="20"/>
          <w:color w:val="auto"/>
        </w:rPr>
      </w:pPr>
    </w:p>
    <w:p>
      <w:pPr>
        <w:jc w:val="both"/>
        <w:ind w:left="760" w:firstLine="709"/>
        <w:spacing w:after="0" w:line="253" w:lineRule="auto"/>
        <w:tabs>
          <w:tab w:leader="none" w:pos="1732"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(i) the Borrowers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and (ii) each Loan Party contained in each other Loan Document or in any document furnished at any time under or in connection herewith or therewith, shall be true and correct in all material respects (and in all respects if any such representation or warranty is already qualified by materiality) on and as of the date of such Credit Extension, except to the extent that such representations and warranties specifically refer to an earlier date, in which case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40"/>
          </w:cols>
          <w:pgMar w:left="240" w:top="312" w:right="219" w:bottom="1440" w:gutter="0" w:footer="0" w:header="0"/>
        </w:sectPr>
      </w:pPr>
    </w:p>
    <w:bookmarkStart w:id="85" w:name="page86"/>
    <w:bookmarkEnd w:id="85"/>
    <w:p>
      <w:pPr>
        <w:jc w:val="both"/>
        <w:ind w:left="766"/>
        <w:spacing w:after="0" w:line="248" w:lineRule="auto"/>
        <w:rPr>
          <w:sz w:val="20"/>
          <w:szCs w:val="20"/>
          <w:color w:val="auto"/>
        </w:rPr>
      </w:pPr>
      <w:r>
        <w:rPr>
          <w:rFonts w:ascii="Arial" w:cs="Arial" w:eastAsia="Arial" w:hAnsi="Arial"/>
          <w:sz w:val="17"/>
          <w:szCs w:val="17"/>
          <w:color w:val="auto"/>
        </w:rPr>
        <w:t xml:space="preserve">they shall be true and correct in all material respects (and in all respects if any such representation or warranty is already qualified by materiality) as of such earlier date, and except that for purposes of this </w:t>
      </w:r>
      <w:r>
        <w:rPr>
          <w:rFonts w:ascii="Arial" w:cs="Arial" w:eastAsia="Arial" w:hAnsi="Arial"/>
          <w:sz w:val="15"/>
          <w:szCs w:val="15"/>
          <w:u w:val="single" w:color="auto"/>
          <w:color w:val="auto"/>
        </w:rPr>
        <w:t>Section 4.02</w:t>
      </w:r>
      <w:r>
        <w:rPr>
          <w:rFonts w:ascii="Arial" w:cs="Arial" w:eastAsia="Arial" w:hAnsi="Arial"/>
          <w:sz w:val="15"/>
          <w:szCs w:val="15"/>
          <w:color w:val="auto"/>
        </w:rPr>
        <w:t>, the representations and warranties contained in</w:t>
      </w:r>
      <w:r>
        <w:rPr>
          <w:rFonts w:ascii="Arial" w:cs="Arial" w:eastAsia="Arial" w:hAnsi="Arial"/>
          <w:sz w:val="17"/>
          <w:szCs w:val="17"/>
          <w:color w:val="auto"/>
        </w:rPr>
        <w:t xml:space="preserve"> </w:t>
      </w:r>
      <w:r>
        <w:rPr>
          <w:rFonts w:ascii="Arial" w:cs="Arial" w:eastAsia="Arial" w:hAnsi="Arial"/>
          <w:sz w:val="15"/>
          <w:szCs w:val="15"/>
          <w:u w:val="single" w:color="auto"/>
          <w:color w:val="auto"/>
        </w:rPr>
        <w:t>Section 5.05(a)</w:t>
      </w:r>
      <w:r>
        <w:rPr>
          <w:rFonts w:ascii="Arial" w:cs="Arial" w:eastAsia="Arial" w:hAnsi="Arial"/>
          <w:sz w:val="17"/>
          <w:szCs w:val="17"/>
          <w:color w:val="auto"/>
        </w:rPr>
        <w:t xml:space="preserve"> </w:t>
      </w:r>
      <w:r>
        <w:rPr>
          <w:rFonts w:ascii="Arial" w:cs="Arial" w:eastAsia="Arial" w:hAnsi="Arial"/>
          <w:sz w:val="15"/>
          <w:szCs w:val="15"/>
          <w:color w:val="auto"/>
        </w:rPr>
        <w:t>and</w:t>
      </w:r>
      <w:r>
        <w:rPr>
          <w:rFonts w:ascii="Arial" w:cs="Arial" w:eastAsia="Arial" w:hAnsi="Arial"/>
          <w:sz w:val="17"/>
          <w:szCs w:val="17"/>
          <w:color w:val="auto"/>
        </w:rPr>
        <w:t xml:space="preserve"> </w:t>
      </w:r>
      <w:r>
        <w:rPr>
          <w:rFonts w:ascii="Arial" w:cs="Arial" w:eastAsia="Arial" w:hAnsi="Arial"/>
          <w:sz w:val="15"/>
          <w:szCs w:val="15"/>
          <w:u w:val="single" w:color="auto"/>
          <w:color w:val="auto"/>
        </w:rPr>
        <w:t>(b)</w:t>
      </w:r>
      <w:r>
        <w:rPr>
          <w:rFonts w:ascii="Arial" w:cs="Arial" w:eastAsia="Arial" w:hAnsi="Arial"/>
          <w:sz w:val="17"/>
          <w:szCs w:val="17"/>
          <w:color w:val="auto"/>
        </w:rPr>
        <w:t xml:space="preserve"> </w:t>
      </w:r>
      <w:r>
        <w:rPr>
          <w:rFonts w:ascii="Arial" w:cs="Arial" w:eastAsia="Arial" w:hAnsi="Arial"/>
          <w:sz w:val="15"/>
          <w:szCs w:val="15"/>
          <w:color w:val="auto"/>
        </w:rPr>
        <w:t>shall be deemed to refer to</w:t>
      </w:r>
      <w:r>
        <w:rPr>
          <w:rFonts w:ascii="Arial" w:cs="Arial" w:eastAsia="Arial" w:hAnsi="Arial"/>
          <w:sz w:val="17"/>
          <w:szCs w:val="17"/>
          <w:color w:val="auto"/>
        </w:rPr>
        <w:t xml:space="preserve"> </w:t>
      </w:r>
      <w:r>
        <w:rPr>
          <w:rFonts w:ascii="Arial" w:cs="Arial" w:eastAsia="Arial" w:hAnsi="Arial"/>
          <w:sz w:val="15"/>
          <w:szCs w:val="15"/>
          <w:color w:val="auto"/>
        </w:rPr>
        <w:t xml:space="preserve">the most recent statements furnished pursuant to, respectively, of </w:t>
      </w:r>
      <w:r>
        <w:rPr>
          <w:rFonts w:ascii="Arial" w:cs="Arial" w:eastAsia="Arial" w:hAnsi="Arial"/>
          <w:sz w:val="15"/>
          <w:szCs w:val="15"/>
          <w:u w:val="single" w:color="auto"/>
          <w:color w:val="auto"/>
        </w:rPr>
        <w:t>Section 6.01(a)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w:t>
      </w:r>
    </w:p>
    <w:p>
      <w:pPr>
        <w:spacing w:after="0" w:line="168" w:lineRule="exact"/>
        <w:rPr>
          <w:sz w:val="20"/>
          <w:szCs w:val="20"/>
          <w:color w:val="auto"/>
        </w:rPr>
      </w:pPr>
    </w:p>
    <w:p>
      <w:pPr>
        <w:ind w:left="1726" w:hanging="251"/>
        <w:spacing w:after="0"/>
        <w:tabs>
          <w:tab w:leader="none" w:pos="1726" w:val="left"/>
        </w:tabs>
        <w:numPr>
          <w:ilvl w:val="0"/>
          <w:numId w:val="104"/>
        </w:numPr>
        <w:rPr>
          <w:rFonts w:ascii="Arial" w:cs="Arial" w:eastAsia="Arial" w:hAnsi="Arial"/>
          <w:sz w:val="17"/>
          <w:szCs w:val="17"/>
          <w:color w:val="auto"/>
        </w:rPr>
      </w:pPr>
      <w:r>
        <w:rPr>
          <w:rFonts w:ascii="Arial" w:cs="Arial" w:eastAsia="Arial" w:hAnsi="Arial"/>
          <w:sz w:val="17"/>
          <w:szCs w:val="17"/>
          <w:color w:val="auto"/>
        </w:rPr>
        <w:t>No Default shall exist, or would result from such proposed Credit Extension or the application of the proceeds thereof.</w:t>
      </w:r>
    </w:p>
    <w:p>
      <w:pPr>
        <w:spacing w:after="0" w:line="191" w:lineRule="exact"/>
        <w:rPr>
          <w:rFonts w:ascii="Arial" w:cs="Arial" w:eastAsia="Arial" w:hAnsi="Arial"/>
          <w:sz w:val="17"/>
          <w:szCs w:val="17"/>
          <w:color w:val="auto"/>
        </w:rPr>
      </w:pPr>
    </w:p>
    <w:p>
      <w:pPr>
        <w:ind w:left="766" w:firstLine="709"/>
        <w:spacing w:after="0" w:line="271" w:lineRule="auto"/>
        <w:tabs>
          <w:tab w:leader="none" w:pos="1718"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Administrative Agent and, if applicable, the L/C Issuer or the Swing Line Lender shall have received a Request for Credit Extension in accordance with the requirements hereof.</w:t>
      </w:r>
    </w:p>
    <w:p>
      <w:pPr>
        <w:spacing w:after="0" w:line="144" w:lineRule="exact"/>
        <w:rPr>
          <w:rFonts w:ascii="Arial" w:cs="Arial" w:eastAsia="Arial" w:hAnsi="Arial"/>
          <w:sz w:val="17"/>
          <w:szCs w:val="17"/>
          <w:color w:val="auto"/>
        </w:rPr>
      </w:pPr>
    </w:p>
    <w:p>
      <w:pPr>
        <w:jc w:val="both"/>
        <w:ind w:left="766" w:firstLine="709"/>
        <w:spacing w:after="0" w:line="251" w:lineRule="auto"/>
        <w:tabs>
          <w:tab w:leader="none" w:pos="17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In the case of a Credit Extension to be denominated in an Alternative Currency, there shall not have occurred any change in national or international financial, political or economic conditions or currency exchange rates or exchange controls which in the reasonable opinion of the Administrative Agent, the Required Lenders (in the case of any Loans to be denominated in an Alternative Currency) or the L/C Issuer (in the case of any Letter of Credit to be denominated in an Alternative Currency) would make it impracticable for such Credit Extension to be denominated in the relevant Alternative Currency.</w:t>
      </w:r>
    </w:p>
    <w:p>
      <w:pPr>
        <w:spacing w:after="0" w:line="161" w:lineRule="exact"/>
        <w:rPr>
          <w:rFonts w:ascii="Arial" w:cs="Arial" w:eastAsia="Arial" w:hAnsi="Arial"/>
          <w:sz w:val="17"/>
          <w:szCs w:val="17"/>
          <w:color w:val="auto"/>
        </w:rPr>
      </w:pPr>
    </w:p>
    <w:p>
      <w:pPr>
        <w:jc w:val="both"/>
        <w:ind w:left="766" w:firstLine="709"/>
        <w:spacing w:after="0" w:line="257" w:lineRule="auto"/>
        <w:tabs>
          <w:tab w:leader="none" w:pos="174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There shall be no impediment, restriction, limitation or prohibition imposed under Law or by any Governmental Authority, as to the proposed financing under this Agreement or the repayment thereof or as to rights created under any Loan Document or as to application of the proceeds of the realization of any such rights.</w:t>
      </w:r>
    </w:p>
    <w:p>
      <w:pPr>
        <w:spacing w:after="0" w:line="157" w:lineRule="exact"/>
        <w:rPr>
          <w:sz w:val="20"/>
          <w:szCs w:val="20"/>
          <w:color w:val="auto"/>
        </w:rPr>
      </w:pPr>
    </w:p>
    <w:p>
      <w:pPr>
        <w:jc w:val="both"/>
        <w:ind w:left="6" w:firstLine="763"/>
        <w:spacing w:after="0" w:line="257" w:lineRule="auto"/>
        <w:rPr>
          <w:sz w:val="20"/>
          <w:szCs w:val="20"/>
          <w:color w:val="auto"/>
        </w:rPr>
      </w:pPr>
      <w:r>
        <w:rPr>
          <w:rFonts w:ascii="Arial" w:cs="Arial" w:eastAsia="Arial" w:hAnsi="Arial"/>
          <w:sz w:val="17"/>
          <w:szCs w:val="17"/>
          <w:color w:val="auto"/>
        </w:rPr>
        <w:t xml:space="preserve">Each Request for Credit Extension (other than a Committed Loan Notice requesting only a conversion of Loans to another Type or a continuation of Eurocurrency Rate Loans) submitted by a Borrower shall be deemed to be a representation and warranty that the conditions specified in </w:t>
      </w:r>
      <w:r>
        <w:rPr>
          <w:rFonts w:ascii="Arial" w:cs="Arial" w:eastAsia="Arial" w:hAnsi="Arial"/>
          <w:sz w:val="17"/>
          <w:szCs w:val="17"/>
          <w:u w:val="single" w:color="auto"/>
          <w:color w:val="auto"/>
        </w:rPr>
        <w:t>Sections 4.02(a)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have been satisfied on and as of the date of the applicable Credit Extension.</w:t>
      </w:r>
    </w:p>
    <w:p>
      <w:pPr>
        <w:spacing w:after="0" w:line="151"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ARTICLE V.</w:t>
      </w:r>
    </w:p>
    <w:p>
      <w:pPr>
        <w:spacing w:after="0" w:line="24"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REPRESENTATIONS AND WARRANTIES</w:t>
      </w:r>
    </w:p>
    <w:p>
      <w:pPr>
        <w:spacing w:after="0" w:line="177" w:lineRule="exact"/>
        <w:rPr>
          <w:sz w:val="20"/>
          <w:szCs w:val="20"/>
          <w:color w:val="auto"/>
        </w:rPr>
      </w:pPr>
    </w:p>
    <w:p>
      <w:pPr>
        <w:ind w:left="766"/>
        <w:spacing w:after="0"/>
        <w:rPr>
          <w:sz w:val="20"/>
          <w:szCs w:val="20"/>
          <w:color w:val="auto"/>
        </w:rPr>
      </w:pPr>
      <w:r>
        <w:rPr>
          <w:rFonts w:ascii="Arial" w:cs="Arial" w:eastAsia="Arial" w:hAnsi="Arial"/>
          <w:sz w:val="17"/>
          <w:szCs w:val="17"/>
          <w:color w:val="auto"/>
        </w:rPr>
        <w:t>Each Borrower represents and warrants to the Administrative Agent and the Lenders that:</w:t>
      </w:r>
    </w:p>
    <w:p>
      <w:pPr>
        <w:spacing w:after="0" w:line="185" w:lineRule="exact"/>
        <w:rPr>
          <w:sz w:val="20"/>
          <w:szCs w:val="20"/>
          <w:color w:val="auto"/>
        </w:rPr>
      </w:pPr>
    </w:p>
    <w:p>
      <w:pPr>
        <w:jc w:val="both"/>
        <w:ind w:left="6" w:firstLine="763"/>
        <w:spacing w:after="0" w:line="250" w:lineRule="auto"/>
        <w:rPr>
          <w:sz w:val="20"/>
          <w:szCs w:val="20"/>
          <w:color w:val="auto"/>
        </w:rPr>
      </w:pPr>
      <w:r>
        <w:rPr>
          <w:rFonts w:ascii="Arial" w:cs="Arial" w:eastAsia="Arial" w:hAnsi="Arial"/>
          <w:sz w:val="17"/>
          <w:szCs w:val="17"/>
          <w:b w:val="1"/>
          <w:bCs w:val="1"/>
          <w:color w:val="auto"/>
        </w:rPr>
        <w:t>5.01 Existence, Qualification and Power</w:t>
      </w:r>
      <w:r>
        <w:rPr>
          <w:rFonts w:ascii="Arial" w:cs="Arial" w:eastAsia="Arial" w:hAnsi="Arial"/>
          <w:sz w:val="17"/>
          <w:szCs w:val="17"/>
          <w:color w:val="auto"/>
        </w:rPr>
        <w:t>. Each Loan Party and each of its Material Subsidiaries (a) is duly organized or formed, validly existing and, 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consummate the transactions contemplated thereby,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Arial" w:cs="Arial" w:eastAsia="Arial" w:hAnsi="Arial"/>
          <w:sz w:val="17"/>
          <w:szCs w:val="17"/>
          <w:u w:val="single" w:color="auto"/>
          <w:color w:val="auto"/>
        </w:rPr>
        <w:t>clause (b)(i)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to the extent that failure to do so could not reasonably be expected to have a Material Adverse Effect.</w:t>
      </w:r>
    </w:p>
    <w:p>
      <w:pPr>
        <w:spacing w:after="0" w:line="157" w:lineRule="exact"/>
        <w:rPr>
          <w:sz w:val="20"/>
          <w:szCs w:val="20"/>
          <w:color w:val="auto"/>
        </w:rPr>
      </w:pPr>
    </w:p>
    <w:p>
      <w:pPr>
        <w:jc w:val="both"/>
        <w:ind w:left="6" w:firstLine="763"/>
        <w:spacing w:after="0" w:line="281" w:lineRule="auto"/>
        <w:rPr>
          <w:sz w:val="20"/>
          <w:szCs w:val="20"/>
          <w:color w:val="auto"/>
        </w:rPr>
      </w:pPr>
      <w:r>
        <w:rPr>
          <w:rFonts w:ascii="Arial" w:cs="Arial" w:eastAsia="Arial" w:hAnsi="Arial"/>
          <w:sz w:val="15"/>
          <w:szCs w:val="15"/>
          <w:b w:val="1"/>
          <w:bCs w:val="1"/>
          <w:color w:val="auto"/>
        </w:rPr>
        <w:t>5.02 Authorization; No Contravention</w:t>
      </w:r>
      <w:r>
        <w:rPr>
          <w:rFonts w:ascii="Arial" w:cs="Arial" w:eastAsia="Arial" w:hAnsi="Arial"/>
          <w:sz w:val="15"/>
          <w:szCs w:val="15"/>
          <w:color w:val="auto"/>
        </w:rPr>
        <w:t>. The execution, delivery and performance by each Loan Party of each Loan Document to which such Person is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Contractual Obligation in excess of the Threshold Amount to which such Person is a party or affecting such Person or the properties of such Person or any of its Material Subsidiaries or (ii) any order, injunction, writ or decree of any Governmental Authority or any arbitral award to which such Person or its property is subject; or (c) violate any Law, except with respect to any conflict, breach, contravention of, payment or violation (but not creation of Lien) referred to in this </w:t>
      </w:r>
      <w:r>
        <w:rPr>
          <w:rFonts w:ascii="Arial" w:cs="Arial" w:eastAsia="Arial" w:hAnsi="Arial"/>
          <w:sz w:val="15"/>
          <w:szCs w:val="15"/>
          <w:u w:val="single" w:color="auto"/>
          <w:color w:val="auto"/>
        </w:rPr>
        <w:t>clause (b)(ii)</w:t>
      </w:r>
      <w:r>
        <w:rPr>
          <w:rFonts w:ascii="Arial" w:cs="Arial" w:eastAsia="Arial" w:hAnsi="Arial"/>
          <w:sz w:val="15"/>
          <w:szCs w:val="15"/>
          <w:color w:val="auto"/>
        </w:rPr>
        <w:t xml:space="preserve"> or</w:t>
      </w:r>
    </w:p>
    <w:p>
      <w:pPr>
        <w:spacing w:after="0" w:line="4" w:lineRule="exact"/>
        <w:rPr>
          <w:sz w:val="20"/>
          <w:szCs w:val="20"/>
          <w:color w:val="auto"/>
        </w:rPr>
      </w:pPr>
    </w:p>
    <w:p>
      <w:pPr>
        <w:ind w:left="6" w:right="20" w:hanging="6"/>
        <w:spacing w:after="0" w:line="254" w:lineRule="auto"/>
        <w:tabs>
          <w:tab w:leader="none" w:pos="250" w:val="left"/>
        </w:tabs>
        <w:numPr>
          <w:ilvl w:val="0"/>
          <w:numId w:val="105"/>
        </w:numPr>
        <w:rPr>
          <w:rFonts w:ascii="Arial" w:cs="Arial" w:eastAsia="Arial" w:hAnsi="Arial"/>
          <w:sz w:val="17"/>
          <w:szCs w:val="17"/>
          <w:u w:val="single" w:color="auto"/>
          <w:color w:val="auto"/>
        </w:rPr>
      </w:pPr>
      <w:r>
        <w:rPr>
          <w:rFonts w:ascii="Arial" w:cs="Arial" w:eastAsia="Arial" w:hAnsi="Arial"/>
          <w:sz w:val="17"/>
          <w:szCs w:val="17"/>
          <w:color w:val="auto"/>
        </w:rPr>
        <w:t>to the extent that such conflicts, breaches, contraventions, payments and violations could not reasonably be expected to have, individually or in the aggregate, a Material Adverse Effect.</w:t>
      </w:r>
    </w:p>
    <w:p>
      <w:pPr>
        <w:spacing w:after="0" w:line="152" w:lineRule="exact"/>
        <w:rPr>
          <w:sz w:val="20"/>
          <w:szCs w:val="20"/>
          <w:color w:val="auto"/>
        </w:rPr>
      </w:pPr>
    </w:p>
    <w:p>
      <w:pPr>
        <w:ind w:left="6" w:right="20" w:firstLine="763"/>
        <w:spacing w:after="0" w:line="278" w:lineRule="auto"/>
        <w:rPr>
          <w:sz w:val="20"/>
          <w:szCs w:val="20"/>
          <w:color w:val="auto"/>
        </w:rPr>
      </w:pPr>
      <w:r>
        <w:rPr>
          <w:rFonts w:ascii="Arial" w:cs="Arial" w:eastAsia="Arial" w:hAnsi="Arial"/>
          <w:sz w:val="17"/>
          <w:szCs w:val="17"/>
          <w:b w:val="1"/>
          <w:bCs w:val="1"/>
          <w:color w:val="auto"/>
        </w:rPr>
        <w:t>5.03 Governmental Authorization; Other Consents</w:t>
      </w:r>
      <w:r>
        <w:rPr>
          <w:rFonts w:ascii="Arial" w:cs="Arial" w:eastAsia="Arial" w:hAnsi="Arial"/>
          <w:sz w:val="17"/>
          <w:szCs w:val="17"/>
          <w:color w:val="auto"/>
        </w:rPr>
        <w:t>. No approval, consent, exemption, authorization, or other action by, or notice to, or filing with, any</w:t>
      </w:r>
      <w:r>
        <w:rPr>
          <w:rFonts w:ascii="Arial" w:cs="Arial" w:eastAsia="Arial" w:hAnsi="Arial"/>
          <w:sz w:val="17"/>
          <w:szCs w:val="17"/>
          <w:b w:val="1"/>
          <w:bCs w:val="1"/>
          <w:color w:val="auto"/>
        </w:rPr>
        <w:t xml:space="preserve"> </w:t>
      </w:r>
      <w:r>
        <w:rPr>
          <w:rFonts w:ascii="Arial" w:cs="Arial" w:eastAsia="Arial" w:hAnsi="Arial"/>
          <w:sz w:val="17"/>
          <w:szCs w:val="17"/>
          <w:color w:val="auto"/>
        </w:rPr>
        <w:t>Governmental Authority or any other Person is necessary or required in</w:t>
      </w:r>
    </w:p>
    <w:p>
      <w:pPr>
        <w:spacing w:after="0" w:line="139"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46"/>
          </w:cols>
          <w:pgMar w:left="234" w:top="312" w:right="219" w:bottom="1440" w:gutter="0" w:footer="0" w:header="0"/>
        </w:sectPr>
      </w:pPr>
    </w:p>
    <w:bookmarkStart w:id="86" w:name="page87"/>
    <w:bookmarkEnd w:id="86"/>
    <w:p>
      <w:pPr>
        <w:jc w:val="both"/>
        <w:ind w:right="20"/>
        <w:spacing w:after="0" w:line="297" w:lineRule="auto"/>
        <w:rPr>
          <w:sz w:val="20"/>
          <w:szCs w:val="20"/>
          <w:color w:val="auto"/>
        </w:rPr>
      </w:pPr>
      <w:r>
        <w:rPr>
          <w:rFonts w:ascii="Arial" w:cs="Arial" w:eastAsia="Arial" w:hAnsi="Arial"/>
          <w:sz w:val="15"/>
          <w:szCs w:val="15"/>
          <w:color w:val="auto"/>
        </w:rPr>
        <w:t>connection with (a) the execution, delivery or performance by, or enforcement against, any Loan Party of this Agreement or any other Loan Document, or for the consummation of the transactions contemplated hereby or thereby, (b) the grant by any Loan Party of the Liens granted by it pursuant to the Collateral Documents, (c) the perfection or maintenance of the Liens created under the Collateral Documents (including the first priority nature thereof) or (d) the exercise by the Administrative Agent or any Lender of its rights under the Loan Documents or the remedies in respect of the Collateral pursuant to the Collateral Documents.</w:t>
      </w:r>
    </w:p>
    <w:p>
      <w:pPr>
        <w:spacing w:after="0" w:line="125" w:lineRule="exact"/>
        <w:rPr>
          <w:sz w:val="20"/>
          <w:szCs w:val="20"/>
          <w:color w:val="auto"/>
        </w:rPr>
      </w:pPr>
    </w:p>
    <w:p>
      <w:pPr>
        <w:jc w:val="both"/>
        <w:ind w:right="20" w:firstLine="763"/>
        <w:spacing w:after="0" w:line="261" w:lineRule="auto"/>
        <w:rPr>
          <w:sz w:val="20"/>
          <w:szCs w:val="20"/>
          <w:color w:val="auto"/>
        </w:rPr>
      </w:pPr>
      <w:r>
        <w:rPr>
          <w:rFonts w:ascii="Arial" w:cs="Arial" w:eastAsia="Arial" w:hAnsi="Arial"/>
          <w:sz w:val="17"/>
          <w:szCs w:val="17"/>
          <w:b w:val="1"/>
          <w:bCs w:val="1"/>
          <w:color w:val="auto"/>
        </w:rPr>
        <w:t>5.04 Binding Effect</w:t>
      </w:r>
      <w:r>
        <w:rPr>
          <w:rFonts w:ascii="Arial" w:cs="Arial" w:eastAsia="Arial" w:hAnsi="Arial"/>
          <w:sz w:val="17"/>
          <w:szCs w:val="17"/>
          <w:color w:val="auto"/>
        </w:rPr>
        <w:t>. This Agreement has been, and each other Loan Document, when delivered hereunder, will have been, duly executed and delivered by</w:t>
      </w:r>
      <w:r>
        <w:rPr>
          <w:rFonts w:ascii="Arial" w:cs="Arial" w:eastAsia="Arial" w:hAnsi="Arial"/>
          <w:sz w:val="17"/>
          <w:szCs w:val="17"/>
          <w:b w:val="1"/>
          <w:bCs w:val="1"/>
          <w:color w:val="auto"/>
        </w:rPr>
        <w:t xml:space="preserve"> </w:t>
      </w:r>
      <w:r>
        <w:rPr>
          <w:rFonts w:ascii="Arial" w:cs="Arial" w:eastAsia="Arial" w:hAnsi="Arial"/>
          <w:sz w:val="17"/>
          <w:szCs w:val="17"/>
          <w:color w:val="auto"/>
        </w:rPr>
        <w:t>each Loan Party that is party thereto. This Agreement constitutes, and each other Loan Document when so delivered will constitute, a legal, valid and binding obligation of such Loan Party, enforceable against each Loan Party that is party thereto in accordance with its terms.</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5.05 Financial Statements; No Material Adverse Effect</w:t>
      </w:r>
      <w:r>
        <w:rPr>
          <w:rFonts w:ascii="Arial" w:cs="Arial" w:eastAsia="Arial" w:hAnsi="Arial"/>
          <w:sz w:val="17"/>
          <w:szCs w:val="17"/>
          <w:color w:val="auto"/>
        </w:rPr>
        <w:t>.</w:t>
      </w:r>
    </w:p>
    <w:p>
      <w:pPr>
        <w:spacing w:after="0" w:line="197" w:lineRule="exact"/>
        <w:rPr>
          <w:sz w:val="20"/>
          <w:szCs w:val="20"/>
          <w:color w:val="auto"/>
        </w:rPr>
      </w:pPr>
    </w:p>
    <w:p>
      <w:pPr>
        <w:jc w:val="both"/>
        <w:ind w:left="760" w:firstLine="709"/>
        <w:spacing w:after="0" w:line="253" w:lineRule="auto"/>
        <w:tabs>
          <w:tab w:leader="none" w:pos="1716"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Audited Financial Statements (i) were prepared in accordance with GAAP consistently applied throughout the period covered thereby, except as otherwise expressly noted therein; and (ii) fairly present the financial condition of the Company and its Subsidiaries as of the date thereof and their results of operations for the period covered thereby in accordance with GAAP consistently applied throughout the period covered thereby, except as otherwise expressly noted therein.</w:t>
      </w:r>
    </w:p>
    <w:p>
      <w:pPr>
        <w:spacing w:after="0" w:line="160" w:lineRule="exact"/>
        <w:rPr>
          <w:rFonts w:ascii="Arial" w:cs="Arial" w:eastAsia="Arial" w:hAnsi="Arial"/>
          <w:sz w:val="17"/>
          <w:szCs w:val="17"/>
          <w:color w:val="auto"/>
        </w:rPr>
      </w:pPr>
    </w:p>
    <w:p>
      <w:pPr>
        <w:jc w:val="both"/>
        <w:ind w:left="760" w:firstLine="709"/>
        <w:spacing w:after="0" w:line="251" w:lineRule="auto"/>
        <w:tabs>
          <w:tab w:leader="none" w:pos="175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The most recently delivered unaudited consolidated balance sheets of the Company and its Subsidiaries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the Company and its Subsidiaries as of the date thereof and their results of operations for the period covered thereby, subject, in the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to the absence of footnotes and to normal yearend audit adjustments.</w:t>
      </w:r>
    </w:p>
    <w:p>
      <w:pPr>
        <w:spacing w:after="0" w:line="161" w:lineRule="exact"/>
        <w:rPr>
          <w:rFonts w:ascii="Arial" w:cs="Arial" w:eastAsia="Arial" w:hAnsi="Arial"/>
          <w:sz w:val="17"/>
          <w:szCs w:val="17"/>
          <w:color w:val="auto"/>
        </w:rPr>
      </w:pPr>
    </w:p>
    <w:p>
      <w:pPr>
        <w:ind w:left="760" w:right="20" w:firstLine="709"/>
        <w:spacing w:after="0" w:line="271" w:lineRule="auto"/>
        <w:tabs>
          <w:tab w:leader="none" w:pos="171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Since the date of the Audited Financial Statements, there has been no event or circumstance, either individually or in the aggregate, that has had or could reasonably be expected to have a Material Adverse Effect.</w:t>
      </w:r>
    </w:p>
    <w:p>
      <w:pPr>
        <w:spacing w:after="0" w:line="144" w:lineRule="exact"/>
        <w:rPr>
          <w:rFonts w:ascii="Arial" w:cs="Arial" w:eastAsia="Arial" w:hAnsi="Arial"/>
          <w:sz w:val="17"/>
          <w:szCs w:val="17"/>
          <w:color w:val="auto"/>
        </w:rPr>
      </w:pPr>
    </w:p>
    <w:p>
      <w:pPr>
        <w:jc w:val="both"/>
        <w:ind w:left="760" w:firstLine="709"/>
        <w:spacing w:after="0" w:line="253" w:lineRule="auto"/>
        <w:tabs>
          <w:tab w:leader="none" w:pos="172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The consolidated forecasted balance sheet and statements of income and cash flows of the Company and its Subsidiaries delivered pursuant to </w:t>
      </w:r>
      <w:r>
        <w:rPr>
          <w:rFonts w:ascii="Arial" w:cs="Arial" w:eastAsia="Arial" w:hAnsi="Arial"/>
          <w:sz w:val="17"/>
          <w:szCs w:val="17"/>
          <w:u w:val="single" w:color="auto"/>
          <w:color w:val="auto"/>
        </w:rPr>
        <w:t>Sections 4.01(c)(ii)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6.01(c)</w:t>
      </w:r>
      <w:r>
        <w:rPr>
          <w:rFonts w:ascii="Arial" w:cs="Arial" w:eastAsia="Arial" w:hAnsi="Arial"/>
          <w:sz w:val="17"/>
          <w:szCs w:val="17"/>
          <w:color w:val="auto"/>
        </w:rPr>
        <w:t xml:space="preserve"> were prepared in good faith on the basis of the assumptions stated therein, which assumptions were fair in light of the conditions existing at the time of delivery of such forecasts, and represented, at the time of delivery, the Company’s good faith estimate of its future financial condition and performance.</w:t>
      </w:r>
    </w:p>
    <w:p>
      <w:pPr>
        <w:spacing w:after="0" w:line="154" w:lineRule="exact"/>
        <w:rPr>
          <w:sz w:val="20"/>
          <w:szCs w:val="20"/>
          <w:color w:val="auto"/>
        </w:rPr>
      </w:pPr>
    </w:p>
    <w:p>
      <w:pPr>
        <w:jc w:val="both"/>
        <w:ind w:firstLine="763"/>
        <w:spacing w:after="0" w:line="253" w:lineRule="auto"/>
        <w:rPr>
          <w:sz w:val="20"/>
          <w:szCs w:val="20"/>
          <w:color w:val="auto"/>
        </w:rPr>
      </w:pPr>
      <w:r>
        <w:rPr>
          <w:rFonts w:ascii="Arial" w:cs="Arial" w:eastAsia="Arial" w:hAnsi="Arial"/>
          <w:sz w:val="17"/>
          <w:szCs w:val="17"/>
          <w:b w:val="1"/>
          <w:bCs w:val="1"/>
          <w:color w:val="auto"/>
        </w:rPr>
        <w:t>5.06 Litigation</w:t>
      </w:r>
      <w:r>
        <w:rPr>
          <w:rFonts w:ascii="Arial" w:cs="Arial" w:eastAsia="Arial" w:hAnsi="Arial"/>
          <w:sz w:val="17"/>
          <w:szCs w:val="17"/>
          <w:color w:val="auto"/>
        </w:rPr>
        <w:t>. There are no actions, suits, proceedings, claims or disputes pending or, to the knowledge of any Borrower after due and diligent</w:t>
      </w:r>
      <w:r>
        <w:rPr>
          <w:rFonts w:ascii="Arial" w:cs="Arial" w:eastAsia="Arial" w:hAnsi="Arial"/>
          <w:sz w:val="17"/>
          <w:szCs w:val="17"/>
          <w:b w:val="1"/>
          <w:bCs w:val="1"/>
          <w:color w:val="auto"/>
        </w:rPr>
        <w:t xml:space="preserve"> </w:t>
      </w:r>
      <w:r>
        <w:rPr>
          <w:rFonts w:ascii="Arial" w:cs="Arial" w:eastAsia="Arial" w:hAnsi="Arial"/>
          <w:sz w:val="17"/>
          <w:szCs w:val="17"/>
          <w:color w:val="auto"/>
        </w:rPr>
        <w:t>investigation, threatened or contemplated, at law, in equity, in arbitration or before any Governmental Authority, by or against the Company or any of its Material Subsidiaries or against any of their properties or revenues that (a) purport to affect or pertain to this Agreement or any other Loan Document, or any of the transactions contemplated hereby or thereby, or (b) either individually or in the aggregate, if determined adversely, could reasonably be expected to have a Material Adverse Effect.</w:t>
      </w:r>
    </w:p>
    <w:p>
      <w:pPr>
        <w:spacing w:after="0" w:line="154" w:lineRule="exact"/>
        <w:rPr>
          <w:sz w:val="20"/>
          <w:szCs w:val="20"/>
          <w:color w:val="auto"/>
        </w:rPr>
      </w:pPr>
    </w:p>
    <w:p>
      <w:pPr>
        <w:jc w:val="both"/>
        <w:ind w:firstLine="763"/>
        <w:spacing w:after="0" w:line="261" w:lineRule="auto"/>
        <w:rPr>
          <w:sz w:val="20"/>
          <w:szCs w:val="20"/>
          <w:color w:val="auto"/>
        </w:rPr>
      </w:pPr>
      <w:r>
        <w:rPr>
          <w:rFonts w:ascii="Arial" w:cs="Arial" w:eastAsia="Arial" w:hAnsi="Arial"/>
          <w:sz w:val="17"/>
          <w:szCs w:val="17"/>
          <w:b w:val="1"/>
          <w:bCs w:val="1"/>
          <w:color w:val="auto"/>
        </w:rPr>
        <w:t>5.07 No Default</w:t>
      </w:r>
      <w:r>
        <w:rPr>
          <w:rFonts w:ascii="Arial" w:cs="Arial" w:eastAsia="Arial" w:hAnsi="Arial"/>
          <w:sz w:val="17"/>
          <w:szCs w:val="17"/>
          <w:color w:val="auto"/>
        </w:rPr>
        <w:t>. Neither any Loan Party nor any Material Subsidiary thereof is in default under or with respect to, or party to, any Contractual Obligation</w:t>
      </w:r>
      <w:r>
        <w:rPr>
          <w:rFonts w:ascii="Arial" w:cs="Arial" w:eastAsia="Arial" w:hAnsi="Arial"/>
          <w:sz w:val="17"/>
          <w:szCs w:val="17"/>
          <w:b w:val="1"/>
          <w:bCs w:val="1"/>
          <w:color w:val="auto"/>
        </w:rPr>
        <w:t xml:space="preserve"> </w:t>
      </w:r>
      <w:r>
        <w:rPr>
          <w:rFonts w:ascii="Arial" w:cs="Arial" w:eastAsia="Arial" w:hAnsi="Arial"/>
          <w:sz w:val="17"/>
          <w:szCs w:val="17"/>
          <w:color w:val="auto"/>
        </w:rPr>
        <w:t>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148" w:lineRule="exact"/>
        <w:rPr>
          <w:sz w:val="20"/>
          <w:szCs w:val="20"/>
          <w:color w:val="auto"/>
        </w:rPr>
      </w:pPr>
    </w:p>
    <w:p>
      <w:pPr>
        <w:jc w:val="both"/>
        <w:ind w:right="20" w:firstLine="763"/>
        <w:spacing w:after="0" w:line="255" w:lineRule="auto"/>
        <w:rPr>
          <w:sz w:val="20"/>
          <w:szCs w:val="20"/>
          <w:color w:val="auto"/>
        </w:rPr>
      </w:pPr>
      <w:r>
        <w:rPr>
          <w:rFonts w:ascii="Arial" w:cs="Arial" w:eastAsia="Arial" w:hAnsi="Arial"/>
          <w:sz w:val="17"/>
          <w:szCs w:val="17"/>
          <w:b w:val="1"/>
          <w:bCs w:val="1"/>
          <w:color w:val="auto"/>
        </w:rPr>
        <w:t>5.08 Ownership of Property; Liens</w:t>
      </w:r>
      <w:r>
        <w:rPr>
          <w:rFonts w:ascii="Arial" w:cs="Arial" w:eastAsia="Arial" w:hAnsi="Arial"/>
          <w:sz w:val="17"/>
          <w:szCs w:val="17"/>
          <w:color w:val="auto"/>
        </w:rPr>
        <w:t>. Each Loan Party and each of its Material Subsidiaries has good record and marketable title in fee simple to, or valid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leasehold interests in, all real property necessary or used in the ordinary conduct of its business, except for such defects in title as could not, individually or in the aggregate, reasonably be expected to have a Material Adverse Effect. The property of each Loan Party and its Material Subsidiaries is subject to no Liens, other than Liens permitted by </w:t>
      </w:r>
      <w:r>
        <w:rPr>
          <w:rFonts w:ascii="Arial" w:cs="Arial" w:eastAsia="Arial" w:hAnsi="Arial"/>
          <w:sz w:val="17"/>
          <w:szCs w:val="17"/>
          <w:u w:val="single" w:color="auto"/>
          <w:color w:val="auto"/>
        </w:rPr>
        <w:t>Section 7.01</w:t>
      </w:r>
      <w:r>
        <w:rPr>
          <w:rFonts w:ascii="Arial" w:cs="Arial" w:eastAsia="Arial" w:hAnsi="Arial"/>
          <w:sz w:val="17"/>
          <w:szCs w:val="17"/>
          <w:color w:val="auto"/>
        </w:rPr>
        <w: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40"/>
          </w:cols>
          <w:pgMar w:left="240" w:top="312" w:right="219" w:bottom="1440" w:gutter="0" w:footer="0" w:header="0"/>
        </w:sectPr>
      </w:pPr>
    </w:p>
    <w:bookmarkStart w:id="87" w:name="page88"/>
    <w:bookmarkEnd w:id="87"/>
    <w:p>
      <w:pPr>
        <w:jc w:val="both"/>
        <w:ind w:firstLine="763"/>
        <w:spacing w:after="0" w:line="255" w:lineRule="auto"/>
        <w:rPr>
          <w:sz w:val="20"/>
          <w:szCs w:val="20"/>
          <w:color w:val="auto"/>
        </w:rPr>
      </w:pPr>
      <w:r>
        <w:rPr>
          <w:rFonts w:ascii="Arial" w:cs="Arial" w:eastAsia="Arial" w:hAnsi="Arial"/>
          <w:sz w:val="17"/>
          <w:szCs w:val="17"/>
          <w:b w:val="1"/>
          <w:bCs w:val="1"/>
          <w:color w:val="auto"/>
        </w:rPr>
        <w:t>5.09 Environmental Compliance</w:t>
      </w:r>
      <w:r>
        <w:rPr>
          <w:rFonts w:ascii="Arial" w:cs="Arial" w:eastAsia="Arial" w:hAnsi="Arial"/>
          <w:sz w:val="17"/>
          <w:szCs w:val="17"/>
          <w:color w:val="auto"/>
        </w:rPr>
        <w:t>. The Loan Parties and their respective Material Subsidiaries conduct in the ordinary course of business a review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effect of existing Environmental Laws and claims alleging potential liability or responsibility for violation of any Environmental Law on their respective businesses, operations and properties, and as a result thereof the Company has reasonably concluded that such Environmental Laws and claims could not, individually or in the aggregate, reasonably be expected to have a Material Adverse Effect.</w:t>
      </w:r>
    </w:p>
    <w:p>
      <w:pPr>
        <w:spacing w:after="0" w:line="154" w:lineRule="exact"/>
        <w:rPr>
          <w:sz w:val="20"/>
          <w:szCs w:val="20"/>
          <w:color w:val="auto"/>
        </w:rPr>
      </w:pPr>
    </w:p>
    <w:p>
      <w:pPr>
        <w:jc w:val="both"/>
        <w:ind w:firstLine="763"/>
        <w:spacing w:after="0" w:line="285" w:lineRule="auto"/>
        <w:rPr>
          <w:sz w:val="20"/>
          <w:szCs w:val="20"/>
          <w:color w:val="auto"/>
        </w:rPr>
      </w:pPr>
      <w:r>
        <w:rPr>
          <w:rFonts w:ascii="Arial" w:cs="Arial" w:eastAsia="Arial" w:hAnsi="Arial"/>
          <w:sz w:val="16"/>
          <w:szCs w:val="16"/>
          <w:b w:val="1"/>
          <w:bCs w:val="1"/>
          <w:color w:val="auto"/>
        </w:rPr>
        <w:t>5.10 Insurance</w:t>
      </w:r>
      <w:r>
        <w:rPr>
          <w:rFonts w:ascii="Arial" w:cs="Arial" w:eastAsia="Arial" w:hAnsi="Arial"/>
          <w:sz w:val="16"/>
          <w:szCs w:val="16"/>
          <w:color w:val="auto"/>
        </w:rPr>
        <w:t>. The properties of each Loan Party and each of its Material Subsidiaries are insured with financially sound and reputable 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not Affiliates of the Loan Parties, in such amounts, with such deductibles and covering such risks as are customarily carried by companies engaged in similar businesses and owning similar properties in localities where any Loan Party or the applicable Material Subsidiary operates.</w:t>
      </w:r>
    </w:p>
    <w:p>
      <w:pPr>
        <w:spacing w:after="0" w:line="130" w:lineRule="exact"/>
        <w:rPr>
          <w:sz w:val="20"/>
          <w:szCs w:val="20"/>
          <w:color w:val="auto"/>
        </w:rPr>
      </w:pPr>
    </w:p>
    <w:p>
      <w:pPr>
        <w:jc w:val="both"/>
        <w:ind w:firstLine="763"/>
        <w:spacing w:after="0" w:line="251" w:lineRule="auto"/>
        <w:rPr>
          <w:sz w:val="20"/>
          <w:szCs w:val="20"/>
          <w:color w:val="auto"/>
        </w:rPr>
      </w:pPr>
      <w:r>
        <w:rPr>
          <w:rFonts w:ascii="Arial" w:cs="Arial" w:eastAsia="Arial" w:hAnsi="Arial"/>
          <w:sz w:val="17"/>
          <w:szCs w:val="17"/>
          <w:b w:val="1"/>
          <w:bCs w:val="1"/>
          <w:color w:val="auto"/>
        </w:rPr>
        <w:t>5.11 Taxes</w:t>
      </w:r>
      <w:r>
        <w:rPr>
          <w:rFonts w:ascii="Arial" w:cs="Arial" w:eastAsia="Arial" w:hAnsi="Arial"/>
          <w:sz w:val="17"/>
          <w:szCs w:val="17"/>
          <w:color w:val="auto"/>
        </w:rPr>
        <w:t>. Each Loan Party and each of its Material Subsidiaries have filed all federal, state, provincial, territorial income and other material tax returns</w:t>
      </w:r>
      <w:r>
        <w:rPr>
          <w:rFonts w:ascii="Arial" w:cs="Arial" w:eastAsia="Arial" w:hAnsi="Arial"/>
          <w:sz w:val="17"/>
          <w:szCs w:val="17"/>
          <w:b w:val="1"/>
          <w:bCs w:val="1"/>
          <w:color w:val="auto"/>
        </w:rPr>
        <w:t xml:space="preserve"> </w:t>
      </w:r>
      <w:r>
        <w:rPr>
          <w:rFonts w:ascii="Arial" w:cs="Arial" w:eastAsia="Arial" w:hAnsi="Arial"/>
          <w:sz w:val="17"/>
          <w:szCs w:val="17"/>
          <w:color w:val="auto"/>
        </w:rPr>
        <w:t>and reports required to be filed, and have paid all federal, state, provincial, territorial income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any Loan Party or any of its Material Subsidiaries that would, if made, have a Material Adverse Effect. Neither any Loan Party nor any Material Subsidiary thereof is party to any tax sharing agreement</w:t>
      </w:r>
      <w:r>
        <w:rPr>
          <w:rFonts w:ascii="Arial" w:cs="Arial" w:eastAsia="Arial" w:hAnsi="Arial"/>
          <w:sz w:val="17"/>
          <w:szCs w:val="17"/>
          <w:b w:val="1"/>
          <w:bCs w:val="1"/>
          <w:color w:val="auto"/>
        </w:rPr>
        <w:t>.</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5.12 ERISA Compliance</w:t>
      </w:r>
      <w:r>
        <w:rPr>
          <w:rFonts w:ascii="Arial" w:cs="Arial" w:eastAsia="Arial" w:hAnsi="Arial"/>
          <w:sz w:val="17"/>
          <w:szCs w:val="17"/>
          <w:color w:val="auto"/>
        </w:rPr>
        <w:t>.</w:t>
      </w:r>
    </w:p>
    <w:p>
      <w:pPr>
        <w:spacing w:after="0" w:line="197" w:lineRule="exact"/>
        <w:rPr>
          <w:sz w:val="20"/>
          <w:szCs w:val="20"/>
          <w:color w:val="auto"/>
        </w:rPr>
      </w:pPr>
    </w:p>
    <w:p>
      <w:pPr>
        <w:jc w:val="both"/>
        <w:ind w:left="760" w:firstLine="709"/>
        <w:spacing w:after="0" w:line="287" w:lineRule="auto"/>
        <w:tabs>
          <w:tab w:leader="none" w:pos="1731" w:val="left"/>
        </w:tabs>
        <w:numPr>
          <w:ilvl w:val="0"/>
          <w:numId w:val="107"/>
        </w:numPr>
        <w:rPr>
          <w:rFonts w:ascii="Arial" w:cs="Arial" w:eastAsia="Arial" w:hAnsi="Arial"/>
          <w:sz w:val="15"/>
          <w:szCs w:val="15"/>
          <w:color w:val="auto"/>
        </w:rPr>
      </w:pPr>
      <w:r>
        <w:rPr>
          <w:rFonts w:ascii="Arial" w:cs="Arial" w:eastAsia="Arial" w:hAnsi="Arial"/>
          <w:sz w:val="15"/>
          <w:szCs w:val="15"/>
          <w:color w:val="auto"/>
        </w:rPr>
        <w:t>Each Plan is in compliance in all material respects with the applicable provisions of ERISA, the Code and other federal or state Laws applicable to such Plan. Each Plan that is intended to qualify under Section 401(a) of the Code has received a favorable determination letter from the IRS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IRS with respect thereto and, to the best knowledge of each Borrower, nothing has occurred which would prevent, or cause the loss of, such qualification. The Borrowers and each ERISA Affiliate have made all required contributions to each Plan subject to Section 412 of the Code, and no application for a funding waiver or an extension of any amortization period pursuant to Section 412 of the Code has been made with respect to any Plan.</w:t>
      </w:r>
    </w:p>
    <w:p>
      <w:pPr>
        <w:spacing w:after="0" w:line="138" w:lineRule="exact"/>
        <w:rPr>
          <w:rFonts w:ascii="Arial" w:cs="Arial" w:eastAsia="Arial" w:hAnsi="Arial"/>
          <w:sz w:val="15"/>
          <w:szCs w:val="15"/>
          <w:color w:val="auto"/>
        </w:rPr>
      </w:pPr>
    </w:p>
    <w:p>
      <w:pPr>
        <w:jc w:val="both"/>
        <w:ind w:left="760" w:firstLine="709"/>
        <w:spacing w:after="0" w:line="253" w:lineRule="auto"/>
        <w:tabs>
          <w:tab w:leader="none" w:pos="173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There are no pending or, to the best knowledge of any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60" w:lineRule="exact"/>
        <w:rPr>
          <w:rFonts w:ascii="Arial" w:cs="Arial" w:eastAsia="Arial" w:hAnsi="Arial"/>
          <w:sz w:val="17"/>
          <w:szCs w:val="17"/>
          <w:color w:val="auto"/>
        </w:rPr>
      </w:pPr>
    </w:p>
    <w:p>
      <w:pPr>
        <w:jc w:val="both"/>
        <w:ind w:left="760" w:firstLine="709"/>
        <w:spacing w:after="0" w:line="264" w:lineRule="auto"/>
        <w:tabs>
          <w:tab w:leader="none" w:pos="171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No ERISA Event has occurred, and neither the Borrowers nor any ERISA Affiliate is aware of any fact, event or circumstance that could reasonably be expected to constitute or result in an ERISA Event with respect to any Pension Plan; (ii) the Borrowers and each ERISA Affiliate have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60% or higher and neither the Borrowers nor any ERISA Affiliate knows of any facts or circumstances that could reasonably be expected to cause the funding target attainment percentage for any such plan to drop below 60% as of the most recent valuation date; (iv) neither the Borrowers nor any ERISA Affiliate has incurred any liability to the PBGC other than for the payment of premiums, and there are no premium payments which have become due that are unpaid; (v) neither the Borrowers nor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40"/>
          </w:cols>
          <w:pgMar w:left="240" w:top="306" w:right="219" w:bottom="1440" w:gutter="0" w:footer="0" w:header="0"/>
        </w:sectPr>
      </w:pPr>
    </w:p>
    <w:bookmarkStart w:id="88" w:name="page89"/>
    <w:bookmarkEnd w:id="88"/>
    <w:p>
      <w:pPr>
        <w:jc w:val="both"/>
        <w:ind w:left="760" w:firstLine="709"/>
        <w:spacing w:after="0" w:line="281" w:lineRule="auto"/>
        <w:tabs>
          <w:tab w:leader="none" w:pos="174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With respect to each employee benefit or similar scheme or arrangement mandated by a government other than the United States and maintained by any Loan Party or any Subsidiary (a “</w:t>
      </w:r>
      <w:r>
        <w:rPr>
          <w:rFonts w:ascii="Arial" w:cs="Arial" w:eastAsia="Arial" w:hAnsi="Arial"/>
          <w:sz w:val="16"/>
          <w:szCs w:val="16"/>
          <w:u w:val="single" w:color="auto"/>
          <w:color w:val="auto"/>
        </w:rPr>
        <w:t>Foreign Government Scheme or Arrangement</w:t>
      </w:r>
      <w:r>
        <w:rPr>
          <w:rFonts w:ascii="Arial" w:cs="Arial" w:eastAsia="Arial" w:hAnsi="Arial"/>
          <w:sz w:val="16"/>
          <w:szCs w:val="16"/>
          <w:color w:val="auto"/>
        </w:rPr>
        <w:t>”) and with respect to each employee benefit plan maintained or contributed to by any Loan Party or any Material Subsidiary of any Loan Party that is not subject to United States law (a “</w:t>
      </w:r>
      <w:r>
        <w:rPr>
          <w:rFonts w:ascii="Arial" w:cs="Arial" w:eastAsia="Arial" w:hAnsi="Arial"/>
          <w:sz w:val="16"/>
          <w:szCs w:val="16"/>
          <w:u w:val="single" w:color="auto"/>
          <w:color w:val="auto"/>
        </w:rPr>
        <w:t>Foreign Plan</w:t>
      </w:r>
      <w:r>
        <w:rPr>
          <w:rFonts w:ascii="Arial" w:cs="Arial" w:eastAsia="Arial" w:hAnsi="Arial"/>
          <w:sz w:val="16"/>
          <w:szCs w:val="16"/>
          <w:color w:val="auto"/>
        </w:rPr>
        <w:t>”):</w:t>
      </w:r>
    </w:p>
    <w:p>
      <w:pPr>
        <w:spacing w:after="0" w:line="139" w:lineRule="exact"/>
        <w:rPr>
          <w:rFonts w:ascii="Arial" w:cs="Arial" w:eastAsia="Arial" w:hAnsi="Arial"/>
          <w:sz w:val="16"/>
          <w:szCs w:val="16"/>
          <w:color w:val="auto"/>
        </w:rPr>
      </w:pPr>
    </w:p>
    <w:p>
      <w:pPr>
        <w:ind w:left="1520" w:firstLine="660"/>
        <w:spacing w:after="0" w:line="271" w:lineRule="auto"/>
        <w:tabs>
          <w:tab w:leader="none" w:pos="2391" w:val="left"/>
        </w:tabs>
        <w:numPr>
          <w:ilvl w:val="1"/>
          <w:numId w:val="108"/>
        </w:numPr>
        <w:rPr>
          <w:rFonts w:ascii="Arial" w:cs="Arial" w:eastAsia="Arial" w:hAnsi="Arial"/>
          <w:sz w:val="17"/>
          <w:szCs w:val="17"/>
          <w:color w:val="auto"/>
        </w:rPr>
      </w:pPr>
      <w:r>
        <w:rPr>
          <w:rFonts w:ascii="Arial" w:cs="Arial" w:eastAsia="Arial" w:hAnsi="Arial"/>
          <w:sz w:val="17"/>
          <w:szCs w:val="17"/>
          <w:color w:val="auto"/>
        </w:rPr>
        <w:t>any employer and employee contributions required by law or by the terms of any Foreign Government Scheme or Arrangement or any Foreign Plan have been made, or, if applicable, accrued, in accordance with normal accounting practices;</w:t>
      </w:r>
    </w:p>
    <w:p>
      <w:pPr>
        <w:spacing w:after="0" w:line="144" w:lineRule="exact"/>
        <w:rPr>
          <w:rFonts w:ascii="Arial" w:cs="Arial" w:eastAsia="Arial" w:hAnsi="Arial"/>
          <w:sz w:val="17"/>
          <w:szCs w:val="17"/>
          <w:color w:val="auto"/>
        </w:rPr>
      </w:pPr>
    </w:p>
    <w:p>
      <w:pPr>
        <w:jc w:val="both"/>
        <w:ind w:left="1520" w:firstLine="660"/>
        <w:spacing w:after="0" w:line="251" w:lineRule="auto"/>
        <w:tabs>
          <w:tab w:leader="none" w:pos="2443" w:val="left"/>
        </w:tabs>
        <w:numPr>
          <w:ilvl w:val="1"/>
          <w:numId w:val="108"/>
        </w:numPr>
        <w:rPr>
          <w:rFonts w:ascii="Arial" w:cs="Arial" w:eastAsia="Arial" w:hAnsi="Arial"/>
          <w:sz w:val="17"/>
          <w:szCs w:val="17"/>
          <w:color w:val="auto"/>
        </w:rPr>
      </w:pPr>
      <w:r>
        <w:rPr>
          <w:rFonts w:ascii="Arial" w:cs="Arial" w:eastAsia="Arial" w:hAnsi="Arial"/>
          <w:sz w:val="17"/>
          <w:szCs w:val="17"/>
          <w:color w:val="auto"/>
        </w:rPr>
        <w:t>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date hereof, with respect to all current and former participants in such Foreign Plan according to the actuarial assumptions and valuations most recently used to account for such obligations in accordance with applicable generally accepted accounting principles; and</w:t>
      </w:r>
    </w:p>
    <w:p>
      <w:pPr>
        <w:spacing w:after="0" w:line="161" w:lineRule="exact"/>
        <w:rPr>
          <w:rFonts w:ascii="Arial" w:cs="Arial" w:eastAsia="Arial" w:hAnsi="Arial"/>
          <w:sz w:val="17"/>
          <w:szCs w:val="17"/>
          <w:color w:val="auto"/>
        </w:rPr>
      </w:pPr>
    </w:p>
    <w:p>
      <w:pPr>
        <w:ind w:left="1520" w:right="20" w:firstLine="660"/>
        <w:spacing w:after="0" w:line="271" w:lineRule="auto"/>
        <w:tabs>
          <w:tab w:leader="none" w:pos="2514" w:val="left"/>
        </w:tabs>
        <w:numPr>
          <w:ilvl w:val="1"/>
          <w:numId w:val="108"/>
        </w:numPr>
        <w:rPr>
          <w:rFonts w:ascii="Arial" w:cs="Arial" w:eastAsia="Arial" w:hAnsi="Arial"/>
          <w:sz w:val="17"/>
          <w:szCs w:val="17"/>
          <w:color w:val="auto"/>
        </w:rPr>
      </w:pPr>
      <w:r>
        <w:rPr>
          <w:rFonts w:ascii="Arial" w:cs="Arial" w:eastAsia="Arial" w:hAnsi="Arial"/>
          <w:sz w:val="17"/>
          <w:szCs w:val="17"/>
          <w:color w:val="auto"/>
        </w:rPr>
        <w:t>each Foreign Plan required to be registered has been registered and has been maintained in good standing with applicable regulatory authorities.</w:t>
      </w:r>
    </w:p>
    <w:p>
      <w:pPr>
        <w:spacing w:after="0" w:line="144" w:lineRule="exact"/>
        <w:rPr>
          <w:rFonts w:ascii="Arial" w:cs="Arial" w:eastAsia="Arial" w:hAnsi="Arial"/>
          <w:sz w:val="17"/>
          <w:szCs w:val="17"/>
          <w:color w:val="auto"/>
        </w:rPr>
      </w:pPr>
    </w:p>
    <w:p>
      <w:pPr>
        <w:ind w:left="760" w:firstLine="709"/>
        <w:spacing w:after="0" w:line="303" w:lineRule="auto"/>
        <w:tabs>
          <w:tab w:leader="none" w:pos="1721" w:val="left"/>
        </w:tabs>
        <w:numPr>
          <w:ilvl w:val="0"/>
          <w:numId w:val="108"/>
        </w:numPr>
        <w:rPr>
          <w:rFonts w:ascii="Arial" w:cs="Arial" w:eastAsia="Arial" w:hAnsi="Arial"/>
          <w:sz w:val="16"/>
          <w:szCs w:val="16"/>
          <w:color w:val="auto"/>
        </w:rPr>
      </w:pPr>
      <w:r>
        <w:rPr>
          <w:rFonts w:ascii="Arial" w:cs="Arial" w:eastAsia="Arial" w:hAnsi="Arial"/>
          <w:sz w:val="16"/>
          <w:szCs w:val="16"/>
          <w:color w:val="auto"/>
        </w:rPr>
        <w:t>None of the Borrowers, any Material Subsidiary nor any ERISA Affiliate maintains or contributes to, or has any unsatisfied obligation to contribute to, or liability or contingent liability under, any active or terminated Pension Plan or Canadian Defined Benefit Pension Plan.</w:t>
      </w:r>
    </w:p>
    <w:p>
      <w:pPr>
        <w:spacing w:after="0" w:line="116" w:lineRule="exact"/>
        <w:rPr>
          <w:sz w:val="20"/>
          <w:szCs w:val="20"/>
          <w:color w:val="auto"/>
        </w:rPr>
      </w:pPr>
    </w:p>
    <w:p>
      <w:pPr>
        <w:jc w:val="both"/>
        <w:ind w:firstLine="763"/>
        <w:spacing w:after="0" w:line="286" w:lineRule="auto"/>
        <w:rPr>
          <w:sz w:val="20"/>
          <w:szCs w:val="20"/>
          <w:color w:val="auto"/>
        </w:rPr>
      </w:pPr>
      <w:r>
        <w:rPr>
          <w:rFonts w:ascii="Arial" w:cs="Arial" w:eastAsia="Arial" w:hAnsi="Arial"/>
          <w:sz w:val="15"/>
          <w:szCs w:val="15"/>
          <w:b w:val="1"/>
          <w:bCs w:val="1"/>
          <w:color w:val="auto"/>
        </w:rPr>
        <w:t>5.13 Subsidiaries; Equity Interests</w:t>
      </w:r>
      <w:r>
        <w:rPr>
          <w:rFonts w:ascii="Arial" w:cs="Arial" w:eastAsia="Arial" w:hAnsi="Arial"/>
          <w:sz w:val="15"/>
          <w:szCs w:val="15"/>
          <w:color w:val="auto"/>
        </w:rPr>
        <w:t>. As of the Closing Date, the Borrowers have no Subsidiaries or Material Subsidiaries other than those specifically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disclosed as a Subsidiary or Material Subsidiary in Part (a) of </w:t>
      </w:r>
      <w:r>
        <w:rPr>
          <w:rFonts w:ascii="Arial" w:cs="Arial" w:eastAsia="Arial" w:hAnsi="Arial"/>
          <w:sz w:val="15"/>
          <w:szCs w:val="15"/>
          <w:u w:val="single" w:color="auto"/>
          <w:color w:val="auto"/>
        </w:rPr>
        <w:t>Schedule 5.13</w:t>
      </w:r>
      <w:r>
        <w:rPr>
          <w:rFonts w:ascii="Arial" w:cs="Arial" w:eastAsia="Arial" w:hAnsi="Arial"/>
          <w:sz w:val="15"/>
          <w:szCs w:val="15"/>
          <w:color w:val="auto"/>
        </w:rPr>
        <w:t xml:space="preserve">, and all of the outstanding Equity Interests in such Subsidiaries have been validly issued, are fully paid and non-assessable and are owned by a Loan Party in the amounts specified on Part (a) of </w:t>
      </w:r>
      <w:r>
        <w:rPr>
          <w:rFonts w:ascii="Arial" w:cs="Arial" w:eastAsia="Arial" w:hAnsi="Arial"/>
          <w:sz w:val="15"/>
          <w:szCs w:val="15"/>
          <w:u w:val="single" w:color="auto"/>
          <w:color w:val="auto"/>
        </w:rPr>
        <w:t>Schedule 5.13</w:t>
      </w:r>
      <w:r>
        <w:rPr>
          <w:rFonts w:ascii="Arial" w:cs="Arial" w:eastAsia="Arial" w:hAnsi="Arial"/>
          <w:sz w:val="15"/>
          <w:szCs w:val="15"/>
          <w:color w:val="auto"/>
        </w:rPr>
        <w:t xml:space="preserve"> free and clear of all Liens except those created under the Collateral Documents. The Borrowers have no equity investments in any other corporation or entity other than those specifically disclosed in Part (b) of </w:t>
      </w:r>
      <w:r>
        <w:rPr>
          <w:rFonts w:ascii="Arial" w:cs="Arial" w:eastAsia="Arial" w:hAnsi="Arial"/>
          <w:sz w:val="15"/>
          <w:szCs w:val="15"/>
          <w:u w:val="single" w:color="auto"/>
          <w:color w:val="auto"/>
        </w:rPr>
        <w:t>Schedule 5.13.</w:t>
      </w:r>
      <w:r>
        <w:rPr>
          <w:rFonts w:ascii="Arial" w:cs="Arial" w:eastAsia="Arial" w:hAnsi="Arial"/>
          <w:sz w:val="15"/>
          <w:szCs w:val="15"/>
          <w:color w:val="auto"/>
        </w:rPr>
        <w:t xml:space="preserve"> All of the outstanding Equity Interests in the Borrowers have been validly issued, are fully paid and non-assessable. Set forth on Part (c) of </w:t>
      </w:r>
      <w:r>
        <w:rPr>
          <w:rFonts w:ascii="Arial" w:cs="Arial" w:eastAsia="Arial" w:hAnsi="Arial"/>
          <w:sz w:val="15"/>
          <w:szCs w:val="15"/>
          <w:u w:val="single" w:color="auto"/>
          <w:color w:val="auto"/>
        </w:rPr>
        <w:t>Schedule</w:t>
      </w:r>
      <w:r>
        <w:rPr>
          <w:rFonts w:ascii="Arial" w:cs="Arial" w:eastAsia="Arial" w:hAnsi="Arial"/>
          <w:sz w:val="15"/>
          <w:szCs w:val="15"/>
          <w:color w:val="auto"/>
        </w:rPr>
        <w:t xml:space="preserve"> </w:t>
      </w:r>
      <w:r>
        <w:rPr>
          <w:rFonts w:ascii="Arial" w:cs="Arial" w:eastAsia="Arial" w:hAnsi="Arial"/>
          <w:sz w:val="15"/>
          <w:szCs w:val="15"/>
          <w:u w:val="single" w:color="auto"/>
          <w:color w:val="auto"/>
        </w:rPr>
        <w:t>5.13</w:t>
      </w:r>
      <w:r>
        <w:rPr>
          <w:rFonts w:ascii="Arial" w:cs="Arial" w:eastAsia="Arial" w:hAnsi="Arial"/>
          <w:sz w:val="15"/>
          <w:szCs w:val="15"/>
          <w:color w:val="auto"/>
        </w:rPr>
        <w:t xml:space="preserve"> is a complete and accurate list of all Loan Parties, showing as of the Closing Date (as to each Loan Party) the jurisdiction of its incorporation, the address of its principal place of business and its U.S. taxpayer identification number or, in the case of any non-U.S. Loan Party that does not have a U.S. taxpayer identification number, its unique identification number issued to it by the jurisdiction of its incorporation. The copy of the charter of each Loan Party and each amendment thereto provided pursuant to </w:t>
      </w:r>
      <w:r>
        <w:rPr>
          <w:rFonts w:ascii="Arial" w:cs="Arial" w:eastAsia="Arial" w:hAnsi="Arial"/>
          <w:sz w:val="15"/>
          <w:szCs w:val="15"/>
          <w:u w:val="single" w:color="auto"/>
          <w:color w:val="auto"/>
        </w:rPr>
        <w:t>Section 4.01</w:t>
      </w:r>
      <w:r>
        <w:rPr>
          <w:rFonts w:ascii="Arial" w:cs="Arial" w:eastAsia="Arial" w:hAnsi="Arial"/>
          <w:sz w:val="15"/>
          <w:szCs w:val="15"/>
          <w:color w:val="auto"/>
        </w:rPr>
        <w:t xml:space="preserve"> is a true and correct copy of each such document, each of which is valid and in full force and effect.</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5.14 Margin Regulations; Investment Company Act</w:t>
      </w:r>
      <w:r>
        <w:rPr>
          <w:rFonts w:ascii="Arial" w:cs="Arial" w:eastAsia="Arial" w:hAnsi="Arial"/>
          <w:sz w:val="17"/>
          <w:szCs w:val="17"/>
          <w:color w:val="auto"/>
        </w:rPr>
        <w:t>.</w:t>
      </w:r>
    </w:p>
    <w:p>
      <w:pPr>
        <w:spacing w:after="0" w:line="197" w:lineRule="exact"/>
        <w:rPr>
          <w:sz w:val="20"/>
          <w:szCs w:val="20"/>
          <w:color w:val="auto"/>
        </w:rPr>
      </w:pPr>
    </w:p>
    <w:p>
      <w:pPr>
        <w:jc w:val="both"/>
        <w:ind w:left="760" w:firstLine="709"/>
        <w:spacing w:after="0" w:line="281" w:lineRule="auto"/>
        <w:tabs>
          <w:tab w:leader="none" w:pos="1721" w:val="left"/>
        </w:tabs>
        <w:numPr>
          <w:ilvl w:val="0"/>
          <w:numId w:val="109"/>
        </w:numPr>
        <w:rPr>
          <w:rFonts w:ascii="Arial" w:cs="Arial" w:eastAsia="Arial" w:hAnsi="Arial"/>
          <w:sz w:val="16"/>
          <w:szCs w:val="16"/>
          <w:color w:val="auto"/>
        </w:rPr>
      </w:pPr>
      <w:r>
        <w:rPr>
          <w:rFonts w:ascii="Arial" w:cs="Arial" w:eastAsia="Arial" w:hAnsi="Arial"/>
          <w:sz w:val="16"/>
          <w:szCs w:val="16"/>
          <w:color w:val="auto"/>
        </w:rPr>
        <w:t>No Borrower is engaged or will engage, principally or as one of its important activities, in the business of purchasing or carrying margin stock (within the meaning of Regulation U issued by the FRB), or extending credit for the purpose of purchasing or carrying margin stock. No proceeds of any Loans will be used to purchase or carry margin stock (within the meaning of Regulation T, U or X issued by the FRB).</w:t>
      </w:r>
    </w:p>
    <w:p>
      <w:pPr>
        <w:spacing w:after="0" w:line="139" w:lineRule="exact"/>
        <w:rPr>
          <w:rFonts w:ascii="Arial" w:cs="Arial" w:eastAsia="Arial" w:hAnsi="Arial"/>
          <w:sz w:val="16"/>
          <w:szCs w:val="16"/>
          <w:color w:val="auto"/>
        </w:rPr>
      </w:pPr>
    </w:p>
    <w:p>
      <w:pPr>
        <w:ind w:left="760" w:right="20" w:firstLine="709"/>
        <w:spacing w:after="0" w:line="271" w:lineRule="auto"/>
        <w:tabs>
          <w:tab w:leader="none" w:pos="1729" w:val="left"/>
        </w:tabs>
        <w:numPr>
          <w:ilvl w:val="0"/>
          <w:numId w:val="109"/>
        </w:numPr>
        <w:rPr>
          <w:rFonts w:ascii="Arial" w:cs="Arial" w:eastAsia="Arial" w:hAnsi="Arial"/>
          <w:sz w:val="17"/>
          <w:szCs w:val="17"/>
          <w:color w:val="auto"/>
        </w:rPr>
      </w:pPr>
      <w:r>
        <w:rPr>
          <w:rFonts w:ascii="Arial" w:cs="Arial" w:eastAsia="Arial" w:hAnsi="Arial"/>
          <w:sz w:val="17"/>
          <w:szCs w:val="17"/>
          <w:color w:val="auto"/>
        </w:rPr>
        <w:t>None of the Borrowers, any Person Controlling the Borrowers, or any Subsidiary of the Borrowers is or is required to be registered as an “investment company” under the Investment Company Act of 1940.</w:t>
      </w:r>
    </w:p>
    <w:p>
      <w:pPr>
        <w:spacing w:after="0" w:line="139" w:lineRule="exact"/>
        <w:rPr>
          <w:sz w:val="20"/>
          <w:szCs w:val="20"/>
          <w:color w:val="auto"/>
        </w:rPr>
      </w:pPr>
    </w:p>
    <w:p>
      <w:pPr>
        <w:jc w:val="both"/>
        <w:ind w:firstLine="763"/>
        <w:spacing w:after="0" w:line="251" w:lineRule="auto"/>
        <w:rPr>
          <w:sz w:val="20"/>
          <w:szCs w:val="20"/>
          <w:color w:val="auto"/>
        </w:rPr>
      </w:pPr>
      <w:r>
        <w:rPr>
          <w:rFonts w:ascii="Arial" w:cs="Arial" w:eastAsia="Arial" w:hAnsi="Arial"/>
          <w:sz w:val="17"/>
          <w:szCs w:val="17"/>
          <w:b w:val="1"/>
          <w:bCs w:val="1"/>
          <w:color w:val="auto"/>
        </w:rPr>
        <w:t xml:space="preserve">5.15 Disclosure. </w:t>
      </w:r>
      <w:r>
        <w:rPr>
          <w:rFonts w:ascii="Arial" w:cs="Arial" w:eastAsia="Arial" w:hAnsi="Arial"/>
          <w:sz w:val="17"/>
          <w:szCs w:val="17"/>
          <w:color w:val="auto"/>
        </w:rPr>
        <w:t>The Borrowers have disclosed to the Administrative Agent and the Lenders all Material Contracts and corporate or other restrictions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which it or any of its Material Subsidiaries is subject, and all other matters known to it, that, individually or in the aggregate, could reasonably be expected to result in a Material Adverse Effect. No report, financial statement, certificate or other written information furnished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440"/>
          </w:cols>
          <w:pgMar w:left="240" w:top="312" w:right="219" w:bottom="1440" w:gutter="0" w:footer="0" w:header="0"/>
        </w:sectPr>
      </w:pPr>
    </w:p>
    <w:bookmarkStart w:id="89" w:name="page90"/>
    <w:bookmarkEnd w:id="89"/>
    <w:p>
      <w:pPr>
        <w:jc w:val="both"/>
        <w:ind w:right="20"/>
        <w:spacing w:after="0" w:line="251" w:lineRule="auto"/>
        <w:rPr>
          <w:sz w:val="20"/>
          <w:szCs w:val="20"/>
          <w:color w:val="auto"/>
        </w:rPr>
      </w:pPr>
      <w:r>
        <w:rPr>
          <w:rFonts w:ascii="Arial" w:cs="Arial" w:eastAsia="Arial" w:hAnsi="Arial"/>
          <w:sz w:val="17"/>
          <w:szCs w:val="17"/>
          <w:color w:val="auto"/>
        </w:rPr>
        <w:t xml:space="preserve">make the statements therein, in the light of the circumstances under which they were made, not misleading; </w:t>
      </w:r>
      <w:r>
        <w:rPr>
          <w:rFonts w:ascii="Arial" w:cs="Arial" w:eastAsia="Arial" w:hAnsi="Arial"/>
          <w:sz w:val="15"/>
          <w:szCs w:val="15"/>
          <w:u w:val="single" w:color="auto"/>
          <w:color w:val="auto"/>
        </w:rPr>
        <w:t>provided</w:t>
      </w:r>
      <w:r>
        <w:rPr>
          <w:rFonts w:ascii="Arial" w:cs="Arial" w:eastAsia="Arial" w:hAnsi="Arial"/>
          <w:sz w:val="17"/>
          <w:szCs w:val="17"/>
          <w:color w:val="auto"/>
        </w:rPr>
        <w:t xml:space="preserve"> </w:t>
      </w:r>
      <w:r>
        <w:rPr>
          <w:rFonts w:ascii="Arial" w:cs="Arial" w:eastAsia="Arial" w:hAnsi="Arial"/>
          <w:sz w:val="15"/>
          <w:szCs w:val="15"/>
          <w:color w:val="auto"/>
        </w:rPr>
        <w:t>that, with respect to projected financial information,</w:t>
      </w:r>
      <w:r>
        <w:rPr>
          <w:rFonts w:ascii="Arial" w:cs="Arial" w:eastAsia="Arial" w:hAnsi="Arial"/>
          <w:sz w:val="17"/>
          <w:szCs w:val="17"/>
          <w:color w:val="auto"/>
        </w:rPr>
        <w:t xml:space="preserve"> </w:t>
      </w:r>
      <w:r>
        <w:rPr>
          <w:rFonts w:ascii="Arial" w:cs="Arial" w:eastAsia="Arial" w:hAnsi="Arial"/>
          <w:sz w:val="15"/>
          <w:szCs w:val="15"/>
          <w:color w:val="auto"/>
        </w:rPr>
        <w:t>the Borrowers represent only that such information was prepared in good faith based upon assumptions believed to be reasonable at the time.</w:t>
      </w:r>
    </w:p>
    <w:p>
      <w:pPr>
        <w:spacing w:after="0" w:line="160" w:lineRule="exact"/>
        <w:rPr>
          <w:sz w:val="20"/>
          <w:szCs w:val="20"/>
          <w:color w:val="auto"/>
        </w:rPr>
      </w:pPr>
    </w:p>
    <w:p>
      <w:pPr>
        <w:jc w:val="both"/>
        <w:ind w:right="20" w:firstLine="763"/>
        <w:spacing w:after="0" w:line="255" w:lineRule="auto"/>
        <w:rPr>
          <w:sz w:val="20"/>
          <w:szCs w:val="20"/>
          <w:color w:val="auto"/>
        </w:rPr>
      </w:pPr>
      <w:r>
        <w:rPr>
          <w:rFonts w:ascii="Arial" w:cs="Arial" w:eastAsia="Arial" w:hAnsi="Arial"/>
          <w:sz w:val="17"/>
          <w:szCs w:val="17"/>
          <w:b w:val="1"/>
          <w:bCs w:val="1"/>
          <w:color w:val="auto"/>
        </w:rPr>
        <w:t>5.16 Compliance with Laws</w:t>
      </w:r>
      <w:r>
        <w:rPr>
          <w:rFonts w:ascii="Arial" w:cs="Arial" w:eastAsia="Arial" w:hAnsi="Arial"/>
          <w:sz w:val="17"/>
          <w:szCs w:val="17"/>
          <w:color w:val="auto"/>
        </w:rPr>
        <w:t>. Each Loan Party and each Material Subsidiary thereof is in compliance in all material respects with the requirements of all</w:t>
      </w:r>
      <w:r>
        <w:rPr>
          <w:rFonts w:ascii="Arial" w:cs="Arial" w:eastAsia="Arial" w:hAnsi="Arial"/>
          <w:sz w:val="17"/>
          <w:szCs w:val="17"/>
          <w:b w:val="1"/>
          <w:bCs w:val="1"/>
          <w:color w:val="auto"/>
        </w:rPr>
        <w:t xml:space="preserve"> </w:t>
      </w:r>
      <w:r>
        <w:rPr>
          <w:rFonts w:ascii="Arial" w:cs="Arial" w:eastAsia="Arial" w:hAnsi="Arial"/>
          <w:sz w:val="17"/>
          <w:szCs w:val="17"/>
          <w:color w:val="auto"/>
        </w:rPr>
        <w:t>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54" w:lineRule="exact"/>
        <w:rPr>
          <w:sz w:val="20"/>
          <w:szCs w:val="20"/>
          <w:color w:val="auto"/>
        </w:rPr>
      </w:pPr>
    </w:p>
    <w:p>
      <w:pPr>
        <w:jc w:val="both"/>
        <w:ind w:firstLine="763"/>
        <w:spacing w:after="0" w:line="291" w:lineRule="auto"/>
        <w:rPr>
          <w:sz w:val="20"/>
          <w:szCs w:val="20"/>
          <w:color w:val="auto"/>
        </w:rPr>
      </w:pPr>
      <w:r>
        <w:rPr>
          <w:rFonts w:ascii="Arial" w:cs="Arial" w:eastAsia="Arial" w:hAnsi="Arial"/>
          <w:sz w:val="15"/>
          <w:szCs w:val="15"/>
          <w:b w:val="1"/>
          <w:bCs w:val="1"/>
          <w:color w:val="auto"/>
        </w:rPr>
        <w:t>5.17 Intellectual Property; Licenses, Etc</w:t>
      </w:r>
      <w:r>
        <w:rPr>
          <w:rFonts w:ascii="Arial" w:cs="Arial" w:eastAsia="Arial" w:hAnsi="Arial"/>
          <w:sz w:val="15"/>
          <w:szCs w:val="15"/>
          <w:color w:val="auto"/>
        </w:rPr>
        <w:t>. Each Loan Party and their respective Material Subsidiaries own, or possess the right to use, all of the</w:t>
      </w:r>
      <w:r>
        <w:rPr>
          <w:rFonts w:ascii="Arial" w:cs="Arial" w:eastAsia="Arial" w:hAnsi="Arial"/>
          <w:sz w:val="15"/>
          <w:szCs w:val="15"/>
          <w:b w:val="1"/>
          <w:bCs w:val="1"/>
          <w:color w:val="auto"/>
        </w:rPr>
        <w:t xml:space="preserve"> </w:t>
      </w:r>
      <w:r>
        <w:rPr>
          <w:rFonts w:ascii="Arial" w:cs="Arial" w:eastAsia="Arial" w:hAnsi="Arial"/>
          <w:sz w:val="15"/>
          <w:szCs w:val="15"/>
          <w:color w:val="auto"/>
        </w:rPr>
        <w:t>trademarks, service marks, trade names, copyrights, patents, patent rights, franchises, licenses and other intellectual property rights (collectively, “</w:t>
      </w:r>
      <w:r>
        <w:rPr>
          <w:rFonts w:ascii="Arial" w:cs="Arial" w:eastAsia="Arial" w:hAnsi="Arial"/>
          <w:sz w:val="15"/>
          <w:szCs w:val="15"/>
          <w:u w:val="single" w:color="auto"/>
          <w:color w:val="auto"/>
        </w:rPr>
        <w:t>IP Rights</w:t>
      </w:r>
      <w:r>
        <w:rPr>
          <w:rFonts w:ascii="Arial" w:cs="Arial" w:eastAsia="Arial" w:hAnsi="Arial"/>
          <w:sz w:val="15"/>
          <w:szCs w:val="15"/>
          <w:color w:val="auto"/>
        </w:rPr>
        <w:t>”) that are reasonably necessary for the operation of their respective businesses, without conflict with the rights of any other Person. To the best knowledge of each Borrower, no slogan or other advertising device, product, process, method, substance, part or other material now employed, or now contemplated to be employed, by any Loan Party or any of its Material Subsidiaries infringes upon any rights held by any other Person. No claim or litigation regarding any of the foregoing is pending or, to the best knowledge of each Borrower, threatened, which, either individually or in the aggregate, could reasonably be expected to have a Material Adverse Effect.</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5.18 Solvency</w:t>
      </w:r>
      <w:r>
        <w:rPr>
          <w:rFonts w:ascii="Arial" w:cs="Arial" w:eastAsia="Arial" w:hAnsi="Arial"/>
          <w:sz w:val="17"/>
          <w:szCs w:val="17"/>
          <w:color w:val="auto"/>
        </w:rPr>
        <w:t>. Each Loan Party is, individually and together with its Material Subsidiaries on a consolidated basis, Solvent.</w:t>
      </w:r>
    </w:p>
    <w:p>
      <w:pPr>
        <w:spacing w:after="0" w:line="191" w:lineRule="exact"/>
        <w:rPr>
          <w:sz w:val="20"/>
          <w:szCs w:val="20"/>
          <w:color w:val="auto"/>
        </w:rPr>
      </w:pPr>
    </w:p>
    <w:p>
      <w:pPr>
        <w:jc w:val="both"/>
        <w:ind w:firstLine="763"/>
        <w:spacing w:after="0" w:line="261" w:lineRule="auto"/>
        <w:rPr>
          <w:sz w:val="20"/>
          <w:szCs w:val="20"/>
          <w:color w:val="auto"/>
        </w:rPr>
      </w:pPr>
      <w:r>
        <w:rPr>
          <w:rFonts w:ascii="Arial" w:cs="Arial" w:eastAsia="Arial" w:hAnsi="Arial"/>
          <w:sz w:val="17"/>
          <w:szCs w:val="17"/>
          <w:b w:val="1"/>
          <w:bCs w:val="1"/>
          <w:color w:val="auto"/>
        </w:rPr>
        <w:t>5.19 Casualty, Etc</w:t>
      </w:r>
      <w:r>
        <w:rPr>
          <w:rFonts w:ascii="Arial" w:cs="Arial" w:eastAsia="Arial" w:hAnsi="Arial"/>
          <w:sz w:val="17"/>
          <w:szCs w:val="17"/>
          <w:color w:val="auto"/>
        </w:rPr>
        <w:t>. Neither the businesses nor the properties of any Loan Party or any of its Material Subsidiaries are affected by any fire, explosion,</w:t>
      </w:r>
      <w:r>
        <w:rPr>
          <w:rFonts w:ascii="Arial" w:cs="Arial" w:eastAsia="Arial" w:hAnsi="Arial"/>
          <w:sz w:val="17"/>
          <w:szCs w:val="17"/>
          <w:b w:val="1"/>
          <w:bCs w:val="1"/>
          <w:color w:val="auto"/>
        </w:rPr>
        <w:t xml:space="preserve"> </w:t>
      </w:r>
      <w:r>
        <w:rPr>
          <w:rFonts w:ascii="Arial" w:cs="Arial" w:eastAsia="Arial" w:hAnsi="Arial"/>
          <w:sz w:val="17"/>
          <w:szCs w:val="17"/>
          <w:color w:val="auto"/>
        </w:rPr>
        <w:t>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w:t>
      </w:r>
    </w:p>
    <w:p>
      <w:pPr>
        <w:spacing w:after="0" w:line="148" w:lineRule="exact"/>
        <w:rPr>
          <w:sz w:val="20"/>
          <w:szCs w:val="20"/>
          <w:color w:val="auto"/>
        </w:rPr>
      </w:pPr>
    </w:p>
    <w:p>
      <w:pPr>
        <w:jc w:val="both"/>
        <w:ind w:firstLine="763"/>
        <w:spacing w:after="0" w:line="255" w:lineRule="auto"/>
        <w:rPr>
          <w:sz w:val="20"/>
          <w:szCs w:val="20"/>
          <w:color w:val="auto"/>
        </w:rPr>
      </w:pPr>
      <w:r>
        <w:rPr>
          <w:rFonts w:ascii="Arial" w:cs="Arial" w:eastAsia="Arial" w:hAnsi="Arial"/>
          <w:sz w:val="17"/>
          <w:szCs w:val="17"/>
          <w:b w:val="1"/>
          <w:bCs w:val="1"/>
          <w:color w:val="auto"/>
        </w:rPr>
        <w:t>5.20 Labor Matters</w:t>
      </w:r>
      <w:r>
        <w:rPr>
          <w:rFonts w:ascii="Arial" w:cs="Arial" w:eastAsia="Arial" w:hAnsi="Arial"/>
          <w:sz w:val="17"/>
          <w:szCs w:val="17"/>
          <w:color w:val="auto"/>
        </w:rPr>
        <w:t>. There are no collective bargaining agreements or Multiemployer Plans covering the employees of the Borrowers or any of their</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 Subsidiaries as of the Closing Date; however, employees in Germany and Hungary are represented by separate work councils having co-determination rights with respect to certain conditions of employment. Neither the Borrowers nor any Material Subsidiary has suffered any strikes, walkouts, work stoppages or other material labor difficulty within the last five years.</w:t>
      </w:r>
    </w:p>
    <w:p>
      <w:pPr>
        <w:spacing w:after="0" w:line="154" w:lineRule="exact"/>
        <w:rPr>
          <w:sz w:val="20"/>
          <w:szCs w:val="20"/>
          <w:color w:val="auto"/>
        </w:rPr>
      </w:pPr>
    </w:p>
    <w:p>
      <w:pPr>
        <w:jc w:val="both"/>
        <w:ind w:right="20" w:firstLine="763"/>
        <w:spacing w:after="0" w:line="347" w:lineRule="auto"/>
        <w:rPr>
          <w:sz w:val="20"/>
          <w:szCs w:val="20"/>
          <w:color w:val="auto"/>
        </w:rPr>
      </w:pPr>
      <w:r>
        <w:rPr>
          <w:rFonts w:ascii="Arial" w:cs="Arial" w:eastAsia="Arial" w:hAnsi="Arial"/>
          <w:sz w:val="15"/>
          <w:szCs w:val="15"/>
          <w:b w:val="1"/>
          <w:bCs w:val="1"/>
          <w:color w:val="auto"/>
        </w:rPr>
        <w:t>5.21 Representations as to Foreign Obligors</w:t>
      </w:r>
      <w:r>
        <w:rPr>
          <w:rFonts w:ascii="Arial" w:cs="Arial" w:eastAsia="Arial" w:hAnsi="Arial"/>
          <w:sz w:val="15"/>
          <w:szCs w:val="15"/>
          <w:color w:val="auto"/>
        </w:rPr>
        <w:t>. Each Foreign Obligor party hereto represents and warrants to the Administrative Agent and the Lenders</w:t>
      </w:r>
      <w:r>
        <w:rPr>
          <w:rFonts w:ascii="Arial" w:cs="Arial" w:eastAsia="Arial" w:hAnsi="Arial"/>
          <w:sz w:val="15"/>
          <w:szCs w:val="15"/>
          <w:b w:val="1"/>
          <w:bCs w:val="1"/>
          <w:color w:val="auto"/>
        </w:rPr>
        <w:t xml:space="preserve"> </w:t>
      </w:r>
      <w:r>
        <w:rPr>
          <w:rFonts w:ascii="Arial" w:cs="Arial" w:eastAsia="Arial" w:hAnsi="Arial"/>
          <w:sz w:val="15"/>
          <w:szCs w:val="15"/>
          <w:color w:val="auto"/>
        </w:rPr>
        <w:t>(and each Foreign Obligor not a party hereto represents and warrants to the Administrative Agent and the Lenders pursuant to the applicable Guaranty) that:</w:t>
      </w:r>
    </w:p>
    <w:p>
      <w:pPr>
        <w:spacing w:after="0" w:line="93" w:lineRule="exact"/>
        <w:rPr>
          <w:sz w:val="20"/>
          <w:szCs w:val="20"/>
          <w:color w:val="auto"/>
        </w:rPr>
      </w:pPr>
    </w:p>
    <w:p>
      <w:pPr>
        <w:jc w:val="both"/>
        <w:ind w:left="760" w:firstLine="709"/>
        <w:spacing w:after="0" w:line="268" w:lineRule="auto"/>
        <w:tabs>
          <w:tab w:leader="none" w:pos="173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Such Foreign Obligor is subject to civil and commercial Laws with respect to its obligations under this Agreement and the other Loan Documents to which it is a party (collectively as to such Foreign Obligor, the “</w:t>
      </w:r>
      <w:r>
        <w:rPr>
          <w:rFonts w:ascii="Arial" w:cs="Arial" w:eastAsia="Arial" w:hAnsi="Arial"/>
          <w:sz w:val="16"/>
          <w:szCs w:val="16"/>
          <w:u w:val="single" w:color="auto"/>
          <w:color w:val="auto"/>
        </w:rPr>
        <w:t>Applicable Foreign Obligor Documents</w:t>
      </w:r>
      <w:r>
        <w:rPr>
          <w:rFonts w:ascii="Arial" w:cs="Arial" w:eastAsia="Arial" w:hAnsi="Arial"/>
          <w:sz w:val="16"/>
          <w:szCs w:val="16"/>
          <w:color w:val="auto"/>
        </w:rPr>
        <w:t>”),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150" w:lineRule="exact"/>
        <w:rPr>
          <w:rFonts w:ascii="Arial" w:cs="Arial" w:eastAsia="Arial" w:hAnsi="Arial"/>
          <w:sz w:val="16"/>
          <w:szCs w:val="16"/>
          <w:color w:val="auto"/>
        </w:rPr>
      </w:pPr>
    </w:p>
    <w:p>
      <w:pPr>
        <w:jc w:val="both"/>
        <w:ind w:left="760" w:firstLine="709"/>
        <w:spacing w:after="0" w:line="249" w:lineRule="auto"/>
        <w:tabs>
          <w:tab w:leader="none" w:pos="173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40"/>
          </w:cols>
          <w:pgMar w:left="240" w:top="312" w:right="219" w:bottom="1440" w:gutter="0" w:footer="0" w:header="0"/>
        </w:sectPr>
      </w:pPr>
    </w:p>
    <w:bookmarkStart w:id="90" w:name="page91"/>
    <w:bookmarkEnd w:id="90"/>
    <w:p>
      <w:pPr>
        <w:jc w:val="both"/>
        <w:ind w:left="760" w:right="20"/>
        <w:spacing w:after="0" w:line="274" w:lineRule="auto"/>
        <w:rPr>
          <w:sz w:val="20"/>
          <w:szCs w:val="20"/>
          <w:color w:val="auto"/>
        </w:rPr>
      </w:pPr>
      <w:r>
        <w:rPr>
          <w:rFonts w:ascii="Arial" w:cs="Arial" w:eastAsia="Arial" w:hAnsi="Arial"/>
          <w:sz w:val="16"/>
          <w:szCs w:val="16"/>
          <w:color w:val="auto"/>
        </w:rPr>
        <w:t>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(ii) any charge or tax as has been timely paid and (iii) the notarization of the German Share Pledge Agreement which shall be required at the time the German Share Pledge Agreement is executed.</w:t>
      </w:r>
    </w:p>
    <w:p>
      <w:pPr>
        <w:spacing w:after="0" w:line="144" w:lineRule="exact"/>
        <w:rPr>
          <w:sz w:val="20"/>
          <w:szCs w:val="20"/>
          <w:color w:val="auto"/>
        </w:rPr>
      </w:pPr>
    </w:p>
    <w:p>
      <w:pPr>
        <w:jc w:val="both"/>
        <w:ind w:left="760" w:firstLine="709"/>
        <w:spacing w:after="0" w:line="253" w:lineRule="auto"/>
        <w:tabs>
          <w:tab w:leader="none" w:pos="17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There is no tax, levy, impost, duty, fee, assessment or other governmental charge, or any deduction or withholding, imposed by any Governmental Authority in or of the jurisdiction in which such Foreign Obligor is organized and existing either (i) on or by virtue of the execution or delivery of the Applicable Foreign Obligor Documents or (ii) on any payment to be made by such Foreign Obligor pursuant to the Applicable Foreign Obligor Documents, except as has been disclosed to the Administrative Agent.</w:t>
      </w:r>
    </w:p>
    <w:p>
      <w:pPr>
        <w:spacing w:after="0" w:line="160" w:lineRule="exact"/>
        <w:rPr>
          <w:rFonts w:ascii="Arial" w:cs="Arial" w:eastAsia="Arial" w:hAnsi="Arial"/>
          <w:sz w:val="17"/>
          <w:szCs w:val="17"/>
          <w:color w:val="auto"/>
        </w:rPr>
      </w:pPr>
    </w:p>
    <w:p>
      <w:pPr>
        <w:jc w:val="both"/>
        <w:ind w:left="760" w:right="20" w:firstLine="709"/>
        <w:spacing w:after="0" w:line="253" w:lineRule="auto"/>
        <w:tabs>
          <w:tab w:leader="none" w:pos="1747"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notification or authorization described in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shall be made or obtained as soon as is reasonably practicable).</w:t>
      </w:r>
    </w:p>
    <w:p>
      <w:pPr>
        <w:spacing w:after="0" w:line="160" w:lineRule="exact"/>
        <w:rPr>
          <w:rFonts w:ascii="Arial" w:cs="Arial" w:eastAsia="Arial" w:hAnsi="Arial"/>
          <w:sz w:val="17"/>
          <w:szCs w:val="17"/>
          <w:color w:val="auto"/>
        </w:rPr>
      </w:pPr>
    </w:p>
    <w:p>
      <w:pPr>
        <w:jc w:val="both"/>
        <w:ind w:left="760" w:right="20" w:firstLine="709"/>
        <w:spacing w:after="0" w:line="251" w:lineRule="auto"/>
        <w:tabs>
          <w:tab w:leader="none" w:pos="1724"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choice of governing law of the Loan Documents will be recognized and enforced in each jurisdiction in which a Foreign Obligor is organized and existing and each jurisdiction in which Collateral in respect of a Foreign Obligor is located, subject to any public policy considerations in such jurisdiction. Any judgment obtained in relation to a Loan Document in the jurisdiction of the governing law of such Loan Document will be recognized and enforced in each jurisdiction a Foreign Obligor is organized and existing and each jurisdiction in which Collateral in respect of a Foreign Obligor is located, subject to any public policy considerations in such jurisdiction.</w:t>
      </w:r>
    </w:p>
    <w:p>
      <w:pPr>
        <w:spacing w:after="0" w:line="161" w:lineRule="exact"/>
        <w:rPr>
          <w:rFonts w:ascii="Arial" w:cs="Arial" w:eastAsia="Arial" w:hAnsi="Arial"/>
          <w:sz w:val="17"/>
          <w:szCs w:val="17"/>
          <w:color w:val="auto"/>
        </w:rPr>
      </w:pPr>
    </w:p>
    <w:p>
      <w:pPr>
        <w:jc w:val="both"/>
        <w:ind w:left="760" w:firstLine="709"/>
        <w:spacing w:after="0" w:line="251" w:lineRule="auto"/>
        <w:tabs>
          <w:tab w:leader="none" w:pos="169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 the case of each Foreign Obligor (other than the Canadian Borrowers), for the purposes of The Council of the European Union Regulation No. 1346/2000 on Insolvency Proceedings (the “</w:t>
      </w:r>
      <w:r>
        <w:rPr>
          <w:rFonts w:ascii="Arial" w:cs="Arial" w:eastAsia="Arial" w:hAnsi="Arial"/>
          <w:sz w:val="17"/>
          <w:szCs w:val="17"/>
          <w:u w:val="single" w:color="auto"/>
          <w:color w:val="auto"/>
        </w:rPr>
        <w:t>Regulation</w:t>
      </w:r>
      <w:r>
        <w:rPr>
          <w:rFonts w:ascii="Arial" w:cs="Arial" w:eastAsia="Arial" w:hAnsi="Arial"/>
          <w:sz w:val="17"/>
          <w:szCs w:val="17"/>
          <w:color w:val="auto"/>
        </w:rPr>
        <w:t>”), its centre of main interest (as that term is used in Article 3(1) of the Regulation) is situated in such Foreign Obligor’s jurisdiction of organization and it has no “establishment” (as that term is used in Article 2(h) of the Regulations) in any other jurisdiction. For the avoidance of doubt, a customs warehouse located in another jurisdiction does not constitute an “establishment” (as that term is used in Article 2(h) of the Regulations).</w:t>
      </w:r>
    </w:p>
    <w:p>
      <w:pPr>
        <w:spacing w:after="0" w:line="156" w:lineRule="exact"/>
        <w:rPr>
          <w:sz w:val="20"/>
          <w:szCs w:val="20"/>
          <w:color w:val="auto"/>
        </w:rPr>
      </w:pPr>
    </w:p>
    <w:p>
      <w:pPr>
        <w:jc w:val="both"/>
        <w:ind w:firstLine="763"/>
        <w:spacing w:after="0" w:line="255" w:lineRule="auto"/>
        <w:rPr>
          <w:sz w:val="20"/>
          <w:szCs w:val="20"/>
          <w:color w:val="auto"/>
        </w:rPr>
      </w:pPr>
      <w:r>
        <w:rPr>
          <w:rFonts w:ascii="Arial" w:cs="Arial" w:eastAsia="Arial" w:hAnsi="Arial"/>
          <w:sz w:val="17"/>
          <w:szCs w:val="17"/>
          <w:b w:val="1"/>
          <w:bCs w:val="1"/>
          <w:color w:val="auto"/>
        </w:rPr>
        <w:t>5.22 Collateral Documents</w:t>
      </w:r>
      <w:r>
        <w:rPr>
          <w:rFonts w:ascii="Arial" w:cs="Arial" w:eastAsia="Arial" w:hAnsi="Arial"/>
          <w:sz w:val="17"/>
          <w:szCs w:val="17"/>
          <w:color w:val="auto"/>
        </w:rPr>
        <w:t>. The provisions of the Collateral Documents are effective to create in favor of the Administrative Agent for the benefit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Secured Parties a legal, valid and enforceable first priority Lien (subject to Liens permitted by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on all right, title and interest of the respective Loan Parties in the Collateral described therein. Except for filings contemplated hereby and by the Collateral Documents, no filing or other action will be necessary to perfect or protect such Liens.</w:t>
      </w:r>
    </w:p>
    <w:p>
      <w:pPr>
        <w:spacing w:after="0" w:line="154" w:lineRule="exact"/>
        <w:rPr>
          <w:sz w:val="20"/>
          <w:szCs w:val="20"/>
          <w:color w:val="auto"/>
        </w:rPr>
      </w:pPr>
    </w:p>
    <w:p>
      <w:pPr>
        <w:jc w:val="both"/>
        <w:ind w:right="20" w:firstLine="763"/>
        <w:spacing w:after="0" w:line="285" w:lineRule="auto"/>
        <w:rPr>
          <w:sz w:val="20"/>
          <w:szCs w:val="20"/>
          <w:color w:val="auto"/>
        </w:rPr>
      </w:pPr>
      <w:r>
        <w:rPr>
          <w:rFonts w:ascii="Arial" w:cs="Arial" w:eastAsia="Arial" w:hAnsi="Arial"/>
          <w:sz w:val="16"/>
          <w:szCs w:val="16"/>
          <w:b w:val="1"/>
          <w:bCs w:val="1"/>
          <w:color w:val="auto"/>
        </w:rPr>
        <w:t>5.23 German Money Laundering Act (</w:t>
      </w:r>
      <w:r>
        <w:rPr>
          <w:rFonts w:ascii="Arial" w:cs="Arial" w:eastAsia="Arial" w:hAnsi="Arial"/>
          <w:sz w:val="16"/>
          <w:szCs w:val="16"/>
          <w:b w:val="1"/>
          <w:bCs w:val="1"/>
          <w:i w:val="1"/>
          <w:iCs w:val="1"/>
          <w:color w:val="auto"/>
        </w:rPr>
        <w:t>Geldwäschegesetz</w:t>
      </w:r>
      <w:r>
        <w:rPr>
          <w:rFonts w:ascii="Arial" w:cs="Arial" w:eastAsia="Arial" w:hAnsi="Arial"/>
          <w:sz w:val="16"/>
          <w:szCs w:val="16"/>
          <w:b w:val="1"/>
          <w:bCs w:val="1"/>
          <w:color w:val="auto"/>
        </w:rPr>
        <w:t>)</w:t>
      </w:r>
      <w:r>
        <w:rPr>
          <w:rFonts w:ascii="Arial" w:cs="Arial" w:eastAsia="Arial" w:hAnsi="Arial"/>
          <w:sz w:val="16"/>
          <w:szCs w:val="16"/>
          <w:color w:val="auto"/>
        </w:rPr>
        <w:t>. All Credit Extensions to be made by the Lenders under this Agreement will solely be drawn</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account of each Borrower. None of the Borrowers act in connection with this Agreement for the account, or upon the instigation (</w:t>
      </w:r>
      <w:r>
        <w:rPr>
          <w:rFonts w:ascii="Arial" w:cs="Arial" w:eastAsia="Arial" w:hAnsi="Arial"/>
          <w:sz w:val="16"/>
          <w:szCs w:val="16"/>
          <w:i w:val="1"/>
          <w:iCs w:val="1"/>
          <w:color w:val="auto"/>
        </w:rPr>
        <w:t>Veranlassung</w:t>
      </w:r>
      <w:r>
        <w:rPr>
          <w:rFonts w:ascii="Arial" w:cs="Arial" w:eastAsia="Arial" w:hAnsi="Arial"/>
          <w:sz w:val="16"/>
          <w:szCs w:val="16"/>
          <w:color w:val="auto"/>
        </w:rPr>
        <w:t>) of an economic beneficiary (</w:t>
      </w:r>
      <w:r>
        <w:rPr>
          <w:rFonts w:ascii="Arial" w:cs="Arial" w:eastAsia="Arial" w:hAnsi="Arial"/>
          <w:sz w:val="16"/>
          <w:szCs w:val="16"/>
          <w:i w:val="1"/>
          <w:iCs w:val="1"/>
          <w:color w:val="auto"/>
        </w:rPr>
        <w:t>wirtschaftlich Berechtigter</w:t>
      </w:r>
      <w:r>
        <w:rPr>
          <w:rFonts w:ascii="Arial" w:cs="Arial" w:eastAsia="Arial" w:hAnsi="Arial"/>
          <w:sz w:val="16"/>
          <w:szCs w:val="16"/>
          <w:color w:val="auto"/>
        </w:rPr>
        <w:t>) within the meaning of § 1 Section 6 of the German Money Laundering Act (</w:t>
      </w:r>
      <w:r>
        <w:rPr>
          <w:rFonts w:ascii="Arial" w:cs="Arial" w:eastAsia="Arial" w:hAnsi="Arial"/>
          <w:sz w:val="16"/>
          <w:szCs w:val="16"/>
          <w:i w:val="1"/>
          <w:iCs w:val="1"/>
          <w:color w:val="auto"/>
        </w:rPr>
        <w:t>Geldwäschegesetz</w:t>
      </w:r>
      <w:r>
        <w:rPr>
          <w:rFonts w:ascii="Arial" w:cs="Arial" w:eastAsia="Arial" w:hAnsi="Arial"/>
          <w:sz w:val="16"/>
          <w:szCs w:val="16"/>
          <w:color w:val="auto"/>
        </w:rPr>
        <w:t>).</w:t>
      </w:r>
    </w:p>
    <w:p>
      <w:pPr>
        <w:spacing w:after="0" w:line="130" w:lineRule="exact"/>
        <w:rPr>
          <w:sz w:val="20"/>
          <w:szCs w:val="20"/>
          <w:color w:val="auto"/>
        </w:rPr>
      </w:pPr>
    </w:p>
    <w:p>
      <w:pPr>
        <w:jc w:val="both"/>
        <w:ind w:right="20" w:firstLine="763"/>
        <w:spacing w:after="0" w:line="278" w:lineRule="auto"/>
        <w:rPr>
          <w:sz w:val="20"/>
          <w:szCs w:val="20"/>
          <w:color w:val="auto"/>
        </w:rPr>
      </w:pPr>
      <w:r>
        <w:rPr>
          <w:rFonts w:ascii="Arial" w:cs="Arial" w:eastAsia="Arial" w:hAnsi="Arial"/>
          <w:sz w:val="17"/>
          <w:szCs w:val="17"/>
          <w:b w:val="1"/>
          <w:bCs w:val="1"/>
          <w:color w:val="auto"/>
        </w:rPr>
        <w:t>5.24 Pari Passu Ranking</w:t>
      </w:r>
      <w:r>
        <w:rPr>
          <w:rFonts w:ascii="Arial" w:cs="Arial" w:eastAsia="Arial" w:hAnsi="Arial"/>
          <w:sz w:val="17"/>
          <w:szCs w:val="17"/>
          <w:color w:val="auto"/>
        </w:rPr>
        <w:t>. The payment obligations of each Foreign Obligor under the Loan Documents rank at least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pari passu</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claims of all its</w:t>
      </w:r>
      <w:r>
        <w:rPr>
          <w:rFonts w:ascii="Arial" w:cs="Arial" w:eastAsia="Arial" w:hAnsi="Arial"/>
          <w:sz w:val="17"/>
          <w:szCs w:val="17"/>
          <w:b w:val="1"/>
          <w:bCs w:val="1"/>
          <w:color w:val="auto"/>
        </w:rPr>
        <w:t xml:space="preserve"> </w:t>
      </w:r>
      <w:r>
        <w:rPr>
          <w:rFonts w:ascii="Arial" w:cs="Arial" w:eastAsia="Arial" w:hAnsi="Arial"/>
          <w:sz w:val="17"/>
          <w:szCs w:val="17"/>
          <w:color w:val="auto"/>
        </w:rPr>
        <w:t>other unsecured and unsubordinated creditors, except for obligations mandatorily preferred by applicable Law generally.</w:t>
      </w:r>
    </w:p>
    <w:p>
      <w:pPr>
        <w:spacing w:after="0" w:line="133" w:lineRule="exact"/>
        <w:rPr>
          <w:sz w:val="20"/>
          <w:szCs w:val="20"/>
          <w:color w:val="auto"/>
        </w:rPr>
      </w:pPr>
    </w:p>
    <w:p>
      <w:pPr>
        <w:jc w:val="both"/>
        <w:ind w:right="20" w:firstLine="763"/>
        <w:spacing w:after="0" w:line="278" w:lineRule="auto"/>
        <w:rPr>
          <w:sz w:val="20"/>
          <w:szCs w:val="20"/>
          <w:color w:val="auto"/>
        </w:rPr>
      </w:pPr>
      <w:r>
        <w:rPr>
          <w:rFonts w:ascii="Arial" w:cs="Arial" w:eastAsia="Arial" w:hAnsi="Arial"/>
          <w:sz w:val="17"/>
          <w:szCs w:val="17"/>
          <w:b w:val="1"/>
          <w:bCs w:val="1"/>
          <w:color w:val="auto"/>
        </w:rPr>
        <w:t>5.25 Deposit Accounts</w:t>
      </w:r>
      <w:r>
        <w:rPr>
          <w:rFonts w:ascii="Arial" w:cs="Arial" w:eastAsia="Arial" w:hAnsi="Arial"/>
          <w:sz w:val="17"/>
          <w:szCs w:val="17"/>
          <w:color w:val="auto"/>
        </w:rPr>
        <w:t>. Other than the deposit accounts set forth on Schedule II to the Security Agreement, no Domestic Loan Party maintains any</w:t>
      </w:r>
      <w:r>
        <w:rPr>
          <w:rFonts w:ascii="Arial" w:cs="Arial" w:eastAsia="Arial" w:hAnsi="Arial"/>
          <w:sz w:val="17"/>
          <w:szCs w:val="17"/>
          <w:b w:val="1"/>
          <w:bCs w:val="1"/>
          <w:color w:val="auto"/>
        </w:rPr>
        <w:t xml:space="preserve"> </w:t>
      </w:r>
      <w:r>
        <w:rPr>
          <w:rFonts w:ascii="Arial" w:cs="Arial" w:eastAsia="Arial" w:hAnsi="Arial"/>
          <w:sz w:val="17"/>
          <w:szCs w:val="17"/>
          <w:color w:val="auto"/>
        </w:rPr>
        <w:t>deposit accounts (as defined in the UCC), securities accounts (as defined in the UCC) or other similar accounts.</w:t>
      </w:r>
    </w:p>
    <w:p>
      <w:pPr>
        <w:spacing w:after="0" w:line="133" w:lineRule="exact"/>
        <w:rPr>
          <w:sz w:val="20"/>
          <w:szCs w:val="20"/>
          <w:color w:val="auto"/>
        </w:rPr>
      </w:pPr>
    </w:p>
    <w:p>
      <w:pPr>
        <w:jc w:val="both"/>
        <w:ind w:firstLine="763"/>
        <w:spacing w:after="0" w:line="261" w:lineRule="auto"/>
        <w:rPr>
          <w:sz w:val="20"/>
          <w:szCs w:val="20"/>
          <w:color w:val="auto"/>
        </w:rPr>
      </w:pPr>
      <w:r>
        <w:rPr>
          <w:rFonts w:ascii="Arial" w:cs="Arial" w:eastAsia="Arial" w:hAnsi="Arial"/>
          <w:sz w:val="17"/>
          <w:szCs w:val="17"/>
          <w:b w:val="1"/>
          <w:bCs w:val="1"/>
          <w:color w:val="auto"/>
        </w:rPr>
        <w:t xml:space="preserve">5.26 Government Sanctions. </w:t>
      </w:r>
      <w:r>
        <w:rPr>
          <w:rFonts w:ascii="Arial" w:cs="Arial" w:eastAsia="Arial" w:hAnsi="Arial"/>
          <w:sz w:val="17"/>
          <w:szCs w:val="17"/>
          <w:color w:val="auto"/>
        </w:rPr>
        <w:t>The Company represents that neither the Company nor any of its Subsidiaries (collectively, the “</w:t>
      </w:r>
      <w:r>
        <w:rPr>
          <w:rFonts w:ascii="Arial" w:cs="Arial" w:eastAsia="Arial" w:hAnsi="Arial"/>
          <w:sz w:val="17"/>
          <w:szCs w:val="17"/>
          <w:u w:val="single" w:color="auto"/>
          <w:color w:val="auto"/>
        </w:rPr>
        <w:t>Gentherm Company</w:t>
      </w:r>
      <w:r>
        <w:rPr>
          <w:rFonts w:ascii="Arial" w:cs="Arial" w:eastAsia="Arial" w:hAnsi="Arial"/>
          <w:sz w:val="17"/>
          <w:szCs w:val="17"/>
          <w:color w:val="auto"/>
        </w:rPr>
        <w:t>”) or,</w:t>
      </w:r>
      <w:r>
        <w:rPr>
          <w:rFonts w:ascii="Arial" w:cs="Arial" w:eastAsia="Arial" w:hAnsi="Arial"/>
          <w:sz w:val="17"/>
          <w:szCs w:val="17"/>
          <w:b w:val="1"/>
          <w:bCs w:val="1"/>
          <w:color w:val="auto"/>
        </w:rPr>
        <w:t xml:space="preserve"> </w:t>
      </w:r>
      <w:r>
        <w:rPr>
          <w:rFonts w:ascii="Arial" w:cs="Arial" w:eastAsia="Arial" w:hAnsi="Arial"/>
          <w:sz w:val="17"/>
          <w:szCs w:val="17"/>
          <w:color w:val="auto"/>
        </w:rPr>
        <w:t>to the knowledge of the Gentherm Company, any director, officer, employee, agent, affiliate or representative of the Company is an individual or entity currently the subject to any sanctions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40"/>
          </w:cols>
          <w:pgMar w:left="240" w:top="312" w:right="219" w:bottom="1440" w:gutter="0" w:footer="0" w:header="0"/>
        </w:sectPr>
      </w:pPr>
    </w:p>
    <w:bookmarkStart w:id="91" w:name="page92"/>
    <w:bookmarkEnd w:id="91"/>
    <w:p>
      <w:pPr>
        <w:jc w:val="both"/>
        <w:spacing w:after="0" w:line="248" w:lineRule="auto"/>
        <w:rPr>
          <w:sz w:val="20"/>
          <w:szCs w:val="20"/>
          <w:color w:val="auto"/>
        </w:rPr>
      </w:pPr>
      <w:r>
        <w:rPr>
          <w:rFonts w:ascii="Arial" w:cs="Arial" w:eastAsia="Arial" w:hAnsi="Arial"/>
          <w:sz w:val="17"/>
          <w:szCs w:val="17"/>
          <w:color w:val="auto"/>
        </w:rPr>
        <w:t>administered or enforced by the United States Government, including without limitation, OFAC, the Canadian Government, the United Nations Security Council, the European Union, Her Majesty’s Treasury, or other relevant sanctions authority (“</w:t>
      </w:r>
      <w:r>
        <w:rPr>
          <w:rFonts w:ascii="Arial" w:cs="Arial" w:eastAsia="Arial" w:hAnsi="Arial"/>
          <w:sz w:val="15"/>
          <w:szCs w:val="15"/>
          <w:u w:val="single" w:color="auto"/>
          <w:color w:val="auto"/>
        </w:rPr>
        <w:t>Sanctions</w:t>
      </w:r>
      <w:r>
        <w:rPr>
          <w:rFonts w:ascii="Arial" w:cs="Arial" w:eastAsia="Arial" w:hAnsi="Arial"/>
          <w:sz w:val="15"/>
          <w:szCs w:val="15"/>
          <w:color w:val="auto"/>
        </w:rPr>
        <w:t>”), nor is the Company located, organized or resident in a country or territory that is</w:t>
      </w:r>
      <w:r>
        <w:rPr>
          <w:rFonts w:ascii="Arial" w:cs="Arial" w:eastAsia="Arial" w:hAnsi="Arial"/>
          <w:sz w:val="17"/>
          <w:szCs w:val="17"/>
          <w:color w:val="auto"/>
        </w:rPr>
        <w:t xml:space="preserve"> </w:t>
      </w:r>
      <w:r>
        <w:rPr>
          <w:rFonts w:ascii="Arial" w:cs="Arial" w:eastAsia="Arial" w:hAnsi="Arial"/>
          <w:sz w:val="15"/>
          <w:szCs w:val="15"/>
          <w:color w:val="auto"/>
        </w:rPr>
        <w:t>the subject of Sanctions.</w:t>
      </w:r>
    </w:p>
    <w:p>
      <w:pPr>
        <w:spacing w:after="0" w:line="162" w:lineRule="exact"/>
        <w:rPr>
          <w:sz w:val="20"/>
          <w:szCs w:val="20"/>
          <w:color w:val="auto"/>
        </w:rPr>
      </w:pPr>
    </w:p>
    <w:p>
      <w:pPr>
        <w:jc w:val="both"/>
        <w:ind w:right="20" w:firstLine="763"/>
        <w:spacing w:after="0" w:line="261" w:lineRule="auto"/>
        <w:rPr>
          <w:sz w:val="20"/>
          <w:szCs w:val="20"/>
          <w:color w:val="auto"/>
        </w:rPr>
      </w:pPr>
      <w:r>
        <w:rPr>
          <w:rFonts w:ascii="Arial" w:cs="Arial" w:eastAsia="Arial" w:hAnsi="Arial"/>
          <w:sz w:val="17"/>
          <w:szCs w:val="17"/>
          <w:b w:val="1"/>
          <w:bCs w:val="1"/>
          <w:color w:val="auto"/>
        </w:rPr>
        <w:t>5.27 PATRIOT Act</w:t>
      </w:r>
      <w:r>
        <w:rPr>
          <w:rFonts w:ascii="Arial" w:cs="Arial" w:eastAsia="Arial" w:hAnsi="Arial"/>
          <w:sz w:val="17"/>
          <w:szCs w:val="17"/>
          <w:color w:val="auto"/>
        </w:rPr>
        <w:t>. To the extent applicable, the Company and each Subsidiary is in compliance, in all material respects, with (a) the Trading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Enemy Act, as amended, and each of the foreign assets control regulations of the United States Treasury Department (31 CFR, Subtitle B, Chapter V, as amended) and any other enabling legislation or executive order relating thereto and (b) the Act.</w:t>
      </w:r>
    </w:p>
    <w:p>
      <w:pPr>
        <w:spacing w:after="0" w:line="148" w:lineRule="exact"/>
        <w:rPr>
          <w:sz w:val="20"/>
          <w:szCs w:val="20"/>
          <w:color w:val="auto"/>
        </w:rPr>
      </w:pPr>
    </w:p>
    <w:p>
      <w:pPr>
        <w:jc w:val="both"/>
        <w:ind w:firstLine="763"/>
        <w:spacing w:after="0" w:line="294" w:lineRule="auto"/>
        <w:rPr>
          <w:sz w:val="20"/>
          <w:szCs w:val="20"/>
          <w:color w:val="auto"/>
        </w:rPr>
      </w:pPr>
      <w:r>
        <w:rPr>
          <w:rFonts w:ascii="Arial" w:cs="Arial" w:eastAsia="Arial" w:hAnsi="Arial"/>
          <w:sz w:val="15"/>
          <w:szCs w:val="15"/>
          <w:b w:val="1"/>
          <w:bCs w:val="1"/>
          <w:color w:val="auto"/>
        </w:rPr>
        <w:t>5.28 Anti-Corruption Laws</w:t>
      </w:r>
      <w:r>
        <w:rPr>
          <w:rFonts w:ascii="Arial" w:cs="Arial" w:eastAsia="Arial" w:hAnsi="Arial"/>
          <w:sz w:val="15"/>
          <w:szCs w:val="15"/>
          <w:color w:val="auto"/>
        </w:rPr>
        <w:t>. To the extent applicable, no part of the proceeds of any Loan or Letter of Credit will be used by any Loan Party, directly or</w:t>
      </w:r>
      <w:r>
        <w:rPr>
          <w:rFonts w:ascii="Arial" w:cs="Arial" w:eastAsia="Arial" w:hAnsi="Arial"/>
          <w:sz w:val="15"/>
          <w:szCs w:val="15"/>
          <w:b w:val="1"/>
          <w:bCs w:val="1"/>
          <w:color w:val="auto"/>
        </w:rPr>
        <w:t xml:space="preserve"> </w:t>
      </w:r>
      <w:r>
        <w:rPr>
          <w:rFonts w:ascii="Arial" w:cs="Arial" w:eastAsia="Arial" w:hAnsi="Arial"/>
          <w:sz w:val="15"/>
          <w:szCs w:val="15"/>
          <w:color w:val="auto"/>
        </w:rPr>
        <w:t>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the Proceeds of Crime (Money Laundering) and Terrorist Financing Act (Canada), as amended, the Corruption of Foreign Public Officials Act (Canada) or any similar laws, rules or regulations issued, administered or enforced by any Governmental Authority having jurisdiction over any Loan Party.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AFFIRMATIVE COVENANTS</w:t>
      </w:r>
    </w:p>
    <w:p>
      <w:pPr>
        <w:spacing w:after="0" w:line="177" w:lineRule="exact"/>
        <w:rPr>
          <w:sz w:val="20"/>
          <w:szCs w:val="20"/>
          <w:color w:val="auto"/>
        </w:rPr>
      </w:pPr>
    </w:p>
    <w:p>
      <w:pPr>
        <w:jc w:val="both"/>
        <w:ind w:right="20" w:firstLine="763"/>
        <w:spacing w:after="0" w:line="308" w:lineRule="auto"/>
        <w:rPr>
          <w:sz w:val="20"/>
          <w:szCs w:val="20"/>
          <w:color w:val="auto"/>
        </w:rPr>
      </w:pPr>
      <w:r>
        <w:rPr>
          <w:rFonts w:ascii="Arial" w:cs="Arial" w:eastAsia="Arial" w:hAnsi="Arial"/>
          <w:sz w:val="15"/>
          <w:szCs w:val="15"/>
          <w:color w:val="auto"/>
        </w:rPr>
        <w:t xml:space="preserve">So long as any Lender shall have any Commitment hereunder, any Loan or other Obligation hereunder shall remain unpaid or unsatisfied (other than any contingent claims for indemnification or expense reimbursement not yet asserted), or any Letter of Credit shall remain outstanding, the Company shall, and shall (except in the case of the covenants set forth in </w:t>
      </w:r>
      <w:r>
        <w:rPr>
          <w:rFonts w:ascii="Arial" w:cs="Arial" w:eastAsia="Arial" w:hAnsi="Arial"/>
          <w:sz w:val="15"/>
          <w:szCs w:val="15"/>
          <w:u w:val="single" w:color="auto"/>
          <w:color w:val="auto"/>
        </w:rPr>
        <w:t>Sections 6.01</w:t>
      </w:r>
      <w:r>
        <w:rPr>
          <w:rFonts w:ascii="Arial" w:cs="Arial" w:eastAsia="Arial" w:hAnsi="Arial"/>
          <w:sz w:val="15"/>
          <w:szCs w:val="15"/>
          <w:color w:val="auto"/>
        </w:rPr>
        <w:t xml:space="preserve">, </w:t>
      </w:r>
      <w:r>
        <w:rPr>
          <w:rFonts w:ascii="Arial" w:cs="Arial" w:eastAsia="Arial" w:hAnsi="Arial"/>
          <w:sz w:val="15"/>
          <w:szCs w:val="15"/>
          <w:u w:val="single" w:color="auto"/>
          <w:color w:val="auto"/>
        </w:rPr>
        <w:t>6.02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6.03)</w:t>
      </w:r>
      <w:r>
        <w:rPr>
          <w:rFonts w:ascii="Arial" w:cs="Arial" w:eastAsia="Arial" w:hAnsi="Arial"/>
          <w:sz w:val="15"/>
          <w:szCs w:val="15"/>
          <w:color w:val="auto"/>
        </w:rPr>
        <w:t xml:space="preserve"> cause each other Borrower and each Material Subsidiary that is not a Borrower to:</w:t>
      </w:r>
    </w:p>
    <w:p>
      <w:pPr>
        <w:spacing w:after="0" w:line="115" w:lineRule="exact"/>
        <w:rPr>
          <w:sz w:val="20"/>
          <w:szCs w:val="20"/>
          <w:color w:val="auto"/>
        </w:rPr>
      </w:pPr>
    </w:p>
    <w:p>
      <w:pPr>
        <w:jc w:val="both"/>
        <w:ind w:firstLine="763"/>
        <w:spacing w:after="0" w:line="278" w:lineRule="auto"/>
        <w:rPr>
          <w:sz w:val="20"/>
          <w:szCs w:val="20"/>
          <w:color w:val="auto"/>
        </w:rPr>
      </w:pPr>
      <w:r>
        <w:rPr>
          <w:rFonts w:ascii="Arial" w:cs="Arial" w:eastAsia="Arial" w:hAnsi="Arial"/>
          <w:sz w:val="17"/>
          <w:szCs w:val="17"/>
          <w:b w:val="1"/>
          <w:bCs w:val="1"/>
          <w:color w:val="auto"/>
        </w:rPr>
        <w:t>6.01 Financial Statements</w:t>
      </w:r>
      <w:r>
        <w:rPr>
          <w:rFonts w:ascii="Arial" w:cs="Arial" w:eastAsia="Arial" w:hAnsi="Arial"/>
          <w:sz w:val="17"/>
          <w:szCs w:val="17"/>
          <w:color w:val="auto"/>
        </w:rPr>
        <w:t>. Deliver to the Administrative Agent and each Lender, in form and detail reasonably satisfactory to the Administrative Agent</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Required Lenders:</w:t>
      </w:r>
    </w:p>
    <w:p>
      <w:pPr>
        <w:spacing w:after="0" w:line="139" w:lineRule="exact"/>
        <w:rPr>
          <w:sz w:val="20"/>
          <w:szCs w:val="20"/>
          <w:color w:val="auto"/>
        </w:rPr>
      </w:pPr>
    </w:p>
    <w:p>
      <w:pPr>
        <w:jc w:val="both"/>
        <w:ind w:left="760" w:firstLine="709"/>
        <w:spacing w:after="0" w:line="249" w:lineRule="auto"/>
        <w:tabs>
          <w:tab w:leader="none" w:pos="1717"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as soon as available, but in any event within 90 days after the end of each fiscal year of the Company, a consolidated balance sheet of the Company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w:t>
      </w:r>
    </w:p>
    <w:p>
      <w:pPr>
        <w:spacing w:after="0" w:line="162" w:lineRule="exact"/>
        <w:rPr>
          <w:rFonts w:ascii="Arial" w:cs="Arial" w:eastAsia="Arial" w:hAnsi="Arial"/>
          <w:sz w:val="17"/>
          <w:szCs w:val="17"/>
          <w:color w:val="auto"/>
        </w:rPr>
      </w:pPr>
    </w:p>
    <w:p>
      <w:pPr>
        <w:jc w:val="both"/>
        <w:ind w:left="760" w:firstLine="709"/>
        <w:spacing w:after="0" w:line="264" w:lineRule="auto"/>
        <w:tabs>
          <w:tab w:leader="none" w:pos="171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as soon as available, but in any event within 45 days after the end of each of the first three fiscal quarters of each fiscal year of the Company, a consolidated balance sheet of the Company and its Subsidiaries as at the end of such fiscal quarter, the related consolidated statements of income or operations for such fiscal quarter and for the portion of the Company’s fiscal year then ended, and the related consolidated statements of changes in shareholders’ equity, and cash flows for the portion of the Company’s fiscal year then ended, in each case setting forth in comparative form, as applicable, the figures for the corresponding fiscal quarter of the previous fiscal year and the corresponding portion of the previous fiscal year, all in reasonable detail, certified by the chief executive officer, chief financial officer, treasurer or controller of the Company as fairly presenting the financial condition, results of operations, shareholders’ equity and cash flows of the Company and its Subsidiaries in accordance with GAAP, subject only to normal year-end audit adjustments and the absence of footnotes and such consolidating statements to be certified by the chief executive officer, chief financial officer, treasurer or controller of the Company to the effect that such statements are fairly stated in all material respects when considered in relation to the consolidated financial statements of the Company and its Subsidiaries; and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40"/>
          </w:cols>
          <w:pgMar w:left="240" w:top="312" w:right="219" w:bottom="1440" w:gutter="0" w:footer="0" w:header="0"/>
        </w:sectPr>
      </w:pPr>
    </w:p>
    <w:bookmarkStart w:id="92" w:name="page93"/>
    <w:bookmarkEnd w:id="92"/>
    <w:p>
      <w:pPr>
        <w:jc w:val="both"/>
        <w:ind w:left="760" w:right="20" w:firstLine="709"/>
        <w:spacing w:after="0" w:line="268" w:lineRule="auto"/>
        <w:tabs>
          <w:tab w:leader="none" w:pos="1724"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as soon as available, but in any event not later than the date that is 30 days after the end of each fiscal year of the Company, an annual business plan and budget of the Company and its Subsidiaries on a consolidated basis, including forecasts prepared by management of the Company, in form reasonably satisfactory to the Administrative Agent and the Required Lenders, of consolidated balance sheets and statements of income or operations and cash flows of the Company and its Subsidiaries on a quarterly basis for (x) the immediately following fiscal year, in the case of a business plan and budget delivered before the end of a fiscal year and (y) the fiscal year in which such business plan and budget is delivered, in the case of a business plan and budget delivered after the end of a fiscal year (including the fiscal year in which the Maturity Date occurs).</w:t>
      </w:r>
    </w:p>
    <w:p>
      <w:pPr>
        <w:spacing w:after="0" w:line="150" w:lineRule="exact"/>
        <w:rPr>
          <w:sz w:val="20"/>
          <w:szCs w:val="20"/>
          <w:color w:val="auto"/>
        </w:rPr>
      </w:pPr>
    </w:p>
    <w:p>
      <w:pPr>
        <w:jc w:val="both"/>
        <w:ind w:right="20" w:firstLine="763"/>
        <w:spacing w:after="0" w:line="257" w:lineRule="auto"/>
        <w:rPr>
          <w:sz w:val="20"/>
          <w:szCs w:val="20"/>
          <w:color w:val="auto"/>
        </w:rPr>
      </w:pPr>
      <w:r>
        <w:rPr>
          <w:rFonts w:ascii="Arial" w:cs="Arial" w:eastAsia="Arial" w:hAnsi="Arial"/>
          <w:sz w:val="17"/>
          <w:szCs w:val="17"/>
          <w:color w:val="auto"/>
        </w:rPr>
        <w:t xml:space="preserve">As to any information contained in materials furnished pursuant to </w:t>
      </w:r>
      <w:r>
        <w:rPr>
          <w:rFonts w:ascii="Arial" w:cs="Arial" w:eastAsia="Arial" w:hAnsi="Arial"/>
          <w:sz w:val="17"/>
          <w:szCs w:val="17"/>
          <w:u w:val="single" w:color="auto"/>
          <w:color w:val="auto"/>
        </w:rPr>
        <w:t>Section 6.02(c)</w:t>
      </w:r>
      <w:r>
        <w:rPr>
          <w:rFonts w:ascii="Arial" w:cs="Arial" w:eastAsia="Arial" w:hAnsi="Arial"/>
          <w:sz w:val="17"/>
          <w:szCs w:val="17"/>
          <w:color w:val="auto"/>
        </w:rPr>
        <w:t xml:space="preserve">, the Company shall not be separately required to furnish such information under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but the foregoing shall not be in derogation of the obligation of the Company to furnish the information and materials described in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at the times specified therein.</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6.02 Certificates; Other Information</w:t>
      </w:r>
      <w:r>
        <w:rPr>
          <w:rFonts w:ascii="Arial" w:cs="Arial" w:eastAsia="Arial" w:hAnsi="Arial"/>
          <w:sz w:val="17"/>
          <w:szCs w:val="17"/>
          <w:color w:val="auto"/>
        </w:rPr>
        <w:t>. Deliver to the Administrative Agent and each Lender, in form and detail reasonably satisfactory to the</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Agent and the Required Lenders:</w:t>
      </w:r>
    </w:p>
    <w:p>
      <w:pPr>
        <w:spacing w:after="0" w:line="177" w:lineRule="exact"/>
        <w:rPr>
          <w:sz w:val="20"/>
          <w:szCs w:val="20"/>
          <w:color w:val="auto"/>
        </w:rPr>
      </w:pPr>
    </w:p>
    <w:p>
      <w:pPr>
        <w:ind w:left="760" w:right="20" w:firstLine="709"/>
        <w:spacing w:after="0" w:line="271" w:lineRule="auto"/>
        <w:tabs>
          <w:tab w:leader="none" w:pos="171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concurrently with the delivery of the financial statements referred to in </w:t>
      </w:r>
      <w:r>
        <w:rPr>
          <w:rFonts w:ascii="Arial" w:cs="Arial" w:eastAsia="Arial" w:hAnsi="Arial"/>
          <w:sz w:val="17"/>
          <w:szCs w:val="17"/>
          <w:u w:val="single" w:color="auto"/>
          <w:color w:val="auto"/>
        </w:rPr>
        <w:t>Sections 6.01(a)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a duly completed Compliance Certificate signed by the chief executive officer, chief financial officer, treasurer or controller of the Company;</w:t>
      </w:r>
    </w:p>
    <w:p>
      <w:pPr>
        <w:spacing w:after="0" w:line="144" w:lineRule="exact"/>
        <w:rPr>
          <w:rFonts w:ascii="Arial" w:cs="Arial" w:eastAsia="Arial" w:hAnsi="Arial"/>
          <w:sz w:val="17"/>
          <w:szCs w:val="17"/>
          <w:color w:val="auto"/>
        </w:rPr>
      </w:pPr>
    </w:p>
    <w:p>
      <w:pPr>
        <w:jc w:val="both"/>
        <w:ind w:left="760" w:right="20" w:firstLine="709"/>
        <w:spacing w:after="0" w:line="257" w:lineRule="auto"/>
        <w:tabs>
          <w:tab w:leader="none" w:pos="175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promptly after any request by the Administrative Agent or any Lender, copies of any detailed audit reports, management letters or recommendations submitted to the board of directors (or the audit committee of the board of directors) of any Borrower by independent accountants in connection with the accounts or books of the Company or any Subsidiary, or any audit of any of them;</w:t>
      </w:r>
    </w:p>
    <w:p>
      <w:pPr>
        <w:spacing w:after="0" w:line="157" w:lineRule="exact"/>
        <w:rPr>
          <w:rFonts w:ascii="Arial" w:cs="Arial" w:eastAsia="Arial" w:hAnsi="Arial"/>
          <w:sz w:val="17"/>
          <w:szCs w:val="17"/>
          <w:color w:val="auto"/>
        </w:rPr>
      </w:pPr>
    </w:p>
    <w:p>
      <w:pPr>
        <w:jc w:val="both"/>
        <w:ind w:left="760" w:firstLine="709"/>
        <w:spacing w:after="0" w:line="297" w:lineRule="auto"/>
        <w:tabs>
          <w:tab w:leader="none" w:pos="1708" w:val="left"/>
        </w:tabs>
        <w:numPr>
          <w:ilvl w:val="0"/>
          <w:numId w:val="114"/>
        </w:numPr>
        <w:rPr>
          <w:rFonts w:ascii="Arial" w:cs="Arial" w:eastAsia="Arial" w:hAnsi="Arial"/>
          <w:sz w:val="15"/>
          <w:szCs w:val="15"/>
          <w:color w:val="auto"/>
        </w:rPr>
      </w:pPr>
      <w:r>
        <w:rPr>
          <w:rFonts w:ascii="Arial" w:cs="Arial" w:eastAsia="Arial" w:hAnsi="Arial"/>
          <w:sz w:val="15"/>
          <w:szCs w:val="15"/>
          <w:color w:val="auto"/>
        </w:rPr>
        <w:t>promptly after the same are available, copies of each annual report, proxy or financial statement or other report or communication sent to the stockholders of the Company, and copies of all annual, regular, periodic and special reports and registration statements which the Company may file or be required to file with the SEC under Section 13 or 15(d) of the Securities Exchange Act of 1934 or with any national securities exchange (or comparable agency in any applicable non-U.S. jurisdiction), and in any case not otherwise required to be delivered to the Administrative Agent pursuant hereto;</w:t>
      </w:r>
    </w:p>
    <w:p>
      <w:pPr>
        <w:spacing w:after="0" w:line="130" w:lineRule="exact"/>
        <w:rPr>
          <w:rFonts w:ascii="Arial" w:cs="Arial" w:eastAsia="Arial" w:hAnsi="Arial"/>
          <w:sz w:val="15"/>
          <w:szCs w:val="15"/>
          <w:color w:val="auto"/>
        </w:rPr>
      </w:pPr>
    </w:p>
    <w:p>
      <w:pPr>
        <w:jc w:val="both"/>
        <w:ind w:left="760" w:firstLine="709"/>
        <w:spacing w:after="0" w:line="257" w:lineRule="auto"/>
        <w:tabs>
          <w:tab w:leader="none" w:pos="1726"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promptly after the furnishing thereof, copies of any statement or report furnished to any holder of debt securities of any Loan Party or any Material Subsidiary thereof pursuant to the terms of any indenture, loan or credit or similar agreement and not otherwise required to be furnished to the Lenders pursuant to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or any other clause of this </w:t>
      </w:r>
      <w:r>
        <w:rPr>
          <w:rFonts w:ascii="Arial" w:cs="Arial" w:eastAsia="Arial" w:hAnsi="Arial"/>
          <w:sz w:val="17"/>
          <w:szCs w:val="17"/>
          <w:u w:val="single" w:color="auto"/>
          <w:color w:val="auto"/>
        </w:rPr>
        <w:t>Section 6.02</w:t>
      </w:r>
      <w:r>
        <w:rPr>
          <w:rFonts w:ascii="Arial" w:cs="Arial" w:eastAsia="Arial" w:hAnsi="Arial"/>
          <w:sz w:val="17"/>
          <w:szCs w:val="17"/>
          <w:color w:val="auto"/>
        </w:rPr>
        <w:t>;</w:t>
      </w:r>
    </w:p>
    <w:p>
      <w:pPr>
        <w:spacing w:after="0" w:line="157" w:lineRule="exact"/>
        <w:rPr>
          <w:rFonts w:ascii="Arial" w:cs="Arial" w:eastAsia="Arial" w:hAnsi="Arial"/>
          <w:sz w:val="17"/>
          <w:szCs w:val="17"/>
          <w:color w:val="auto"/>
        </w:rPr>
      </w:pPr>
    </w:p>
    <w:p>
      <w:pPr>
        <w:jc w:val="both"/>
        <w:ind w:left="760" w:firstLine="709"/>
        <w:spacing w:after="0" w:line="253" w:lineRule="auto"/>
        <w:tabs>
          <w:tab w:leader="none" w:pos="171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promptly, and in any event within five Business Days after receipt thereof by any Loan Party or any Material Subsidiary thereof, copies of each notice or other correspondence received from the SEC (or comparable agency in any applicable non-U.S. jurisdiction) concerning any investigation or possible investigation or other inquiry by such agency regarding financial or other operational results of any Loan Party or any Material Subsidiary thereof;</w:t>
      </w:r>
    </w:p>
    <w:p>
      <w:pPr>
        <w:spacing w:after="0" w:line="160" w:lineRule="exact"/>
        <w:rPr>
          <w:rFonts w:ascii="Arial" w:cs="Arial" w:eastAsia="Arial" w:hAnsi="Arial"/>
          <w:sz w:val="17"/>
          <w:szCs w:val="17"/>
          <w:color w:val="auto"/>
        </w:rPr>
      </w:pPr>
    </w:p>
    <w:p>
      <w:pPr>
        <w:jc w:val="both"/>
        <w:ind w:left="760" w:right="20" w:firstLine="709"/>
        <w:spacing w:after="0" w:line="253" w:lineRule="auto"/>
        <w:tabs>
          <w:tab w:leader="none" w:pos="169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not later than five Business Days after receipt thereof by any Loan Party or any Material Subsidiary thereof, copies of all notices, requests and other documents (including amendments, waivers and other modifications) so received under or pursuant to any indenture, loan or credit or similar agreement and, from time to time upon request by the Administrative Agent, such information and reports regarding such indentures and loan and credit and similar agreements as the Administrative Agent may reasonably request;</w:t>
      </w:r>
    </w:p>
    <w:p>
      <w:pPr>
        <w:spacing w:after="0" w:line="160" w:lineRule="exact"/>
        <w:rPr>
          <w:rFonts w:ascii="Arial" w:cs="Arial" w:eastAsia="Arial" w:hAnsi="Arial"/>
          <w:sz w:val="17"/>
          <w:szCs w:val="17"/>
          <w:color w:val="auto"/>
        </w:rPr>
      </w:pPr>
    </w:p>
    <w:p>
      <w:pPr>
        <w:ind w:left="760" w:right="20" w:firstLine="709"/>
        <w:spacing w:after="0" w:line="339" w:lineRule="auto"/>
        <w:tabs>
          <w:tab w:leader="none" w:pos="1719" w:val="left"/>
        </w:tabs>
        <w:numPr>
          <w:ilvl w:val="0"/>
          <w:numId w:val="114"/>
        </w:numPr>
        <w:rPr>
          <w:rFonts w:ascii="Arial" w:cs="Arial" w:eastAsia="Arial" w:hAnsi="Arial"/>
          <w:sz w:val="15"/>
          <w:szCs w:val="15"/>
          <w:color w:val="auto"/>
        </w:rPr>
      </w:pPr>
      <w:r>
        <w:rPr>
          <w:rFonts w:ascii="Arial" w:cs="Arial" w:eastAsia="Arial" w:hAnsi="Arial"/>
          <w:sz w:val="15"/>
          <w:szCs w:val="15"/>
          <w:color w:val="auto"/>
        </w:rPr>
        <w:t>promptly after the assertion or occurrence thereof, notice of any action or proceeding against or of any noncompliance by any Loan Party or any of its Subsidiaries with any Environmental Law or Environmental Permit that could reasonably be expected to have a Material Adverse Effect; 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40"/>
          </w:cols>
          <w:pgMar w:left="240" w:top="312" w:right="219" w:bottom="1440" w:gutter="0" w:footer="0" w:header="0"/>
        </w:sectPr>
      </w:pPr>
    </w:p>
    <w:bookmarkStart w:id="93" w:name="page94"/>
    <w:bookmarkEnd w:id="93"/>
    <w:p>
      <w:pPr>
        <w:ind w:left="760" w:firstLine="709"/>
        <w:spacing w:after="0" w:line="303" w:lineRule="auto"/>
        <w:tabs>
          <w:tab w:leader="none" w:pos="172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promptly, such additional information regarding the business, financial or corporate affairs of the Company or any Material Subsidiary, or compliance with the terms of the Loan Documents, as the Administrative Agent or any Lender may from time to time reasonably request.</w:t>
      </w:r>
    </w:p>
    <w:p>
      <w:pPr>
        <w:spacing w:after="0" w:line="122" w:lineRule="exact"/>
        <w:rPr>
          <w:sz w:val="20"/>
          <w:szCs w:val="20"/>
          <w:color w:val="auto"/>
        </w:rPr>
      </w:pPr>
    </w:p>
    <w:p>
      <w:pPr>
        <w:jc w:val="both"/>
        <w:ind w:firstLine="763"/>
        <w:spacing w:after="0" w:line="282" w:lineRule="auto"/>
        <w:rPr>
          <w:sz w:val="20"/>
          <w:szCs w:val="20"/>
          <w:color w:val="auto"/>
        </w:rPr>
      </w:pPr>
      <w:r>
        <w:rPr>
          <w:rFonts w:ascii="Arial" w:cs="Arial" w:eastAsia="Arial" w:hAnsi="Arial"/>
          <w:sz w:val="15"/>
          <w:szCs w:val="15"/>
          <w:color w:val="auto"/>
        </w:rPr>
        <w:t xml:space="preserve">Documents required to be delivered pursuant to </w:t>
      </w:r>
      <w:r>
        <w:rPr>
          <w:rFonts w:ascii="Arial" w:cs="Arial" w:eastAsia="Arial" w:hAnsi="Arial"/>
          <w:sz w:val="15"/>
          <w:szCs w:val="15"/>
          <w:u w:val="single" w:color="auto"/>
          <w:color w:val="auto"/>
        </w:rPr>
        <w:t>Section 6.01(a)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6.02(c)</w:t>
      </w:r>
      <w:r>
        <w:rPr>
          <w:rFonts w:ascii="Arial" w:cs="Arial" w:eastAsia="Arial" w:hAnsi="Arial"/>
          <w:sz w:val="15"/>
          <w:szCs w:val="15"/>
          <w:color w:val="auto"/>
        </w:rPr>
        <w:t xml:space="preserve">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Arial" w:cs="Arial" w:eastAsia="Arial" w:hAnsi="Arial"/>
          <w:sz w:val="15"/>
          <w:szCs w:val="15"/>
          <w:u w:val="single" w:color="auto"/>
          <w:color w:val="auto"/>
        </w:rPr>
        <w:t>Schedule 11.02</w:t>
      </w:r>
      <w:r>
        <w:rPr>
          <w:rFonts w:ascii="Arial" w:cs="Arial" w:eastAsia="Arial" w:hAnsi="Arial"/>
          <w:sz w:val="15"/>
          <w:szCs w:val="15"/>
          <w:color w:val="auto"/>
        </w:rPr>
        <w:t xml:space="preserve">; or (ii) on which such documents are posted on the Company’s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the Company shall deliver paper copies of such documents to the Administrative Agent or any Lender that requests the Company to deliver such paper copies until a written request to cease delivering paper copies is given by the Administrative Agent or such Lender and (ii) the Company shall notify the Administrative Agent and each Lender (by telecopier or electronic mail) of the posting of any such documents and provide to the Administrative Agent by electronic mail electronic versions (i.e., soft copies) of such documents to the extent not readily available on any such Intranet or website. Notwithstanding anything contained herein, in every instance the Company shall be required to provide paper copies of the Compliance Certificates required by </w:t>
      </w:r>
      <w:r>
        <w:rPr>
          <w:rFonts w:ascii="Arial" w:cs="Arial" w:eastAsia="Arial" w:hAnsi="Arial"/>
          <w:sz w:val="15"/>
          <w:szCs w:val="15"/>
          <w:u w:val="single" w:color="auto"/>
          <w:color w:val="auto"/>
        </w:rPr>
        <w:t>Section 6.02(a)</w:t>
      </w:r>
      <w:r>
        <w:rPr>
          <w:rFonts w:ascii="Arial" w:cs="Arial" w:eastAsia="Arial" w:hAnsi="Arial"/>
          <w:sz w:val="15"/>
          <w:szCs w:val="15"/>
          <w:color w:val="auto"/>
        </w:rPr>
        <w:t xml:space="preserve"> to the Administrative Agent. Except for such Compliance Certificates, the Administrative Agent shall have no obligation to request the delivery or to maintain copies of the documents referred to above, and in any event shall have no responsibility to monitor compliance by the Company with any such request for delivery, and each Lender shall be solely responsible for requesting delivery to it or maintaining its copies of such documents.</w:t>
      </w:r>
    </w:p>
    <w:p>
      <w:pPr>
        <w:spacing w:after="0" w:line="147" w:lineRule="exact"/>
        <w:rPr>
          <w:sz w:val="20"/>
          <w:szCs w:val="20"/>
          <w:color w:val="auto"/>
        </w:rPr>
      </w:pPr>
    </w:p>
    <w:p>
      <w:pPr>
        <w:jc w:val="both"/>
        <w:ind w:firstLine="763"/>
        <w:spacing w:after="0" w:line="263" w:lineRule="auto"/>
        <w:rPr>
          <w:sz w:val="20"/>
          <w:szCs w:val="20"/>
          <w:color w:val="auto"/>
        </w:rPr>
      </w:pPr>
      <w:r>
        <w:rPr>
          <w:rFonts w:ascii="Arial" w:cs="Arial" w:eastAsia="Arial" w:hAnsi="Arial"/>
          <w:sz w:val="16"/>
          <w:szCs w:val="16"/>
          <w:color w:val="auto"/>
        </w:rPr>
        <w:t>Each Borrower hereby acknowledges that (a) the Administrative Agent and/or the Arranger will make available to the Lenders and the L/C Issuer materials and/or information provided by or on behalf of such Borrower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IntraLinks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may have personnel who do not wish to receive material non-public information with respect to any of the Borrowers or their respective Affiliates, or the respective securities of any of the foregoing, and who may be engaged in investment and other market-related activities with respect to such Persons’ securities. Each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Borrowers shall be deemed to have authorized the Administrative Agent, the Arranger, the L/C Issuer and the Lenders to treat such Borrower Materials as not containing any material non-public information (although it may be sensitive proprietary) with respect to the Borrowers or their respective securities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such Borrower Materials constitute Information, they shall be treated as set forth in Section </w:t>
      </w:r>
      <w:r>
        <w:rPr>
          <w:rFonts w:ascii="Arial" w:cs="Arial" w:eastAsia="Arial" w:hAnsi="Arial"/>
          <w:sz w:val="16"/>
          <w:szCs w:val="16"/>
          <w:u w:val="single" w:color="auto"/>
          <w:color w:val="auto"/>
        </w:rPr>
        <w:t>11.07</w:t>
      </w:r>
      <w:r>
        <w:rPr>
          <w:rFonts w:ascii="Arial" w:cs="Arial" w:eastAsia="Arial" w:hAnsi="Arial"/>
          <w:sz w:val="16"/>
          <w:szCs w:val="16"/>
          <w:color w:val="auto"/>
        </w:rPr>
        <w:t>); (y) all Borrower Materials marked “PUBLIC” are permitted to be made available through a portion of the Platform designated “Public Side Information;” and (z) the Administrative Agent and the Arranger shall be entitled to treat Borrower Materials that are not marked “PUBLIC” as being suitable only for posting on a portion of the Platform not designated “Public Side Information.”</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6.03 Notices</w:t>
      </w:r>
      <w:r>
        <w:rPr>
          <w:rFonts w:ascii="Arial" w:cs="Arial" w:eastAsia="Arial" w:hAnsi="Arial"/>
          <w:sz w:val="17"/>
          <w:szCs w:val="17"/>
          <w:color w:val="auto"/>
        </w:rPr>
        <w:t>. Promptly notify the Administrative Agent and each Lender:</w:t>
      </w:r>
    </w:p>
    <w:p>
      <w:pPr>
        <w:spacing w:after="0" w:line="197" w:lineRule="exact"/>
        <w:rPr>
          <w:sz w:val="20"/>
          <w:szCs w:val="20"/>
          <w:color w:val="auto"/>
        </w:rPr>
      </w:pPr>
    </w:p>
    <w:p>
      <w:pPr>
        <w:ind w:left="1700" w:hanging="231"/>
        <w:spacing w:after="0"/>
        <w:tabs>
          <w:tab w:leader="none" w:pos="17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of the occurrence of any Default;</w:t>
      </w:r>
    </w:p>
    <w:p>
      <w:pPr>
        <w:spacing w:after="0" w:line="191" w:lineRule="exact"/>
        <w:rPr>
          <w:rFonts w:ascii="Arial" w:cs="Arial" w:eastAsia="Arial" w:hAnsi="Arial"/>
          <w:sz w:val="17"/>
          <w:szCs w:val="17"/>
          <w:color w:val="auto"/>
        </w:rPr>
      </w:pPr>
    </w:p>
    <w:p>
      <w:pPr>
        <w:ind w:left="1720" w:hanging="251"/>
        <w:spacing w:after="0"/>
        <w:tabs>
          <w:tab w:leader="none" w:pos="17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of any matter that has resulted or could reasonably be expected to result in a Material Adverse Effect;</w:t>
      </w:r>
    </w:p>
    <w:p>
      <w:pPr>
        <w:spacing w:after="0" w:line="191" w:lineRule="exact"/>
        <w:rPr>
          <w:rFonts w:ascii="Arial" w:cs="Arial" w:eastAsia="Arial" w:hAnsi="Arial"/>
          <w:sz w:val="17"/>
          <w:szCs w:val="17"/>
          <w:color w:val="auto"/>
        </w:rPr>
      </w:pPr>
    </w:p>
    <w:p>
      <w:pPr>
        <w:ind w:left="1700" w:hanging="231"/>
        <w:spacing w:after="0"/>
        <w:tabs>
          <w:tab w:leader="none" w:pos="17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of the occurrence of any ERISA Event or Foreign Plan Event;</w:t>
      </w:r>
    </w:p>
    <w:p>
      <w:pPr>
        <w:spacing w:after="0" w:line="191" w:lineRule="exact"/>
        <w:rPr>
          <w:rFonts w:ascii="Arial" w:cs="Arial" w:eastAsia="Arial" w:hAnsi="Arial"/>
          <w:sz w:val="17"/>
          <w:szCs w:val="17"/>
          <w:color w:val="auto"/>
        </w:rPr>
      </w:pPr>
    </w:p>
    <w:p>
      <w:pPr>
        <w:ind w:left="1720" w:hanging="251"/>
        <w:spacing w:after="0"/>
        <w:tabs>
          <w:tab w:leader="none" w:pos="17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of any material change in accounting policies or financial reporting practices by any Loan Party; and</w:t>
      </w:r>
    </w:p>
    <w:p>
      <w:pPr>
        <w:spacing w:after="0" w:line="191" w:lineRule="exact"/>
        <w:rPr>
          <w:rFonts w:ascii="Arial" w:cs="Arial" w:eastAsia="Arial" w:hAnsi="Arial"/>
          <w:sz w:val="17"/>
          <w:szCs w:val="17"/>
          <w:color w:val="auto"/>
        </w:rPr>
      </w:pPr>
    </w:p>
    <w:p>
      <w:pPr>
        <w:jc w:val="both"/>
        <w:ind w:left="760" w:firstLine="709"/>
        <w:spacing w:after="0" w:line="281" w:lineRule="auto"/>
        <w:tabs>
          <w:tab w:leader="none" w:pos="1706"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of the (i) occurrence of any Disposition of property or assets for which the Borrowers are required to make a mandatory prepayment pursuant to </w:t>
      </w:r>
      <w:r>
        <w:rPr>
          <w:rFonts w:ascii="Arial" w:cs="Arial" w:eastAsia="Arial" w:hAnsi="Arial"/>
          <w:sz w:val="16"/>
          <w:szCs w:val="16"/>
          <w:u w:val="single" w:color="auto"/>
          <w:color w:val="auto"/>
        </w:rPr>
        <w:t>Section 2.05(b)(i),</w:t>
      </w:r>
      <w:r>
        <w:rPr>
          <w:rFonts w:ascii="Arial" w:cs="Arial" w:eastAsia="Arial" w:hAnsi="Arial"/>
          <w:sz w:val="16"/>
          <w:szCs w:val="16"/>
          <w:color w:val="auto"/>
        </w:rPr>
        <w:t xml:space="preserve"> (ii) occurrence of any sale of capital stock or other Equity Interests for which the Borrowers are required to make a mandatory prepayment pursuant to </w:t>
      </w:r>
      <w:r>
        <w:rPr>
          <w:rFonts w:ascii="Arial" w:cs="Arial" w:eastAsia="Arial" w:hAnsi="Arial"/>
          <w:sz w:val="16"/>
          <w:szCs w:val="16"/>
          <w:u w:val="single" w:color="auto"/>
          <w:color w:val="auto"/>
        </w:rPr>
        <w:t>Section 2.05(b)(ii)</w:t>
      </w:r>
      <w:r>
        <w:rPr>
          <w:rFonts w:ascii="Arial" w:cs="Arial" w:eastAsia="Arial" w:hAnsi="Arial"/>
          <w:sz w:val="16"/>
          <w:szCs w:val="16"/>
          <w:color w:val="auto"/>
        </w:rPr>
        <w:t>, (iii) incurrence or issuance of any Indebtedness for which the Borrowers are required to make a</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40"/>
          </w:cols>
          <w:pgMar w:left="240" w:top="312" w:right="219" w:bottom="1440" w:gutter="0" w:footer="0" w:header="0"/>
        </w:sectPr>
      </w:pPr>
    </w:p>
    <w:bookmarkStart w:id="94" w:name="page95"/>
    <w:bookmarkEnd w:id="94"/>
    <w:p>
      <w:pPr>
        <w:ind w:left="760"/>
        <w:spacing w:after="0" w:line="271" w:lineRule="auto"/>
        <w:rPr>
          <w:sz w:val="20"/>
          <w:szCs w:val="20"/>
          <w:color w:val="auto"/>
        </w:rPr>
      </w:pPr>
      <w:r>
        <w:rPr>
          <w:rFonts w:ascii="Arial" w:cs="Arial" w:eastAsia="Arial" w:hAnsi="Arial"/>
          <w:sz w:val="17"/>
          <w:szCs w:val="17"/>
          <w:color w:val="auto"/>
        </w:rPr>
        <w:t xml:space="preserve">mandatory prepayment pursuant to Section 2.05(b)(iii), and (iv) receipt of any Extraordinary Receipt for which the Borrowers are required to make a mandatory prepayment pursuant to </w:t>
      </w:r>
      <w:r>
        <w:rPr>
          <w:rFonts w:ascii="Arial" w:cs="Arial" w:eastAsia="Arial" w:hAnsi="Arial"/>
          <w:sz w:val="15"/>
          <w:szCs w:val="15"/>
          <w:u w:val="single" w:color="auto"/>
          <w:color w:val="auto"/>
        </w:rPr>
        <w:t>Section 2.05(b)(iv)</w:t>
      </w:r>
      <w:r>
        <w:rPr>
          <w:rFonts w:ascii="Arial" w:cs="Arial" w:eastAsia="Arial" w:hAnsi="Arial"/>
          <w:sz w:val="15"/>
          <w:szCs w:val="15"/>
          <w:color w:val="auto"/>
        </w:rPr>
        <w:t>.</w:t>
      </w:r>
    </w:p>
    <w:p>
      <w:pPr>
        <w:spacing w:after="0" w:line="145" w:lineRule="exact"/>
        <w:rPr>
          <w:sz w:val="20"/>
          <w:szCs w:val="20"/>
          <w:color w:val="auto"/>
        </w:rPr>
      </w:pPr>
    </w:p>
    <w:p>
      <w:pPr>
        <w:jc w:val="both"/>
        <w:ind w:firstLine="763"/>
        <w:spacing w:after="0" w:line="281" w:lineRule="auto"/>
        <w:rPr>
          <w:sz w:val="20"/>
          <w:szCs w:val="20"/>
          <w:color w:val="auto"/>
        </w:rPr>
      </w:pPr>
      <w:r>
        <w:rPr>
          <w:rFonts w:ascii="Arial" w:cs="Arial" w:eastAsia="Arial" w:hAnsi="Arial"/>
          <w:sz w:val="16"/>
          <w:szCs w:val="16"/>
          <w:color w:val="auto"/>
        </w:rPr>
        <w:t xml:space="preserve">Each notice pursuant to this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6.03(e))</w:t>
      </w:r>
      <w:r>
        <w:rPr>
          <w:rFonts w:ascii="Arial" w:cs="Arial" w:eastAsia="Arial" w:hAnsi="Arial"/>
          <w:sz w:val="16"/>
          <w:szCs w:val="16"/>
          <w:color w:val="auto"/>
        </w:rPr>
        <w:t xml:space="preserve"> shall be accompanied by a statement of a Responsible Officer of the Company setting forth details of the occurrence referred to therein and stating what action the Company has taken and proposes to take with respect thereto. Each notice pursuant to </w:t>
      </w:r>
      <w:r>
        <w:rPr>
          <w:rFonts w:ascii="Arial" w:cs="Arial" w:eastAsia="Arial" w:hAnsi="Arial"/>
          <w:sz w:val="16"/>
          <w:szCs w:val="16"/>
          <w:u w:val="single" w:color="auto"/>
          <w:color w:val="auto"/>
        </w:rPr>
        <w:t>Section 6.03(a)</w:t>
      </w:r>
      <w:r>
        <w:rPr>
          <w:rFonts w:ascii="Arial" w:cs="Arial" w:eastAsia="Arial" w:hAnsi="Arial"/>
          <w:sz w:val="16"/>
          <w:szCs w:val="16"/>
          <w:color w:val="auto"/>
        </w:rPr>
        <w:t xml:space="preserve"> shall describe with particularity any and all provisions of this Agreement and any other Loan Document that have been breached.</w:t>
      </w:r>
    </w:p>
    <w:p>
      <w:pPr>
        <w:spacing w:after="0" w:line="133" w:lineRule="exact"/>
        <w:rPr>
          <w:sz w:val="20"/>
          <w:szCs w:val="20"/>
          <w:color w:val="auto"/>
        </w:rPr>
      </w:pPr>
    </w:p>
    <w:p>
      <w:pPr>
        <w:jc w:val="both"/>
        <w:ind w:firstLine="763"/>
        <w:spacing w:after="0" w:line="253" w:lineRule="auto"/>
        <w:rPr>
          <w:sz w:val="20"/>
          <w:szCs w:val="20"/>
          <w:color w:val="auto"/>
        </w:rPr>
      </w:pPr>
      <w:r>
        <w:rPr>
          <w:rFonts w:ascii="Arial" w:cs="Arial" w:eastAsia="Arial" w:hAnsi="Arial"/>
          <w:sz w:val="17"/>
          <w:szCs w:val="17"/>
          <w:b w:val="1"/>
          <w:bCs w:val="1"/>
          <w:color w:val="auto"/>
        </w:rPr>
        <w:t>6.04 Payment of Obligations</w:t>
      </w:r>
      <w:r>
        <w:rPr>
          <w:rFonts w:ascii="Arial" w:cs="Arial" w:eastAsia="Arial" w:hAnsi="Arial"/>
          <w:sz w:val="17"/>
          <w:szCs w:val="17"/>
          <w:color w:val="auto"/>
        </w:rPr>
        <w:t>. Pay and discharge as the same shall become due and payable, all its material obligations and liabilities, including (a) all tax</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assessments and governmental charges or levies upon it or its properties or assets, unless the same are being contested in good faith by appropriate proceedings diligently conducted and adequate reserves in accordance with GAAP are being maintained by it and (b) all lawful claims which, if unpaid, would by law become a Lien upon it or its properties or assets, unless the same are being contested in good faith by appropriate proceedings diligently conducted and adequate reserves are being maintained by it.</w:t>
      </w:r>
    </w:p>
    <w:p>
      <w:pPr>
        <w:spacing w:after="0" w:line="154" w:lineRule="exact"/>
        <w:rPr>
          <w:sz w:val="20"/>
          <w:szCs w:val="20"/>
          <w:color w:val="auto"/>
        </w:rPr>
      </w:pPr>
    </w:p>
    <w:p>
      <w:pPr>
        <w:jc w:val="both"/>
        <w:ind w:firstLine="763"/>
        <w:spacing w:after="0" w:line="253" w:lineRule="auto"/>
        <w:rPr>
          <w:sz w:val="20"/>
          <w:szCs w:val="20"/>
          <w:color w:val="auto"/>
        </w:rPr>
      </w:pPr>
      <w:r>
        <w:rPr>
          <w:rFonts w:ascii="Arial" w:cs="Arial" w:eastAsia="Arial" w:hAnsi="Arial"/>
          <w:sz w:val="17"/>
          <w:szCs w:val="17"/>
          <w:b w:val="1"/>
          <w:bCs w:val="1"/>
          <w:color w:val="auto"/>
        </w:rPr>
        <w:t>6.05 Preservation of Existence, Etc</w:t>
      </w:r>
      <w:r>
        <w:rPr>
          <w:rFonts w:ascii="Arial" w:cs="Arial" w:eastAsia="Arial" w:hAnsi="Arial"/>
          <w:sz w:val="17"/>
          <w:szCs w:val="17"/>
          <w:color w:val="auto"/>
        </w:rPr>
        <w:t>. (a) Preserve, renew and maintain in full force and effect its legal existence and good standing under the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jurisdiction of its organization except in a transaction permitted by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7.05</w:t>
      </w:r>
      <w:r>
        <w:rPr>
          <w:rFonts w:ascii="Arial" w:cs="Arial" w:eastAsia="Arial" w:hAnsi="Arial"/>
          <w:sz w:val="17"/>
          <w:szCs w:val="17"/>
          <w:color w:val="auto"/>
        </w:rPr>
        <w: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w:t>
      </w:r>
    </w:p>
    <w:p>
      <w:pPr>
        <w:spacing w:after="0" w:line="154" w:lineRule="exact"/>
        <w:rPr>
          <w:sz w:val="20"/>
          <w:szCs w:val="20"/>
          <w:color w:val="auto"/>
        </w:rPr>
      </w:pPr>
    </w:p>
    <w:p>
      <w:pPr>
        <w:jc w:val="both"/>
        <w:ind w:right="20" w:firstLine="763"/>
        <w:spacing w:after="0" w:line="261" w:lineRule="auto"/>
        <w:rPr>
          <w:sz w:val="20"/>
          <w:szCs w:val="20"/>
          <w:color w:val="auto"/>
        </w:rPr>
      </w:pPr>
      <w:r>
        <w:rPr>
          <w:rFonts w:ascii="Arial" w:cs="Arial" w:eastAsia="Arial" w:hAnsi="Arial"/>
          <w:sz w:val="17"/>
          <w:szCs w:val="17"/>
          <w:b w:val="1"/>
          <w:bCs w:val="1"/>
          <w:color w:val="auto"/>
        </w:rPr>
        <w:t>6.06 Maintenance of Properties</w:t>
      </w:r>
      <w:r>
        <w:rPr>
          <w:rFonts w:ascii="Arial" w:cs="Arial" w:eastAsia="Arial" w:hAnsi="Arial"/>
          <w:sz w:val="17"/>
          <w:szCs w:val="17"/>
          <w:color w:val="auto"/>
        </w:rPr>
        <w:t>. (a) Maintain, preserve and protect all of its material properties and equipment necessary in the operation of its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in good working order and condition, ordinary wear and tear excepted; and (b) make all necessary repairs thereto and renewals and replacements thereof except where the failure to do so could not reasonably be expected to have a Material Adverse Effect.</w:t>
      </w:r>
    </w:p>
    <w:p>
      <w:pPr>
        <w:spacing w:after="0" w:line="148" w:lineRule="exact"/>
        <w:rPr>
          <w:sz w:val="20"/>
          <w:szCs w:val="20"/>
          <w:color w:val="auto"/>
        </w:rPr>
      </w:pPr>
    </w:p>
    <w:p>
      <w:pPr>
        <w:jc w:val="both"/>
        <w:ind w:right="20" w:firstLine="763"/>
        <w:spacing w:after="0" w:line="300" w:lineRule="auto"/>
        <w:rPr>
          <w:sz w:val="20"/>
          <w:szCs w:val="20"/>
          <w:color w:val="auto"/>
        </w:rPr>
      </w:pPr>
      <w:r>
        <w:rPr>
          <w:rFonts w:ascii="Arial" w:cs="Arial" w:eastAsia="Arial" w:hAnsi="Arial"/>
          <w:sz w:val="15"/>
          <w:szCs w:val="15"/>
          <w:b w:val="1"/>
          <w:bCs w:val="1"/>
          <w:color w:val="auto"/>
        </w:rPr>
        <w:t>6.07 Maintenance of Insurance</w:t>
      </w:r>
      <w:r>
        <w:rPr>
          <w:rFonts w:ascii="Arial" w:cs="Arial" w:eastAsia="Arial" w:hAnsi="Arial"/>
          <w:sz w:val="15"/>
          <w:szCs w:val="15"/>
          <w:color w:val="auto"/>
        </w:rPr>
        <w:t>. Maintain with financially sound and reputable insurance companies not Affiliates of the Borrowers, insurance with</w:t>
      </w:r>
      <w:r>
        <w:rPr>
          <w:rFonts w:ascii="Arial" w:cs="Arial" w:eastAsia="Arial" w:hAnsi="Arial"/>
          <w:sz w:val="15"/>
          <w:szCs w:val="15"/>
          <w:b w:val="1"/>
          <w:bCs w:val="1"/>
          <w:color w:val="auto"/>
        </w:rPr>
        <w:t xml:space="preserve"> </w:t>
      </w:r>
      <w:r>
        <w:rPr>
          <w:rFonts w:ascii="Arial" w:cs="Arial" w:eastAsia="Arial" w:hAnsi="Arial"/>
          <w:sz w:val="15"/>
          <w:szCs w:val="15"/>
          <w:color w:val="auto"/>
        </w:rPr>
        <w:t>respect to its properties and business against loss or damage of the kinds customarily insured against by Persons engaged in the same or similar business, of such types and in such amounts as are customarily carried under similar circumstances by such other Persons and providing for not less than 30 days’ prior notice to the Administrative Agent of termination, lapse or cancellation of such insurance (or 10 days’ prior notice in the case of termination or cancellation due to non-payment).</w:t>
      </w:r>
    </w:p>
    <w:p>
      <w:pPr>
        <w:spacing w:after="0" w:line="122" w:lineRule="exact"/>
        <w:rPr>
          <w:sz w:val="20"/>
          <w:szCs w:val="20"/>
          <w:color w:val="auto"/>
        </w:rPr>
      </w:pPr>
    </w:p>
    <w:p>
      <w:pPr>
        <w:jc w:val="both"/>
        <w:ind w:firstLine="763"/>
        <w:spacing w:after="0" w:line="312" w:lineRule="auto"/>
        <w:rPr>
          <w:sz w:val="20"/>
          <w:szCs w:val="20"/>
          <w:color w:val="auto"/>
        </w:rPr>
      </w:pPr>
      <w:r>
        <w:rPr>
          <w:rFonts w:ascii="Arial" w:cs="Arial" w:eastAsia="Arial" w:hAnsi="Arial"/>
          <w:sz w:val="15"/>
          <w:szCs w:val="15"/>
          <w:b w:val="1"/>
          <w:bCs w:val="1"/>
          <w:color w:val="auto"/>
        </w:rPr>
        <w:t>6.08 Compliance with Laws</w:t>
      </w:r>
      <w:r>
        <w:rPr>
          <w:rFonts w:ascii="Arial" w:cs="Arial" w:eastAsia="Arial" w:hAnsi="Arial"/>
          <w:sz w:val="15"/>
          <w:szCs w:val="15"/>
          <w:color w:val="auto"/>
        </w:rPr>
        <w:t>. Comply in all material respects with the requirements of all Laws and all orders, writs, injunctions and decrees applicable to</w:t>
      </w:r>
      <w:r>
        <w:rPr>
          <w:rFonts w:ascii="Arial" w:cs="Arial" w:eastAsia="Arial" w:hAnsi="Arial"/>
          <w:sz w:val="15"/>
          <w:szCs w:val="15"/>
          <w:b w:val="1"/>
          <w:bCs w:val="1"/>
          <w:color w:val="auto"/>
        </w:rPr>
        <w:t xml:space="preserve"> </w:t>
      </w:r>
      <w:r>
        <w:rPr>
          <w:rFonts w:ascii="Arial" w:cs="Arial" w:eastAsia="Arial" w:hAnsi="Arial"/>
          <w:sz w:val="15"/>
          <w:szCs w:val="15"/>
          <w:color w:val="auto"/>
        </w:rPr>
        <w:t>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13" w:lineRule="exact"/>
        <w:rPr>
          <w:sz w:val="20"/>
          <w:szCs w:val="20"/>
          <w:color w:val="auto"/>
        </w:rPr>
      </w:pPr>
    </w:p>
    <w:p>
      <w:pPr>
        <w:jc w:val="both"/>
        <w:ind w:firstLine="763"/>
        <w:spacing w:after="0" w:line="278" w:lineRule="auto"/>
        <w:rPr>
          <w:sz w:val="20"/>
          <w:szCs w:val="20"/>
          <w:color w:val="auto"/>
        </w:rPr>
      </w:pPr>
      <w:r>
        <w:rPr>
          <w:rFonts w:ascii="Arial" w:cs="Arial" w:eastAsia="Arial" w:hAnsi="Arial"/>
          <w:sz w:val="17"/>
          <w:szCs w:val="17"/>
          <w:b w:val="1"/>
          <w:bCs w:val="1"/>
          <w:color w:val="auto"/>
        </w:rPr>
        <w:t>6.09 Books and Records</w:t>
      </w:r>
      <w:r>
        <w:rPr>
          <w:rFonts w:ascii="Arial" w:cs="Arial" w:eastAsia="Arial" w:hAnsi="Arial"/>
          <w:sz w:val="17"/>
          <w:szCs w:val="17"/>
          <w:color w:val="auto"/>
        </w:rPr>
        <w:t>. Maintain proper books of record and account, in which full, true and correct entries in conformity with GAAP consistently</w:t>
      </w:r>
      <w:r>
        <w:rPr>
          <w:rFonts w:ascii="Arial" w:cs="Arial" w:eastAsia="Arial" w:hAnsi="Arial"/>
          <w:sz w:val="17"/>
          <w:szCs w:val="17"/>
          <w:b w:val="1"/>
          <w:bCs w:val="1"/>
          <w:color w:val="auto"/>
        </w:rPr>
        <w:t xml:space="preserve"> </w:t>
      </w:r>
      <w:r>
        <w:rPr>
          <w:rFonts w:ascii="Arial" w:cs="Arial" w:eastAsia="Arial" w:hAnsi="Arial"/>
          <w:sz w:val="17"/>
          <w:szCs w:val="17"/>
          <w:color w:val="auto"/>
        </w:rPr>
        <w:t>applied shall be made of all financial transactions and matters involving its assets and business.</w:t>
      </w:r>
    </w:p>
    <w:p>
      <w:pPr>
        <w:spacing w:after="0" w:line="133" w:lineRule="exact"/>
        <w:rPr>
          <w:sz w:val="20"/>
          <w:szCs w:val="20"/>
          <w:color w:val="auto"/>
        </w:rPr>
      </w:pPr>
    </w:p>
    <w:p>
      <w:pPr>
        <w:jc w:val="both"/>
        <w:ind w:firstLine="763"/>
        <w:spacing w:after="0" w:line="267" w:lineRule="auto"/>
        <w:rPr>
          <w:sz w:val="20"/>
          <w:szCs w:val="20"/>
          <w:color w:val="auto"/>
        </w:rPr>
      </w:pPr>
      <w:r>
        <w:rPr>
          <w:rFonts w:ascii="Arial" w:cs="Arial" w:eastAsia="Arial" w:hAnsi="Arial"/>
          <w:sz w:val="16"/>
          <w:szCs w:val="16"/>
          <w:b w:val="1"/>
          <w:bCs w:val="1"/>
          <w:color w:val="auto"/>
        </w:rPr>
        <w:t>6.10 Inspection Rights</w:t>
      </w:r>
      <w:r>
        <w:rPr>
          <w:rFonts w:ascii="Arial" w:cs="Arial" w:eastAsia="Arial" w:hAnsi="Arial"/>
          <w:sz w:val="16"/>
          <w:szCs w:val="16"/>
          <w:color w:val="auto"/>
        </w:rPr>
        <w:t>. Permit representatives and independent contractors of the Administrative Agent and each Lender to visit and inspect any of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properties, to examine its corporate, financial and operating records, and make copies thereof or abstracts therefrom, and to discuss its affairs, finances and accounts with its directors, officers, and independent public accountants, at such reasonable times during normal business hours and as often as may be reasonably desired, upon reasonable advance notice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excluding any such visits and inspections during the continuation of an Event of Default, only the Administrative Agent on behalf of the Lenders may exercise rights under this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and the Administrative Agent shall not exercise such rights more often than one time during any calendar year, it being understood that such time shall be at the Company’s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when an Event of Default exists the Administrative Agent or any Lender (or any of their respective representatives or independent contractors) may do any of the foregoing at the expense of the Company at any time during normal business hours and without advance notice.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40"/>
          </w:cols>
          <w:pgMar w:left="240" w:top="312" w:right="219" w:bottom="1440" w:gutter="0" w:footer="0" w:header="0"/>
        </w:sectPr>
      </w:pPr>
    </w:p>
    <w:bookmarkStart w:id="95" w:name="page96"/>
    <w:bookmarkEnd w:id="95"/>
    <w:p>
      <w:pPr>
        <w:jc w:val="both"/>
        <w:ind w:right="20" w:firstLine="763"/>
        <w:spacing w:after="0" w:line="285" w:lineRule="auto"/>
        <w:rPr>
          <w:sz w:val="20"/>
          <w:szCs w:val="20"/>
          <w:color w:val="auto"/>
        </w:rPr>
      </w:pPr>
      <w:r>
        <w:rPr>
          <w:rFonts w:ascii="Arial" w:cs="Arial" w:eastAsia="Arial" w:hAnsi="Arial"/>
          <w:sz w:val="16"/>
          <w:szCs w:val="16"/>
          <w:b w:val="1"/>
          <w:bCs w:val="1"/>
          <w:color w:val="auto"/>
        </w:rPr>
        <w:t>6.11 Use of Proceeds</w:t>
      </w:r>
      <w:r>
        <w:rPr>
          <w:rFonts w:ascii="Arial" w:cs="Arial" w:eastAsia="Arial" w:hAnsi="Arial"/>
          <w:sz w:val="16"/>
          <w:szCs w:val="16"/>
          <w:color w:val="auto"/>
        </w:rPr>
        <w:t>. Use the proceeds of the Credit Extensions (a) to refinance existing Indebtedness (including Indebtedness outstanding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Existing Credit Agreements), (b) to pay fees and expenses incurred in connection with the transactions contemplated hereby, (c) to provide ongoing working capital and (d) for other general corporate purposes of the Company and its Material Subsidiaries not in contravention of any Law or of any Loan Document.</w:t>
      </w:r>
    </w:p>
    <w:p>
      <w:pPr>
        <w:spacing w:after="0" w:line="130" w:lineRule="exact"/>
        <w:rPr>
          <w:sz w:val="20"/>
          <w:szCs w:val="20"/>
          <w:color w:val="auto"/>
        </w:rPr>
      </w:pPr>
    </w:p>
    <w:p>
      <w:pPr>
        <w:jc w:val="both"/>
        <w:ind w:firstLine="763"/>
        <w:spacing w:after="0" w:line="261" w:lineRule="auto"/>
        <w:rPr>
          <w:sz w:val="20"/>
          <w:szCs w:val="20"/>
          <w:color w:val="auto"/>
        </w:rPr>
      </w:pPr>
      <w:r>
        <w:rPr>
          <w:rFonts w:ascii="Arial" w:cs="Arial" w:eastAsia="Arial" w:hAnsi="Arial"/>
          <w:sz w:val="17"/>
          <w:szCs w:val="17"/>
          <w:b w:val="1"/>
          <w:bCs w:val="1"/>
          <w:color w:val="auto"/>
        </w:rPr>
        <w:t>6.12 Approvals and Authorizations</w:t>
      </w:r>
      <w:r>
        <w:rPr>
          <w:rFonts w:ascii="Arial" w:cs="Arial" w:eastAsia="Arial" w:hAnsi="Arial"/>
          <w:sz w:val="17"/>
          <w:szCs w:val="17"/>
          <w:color w:val="auto"/>
        </w:rPr>
        <w:t>. Maintain all authorizations, consents, approvals and licenses from, exemptions of, and filings and registrations with,</w:t>
      </w:r>
      <w:r>
        <w:rPr>
          <w:rFonts w:ascii="Arial" w:cs="Arial" w:eastAsia="Arial" w:hAnsi="Arial"/>
          <w:sz w:val="17"/>
          <w:szCs w:val="17"/>
          <w:b w:val="1"/>
          <w:bCs w:val="1"/>
          <w:color w:val="auto"/>
        </w:rPr>
        <w:t xml:space="preserve"> </w:t>
      </w:r>
      <w:r>
        <w:rPr>
          <w:rFonts w:ascii="Arial" w:cs="Arial" w:eastAsia="Arial" w:hAnsi="Arial"/>
          <w:sz w:val="17"/>
          <w:szCs w:val="17"/>
          <w:color w:val="auto"/>
        </w:rPr>
        <w:t>each Governmental Authority of the jurisdiction in which each Foreign Obligor is organized and existing, and all approvals and consents of each other Person in such jurisdiction, in each case that are required in connection with the Loan Documents.</w:t>
      </w:r>
    </w:p>
    <w:p>
      <w:pPr>
        <w:spacing w:after="0" w:line="148" w:lineRule="exact"/>
        <w:rPr>
          <w:sz w:val="20"/>
          <w:szCs w:val="20"/>
          <w:color w:val="auto"/>
        </w:rPr>
      </w:pPr>
    </w:p>
    <w:p>
      <w:pPr>
        <w:jc w:val="both"/>
        <w:ind w:firstLine="763"/>
        <w:spacing w:after="0" w:line="255" w:lineRule="auto"/>
        <w:rPr>
          <w:sz w:val="20"/>
          <w:szCs w:val="20"/>
          <w:color w:val="auto"/>
        </w:rPr>
      </w:pPr>
      <w:r>
        <w:rPr>
          <w:rFonts w:ascii="Arial" w:cs="Arial" w:eastAsia="Arial" w:hAnsi="Arial"/>
          <w:sz w:val="17"/>
          <w:szCs w:val="17"/>
          <w:b w:val="1"/>
          <w:bCs w:val="1"/>
          <w:color w:val="auto"/>
        </w:rPr>
        <w:t>6.13 Covenant to Guarantee Obligations and Give Security</w:t>
      </w:r>
      <w:r>
        <w:rPr>
          <w:rFonts w:ascii="Arial" w:cs="Arial" w:eastAsia="Arial" w:hAnsi="Arial"/>
          <w:sz w:val="17"/>
          <w:szCs w:val="17"/>
          <w:color w:val="auto"/>
        </w:rPr>
        <w:t>. Upon (x) the formation or acquisition of any new direct or indirect Material Subsidiary</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an Excluded Subsidiary) by any Loan Party or (y) any Subsidiary (other than an Excluded Subsidiary) becoming a Material Subsidiary (the date such Subsidiary is determined to be, or designated as, a Material Subsidiary in accordance with the definition thereof being the “</w:t>
      </w:r>
      <w:r>
        <w:rPr>
          <w:rFonts w:ascii="Arial" w:cs="Arial" w:eastAsia="Arial" w:hAnsi="Arial"/>
          <w:sz w:val="17"/>
          <w:szCs w:val="17"/>
          <w:u w:val="single" w:color="auto"/>
          <w:color w:val="auto"/>
        </w:rPr>
        <w:t>Material Subsidiary Date</w:t>
      </w:r>
      <w:r>
        <w:rPr>
          <w:rFonts w:ascii="Arial" w:cs="Arial" w:eastAsia="Arial" w:hAnsi="Arial"/>
          <w:sz w:val="17"/>
          <w:szCs w:val="17"/>
          <w:color w:val="auto"/>
        </w:rPr>
        <w:t>”), then the Company shall, in each case, at the Borrowers’ expense:</w:t>
      </w:r>
    </w:p>
    <w:p>
      <w:pPr>
        <w:spacing w:after="0" w:line="160" w:lineRule="exact"/>
        <w:rPr>
          <w:sz w:val="20"/>
          <w:szCs w:val="20"/>
          <w:color w:val="auto"/>
        </w:rPr>
      </w:pPr>
    </w:p>
    <w:p>
      <w:pPr>
        <w:jc w:val="both"/>
        <w:ind w:left="760" w:firstLine="709"/>
        <w:spacing w:after="0" w:line="249" w:lineRule="auto"/>
        <w:tabs>
          <w:tab w:leader="none" w:pos="1718" w:val="left"/>
        </w:tabs>
        <w:numPr>
          <w:ilvl w:val="0"/>
          <w:numId w:val="117"/>
        </w:numPr>
        <w:rPr>
          <w:rFonts w:ascii="Arial" w:cs="Arial" w:eastAsia="Arial" w:hAnsi="Arial"/>
          <w:sz w:val="17"/>
          <w:szCs w:val="17"/>
          <w:color w:val="auto"/>
        </w:rPr>
      </w:pPr>
      <w:r>
        <w:rPr>
          <w:rFonts w:ascii="Arial" w:cs="Arial" w:eastAsia="Arial" w:hAnsi="Arial"/>
          <w:sz w:val="17"/>
          <w:szCs w:val="17"/>
          <w:color w:val="auto"/>
        </w:rPr>
        <w:t>within 10 days after such formation, acquisition or Material Subsidiary Date, as applicable, cause such Material Subsidiary (such Material Subsidiary being a “</w:t>
      </w:r>
      <w:r>
        <w:rPr>
          <w:rFonts w:ascii="Arial" w:cs="Arial" w:eastAsia="Arial" w:hAnsi="Arial"/>
          <w:sz w:val="17"/>
          <w:szCs w:val="17"/>
          <w:u w:val="single" w:color="auto"/>
          <w:color w:val="auto"/>
        </w:rPr>
        <w:t>New Guarantor</w:t>
      </w:r>
      <w:r>
        <w:rPr>
          <w:rFonts w:ascii="Arial" w:cs="Arial" w:eastAsia="Arial" w:hAnsi="Arial"/>
          <w:sz w:val="17"/>
          <w:szCs w:val="17"/>
          <w:color w:val="auto"/>
        </w:rPr>
        <w:t xml:space="preserve">”) to duly execute and deliver to the Administrative Agent (i) a guaranty or guaranty supplement, in form and substance satisfactory to the Administrative Agent, guaranteeing, (x) in the case of a New Guarantor that is a Domestic Subsidiary, the Obligations or (y) in the case of a New Guarantor that is a Foreign Subsidiary, the Foreign Obligations (subject to the limitations as specified under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with respect to a German Loan Party) and (ii) if the German Parallel Debt Agreement has been delivered pursuant to </w:t>
      </w:r>
      <w:r>
        <w:rPr>
          <w:rFonts w:ascii="Arial" w:cs="Arial" w:eastAsia="Arial" w:hAnsi="Arial"/>
          <w:sz w:val="17"/>
          <w:szCs w:val="17"/>
          <w:u w:val="single" w:color="auto"/>
          <w:color w:val="auto"/>
        </w:rPr>
        <w:t>Section 6.19(a)</w:t>
      </w:r>
      <w:r>
        <w:rPr>
          <w:rFonts w:ascii="Arial" w:cs="Arial" w:eastAsia="Arial" w:hAnsi="Arial"/>
          <w:sz w:val="17"/>
          <w:szCs w:val="17"/>
          <w:color w:val="auto"/>
        </w:rPr>
        <w:t>, a joinder to the German Parallel Debt Agreement;</w:t>
      </w:r>
    </w:p>
    <w:p>
      <w:pPr>
        <w:spacing w:after="0" w:line="166" w:lineRule="exact"/>
        <w:rPr>
          <w:rFonts w:ascii="Arial" w:cs="Arial" w:eastAsia="Arial" w:hAnsi="Arial"/>
          <w:sz w:val="17"/>
          <w:szCs w:val="17"/>
          <w:color w:val="auto"/>
        </w:rPr>
      </w:pPr>
    </w:p>
    <w:p>
      <w:pPr>
        <w:jc w:val="both"/>
        <w:ind w:left="760" w:firstLine="709"/>
        <w:spacing w:after="0" w:line="264" w:lineRule="auto"/>
        <w:tabs>
          <w:tab w:leader="none" w:pos="171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with respect to each New Guarantor (i) that is a Domestic Subsidiary, within 15 days after such formation, acquisition or Material Subsidiary Date, as applicable, cause such New Guarantor to duly execute and deliver to the Administrative Agent Security Agreement Supplements and other security agreements, pledge agreements and account control agreements, as specified by and in form and substance satisfactory to the Administrative Agent (including delivery of all Equity Interests to be pledged and other instruments of the type specified in </w:t>
      </w:r>
      <w:r>
        <w:rPr>
          <w:rFonts w:ascii="Arial" w:cs="Arial" w:eastAsia="Arial" w:hAnsi="Arial"/>
          <w:sz w:val="16"/>
          <w:szCs w:val="16"/>
          <w:u w:val="single" w:color="auto"/>
          <w:color w:val="auto"/>
        </w:rPr>
        <w:t>Section 4.01</w:t>
      </w:r>
      <w:r>
        <w:rPr>
          <w:rFonts w:ascii="Arial" w:cs="Arial" w:eastAsia="Arial" w:hAnsi="Arial"/>
          <w:sz w:val="16"/>
          <w:szCs w:val="16"/>
          <w:color w:val="auto"/>
        </w:rPr>
        <w:t>), securing payment of all Obligations and constituting first priority, perfected Liens on all such New Guarantor’s property and assets or (ii) that is a Foreign Subsidiary, within 15 days after such formation, acquisition or Material Subsidiary Date, as applicable, cause such New Guarantor to duly execute and deliver to the Administrative Agent Security Agreement Supplements, pledge agreements and other security agreements and such other documents as the Administrative Agent shall reasonably deem appropriate for such purpose, in each case, as specified by and in form and substance satisfactory to the Administrative Agent (including delivery of all Equity Interests to be pledged), securing payment of all Foreign Obligations and constituting first priority, perfected Liens on all Equity Interests owned by such New Guarantor; and</w:t>
      </w:r>
    </w:p>
    <w:p>
      <w:pPr>
        <w:spacing w:after="0" w:line="156" w:lineRule="exact"/>
        <w:rPr>
          <w:rFonts w:ascii="Arial" w:cs="Arial" w:eastAsia="Arial" w:hAnsi="Arial"/>
          <w:sz w:val="16"/>
          <w:szCs w:val="16"/>
          <w:color w:val="auto"/>
        </w:rPr>
      </w:pPr>
    </w:p>
    <w:p>
      <w:pPr>
        <w:jc w:val="both"/>
        <w:ind w:left="760" w:firstLine="709"/>
        <w:spacing w:after="0" w:line="270" w:lineRule="auto"/>
        <w:tabs>
          <w:tab w:leader="none" w:pos="172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within 30 days after such formation, acquisition or Material Subsidiary Date, as applicable, cause such New Guarantor to take whatever action (including the filing of UCC financing statements) that may be necessary or advisable in the reasonable opinion of the Administrative Agent to vest in the Administrative Agent (or in any representative of the Administrative Agent designated by it) valid and subsisting Liens on the property purported to be subject to the Security Agreement Supplements, pledge agreements, security agreements, account control agreements and collateral access agreements delivered pursuant to this </w:t>
      </w:r>
      <w:r>
        <w:rPr>
          <w:rFonts w:ascii="Arial" w:cs="Arial" w:eastAsia="Arial" w:hAnsi="Arial"/>
          <w:sz w:val="16"/>
          <w:szCs w:val="16"/>
          <w:u w:val="single" w:color="auto"/>
          <w:color w:val="auto"/>
        </w:rPr>
        <w:t>Section 6.13</w:t>
      </w:r>
      <w:r>
        <w:rPr>
          <w:rFonts w:ascii="Arial" w:cs="Arial" w:eastAsia="Arial" w:hAnsi="Arial"/>
          <w:sz w:val="16"/>
          <w:szCs w:val="16"/>
          <w:color w:val="auto"/>
        </w:rPr>
        <w:t>, enforceable against all third parties in accordance with their terms; and</w:t>
      </w:r>
    </w:p>
    <w:p>
      <w:pPr>
        <w:spacing w:after="0" w:line="148" w:lineRule="exact"/>
        <w:rPr>
          <w:rFonts w:ascii="Arial" w:cs="Arial" w:eastAsia="Arial" w:hAnsi="Arial"/>
          <w:sz w:val="16"/>
          <w:szCs w:val="16"/>
          <w:color w:val="auto"/>
        </w:rPr>
      </w:pPr>
    </w:p>
    <w:p>
      <w:pPr>
        <w:jc w:val="both"/>
        <w:ind w:left="760" w:firstLine="709"/>
        <w:spacing w:after="0" w:line="253" w:lineRule="auto"/>
        <w:tabs>
          <w:tab w:leader="none" w:pos="1729"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within 60 days after such formation, acquisition or Material Subsidiary Date, as applicable, deliver to the Administrative Agent, upon the request of the Administrative Agent in its sole discretion, a signed copy of a favorable opinion, addressed to the Administrative Agent and the other Secured Parties, of counsel for the Loan Parties acceptable to the Administrative Agent as to the matters contained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above, and as to such other matters as the Administrative Agent may reasonably request.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40"/>
          </w:cols>
          <w:pgMar w:left="240" w:top="306" w:right="219" w:bottom="1440" w:gutter="0" w:footer="0" w:header="0"/>
        </w:sectPr>
      </w:pPr>
    </w:p>
    <w:bookmarkStart w:id="96" w:name="page97"/>
    <w:bookmarkEnd w:id="96"/>
    <w:p>
      <w:pPr>
        <w:jc w:val="both"/>
        <w:ind w:firstLine="763"/>
        <w:spacing w:after="0" w:line="247" w:lineRule="auto"/>
        <w:rPr>
          <w:sz w:val="20"/>
          <w:szCs w:val="20"/>
          <w:color w:val="auto"/>
        </w:rPr>
      </w:pPr>
      <w:r>
        <w:rPr>
          <w:rFonts w:ascii="Arial" w:cs="Arial" w:eastAsia="Arial" w:hAnsi="Arial"/>
          <w:sz w:val="17"/>
          <w:szCs w:val="17"/>
          <w:color w:val="auto"/>
        </w:rPr>
        <w:t>Notwithstanding anything to the contrary in any Loan Document, (i) no more than 66% of the voting Equity Interests of any first-tier Subsidiary that is a CFC or a CFC Holdco shall be pledged as security for the Obligations of the Company or any of its Domestic Subsidiaries if such pledge results in material adverse tax consequences for the Company and its Subsidiaries, taken as a whole, (ii) no Material Subsidiary that is a CFC or a CFC Holdco (or a Material Subsidiary that is held directly or indirectly by a CFC) shall be required to pledge as security for the Obligations of the Company or any of its Domestic Subsidiaries any of its assets if such pledge results in material adverse tax consequences for the Company and its Subsidiaries, taken as a whole, (iii) no Material Subsidiary that is a CFC or a CFC Holdco (or a Material Subsidiary that is held directly or indirectly by a CFC) shall be required to guarantee the Obligations of the Company or its Domestic Subsidiaries if such guaranty results in material adverse tax consequences for the Company and its Subsidiaries, taken as a whole and (iv) the Collateral shall not include (and no actions under clause (b) and (c) above shall be required with respect thereto) (x) any assets as to which the Administrative Agent and the Company agree that the costs or other consequences of obtaining a security interest or perfection thereof are excessive in view of the benefits to be obtained by the Secured Parties therefrom or (y) that certain fee owned real property of Westridge Haggerty, LLC located in Northville, Michigan and constituting the Company’s headquarters.</w:t>
      </w:r>
    </w:p>
    <w:p>
      <w:pPr>
        <w:spacing w:after="0" w:line="161" w:lineRule="exact"/>
        <w:rPr>
          <w:sz w:val="20"/>
          <w:szCs w:val="20"/>
          <w:color w:val="auto"/>
        </w:rPr>
      </w:pPr>
    </w:p>
    <w:p>
      <w:pPr>
        <w:jc w:val="both"/>
        <w:ind w:firstLine="763"/>
        <w:spacing w:after="0" w:line="265" w:lineRule="auto"/>
        <w:rPr>
          <w:sz w:val="20"/>
          <w:szCs w:val="20"/>
          <w:color w:val="auto"/>
        </w:rPr>
      </w:pPr>
      <w:r>
        <w:rPr>
          <w:rFonts w:ascii="Arial" w:cs="Arial" w:eastAsia="Arial" w:hAnsi="Arial"/>
          <w:sz w:val="16"/>
          <w:szCs w:val="16"/>
          <w:b w:val="1"/>
          <w:bCs w:val="1"/>
          <w:color w:val="auto"/>
        </w:rPr>
        <w:t>6.14 Compliance with Environmental Laws</w:t>
      </w:r>
      <w:r>
        <w:rPr>
          <w:rFonts w:ascii="Arial" w:cs="Arial" w:eastAsia="Arial" w:hAnsi="Arial"/>
          <w:sz w:val="16"/>
          <w:szCs w:val="16"/>
          <w:color w:val="auto"/>
        </w:rPr>
        <w:t>. Comply, and take commercially reasonable efforts to cause all lessees and other Persons operating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occupying its properties to comply, in all material respects, with all applicable Environmental Laws and Environmental Permits; obtain and renew all Environmental Permits necessary for its operations and properties, except where the failure to do so could not, individually or in the aggregate, reasonable be expected to have a Material Adverse Effect; and conduct any investigation, study, sampling and testing, and undertake any cleanup, removal, remedial or other action reasonably necessary to remove and clean up all Hazardous Materials from any of its properties, to the extent required by and in accordance with the requirements of all Environmental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it shall not be required to undertake any such cleanup, removal, remedial or other action to the extent that (x) its obligation to do so is being contested in good faith and by proper proceedings and appropriate reserves are being maintained with respect to such circumstances in accordance with GAAP or (y) such cleanup, removal, remedial or other action is not required by the applicable Governmental Authority after disclosure of the underlying matter to such Governmental Authority and the failure to undertake such cleanup, removal, remedial or other action could not, individually or in the aggregate, reasonably be expected to have a Material Adverse Effect.</w:t>
      </w:r>
    </w:p>
    <w:p>
      <w:pPr>
        <w:spacing w:after="0" w:line="149" w:lineRule="exact"/>
        <w:rPr>
          <w:sz w:val="20"/>
          <w:szCs w:val="20"/>
          <w:color w:val="auto"/>
        </w:rPr>
      </w:pPr>
    </w:p>
    <w:p>
      <w:pPr>
        <w:jc w:val="both"/>
        <w:ind w:firstLine="763"/>
        <w:spacing w:after="0" w:line="265" w:lineRule="auto"/>
        <w:rPr>
          <w:sz w:val="20"/>
          <w:szCs w:val="20"/>
          <w:color w:val="auto"/>
        </w:rPr>
      </w:pPr>
      <w:r>
        <w:rPr>
          <w:rFonts w:ascii="Arial" w:cs="Arial" w:eastAsia="Arial" w:hAnsi="Arial"/>
          <w:sz w:val="16"/>
          <w:szCs w:val="16"/>
          <w:b w:val="1"/>
          <w:bCs w:val="1"/>
          <w:color w:val="auto"/>
        </w:rPr>
        <w:t>6.15 Further Assurances</w:t>
      </w:r>
      <w:r>
        <w:rPr>
          <w:rFonts w:ascii="Arial" w:cs="Arial" w:eastAsia="Arial" w:hAnsi="Arial"/>
          <w:sz w:val="16"/>
          <w:szCs w:val="16"/>
          <w:color w:val="auto"/>
        </w:rPr>
        <w:t>. Promptly upon request by the Administrative Agent, or any Lender through the Administrative Agent, (a) correct any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to the fullest extent permitted by applicable law, subject any Loan Party’s or any of its Material Subsidiaries’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Material Subsidiaries is or is to be a party, and cause each of its Material Subsidiaries to do so.</w:t>
      </w:r>
    </w:p>
    <w:p>
      <w:pPr>
        <w:spacing w:after="0" w:line="149" w:lineRule="exact"/>
        <w:rPr>
          <w:sz w:val="20"/>
          <w:szCs w:val="20"/>
          <w:color w:val="auto"/>
        </w:rPr>
      </w:pPr>
    </w:p>
    <w:p>
      <w:pPr>
        <w:jc w:val="both"/>
        <w:ind w:firstLine="763"/>
        <w:spacing w:after="0" w:line="253" w:lineRule="auto"/>
        <w:rPr>
          <w:sz w:val="20"/>
          <w:szCs w:val="20"/>
          <w:color w:val="auto"/>
        </w:rPr>
      </w:pPr>
      <w:r>
        <w:rPr>
          <w:rFonts w:ascii="Arial" w:cs="Arial" w:eastAsia="Arial" w:hAnsi="Arial"/>
          <w:sz w:val="17"/>
          <w:szCs w:val="17"/>
          <w:b w:val="1"/>
          <w:bCs w:val="1"/>
          <w:color w:val="auto"/>
        </w:rPr>
        <w:t>6.16 Compliance with Terms of Leaseholds</w:t>
      </w:r>
      <w:r>
        <w:rPr>
          <w:rFonts w:ascii="Arial" w:cs="Arial" w:eastAsia="Arial" w:hAnsi="Arial"/>
          <w:sz w:val="17"/>
          <w:szCs w:val="17"/>
          <w:color w:val="auto"/>
        </w:rPr>
        <w:t>. Make all payments and otherwise perform all obligations in respect of all leases of real property to which it</w:t>
      </w:r>
      <w:r>
        <w:rPr>
          <w:rFonts w:ascii="Arial" w:cs="Arial" w:eastAsia="Arial" w:hAnsi="Arial"/>
          <w:sz w:val="17"/>
          <w:szCs w:val="17"/>
          <w:b w:val="1"/>
          <w:bCs w:val="1"/>
          <w:color w:val="auto"/>
        </w:rPr>
        <w:t xml:space="preserve"> </w:t>
      </w:r>
      <w:r>
        <w:rPr>
          <w:rFonts w:ascii="Arial" w:cs="Arial" w:eastAsia="Arial" w:hAnsi="Arial"/>
          <w:sz w:val="17"/>
          <w:szCs w:val="17"/>
          <w:color w:val="auto"/>
        </w:rPr>
        <w:t>is a party, keep such leases in full force and effect and not allow such leases to lapse or be terminated or any rights to renew such leases to be forfeited or cancelled, notify the Administrative Agent of any default by any party with respect to such leases and cooperate with the Administrative Agent in all respects to cure any such default, and cause each of its Material Subsidiaries to do so, except, in any case, where the failure to do so, either individually or in the aggregate, could not be reasonably likely to have a Material Adverse Effect.</w:t>
      </w:r>
    </w:p>
    <w:p>
      <w:pPr>
        <w:spacing w:after="0" w:line="154" w:lineRule="exact"/>
        <w:rPr>
          <w:sz w:val="20"/>
          <w:szCs w:val="20"/>
          <w:color w:val="auto"/>
        </w:rPr>
      </w:pPr>
    </w:p>
    <w:p>
      <w:pPr>
        <w:jc w:val="both"/>
        <w:ind w:firstLine="763"/>
        <w:spacing w:after="0" w:line="285" w:lineRule="auto"/>
        <w:rPr>
          <w:sz w:val="20"/>
          <w:szCs w:val="20"/>
          <w:color w:val="auto"/>
        </w:rPr>
      </w:pPr>
      <w:r>
        <w:rPr>
          <w:rFonts w:ascii="Arial" w:cs="Arial" w:eastAsia="Arial" w:hAnsi="Arial"/>
          <w:sz w:val="16"/>
          <w:szCs w:val="16"/>
          <w:b w:val="1"/>
          <w:bCs w:val="1"/>
          <w:color w:val="auto"/>
        </w:rPr>
        <w:t>6.17 Lien Searches</w:t>
      </w:r>
      <w:r>
        <w:rPr>
          <w:rFonts w:ascii="Arial" w:cs="Arial" w:eastAsia="Arial" w:hAnsi="Arial"/>
          <w:sz w:val="16"/>
          <w:szCs w:val="16"/>
          <w:color w:val="auto"/>
        </w:rPr>
        <w:t>. Promptly following receipt of the acknowledgment copy of any financing statements filed with respect to it under the UCC in any</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by or on behalf of the Secured Parties, deliver to the Administrative Agent completed requests for information listing such financing statement and all other effective financing statements filed in such jurisdiction that name any Loan Party as debtor, together with copies of such other financing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40"/>
          </w:cols>
          <w:pgMar w:left="240" w:top="312" w:right="219" w:bottom="1440" w:gutter="0" w:footer="0" w:header="0"/>
        </w:sectPr>
      </w:pPr>
    </w:p>
    <w:bookmarkStart w:id="97" w:name="page98"/>
    <w:bookmarkEnd w:id="97"/>
    <w:p>
      <w:pPr>
        <w:jc w:val="both"/>
        <w:ind w:firstLine="763"/>
        <w:spacing w:after="0" w:line="251" w:lineRule="auto"/>
        <w:rPr>
          <w:sz w:val="20"/>
          <w:szCs w:val="20"/>
          <w:color w:val="auto"/>
        </w:rPr>
      </w:pPr>
      <w:r>
        <w:rPr>
          <w:rFonts w:ascii="Arial" w:cs="Arial" w:eastAsia="Arial" w:hAnsi="Arial"/>
          <w:sz w:val="17"/>
          <w:szCs w:val="17"/>
          <w:b w:val="1"/>
          <w:bCs w:val="1"/>
          <w:color w:val="auto"/>
        </w:rPr>
        <w:t>6.18 Material Contracts</w:t>
      </w:r>
      <w:r>
        <w:rPr>
          <w:rFonts w:ascii="Arial" w:cs="Arial" w:eastAsia="Arial" w:hAnsi="Arial"/>
          <w:sz w:val="17"/>
          <w:szCs w:val="17"/>
          <w:color w:val="auto"/>
        </w:rPr>
        <w:t>. Perform and observe all the terms and provisions of each Material Contract to be performed or observed by it, maintain each</w:t>
      </w:r>
      <w:r>
        <w:rPr>
          <w:rFonts w:ascii="Arial" w:cs="Arial" w:eastAsia="Arial" w:hAnsi="Arial"/>
          <w:sz w:val="17"/>
          <w:szCs w:val="17"/>
          <w:b w:val="1"/>
          <w:bCs w:val="1"/>
          <w:color w:val="auto"/>
        </w:rPr>
        <w:t xml:space="preserve"> </w:t>
      </w:r>
      <w:r>
        <w:rPr>
          <w:rFonts w:ascii="Arial" w:cs="Arial" w:eastAsia="Arial" w:hAnsi="Arial"/>
          <w:sz w:val="17"/>
          <w:szCs w:val="17"/>
          <w:color w:val="auto"/>
        </w:rPr>
        <w:t>such Material Contract in full force and effect, enforce each such Material Contract in accordance with its terms, take all such action to such end as may be from time to time requested by the Administrative Agent and, upon request of the Administrative Agent, make to each other party to each such Material Contract such demands and requests for information and reports or for action as it or any of its Subsidiaries is entitled to make under such Material Contract, and cause each of its Subsidiaries to do so, except, in any case, where the failure to do so, either individually or in the aggregate, could not reasonably be expected to have a Material Adverse Effect.</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6.19 Post-Closing Obligations</w:t>
      </w:r>
      <w:r>
        <w:rPr>
          <w:rFonts w:ascii="Arial" w:cs="Arial" w:eastAsia="Arial" w:hAnsi="Arial"/>
          <w:sz w:val="17"/>
          <w:szCs w:val="17"/>
          <w:color w:val="auto"/>
        </w:rPr>
        <w:t>.</w:t>
      </w:r>
    </w:p>
    <w:p>
      <w:pPr>
        <w:spacing w:after="0" w:line="197" w:lineRule="exact"/>
        <w:rPr>
          <w:sz w:val="20"/>
          <w:szCs w:val="20"/>
          <w:color w:val="auto"/>
        </w:rPr>
      </w:pPr>
    </w:p>
    <w:p>
      <w:pPr>
        <w:jc w:val="both"/>
        <w:ind w:left="760" w:firstLine="709"/>
        <w:spacing w:after="0" w:line="264" w:lineRule="auto"/>
        <w:tabs>
          <w:tab w:leader="none" w:pos="1709"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If the Reorganization is not consummated within ninety (90) days of the Closing Date, pledge to the Administrative Agent, for the benefit of the Secured Parties, any Equity Interests in Gentherm Germany directly owned by a Loan Party (subject to the limitations set forth in the final paragraph of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pursuant to the German Share Pledge Agreement and (i) cause the German Share Pledge Agreement to be appropriately executed, delivered and notarized in Germany, (ii) cause the German Parallel Debt Agreement to be appropriately executed and delivered, (iii) pay all applicable filing and notarization fees in connection therewith, (iv) deliver to the Administrative Agent any amendments to Gentherm Germany’s Organization Documents as are requested by the Administrative Agent in connection with the German Share Pledge Agreement and (v) deliver to the Administrative Agent such other documents, agreements or instruments as the Administrative Agent shall reasonably require in connection therewith, including, upon the request of the Administrative Agent in its sole discretion, a signed copy of a favorable opinion, addressed to the Administrative Agent and the other Secured Parties, of counsel for the Loan Parties acceptable to the Administrative Agent as to the matters contained in this </w:t>
      </w:r>
      <w:r>
        <w:rPr>
          <w:rFonts w:ascii="Arial" w:cs="Arial" w:eastAsia="Arial" w:hAnsi="Arial"/>
          <w:sz w:val="16"/>
          <w:szCs w:val="16"/>
          <w:u w:val="single" w:color="auto"/>
          <w:color w:val="auto"/>
        </w:rPr>
        <w:t>clause (a)</w:t>
      </w:r>
      <w:r>
        <w:rPr>
          <w:rFonts w:ascii="Arial" w:cs="Arial" w:eastAsia="Arial" w:hAnsi="Arial"/>
          <w:sz w:val="16"/>
          <w:szCs w:val="16"/>
          <w:color w:val="auto"/>
        </w:rPr>
        <w:t>, and as to such other matters as the Administrative Agent may reasonably request.</w:t>
      </w:r>
    </w:p>
    <w:p>
      <w:pPr>
        <w:spacing w:after="0" w:line="156" w:lineRule="exact"/>
        <w:rPr>
          <w:rFonts w:ascii="Arial" w:cs="Arial" w:eastAsia="Arial" w:hAnsi="Arial"/>
          <w:sz w:val="16"/>
          <w:szCs w:val="16"/>
          <w:color w:val="auto"/>
        </w:rPr>
      </w:pPr>
    </w:p>
    <w:p>
      <w:pPr>
        <w:jc w:val="both"/>
        <w:ind w:left="760" w:firstLine="709"/>
        <w:spacing w:after="0" w:line="249" w:lineRule="auto"/>
        <w:tabs>
          <w:tab w:leader="none" w:pos="1718"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If the Reorganization is consummated within ninety (90) days of the Closing Date, pledge to the Administrative Agent, for the benefit of the Secured Parties, any Equity Interests in any Luxembourg Reorganization Subsidiary directly owned by a Loan Party (subject to the limitations set forth in the final paragraph of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pay all applicable filing and notarization fees in connection therewith and deliver to the Administrative Agent such other documents, agreements or instruments as the Administrative Agent shall reasonably require in connection therewith, including, upon the request of the Administrative Agent in its sole discretion, a signed copy of a favorable opinion, addressed to the Administrative Agent and the other Secured Parties, of counsel for the Loan Parties acceptable to the Administrative Agent as to the matters contained in this </w:t>
      </w:r>
      <w:r>
        <w:rPr>
          <w:rFonts w:ascii="Arial" w:cs="Arial" w:eastAsia="Arial" w:hAnsi="Arial"/>
          <w:sz w:val="17"/>
          <w:szCs w:val="17"/>
          <w:u w:val="single" w:color="auto"/>
          <w:color w:val="auto"/>
        </w:rPr>
        <w:t>clause (b)</w:t>
      </w:r>
      <w:r>
        <w:rPr>
          <w:rFonts w:ascii="Arial" w:cs="Arial" w:eastAsia="Arial" w:hAnsi="Arial"/>
          <w:sz w:val="17"/>
          <w:szCs w:val="17"/>
          <w:color w:val="auto"/>
        </w:rPr>
        <w:t>, and as to such other matters as the Administrative Agent may reasonably request.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NEGATIVE COVENANTS</w:t>
      </w:r>
    </w:p>
    <w:p>
      <w:pPr>
        <w:spacing w:after="0" w:line="177" w:lineRule="exact"/>
        <w:rPr>
          <w:sz w:val="20"/>
          <w:szCs w:val="20"/>
          <w:color w:val="auto"/>
        </w:rPr>
      </w:pPr>
    </w:p>
    <w:p>
      <w:pPr>
        <w:jc w:val="both"/>
        <w:ind w:right="20" w:firstLine="763"/>
        <w:spacing w:after="0" w:line="257" w:lineRule="auto"/>
        <w:rPr>
          <w:sz w:val="20"/>
          <w:szCs w:val="20"/>
          <w:color w:val="auto"/>
        </w:rPr>
      </w:pPr>
      <w:r>
        <w:rPr>
          <w:rFonts w:ascii="Arial" w:cs="Arial" w:eastAsia="Arial" w:hAnsi="Arial"/>
          <w:sz w:val="17"/>
          <w:szCs w:val="17"/>
          <w:color w:val="auto"/>
        </w:rPr>
        <w:t>So long as any Lender shall have any Commitment hereunder, any Loan or other Obligation hereunder shall remain unpaid or unsatisfied (other than any contingent claims for indemnification or expense reimbursement not yet asserted), or any Letter of Credit shall remain outstanding, the Company shall not, nor shall it permit any other Borrower or any Material Subsidiary to, directly or indirectly:</w:t>
      </w:r>
    </w:p>
    <w:p>
      <w:pPr>
        <w:spacing w:after="0" w:line="151" w:lineRule="exact"/>
        <w:rPr>
          <w:sz w:val="20"/>
          <w:szCs w:val="20"/>
          <w:color w:val="auto"/>
        </w:rPr>
      </w:pPr>
    </w:p>
    <w:p>
      <w:pPr>
        <w:jc w:val="both"/>
        <w:ind w:firstLine="763"/>
        <w:spacing w:after="0" w:line="278" w:lineRule="auto"/>
        <w:rPr>
          <w:sz w:val="20"/>
          <w:szCs w:val="20"/>
          <w:color w:val="auto"/>
        </w:rPr>
      </w:pPr>
      <w:r>
        <w:rPr>
          <w:rFonts w:ascii="Arial" w:cs="Arial" w:eastAsia="Arial" w:hAnsi="Arial"/>
          <w:sz w:val="17"/>
          <w:szCs w:val="17"/>
          <w:b w:val="1"/>
          <w:bCs w:val="1"/>
          <w:color w:val="auto"/>
        </w:rPr>
        <w:t>7.01 Liens</w:t>
      </w:r>
      <w:r>
        <w:rPr>
          <w:rFonts w:ascii="Arial" w:cs="Arial" w:eastAsia="Arial" w:hAnsi="Arial"/>
          <w:sz w:val="17"/>
          <w:szCs w:val="17"/>
          <w:color w:val="auto"/>
        </w:rPr>
        <w:t>. Create, incur, assume or suffer to exist any Lien upon any of its property, assets or revenues, whether now owned or hereafter acquired, other</w:t>
      </w:r>
      <w:r>
        <w:rPr>
          <w:rFonts w:ascii="Arial" w:cs="Arial" w:eastAsia="Arial" w:hAnsi="Arial"/>
          <w:sz w:val="17"/>
          <w:szCs w:val="17"/>
          <w:b w:val="1"/>
          <w:bCs w:val="1"/>
          <w:color w:val="auto"/>
        </w:rPr>
        <w:t xml:space="preserve"> </w:t>
      </w:r>
      <w:r>
        <w:rPr>
          <w:rFonts w:ascii="Arial" w:cs="Arial" w:eastAsia="Arial" w:hAnsi="Arial"/>
          <w:sz w:val="17"/>
          <w:szCs w:val="17"/>
          <w:color w:val="auto"/>
        </w:rPr>
        <w:t>than the following:</w:t>
      </w:r>
    </w:p>
    <w:p>
      <w:pPr>
        <w:spacing w:after="0" w:line="139" w:lineRule="exact"/>
        <w:rPr>
          <w:sz w:val="20"/>
          <w:szCs w:val="20"/>
          <w:color w:val="auto"/>
        </w:rPr>
      </w:pPr>
    </w:p>
    <w:p>
      <w:pPr>
        <w:ind w:left="1700" w:hanging="231"/>
        <w:spacing w:after="0"/>
        <w:tabs>
          <w:tab w:leader="none" w:pos="17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Liens pursuant to any Loan Document;</w:t>
      </w:r>
    </w:p>
    <w:p>
      <w:pPr>
        <w:spacing w:after="0" w:line="191" w:lineRule="exact"/>
        <w:rPr>
          <w:rFonts w:ascii="Arial" w:cs="Arial" w:eastAsia="Arial" w:hAnsi="Arial"/>
          <w:sz w:val="17"/>
          <w:szCs w:val="17"/>
          <w:color w:val="auto"/>
        </w:rPr>
      </w:pPr>
    </w:p>
    <w:p>
      <w:pPr>
        <w:jc w:val="both"/>
        <w:ind w:left="760" w:firstLine="709"/>
        <w:spacing w:after="0" w:line="253" w:lineRule="auto"/>
        <w:tabs>
          <w:tab w:leader="none" w:pos="1721"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Liens existing on the date hereof and listed on </w:t>
      </w:r>
      <w:r>
        <w:rPr>
          <w:rFonts w:ascii="Arial" w:cs="Arial" w:eastAsia="Arial" w:hAnsi="Arial"/>
          <w:sz w:val="17"/>
          <w:szCs w:val="17"/>
          <w:u w:val="single" w:color="auto"/>
          <w:color w:val="auto"/>
        </w:rPr>
        <w:t>Schedule 7.01</w:t>
      </w:r>
      <w:r>
        <w:rPr>
          <w:rFonts w:ascii="Arial" w:cs="Arial" w:eastAsia="Arial" w:hAnsi="Arial"/>
          <w:sz w:val="17"/>
          <w:szCs w:val="17"/>
          <w:color w:val="auto"/>
        </w:rPr>
        <w:t xml:space="preserve"> and any renewals or extensions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property covered thereby is not changed, (ii) the amount secured or benefited thereby is not increased except as contemplated by </w:t>
      </w:r>
      <w:r>
        <w:rPr>
          <w:rFonts w:ascii="Arial" w:cs="Arial" w:eastAsia="Arial" w:hAnsi="Arial"/>
          <w:sz w:val="17"/>
          <w:szCs w:val="17"/>
          <w:u w:val="single" w:color="auto"/>
          <w:color w:val="auto"/>
        </w:rPr>
        <w:t>Section 7.03(b)</w:t>
      </w:r>
      <w:r>
        <w:rPr>
          <w:rFonts w:ascii="Arial" w:cs="Arial" w:eastAsia="Arial" w:hAnsi="Arial"/>
          <w:sz w:val="17"/>
          <w:szCs w:val="17"/>
          <w:color w:val="auto"/>
        </w:rPr>
        <w:t xml:space="preserve">, (iii) the direct or any contingent obligor with respect thereto is not changed, and (iv) any renewal or extension of the obligations secured or benefited thereby is permitted by </w:t>
      </w:r>
      <w:r>
        <w:rPr>
          <w:rFonts w:ascii="Arial" w:cs="Arial" w:eastAsia="Arial" w:hAnsi="Arial"/>
          <w:sz w:val="17"/>
          <w:szCs w:val="17"/>
          <w:u w:val="single" w:color="auto"/>
          <w:color w:val="auto"/>
        </w:rPr>
        <w:t>Section 7.03(b)</w:t>
      </w:r>
      <w:r>
        <w:rPr>
          <w:rFonts w:ascii="Arial" w:cs="Arial" w:eastAsia="Arial" w:hAnsi="Arial"/>
          <w:sz w:val="17"/>
          <w:szCs w:val="17"/>
          <w:color w:val="auto"/>
        </w:rPr>
        <w: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40"/>
          </w:cols>
          <w:pgMar w:left="240" w:top="306" w:right="219" w:bottom="1440" w:gutter="0" w:footer="0" w:header="0"/>
        </w:sectPr>
      </w:pPr>
    </w:p>
    <w:bookmarkStart w:id="98" w:name="page99"/>
    <w:bookmarkEnd w:id="98"/>
    <w:p>
      <w:pPr>
        <w:ind w:right="20" w:firstLine="709"/>
        <w:spacing w:after="0" w:line="271" w:lineRule="auto"/>
        <w:tabs>
          <w:tab w:leader="none" w:pos="966" w:val="left"/>
        </w:tabs>
        <w:numPr>
          <w:ilvl w:val="0"/>
          <w:numId w:val="120"/>
        </w:numPr>
        <w:rPr>
          <w:rFonts w:ascii="Arial" w:cs="Arial" w:eastAsia="Arial" w:hAnsi="Arial"/>
          <w:sz w:val="17"/>
          <w:szCs w:val="17"/>
          <w:color w:val="auto"/>
        </w:rPr>
      </w:pPr>
      <w:r>
        <w:rPr>
          <w:rFonts w:ascii="Arial" w:cs="Arial" w:eastAsia="Arial" w:hAnsi="Arial"/>
          <w:sz w:val="17"/>
          <w:szCs w:val="17"/>
          <w:color w:val="auto"/>
        </w:rPr>
        <w:t>Liens for taxes not yet due or which are being contested in good faith and by appropriate proceedings diligently conducted, if adequate reserves with respect thereto are maintained on the books of the applicable Person in accordance with GAAP;</w:t>
      </w:r>
    </w:p>
    <w:p>
      <w:pPr>
        <w:spacing w:after="0" w:line="144" w:lineRule="exact"/>
        <w:rPr>
          <w:rFonts w:ascii="Arial" w:cs="Arial" w:eastAsia="Arial" w:hAnsi="Arial"/>
          <w:sz w:val="17"/>
          <w:szCs w:val="17"/>
          <w:color w:val="auto"/>
        </w:rPr>
      </w:pPr>
    </w:p>
    <w:p>
      <w:pPr>
        <w:jc w:val="both"/>
        <w:ind w:right="20" w:firstLine="709"/>
        <w:spacing w:after="0" w:line="257" w:lineRule="auto"/>
        <w:tabs>
          <w:tab w:leader="none" w:pos="966" w:val="left"/>
        </w:tabs>
        <w:numPr>
          <w:ilvl w:val="0"/>
          <w:numId w:val="120"/>
        </w:numPr>
        <w:rPr>
          <w:rFonts w:ascii="Arial" w:cs="Arial" w:eastAsia="Arial" w:hAnsi="Arial"/>
          <w:sz w:val="17"/>
          <w:szCs w:val="17"/>
          <w:color w:val="auto"/>
        </w:rPr>
      </w:pPr>
      <w:r>
        <w:rPr>
          <w:rFonts w:ascii="Arial" w:cs="Arial" w:eastAsia="Arial" w:hAnsi="Arial"/>
          <w:sz w:val="17"/>
          <w:szCs w:val="17"/>
          <w:color w:val="auto"/>
        </w:rPr>
        <w:t>carriers’, warehousemen’s, mechanics’, materialmen’s, repairmen’s or other like Liens arising in the ordinary course of business which are not overdue for a period of more than 30 days or which are being contested in good faith and by appropriate proceedings diligently conducted, if adequate reserves with respect thereto are maintained on the books of the applicable Person in accordance with GAAP;</w:t>
      </w:r>
    </w:p>
    <w:p>
      <w:pPr>
        <w:spacing w:after="0" w:line="157" w:lineRule="exact"/>
        <w:rPr>
          <w:rFonts w:ascii="Arial" w:cs="Arial" w:eastAsia="Arial" w:hAnsi="Arial"/>
          <w:sz w:val="17"/>
          <w:szCs w:val="17"/>
          <w:color w:val="auto"/>
        </w:rPr>
      </w:pPr>
    </w:p>
    <w:p>
      <w:pPr>
        <w:jc w:val="both"/>
        <w:ind w:firstLine="709"/>
        <w:spacing w:after="0" w:line="257" w:lineRule="auto"/>
        <w:tabs>
          <w:tab w:leader="none" w:pos="957" w:val="left"/>
        </w:tabs>
        <w:numPr>
          <w:ilvl w:val="0"/>
          <w:numId w:val="120"/>
        </w:numPr>
        <w:rPr>
          <w:rFonts w:ascii="Arial" w:cs="Arial" w:eastAsia="Arial" w:hAnsi="Arial"/>
          <w:sz w:val="17"/>
          <w:szCs w:val="17"/>
          <w:color w:val="auto"/>
        </w:rPr>
      </w:pPr>
      <w:r>
        <w:rPr>
          <w:rFonts w:ascii="Arial" w:cs="Arial" w:eastAsia="Arial" w:hAnsi="Arial"/>
          <w:sz w:val="17"/>
          <w:szCs w:val="17"/>
          <w:color w:val="auto"/>
        </w:rPr>
        <w:t>with respect to the German Loan Parties, customary retention of title arrangements (including any extended retention of title arrangements (</w:t>
      </w:r>
      <w:r>
        <w:rPr>
          <w:rFonts w:ascii="Arial" w:cs="Arial" w:eastAsia="Arial" w:hAnsi="Arial"/>
          <w:sz w:val="17"/>
          <w:szCs w:val="17"/>
          <w:i w:val="1"/>
          <w:iCs w:val="1"/>
          <w:color w:val="auto"/>
        </w:rPr>
        <w:t>verlängerter Eigentumsvorbehalt</w:t>
      </w:r>
      <w:r>
        <w:rPr>
          <w:rFonts w:ascii="Arial" w:cs="Arial" w:eastAsia="Arial" w:hAnsi="Arial"/>
          <w:sz w:val="17"/>
          <w:szCs w:val="17"/>
          <w:color w:val="auto"/>
        </w:rPr>
        <w:t>)) arising in the ordinary course of business and pledges in favor of account banks pursuant to their general terms and conditions (</w:t>
      </w:r>
      <w:r>
        <w:rPr>
          <w:rFonts w:ascii="Arial" w:cs="Arial" w:eastAsia="Arial" w:hAnsi="Arial"/>
          <w:sz w:val="17"/>
          <w:szCs w:val="17"/>
          <w:i w:val="1"/>
          <w:iCs w:val="1"/>
          <w:color w:val="auto"/>
        </w:rPr>
        <w:t>Allgemeine Geschäftsbedingungen</w:t>
      </w:r>
      <w:r>
        <w:rPr>
          <w:rFonts w:ascii="Arial" w:cs="Arial" w:eastAsia="Arial" w:hAnsi="Arial"/>
          <w:sz w:val="17"/>
          <w:szCs w:val="17"/>
          <w:color w:val="auto"/>
        </w:rPr>
        <w:t>) with respect to bank accounts;</w:t>
      </w:r>
    </w:p>
    <w:p>
      <w:pPr>
        <w:spacing w:after="0" w:line="157" w:lineRule="exact"/>
        <w:rPr>
          <w:rFonts w:ascii="Arial" w:cs="Arial" w:eastAsia="Arial" w:hAnsi="Arial"/>
          <w:sz w:val="17"/>
          <w:szCs w:val="17"/>
          <w:color w:val="auto"/>
        </w:rPr>
      </w:pPr>
    </w:p>
    <w:p>
      <w:pPr>
        <w:ind w:firstLine="709"/>
        <w:spacing w:after="0" w:line="271" w:lineRule="auto"/>
        <w:tabs>
          <w:tab w:leader="none" w:pos="93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pledges or deposits in the ordinary course of business in connection with workers’ compensation, unemployment insurance and other social security legislation, other than any Lien imposed by ERISA;</w:t>
      </w:r>
    </w:p>
    <w:p>
      <w:pPr>
        <w:spacing w:after="0" w:line="144" w:lineRule="exact"/>
        <w:rPr>
          <w:rFonts w:ascii="Arial" w:cs="Arial" w:eastAsia="Arial" w:hAnsi="Arial"/>
          <w:sz w:val="17"/>
          <w:szCs w:val="17"/>
          <w:color w:val="auto"/>
        </w:rPr>
      </w:pPr>
    </w:p>
    <w:p>
      <w:pPr>
        <w:ind w:right="20" w:firstLine="709"/>
        <w:spacing w:after="0" w:line="271" w:lineRule="auto"/>
        <w:tabs>
          <w:tab w:leader="none" w:pos="977" w:val="left"/>
        </w:tabs>
        <w:numPr>
          <w:ilvl w:val="0"/>
          <w:numId w:val="120"/>
        </w:numPr>
        <w:rPr>
          <w:rFonts w:ascii="Arial" w:cs="Arial" w:eastAsia="Arial" w:hAnsi="Arial"/>
          <w:sz w:val="17"/>
          <w:szCs w:val="17"/>
          <w:color w:val="auto"/>
        </w:rPr>
      </w:pPr>
      <w:r>
        <w:rPr>
          <w:rFonts w:ascii="Arial" w:cs="Arial" w:eastAsia="Arial" w:hAnsi="Arial"/>
          <w:sz w:val="17"/>
          <w:szCs w:val="17"/>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144" w:lineRule="exact"/>
        <w:rPr>
          <w:rFonts w:ascii="Arial" w:cs="Arial" w:eastAsia="Arial" w:hAnsi="Arial"/>
          <w:sz w:val="17"/>
          <w:szCs w:val="17"/>
          <w:color w:val="auto"/>
        </w:rPr>
      </w:pPr>
    </w:p>
    <w:p>
      <w:pPr>
        <w:jc w:val="both"/>
        <w:ind w:firstLine="709"/>
        <w:spacing w:after="0" w:line="257" w:lineRule="auto"/>
        <w:tabs>
          <w:tab w:leader="none" w:pos="966" w:val="left"/>
        </w:tabs>
        <w:numPr>
          <w:ilvl w:val="0"/>
          <w:numId w:val="120"/>
        </w:numPr>
        <w:rPr>
          <w:rFonts w:ascii="Arial" w:cs="Arial" w:eastAsia="Arial" w:hAnsi="Arial"/>
          <w:sz w:val="17"/>
          <w:szCs w:val="17"/>
          <w:color w:val="auto"/>
        </w:rPr>
      </w:pPr>
      <w:r>
        <w:rPr>
          <w:rFonts w:ascii="Arial" w:cs="Arial" w:eastAsia="Arial" w:hAnsi="Arial"/>
          <w:sz w:val="17"/>
          <w:szCs w:val="17"/>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57" w:lineRule="exact"/>
        <w:rPr>
          <w:rFonts w:ascii="Arial" w:cs="Arial" w:eastAsia="Arial" w:hAnsi="Arial"/>
          <w:sz w:val="17"/>
          <w:szCs w:val="17"/>
          <w:color w:val="auto"/>
        </w:rPr>
      </w:pPr>
    </w:p>
    <w:p>
      <w:pPr>
        <w:ind w:left="920" w:hanging="211"/>
        <w:spacing w:after="0"/>
        <w:tabs>
          <w:tab w:leader="none" w:pos="9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Liens securing judgments for the payment of money not constituting an Event of Default under </w:t>
      </w:r>
      <w:r>
        <w:rPr>
          <w:rFonts w:ascii="Arial" w:cs="Arial" w:eastAsia="Arial" w:hAnsi="Arial"/>
          <w:sz w:val="17"/>
          <w:szCs w:val="17"/>
          <w:u w:val="single" w:color="auto"/>
          <w:color w:val="auto"/>
        </w:rPr>
        <w:t>Section 8.01(h)</w:t>
      </w:r>
      <w:r>
        <w:rPr>
          <w:rFonts w:ascii="Arial" w:cs="Arial" w:eastAsia="Arial" w:hAnsi="Arial"/>
          <w:sz w:val="17"/>
          <w:szCs w:val="17"/>
          <w:color w:val="auto"/>
        </w:rPr>
        <w:t>;</w:t>
      </w:r>
    </w:p>
    <w:p>
      <w:pPr>
        <w:spacing w:after="0" w:line="191" w:lineRule="exact"/>
        <w:rPr>
          <w:rFonts w:ascii="Arial" w:cs="Arial" w:eastAsia="Arial" w:hAnsi="Arial"/>
          <w:sz w:val="17"/>
          <w:szCs w:val="17"/>
          <w:color w:val="auto"/>
        </w:rPr>
      </w:pPr>
    </w:p>
    <w:p>
      <w:pPr>
        <w:jc w:val="both"/>
        <w:ind w:right="20" w:firstLine="709"/>
        <w:spacing w:after="0" w:line="257" w:lineRule="auto"/>
        <w:tabs>
          <w:tab w:leader="none" w:pos="933"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Liens securing Indebtedness permitted under </w:t>
      </w:r>
      <w:r>
        <w:rPr>
          <w:rFonts w:ascii="Arial" w:cs="Arial" w:eastAsia="Arial" w:hAnsi="Arial"/>
          <w:sz w:val="17"/>
          <w:szCs w:val="17"/>
          <w:u w:val="single" w:color="auto"/>
          <w:color w:val="auto"/>
        </w:rPr>
        <w:t>Section 7.03(e)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(i)such Liens do not at any time encumber any property other than the property financed by such Indebtedness and (ii) the Indebtedness secured thereby does not exceed the cost or fair market value, whichever is lower, of the property being acquired on the date of acquisition;</w:t>
      </w:r>
    </w:p>
    <w:p>
      <w:pPr>
        <w:spacing w:after="0" w:line="157" w:lineRule="exact"/>
        <w:rPr>
          <w:rFonts w:ascii="Arial" w:cs="Arial" w:eastAsia="Arial" w:hAnsi="Arial"/>
          <w:sz w:val="17"/>
          <w:szCs w:val="17"/>
          <w:color w:val="auto"/>
        </w:rPr>
      </w:pPr>
    </w:p>
    <w:p>
      <w:pPr>
        <w:ind w:left="960" w:hanging="251"/>
        <w:spacing w:after="0"/>
        <w:tabs>
          <w:tab w:leader="none" w:pos="9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Liens on assets of Excluded Subsidiaries securing Indebtedness of Excluded Subsidiaries permitted by </w:t>
      </w:r>
      <w:r>
        <w:rPr>
          <w:rFonts w:ascii="Arial" w:cs="Arial" w:eastAsia="Arial" w:hAnsi="Arial"/>
          <w:sz w:val="17"/>
          <w:szCs w:val="17"/>
          <w:u w:val="single" w:color="auto"/>
          <w:color w:val="auto"/>
        </w:rPr>
        <w:t>Section 7.03(g)</w:t>
      </w:r>
      <w:r>
        <w:rPr>
          <w:rFonts w:ascii="Arial" w:cs="Arial" w:eastAsia="Arial" w:hAnsi="Arial"/>
          <w:sz w:val="17"/>
          <w:szCs w:val="17"/>
          <w:color w:val="auto"/>
        </w:rPr>
        <w:t>;</w:t>
      </w:r>
    </w:p>
    <w:p>
      <w:pPr>
        <w:spacing w:after="0" w:line="191" w:lineRule="exact"/>
        <w:rPr>
          <w:rFonts w:ascii="Arial" w:cs="Arial" w:eastAsia="Arial" w:hAnsi="Arial"/>
          <w:sz w:val="17"/>
          <w:szCs w:val="17"/>
          <w:color w:val="auto"/>
        </w:rPr>
      </w:pPr>
    </w:p>
    <w:p>
      <w:pPr>
        <w:ind w:left="940" w:hanging="231"/>
        <w:spacing w:after="0"/>
        <w:tabs>
          <w:tab w:leader="none" w:pos="9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Liens on the Equity Interests of Gentherm Vietnam Co. Ltd. securing Indebtedness of Gentherm Vietnam Co. Ltd. permitted by </w:t>
      </w:r>
      <w:r>
        <w:rPr>
          <w:rFonts w:ascii="Arial" w:cs="Arial" w:eastAsia="Arial" w:hAnsi="Arial"/>
          <w:sz w:val="16"/>
          <w:szCs w:val="16"/>
          <w:u w:val="single" w:color="auto"/>
          <w:color w:val="auto"/>
        </w:rPr>
        <w:t>Section</w:t>
      </w:r>
    </w:p>
    <w:p>
      <w:pPr>
        <w:spacing w:after="0" w:line="2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u w:val="single" w:color="auto"/>
          <w:color w:val="auto"/>
        </w:rPr>
        <w:t>7.03(g)</w:t>
      </w:r>
      <w:r>
        <w:rPr>
          <w:rFonts w:ascii="Arial" w:cs="Arial" w:eastAsia="Arial" w:hAnsi="Arial"/>
          <w:sz w:val="17"/>
          <w:szCs w:val="17"/>
          <w:color w:val="auto"/>
        </w:rPr>
        <w:t>;</w:t>
      </w:r>
    </w:p>
    <w:p>
      <w:pPr>
        <w:spacing w:after="0" w:line="177" w:lineRule="exact"/>
        <w:rPr>
          <w:rFonts w:ascii="Arial" w:cs="Arial" w:eastAsia="Arial" w:hAnsi="Arial"/>
          <w:sz w:val="16"/>
          <w:szCs w:val="16"/>
          <w:color w:val="auto"/>
        </w:rPr>
      </w:pPr>
    </w:p>
    <w:p>
      <w:pPr>
        <w:ind w:left="1000" w:hanging="291"/>
        <w:spacing w:after="0"/>
        <w:tabs>
          <w:tab w:leader="none" w:pos="10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Liens on the real property owned by Westridge Haggerty LLC securing the Indebtedness permitted by </w:t>
      </w:r>
      <w:r>
        <w:rPr>
          <w:rFonts w:ascii="Arial" w:cs="Arial" w:eastAsia="Arial" w:hAnsi="Arial"/>
          <w:sz w:val="17"/>
          <w:szCs w:val="17"/>
          <w:u w:val="single" w:color="auto"/>
          <w:color w:val="auto"/>
        </w:rPr>
        <w:t>Section 7.03(i)</w:t>
      </w:r>
      <w:r>
        <w:rPr>
          <w:rFonts w:ascii="Arial" w:cs="Arial" w:eastAsia="Arial" w:hAnsi="Arial"/>
          <w:sz w:val="17"/>
          <w:szCs w:val="17"/>
          <w:color w:val="auto"/>
        </w:rPr>
        <w:t>; and</w:t>
      </w:r>
    </w:p>
    <w:p>
      <w:pPr>
        <w:spacing w:after="0" w:line="191" w:lineRule="exact"/>
        <w:rPr>
          <w:rFonts w:ascii="Arial" w:cs="Arial" w:eastAsia="Arial" w:hAnsi="Arial"/>
          <w:sz w:val="17"/>
          <w:szCs w:val="17"/>
          <w:color w:val="auto"/>
        </w:rPr>
      </w:pPr>
    </w:p>
    <w:p>
      <w:pPr>
        <w:jc w:val="both"/>
        <w:ind w:firstLine="709"/>
        <w:spacing w:after="0" w:line="253" w:lineRule="auto"/>
        <w:tabs>
          <w:tab w:leader="none" w:pos="967" w:val="left"/>
        </w:tabs>
        <w:numPr>
          <w:ilvl w:val="0"/>
          <w:numId w:val="120"/>
        </w:numPr>
        <w:rPr>
          <w:rFonts w:ascii="Arial" w:cs="Arial" w:eastAsia="Arial" w:hAnsi="Arial"/>
          <w:sz w:val="17"/>
          <w:szCs w:val="17"/>
          <w:color w:val="auto"/>
        </w:rPr>
      </w:pPr>
      <w:r>
        <w:rPr>
          <w:rFonts w:ascii="Arial" w:cs="Arial" w:eastAsia="Arial" w:hAnsi="Arial"/>
          <w:sz w:val="17"/>
          <w:szCs w:val="17"/>
          <w:color w:val="auto"/>
        </w:rPr>
        <w:t>so long as the L/C Issuer has not issued a backstop Letter of Credit in favor of The Bank of Nova Scotia in connection with the Global Letters of Guarantee and credit card obligations owed to The Bank of Nova Scotia, Liens of The Bank of Nova Scotia on cash collateral posted by Global, in an amount not to exceed $2,500,000, to support its obligations to The Bank of Nova Scotia under the Global Letters of Guarantee and/or under credit card obligations owed to The Bank of Nova Scotia.</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7.02 Investments</w:t>
      </w:r>
      <w:r>
        <w:rPr>
          <w:rFonts w:ascii="Arial" w:cs="Arial" w:eastAsia="Arial" w:hAnsi="Arial"/>
          <w:sz w:val="17"/>
          <w:szCs w:val="17"/>
          <w:color w:val="auto"/>
        </w:rPr>
        <w:t>. Make any Investments, except:</w:t>
      </w:r>
    </w:p>
    <w:p>
      <w:pPr>
        <w:spacing w:after="0" w:line="197" w:lineRule="exact"/>
        <w:rPr>
          <w:sz w:val="20"/>
          <w:szCs w:val="20"/>
          <w:color w:val="auto"/>
        </w:rPr>
      </w:pPr>
    </w:p>
    <w:p>
      <w:pPr>
        <w:jc w:val="both"/>
        <w:ind w:firstLine="709"/>
        <w:spacing w:after="0" w:line="257" w:lineRule="auto"/>
        <w:tabs>
          <w:tab w:leader="none" w:pos="95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Investments held or made by the Company or such Material Subsidiary in the form of Cash Equivalents or any other form permitted under and in accordance with the corporate cash investment policy of the Company as in effect on the Closing Date or thereafter to the extent of any changes approved by the Required Lenders in their sole discretion;</w:t>
      </w:r>
    </w:p>
    <w:p>
      <w:pPr>
        <w:spacing w:after="0" w:line="157"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0680"/>
          </w:cols>
          <w:pgMar w:left="1000" w:top="312" w:right="219" w:bottom="1440" w:gutter="0" w:footer="0" w:header="0"/>
        </w:sectPr>
      </w:pPr>
    </w:p>
    <w:bookmarkStart w:id="99" w:name="page100"/>
    <w:bookmarkEnd w:id="99"/>
    <w:p>
      <w:pPr>
        <w:ind w:right="20" w:firstLine="709"/>
        <w:spacing w:after="0" w:line="271" w:lineRule="auto"/>
        <w:tabs>
          <w:tab w:leader="none" w:pos="962"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advances to officers, directors and employees of the Company and its Material Subsidiaries in an aggregate amount not to exceed $500,000 at any time outstanding, for travel, entertainment, relocation and analogous ordinary business purposes;</w:t>
      </w:r>
    </w:p>
    <w:p>
      <w:pPr>
        <w:spacing w:after="0" w:line="144" w:lineRule="exact"/>
        <w:rPr>
          <w:rFonts w:ascii="Arial" w:cs="Arial" w:eastAsia="Arial" w:hAnsi="Arial"/>
          <w:sz w:val="17"/>
          <w:szCs w:val="17"/>
          <w:color w:val="auto"/>
        </w:rPr>
      </w:pPr>
    </w:p>
    <w:p>
      <w:pPr>
        <w:jc w:val="both"/>
        <w:ind w:firstLine="709"/>
        <w:spacing w:after="0" w:line="257" w:lineRule="auto"/>
        <w:tabs>
          <w:tab w:leader="none" w:pos="959"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 Investments in any Person that is a Loan Party prior to giving effect to such Investment (including any new Subsidiary that becomes a Loan Party simultaneously with such Investment) and (ii) Investments by any Material Subsidiary of the Company that is not a Loan Party in any Subsidiary of the Company that is not a Loan Party;</w:t>
      </w:r>
    </w:p>
    <w:p>
      <w:pPr>
        <w:spacing w:after="0" w:line="157" w:lineRule="exact"/>
        <w:rPr>
          <w:rFonts w:ascii="Arial" w:cs="Arial" w:eastAsia="Arial" w:hAnsi="Arial"/>
          <w:sz w:val="17"/>
          <w:szCs w:val="17"/>
          <w:color w:val="auto"/>
        </w:rPr>
      </w:pPr>
    </w:p>
    <w:p>
      <w:pPr>
        <w:jc w:val="both"/>
        <w:ind w:firstLine="709"/>
        <w:spacing w:after="0" w:line="257" w:lineRule="auto"/>
        <w:tabs>
          <w:tab w:leader="none" w:pos="957"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57" w:lineRule="exact"/>
        <w:rPr>
          <w:rFonts w:ascii="Arial" w:cs="Arial" w:eastAsia="Arial" w:hAnsi="Arial"/>
          <w:sz w:val="17"/>
          <w:szCs w:val="17"/>
          <w:color w:val="auto"/>
        </w:rPr>
      </w:pPr>
    </w:p>
    <w:p>
      <w:pPr>
        <w:ind w:right="20" w:firstLine="709"/>
        <w:spacing w:after="0" w:line="271" w:lineRule="auto"/>
        <w:tabs>
          <w:tab w:leader="none" w:pos="952"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Guarantees either (i) permitted by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or (ii) of Indebtedness of any Subsidiary which Indebtedness would be permitted by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7.03(e)</w:t>
      </w:r>
      <w:r>
        <w:rPr>
          <w:rFonts w:ascii="Arial" w:cs="Arial" w:eastAsia="Arial" w:hAnsi="Arial"/>
          <w:sz w:val="17"/>
          <w:szCs w:val="17"/>
          <w:color w:val="auto"/>
        </w:rPr>
        <w:t xml:space="preserve"> if incurred directly by the Borrowers or any Material Subsidiary of the Borrowers;</w:t>
      </w:r>
    </w:p>
    <w:p>
      <w:pPr>
        <w:spacing w:after="0" w:line="144" w:lineRule="exact"/>
        <w:rPr>
          <w:rFonts w:ascii="Arial" w:cs="Arial" w:eastAsia="Arial" w:hAnsi="Arial"/>
          <w:sz w:val="17"/>
          <w:szCs w:val="17"/>
          <w:color w:val="auto"/>
        </w:rPr>
      </w:pPr>
    </w:p>
    <w:p>
      <w:pPr>
        <w:ind w:left="920" w:hanging="211"/>
        <w:spacing w:after="0"/>
        <w:tabs>
          <w:tab w:leader="none" w:pos="9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Permitted Acquisitions;</w:t>
      </w:r>
    </w:p>
    <w:p>
      <w:pPr>
        <w:spacing w:after="0" w:line="191" w:lineRule="exact"/>
        <w:rPr>
          <w:rFonts w:ascii="Arial" w:cs="Arial" w:eastAsia="Arial" w:hAnsi="Arial"/>
          <w:sz w:val="17"/>
          <w:szCs w:val="17"/>
          <w:color w:val="auto"/>
        </w:rPr>
      </w:pPr>
    </w:p>
    <w:p>
      <w:pPr>
        <w:ind w:left="960" w:hanging="251"/>
        <w:spacing w:after="0"/>
        <w:tabs>
          <w:tab w:leader="none" w:pos="9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Investments existing as of the Closing Date and set forth in </w:t>
      </w:r>
      <w:r>
        <w:rPr>
          <w:rFonts w:ascii="Arial" w:cs="Arial" w:eastAsia="Arial" w:hAnsi="Arial"/>
          <w:sz w:val="17"/>
          <w:szCs w:val="17"/>
          <w:u w:val="single" w:color="auto"/>
          <w:color w:val="auto"/>
        </w:rPr>
        <w:t>Schedule 7.02</w:t>
      </w:r>
      <w:r>
        <w:rPr>
          <w:rFonts w:ascii="Arial" w:cs="Arial" w:eastAsia="Arial" w:hAnsi="Arial"/>
          <w:sz w:val="17"/>
          <w:szCs w:val="17"/>
          <w:color w:val="auto"/>
        </w:rPr>
        <w:t>;</w:t>
      </w:r>
    </w:p>
    <w:p>
      <w:pPr>
        <w:spacing w:after="0" w:line="191" w:lineRule="exact"/>
        <w:rPr>
          <w:rFonts w:ascii="Arial" w:cs="Arial" w:eastAsia="Arial" w:hAnsi="Arial"/>
          <w:sz w:val="17"/>
          <w:szCs w:val="17"/>
          <w:color w:val="auto"/>
        </w:rPr>
      </w:pPr>
    </w:p>
    <w:p>
      <w:pPr>
        <w:ind w:right="20" w:firstLine="709"/>
        <w:spacing w:after="0" w:line="271" w:lineRule="auto"/>
        <w:tabs>
          <w:tab w:leader="none" w:pos="963"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Investments made in Subsidiaries of the Company that are organized in Vietnam, in an aggregate amount not to exceed $15,000,000 at any one time outstanding;</w:t>
      </w:r>
    </w:p>
    <w:p>
      <w:pPr>
        <w:spacing w:after="0" w:line="144" w:lineRule="exact"/>
        <w:rPr>
          <w:rFonts w:ascii="Arial" w:cs="Arial" w:eastAsia="Arial" w:hAnsi="Arial"/>
          <w:sz w:val="17"/>
          <w:szCs w:val="17"/>
          <w:color w:val="auto"/>
        </w:rPr>
      </w:pPr>
    </w:p>
    <w:p>
      <w:pPr>
        <w:ind w:right="20" w:firstLine="709"/>
        <w:spacing w:after="0" w:line="271" w:lineRule="auto"/>
        <w:tabs>
          <w:tab w:leader="none" w:pos="93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Investments made after the Closing Date in Subsidiaries of the Company that are organized in the Ukraine, in an aggregate amount not to exceed $7,000,000 at any one time outstanding;</w:t>
      </w:r>
    </w:p>
    <w:p>
      <w:pPr>
        <w:spacing w:after="0" w:line="144" w:lineRule="exact"/>
        <w:rPr>
          <w:rFonts w:ascii="Arial" w:cs="Arial" w:eastAsia="Arial" w:hAnsi="Arial"/>
          <w:sz w:val="17"/>
          <w:szCs w:val="17"/>
          <w:color w:val="auto"/>
        </w:rPr>
      </w:pPr>
    </w:p>
    <w:p>
      <w:pPr>
        <w:ind w:right="20" w:firstLine="709"/>
        <w:spacing w:after="0" w:line="303" w:lineRule="auto"/>
        <w:tabs>
          <w:tab w:leader="none" w:pos="928"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other Investments made after the Closing Date not exceeding $10,000,000 in the aggregate at any one time outstanding anytime thereafter;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no such Investments shall be made in Subsidiaries of the Company that are organized in Vietnam or the Ukraine; and</w:t>
      </w:r>
    </w:p>
    <w:p>
      <w:pPr>
        <w:spacing w:after="0" w:line="121" w:lineRule="exact"/>
        <w:rPr>
          <w:rFonts w:ascii="Arial" w:cs="Arial" w:eastAsia="Arial" w:hAnsi="Arial"/>
          <w:sz w:val="16"/>
          <w:szCs w:val="16"/>
          <w:color w:val="auto"/>
        </w:rPr>
      </w:pPr>
    </w:p>
    <w:p>
      <w:pPr>
        <w:ind w:left="960" w:hanging="251"/>
        <w:spacing w:after="0"/>
        <w:tabs>
          <w:tab w:leader="none" w:pos="9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Global Acquisition.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7.03 Indebtedness</w:t>
      </w:r>
      <w:r>
        <w:rPr>
          <w:rFonts w:ascii="Arial" w:cs="Arial" w:eastAsia="Arial" w:hAnsi="Arial"/>
          <w:sz w:val="17"/>
          <w:szCs w:val="17"/>
          <w:color w:val="auto"/>
        </w:rPr>
        <w:t>. Create, incur, assume or suffer to exist any Indebtedness, except:</w:t>
      </w:r>
    </w:p>
    <w:p>
      <w:pPr>
        <w:spacing w:after="0" w:line="197" w:lineRule="exact"/>
        <w:rPr>
          <w:sz w:val="20"/>
          <w:szCs w:val="20"/>
          <w:color w:val="auto"/>
        </w:rPr>
      </w:pPr>
    </w:p>
    <w:p>
      <w:pPr>
        <w:ind w:left="940" w:hanging="231"/>
        <w:spacing w:after="0"/>
        <w:tabs>
          <w:tab w:leader="none" w:pos="9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Indebtedness under the Loan Documents;</w:t>
      </w:r>
    </w:p>
    <w:p>
      <w:pPr>
        <w:spacing w:after="0" w:line="191" w:lineRule="exact"/>
        <w:rPr>
          <w:rFonts w:ascii="Arial" w:cs="Arial" w:eastAsia="Arial" w:hAnsi="Arial"/>
          <w:sz w:val="17"/>
          <w:szCs w:val="17"/>
          <w:color w:val="auto"/>
        </w:rPr>
      </w:pPr>
    </w:p>
    <w:p>
      <w:pPr>
        <w:jc w:val="both"/>
        <w:ind w:firstLine="709"/>
        <w:spacing w:after="0" w:line="286" w:lineRule="auto"/>
        <w:tabs>
          <w:tab w:leader="none" w:pos="967" w:val="left"/>
        </w:tabs>
        <w:numPr>
          <w:ilvl w:val="0"/>
          <w:numId w:val="123"/>
        </w:numPr>
        <w:rPr>
          <w:rFonts w:ascii="Arial" w:cs="Arial" w:eastAsia="Arial" w:hAnsi="Arial"/>
          <w:sz w:val="15"/>
          <w:szCs w:val="15"/>
          <w:color w:val="auto"/>
        </w:rPr>
      </w:pPr>
      <w:r>
        <w:rPr>
          <w:rFonts w:ascii="Arial" w:cs="Arial" w:eastAsia="Arial" w:hAnsi="Arial"/>
          <w:sz w:val="15"/>
          <w:szCs w:val="15"/>
          <w:color w:val="auto"/>
        </w:rPr>
        <w:t xml:space="preserve">Indebtedness outstanding on the date hereof and listed on </w:t>
      </w:r>
      <w:r>
        <w:rPr>
          <w:rFonts w:ascii="Arial" w:cs="Arial" w:eastAsia="Arial" w:hAnsi="Arial"/>
          <w:sz w:val="15"/>
          <w:szCs w:val="15"/>
          <w:u w:val="single" w:color="auto"/>
          <w:color w:val="auto"/>
        </w:rPr>
        <w:t>Schedule 7.03</w:t>
      </w:r>
      <w:r>
        <w:rPr>
          <w:rFonts w:ascii="Arial" w:cs="Arial" w:eastAsia="Arial" w:hAnsi="Arial"/>
          <w:sz w:val="15"/>
          <w:szCs w:val="15"/>
          <w:color w:val="auto"/>
        </w:rPr>
        <w:t xml:space="preserve"> and any refinancings, refundings, renewals or extensions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and (ii) the terms relating to principal amount, amortization, maturity, collateral (if any) and subordination (if any), and other material terms taken as a whole, of any such refinancing, refunding, renewing or extending Indebtedness, and of any agreement entered into and of any instrument issued in connection therewith, are no less favorable in any material respect to the Loan Parties or the Lenders than the terms of any agreement or instrument governing the Indebtedness being refinanced, refunded, renewed or extended and the interest rate applicable to any such refinancing, refunding, renewing or extending Indebtedness does not exceed the then applicable market interest rate;</w:t>
      </w:r>
    </w:p>
    <w:p>
      <w:pPr>
        <w:spacing w:after="0" w:line="137" w:lineRule="exact"/>
        <w:rPr>
          <w:rFonts w:ascii="Arial" w:cs="Arial" w:eastAsia="Arial" w:hAnsi="Arial"/>
          <w:sz w:val="15"/>
          <w:szCs w:val="15"/>
          <w:color w:val="auto"/>
        </w:rPr>
      </w:pPr>
    </w:p>
    <w:p>
      <w:pPr>
        <w:ind w:firstLine="709"/>
        <w:spacing w:after="0" w:line="271" w:lineRule="auto"/>
        <w:tabs>
          <w:tab w:leader="none" w:pos="961"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Guarantees of the Company or any Loan Party in respect of (i) Indebtedness otherwise permitted hereunder of the Company or any other Loan Party and (ii) Indebtedness of Excluded Subsidiaries permitted by </w:t>
      </w:r>
      <w:r>
        <w:rPr>
          <w:rFonts w:ascii="Arial" w:cs="Arial" w:eastAsia="Arial" w:hAnsi="Arial"/>
          <w:sz w:val="17"/>
          <w:szCs w:val="17"/>
          <w:u w:val="single" w:color="auto"/>
          <w:color w:val="auto"/>
        </w:rPr>
        <w:t>Section 7.03(g)</w:t>
      </w:r>
      <w:r>
        <w:rPr>
          <w:rFonts w:ascii="Arial" w:cs="Arial" w:eastAsia="Arial" w:hAnsi="Arial"/>
          <w:sz w:val="17"/>
          <w:szCs w:val="17"/>
          <w:color w:val="auto"/>
        </w:rPr>
        <w:t>;</w:t>
      </w:r>
    </w:p>
    <w:p>
      <w:pPr>
        <w:spacing w:after="0" w:line="145"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0680"/>
          </w:cols>
          <w:pgMar w:left="1000" w:top="312" w:right="219" w:bottom="1440" w:gutter="0" w:footer="0" w:header="0"/>
        </w:sectPr>
      </w:pPr>
    </w:p>
    <w:bookmarkStart w:id="100" w:name="page101"/>
    <w:bookmarkEnd w:id="100"/>
    <w:p>
      <w:pPr>
        <w:ind w:left="1720" w:hanging="251"/>
        <w:spacing w:after="0"/>
        <w:tabs>
          <w:tab w:leader="none" w:pos="1720" w:val="left"/>
        </w:tabs>
        <w:numPr>
          <w:ilvl w:val="1"/>
          <w:numId w:val="124"/>
        </w:numPr>
        <w:rPr>
          <w:rFonts w:ascii="Arial" w:cs="Arial" w:eastAsia="Arial" w:hAnsi="Arial"/>
          <w:sz w:val="15"/>
          <w:szCs w:val="15"/>
          <w:color w:val="auto"/>
        </w:rPr>
      </w:pPr>
      <w:r>
        <w:rPr>
          <w:rFonts w:ascii="Arial" w:cs="Arial" w:eastAsia="Arial" w:hAnsi="Arial"/>
          <w:sz w:val="15"/>
          <w:szCs w:val="15"/>
          <w:color w:val="auto"/>
        </w:rPr>
        <w:t xml:space="preserve">obligations (contingent or otherwise) of the Company or any Material Subsidiary existing or arising under any Swap Contract,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w:t>
      </w:r>
    </w:p>
    <w:p>
      <w:pPr>
        <w:spacing w:after="0" w:line="40" w:lineRule="exact"/>
        <w:rPr>
          <w:rFonts w:ascii="Arial" w:cs="Arial" w:eastAsia="Arial" w:hAnsi="Arial"/>
          <w:sz w:val="15"/>
          <w:szCs w:val="15"/>
          <w:color w:val="auto"/>
        </w:rPr>
      </w:pPr>
    </w:p>
    <w:p>
      <w:pPr>
        <w:jc w:val="both"/>
        <w:ind w:left="760" w:hanging="3"/>
        <w:spacing w:after="0" w:line="268" w:lineRule="auto"/>
        <w:tabs>
          <w:tab w:leader="none" w:pos="968" w:val="left"/>
        </w:tabs>
        <w:numPr>
          <w:ilvl w:val="0"/>
          <w:numId w:val="125"/>
        </w:numPr>
        <w:rPr>
          <w:rFonts w:ascii="Arial" w:cs="Arial" w:eastAsia="Arial" w:hAnsi="Arial"/>
          <w:sz w:val="16"/>
          <w:szCs w:val="16"/>
          <w:color w:val="auto"/>
        </w:rPr>
      </w:pPr>
      <w:r>
        <w:rPr>
          <w:rFonts w:ascii="Arial" w:cs="Arial" w:eastAsia="Arial" w:hAnsi="Arial"/>
          <w:sz w:val="16"/>
          <w:szCs w:val="16"/>
          <w:color w:val="auto"/>
        </w:rPr>
        <w:t>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148" w:lineRule="exact"/>
        <w:rPr>
          <w:rFonts w:ascii="Arial" w:cs="Arial" w:eastAsia="Arial" w:hAnsi="Arial"/>
          <w:sz w:val="16"/>
          <w:szCs w:val="16"/>
          <w:color w:val="auto"/>
        </w:rPr>
      </w:pPr>
    </w:p>
    <w:p>
      <w:pPr>
        <w:jc w:val="both"/>
        <w:ind w:left="760" w:firstLine="709"/>
        <w:spacing w:after="0" w:line="257" w:lineRule="auto"/>
        <w:tabs>
          <w:tab w:leader="none" w:pos="1709" w:val="left"/>
        </w:tabs>
        <w:numPr>
          <w:ilvl w:val="1"/>
          <w:numId w:val="125"/>
        </w:numPr>
        <w:rPr>
          <w:rFonts w:ascii="Arial" w:cs="Arial" w:eastAsia="Arial" w:hAnsi="Arial"/>
          <w:sz w:val="17"/>
          <w:szCs w:val="17"/>
          <w:color w:val="auto"/>
        </w:rPr>
      </w:pPr>
      <w:r>
        <w:rPr>
          <w:rFonts w:ascii="Arial" w:cs="Arial" w:eastAsia="Arial" w:hAnsi="Arial"/>
          <w:sz w:val="17"/>
          <w:szCs w:val="17"/>
          <w:color w:val="auto"/>
        </w:rPr>
        <w:t xml:space="preserve">Indebtedness in respect of Capitalized Leases, Synthetic Lease Obligations and purchase money obligations for fixed or capital assets within the limitations set forth in </w:t>
      </w:r>
      <w:r>
        <w:rPr>
          <w:rFonts w:ascii="Arial" w:cs="Arial" w:eastAsia="Arial" w:hAnsi="Arial"/>
          <w:sz w:val="17"/>
          <w:szCs w:val="17"/>
          <w:u w:val="single" w:color="auto"/>
          <w:color w:val="auto"/>
        </w:rPr>
        <w:t>Section 7.01(j)</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aggregate amount of all such Indebtedness at any one time outstanding shall not exceed $3,000,000;</w:t>
      </w:r>
    </w:p>
    <w:p>
      <w:pPr>
        <w:spacing w:after="0" w:line="157" w:lineRule="exact"/>
        <w:rPr>
          <w:rFonts w:ascii="Arial" w:cs="Arial" w:eastAsia="Arial" w:hAnsi="Arial"/>
          <w:sz w:val="17"/>
          <w:szCs w:val="17"/>
          <w:color w:val="auto"/>
        </w:rPr>
      </w:pPr>
    </w:p>
    <w:p>
      <w:pPr>
        <w:ind w:left="1680" w:hanging="211"/>
        <w:spacing w:after="0"/>
        <w:tabs>
          <w:tab w:leader="none" w:pos="168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 xml:space="preserve">intercompany Indebtedness among the Loan Parties and their respective Subsidiaries to the extent permitted under </w:t>
      </w:r>
      <w:r>
        <w:rPr>
          <w:rFonts w:ascii="Arial" w:cs="Arial" w:eastAsia="Arial" w:hAnsi="Arial"/>
          <w:sz w:val="16"/>
          <w:szCs w:val="16"/>
          <w:u w:val="single" w:color="auto"/>
          <w:color w:val="auto"/>
        </w:rPr>
        <w:t>Section 7.02(c)</w:t>
      </w:r>
      <w:r>
        <w:rPr>
          <w:rFonts w:ascii="Arial" w:cs="Arial" w:eastAsia="Arial" w:hAnsi="Arial"/>
          <w:sz w:val="16"/>
          <w:szCs w:val="16"/>
          <w:color w:val="auto"/>
        </w:rPr>
        <w:t>;</w:t>
      </w:r>
    </w:p>
    <w:p>
      <w:pPr>
        <w:spacing w:after="0" w:line="202" w:lineRule="exact"/>
        <w:rPr>
          <w:rFonts w:ascii="Arial" w:cs="Arial" w:eastAsia="Arial" w:hAnsi="Arial"/>
          <w:sz w:val="16"/>
          <w:szCs w:val="16"/>
          <w:color w:val="auto"/>
        </w:rPr>
      </w:pPr>
    </w:p>
    <w:p>
      <w:pPr>
        <w:ind w:left="1740" w:hanging="271"/>
        <w:spacing w:after="0"/>
        <w:tabs>
          <w:tab w:leader="none" w:pos="174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Indebtedness of the Company and its Material Subsidiaries in an aggregate principal amount not to exceed $15,000,000 at any time</w:t>
      </w:r>
    </w:p>
    <w:p>
      <w:pPr>
        <w:spacing w:after="0" w:line="29"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7"/>
          <w:szCs w:val="17"/>
          <w:color w:val="auto"/>
        </w:rPr>
        <w:t>outstanding;</w:t>
      </w:r>
    </w:p>
    <w:p>
      <w:pPr>
        <w:spacing w:after="0" w:line="177" w:lineRule="exact"/>
        <w:rPr>
          <w:sz w:val="20"/>
          <w:szCs w:val="20"/>
          <w:color w:val="auto"/>
        </w:rPr>
      </w:pPr>
    </w:p>
    <w:p>
      <w:pPr>
        <w:jc w:val="both"/>
        <w:ind w:left="760" w:right="20" w:firstLine="709"/>
        <w:spacing w:after="0" w:line="339" w:lineRule="auto"/>
        <w:tabs>
          <w:tab w:leader="none" w:pos="1703" w:val="left"/>
        </w:tabs>
        <w:numPr>
          <w:ilvl w:val="0"/>
          <w:numId w:val="126"/>
        </w:numPr>
        <w:rPr>
          <w:rFonts w:ascii="Arial" w:cs="Arial" w:eastAsia="Arial" w:hAnsi="Arial"/>
          <w:sz w:val="15"/>
          <w:szCs w:val="15"/>
          <w:color w:val="auto"/>
        </w:rPr>
      </w:pPr>
      <w:r>
        <w:rPr>
          <w:rFonts w:ascii="Arial" w:cs="Arial" w:eastAsia="Arial" w:hAnsi="Arial"/>
          <w:sz w:val="15"/>
          <w:szCs w:val="15"/>
          <w:color w:val="auto"/>
        </w:rPr>
        <w:t>Indebtedness of Westridge Haggerty, LLC secured only by that certain fee owned real property of Westridge Haggerty, LLC located in Northville, Michigan and constituting the headquarters of the Company, in an aggregate amount not to exceed $6,000,000 at any one time outstanding; and</w:t>
      </w:r>
    </w:p>
    <w:p>
      <w:pPr>
        <w:spacing w:after="0" w:line="98" w:lineRule="exact"/>
        <w:rPr>
          <w:rFonts w:ascii="Arial" w:cs="Arial" w:eastAsia="Arial" w:hAnsi="Arial"/>
          <w:sz w:val="15"/>
          <w:szCs w:val="15"/>
          <w:color w:val="auto"/>
        </w:rPr>
      </w:pPr>
    </w:p>
    <w:p>
      <w:pPr>
        <w:ind w:left="1720" w:hanging="201"/>
        <w:spacing w:after="0"/>
        <w:tabs>
          <w:tab w:leader="none" w:pos="172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the Global Letters of Guarantee.</w:t>
      </w:r>
    </w:p>
    <w:p>
      <w:pPr>
        <w:spacing w:after="0" w:line="185" w:lineRule="exact"/>
        <w:rPr>
          <w:sz w:val="20"/>
          <w:szCs w:val="20"/>
          <w:color w:val="auto"/>
        </w:rPr>
      </w:pPr>
    </w:p>
    <w:p>
      <w:pPr>
        <w:jc w:val="both"/>
        <w:ind w:firstLine="763"/>
        <w:spacing w:after="0" w:line="261" w:lineRule="auto"/>
        <w:rPr>
          <w:sz w:val="20"/>
          <w:szCs w:val="20"/>
          <w:color w:val="auto"/>
        </w:rPr>
      </w:pPr>
      <w:r>
        <w:rPr>
          <w:rFonts w:ascii="Arial" w:cs="Arial" w:eastAsia="Arial" w:hAnsi="Arial"/>
          <w:sz w:val="17"/>
          <w:szCs w:val="17"/>
          <w:b w:val="1"/>
          <w:bCs w:val="1"/>
          <w:color w:val="auto"/>
        </w:rPr>
        <w:t>7.04 Fundamental Changes</w:t>
      </w:r>
      <w:r>
        <w:rPr>
          <w:rFonts w:ascii="Arial" w:cs="Arial" w:eastAsia="Arial" w:hAnsi="Arial"/>
          <w:sz w:val="17"/>
          <w:szCs w:val="17"/>
          <w:color w:val="auto"/>
        </w:rPr>
        <w:t>. Merge, dissolve, liquidate, amalgamate or consolidate with or into another Person, or Dispose of (whether in one transaction</w:t>
      </w:r>
      <w:r>
        <w:rPr>
          <w:rFonts w:ascii="Arial" w:cs="Arial" w:eastAsia="Arial" w:hAnsi="Arial"/>
          <w:sz w:val="17"/>
          <w:szCs w:val="17"/>
          <w:b w:val="1"/>
          <w:bCs w:val="1"/>
          <w:color w:val="auto"/>
        </w:rPr>
        <w:t xml:space="preserve"> </w:t>
      </w:r>
      <w:r>
        <w:rPr>
          <w:rFonts w:ascii="Arial" w:cs="Arial" w:eastAsia="Arial" w:hAnsi="Arial"/>
          <w:sz w:val="17"/>
          <w:szCs w:val="17"/>
          <w:color w:val="auto"/>
        </w:rPr>
        <w:t>or in a series of transactions) all or substantially all of its assets (whether now owned or hereafter acquired) to or in favor of any Person, except that, so long as no Default exists or would result therefrom:</w:t>
      </w:r>
    </w:p>
    <w:p>
      <w:pPr>
        <w:spacing w:after="0" w:line="154" w:lineRule="exact"/>
        <w:rPr>
          <w:sz w:val="20"/>
          <w:szCs w:val="20"/>
          <w:color w:val="auto"/>
        </w:rPr>
      </w:pPr>
    </w:p>
    <w:p>
      <w:pPr>
        <w:jc w:val="both"/>
        <w:ind w:left="760" w:firstLine="709"/>
        <w:spacing w:after="0" w:line="270" w:lineRule="auto"/>
        <w:tabs>
          <w:tab w:leader="none" w:pos="1707"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any Material Subsidiary may merge with (i)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be the continuing or surviving Person, or (ii) any Borrower (other than the Company) or any Guarantor,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when any Material Subsidiary that is not a Loan Party is merging with a Subsidiary that is a Guarantor, such Guarantor shall be the continuing or surviving Person, (y) when any Material Subsidiary that is not a Borrower is merging with a Borrower, such Borrower shall be the continuing or surviving Person and (z) when any Material Subsidiary that is not a Domestic Loan Party is merging with a Domestic Loan Party, such Domestic Loan Party shall be the continuing or surviving Person;</w:t>
      </w:r>
    </w:p>
    <w:p>
      <w:pPr>
        <w:spacing w:after="0" w:line="148" w:lineRule="exact"/>
        <w:rPr>
          <w:rFonts w:ascii="Arial" w:cs="Arial" w:eastAsia="Arial" w:hAnsi="Arial"/>
          <w:sz w:val="16"/>
          <w:szCs w:val="16"/>
          <w:color w:val="auto"/>
        </w:rPr>
      </w:pPr>
    </w:p>
    <w:p>
      <w:pPr>
        <w:jc w:val="both"/>
        <w:ind w:left="760" w:right="20" w:firstLine="709"/>
        <w:spacing w:after="0" w:line="281" w:lineRule="auto"/>
        <w:tabs>
          <w:tab w:leader="none" w:pos="172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any Material Subsidiary may Dispose of all or substantially all of its assets (upon voluntary liquidation or otherwise) to the Company or to any Material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transferor in such a transaction is a Loan Party, then the transferee must be a Loan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if the transferor in such a transaction is a Domestic Loan Party, then the transferee must be a Domestic Loan Party; and</w:t>
      </w:r>
    </w:p>
    <w:p>
      <w:pPr>
        <w:spacing w:after="0" w:line="139" w:lineRule="exact"/>
        <w:rPr>
          <w:rFonts w:ascii="Arial" w:cs="Arial" w:eastAsia="Arial" w:hAnsi="Arial"/>
          <w:sz w:val="16"/>
          <w:szCs w:val="16"/>
          <w:color w:val="auto"/>
        </w:rPr>
      </w:pPr>
    </w:p>
    <w:p>
      <w:pPr>
        <w:ind w:left="1700" w:hanging="231"/>
        <w:spacing w:after="0"/>
        <w:tabs>
          <w:tab w:leader="none" w:pos="17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 xml:space="preserve">any such transactions contemplated by the Reorganization as set forth on </w:t>
      </w:r>
      <w:r>
        <w:rPr>
          <w:rFonts w:ascii="Arial" w:cs="Arial" w:eastAsia="Arial" w:hAnsi="Arial"/>
          <w:sz w:val="17"/>
          <w:szCs w:val="17"/>
          <w:u w:val="single" w:color="auto"/>
          <w:color w:val="auto"/>
        </w:rPr>
        <w:t>Schedule 1.01(a)</w:t>
      </w:r>
      <w:r>
        <w:rPr>
          <w:rFonts w:ascii="Arial" w:cs="Arial" w:eastAsia="Arial" w:hAnsi="Arial"/>
          <w:sz w:val="17"/>
          <w:szCs w:val="17"/>
          <w:color w:val="auto"/>
        </w:rPr>
        <w:t>.</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7.05 Dispositions</w:t>
      </w:r>
      <w:r>
        <w:rPr>
          <w:rFonts w:ascii="Arial" w:cs="Arial" w:eastAsia="Arial" w:hAnsi="Arial"/>
          <w:sz w:val="17"/>
          <w:szCs w:val="17"/>
          <w:color w:val="auto"/>
        </w:rPr>
        <w:t>. Make any Disposition or enter into any agreement to make any Disposition, except:</w:t>
      </w:r>
    </w:p>
    <w:p>
      <w:pPr>
        <w:spacing w:after="0" w:line="197" w:lineRule="exact"/>
        <w:rPr>
          <w:sz w:val="20"/>
          <w:szCs w:val="20"/>
          <w:color w:val="auto"/>
        </w:rPr>
      </w:pPr>
    </w:p>
    <w:p>
      <w:pPr>
        <w:ind w:left="1700" w:hanging="231"/>
        <w:spacing w:after="0"/>
        <w:tabs>
          <w:tab w:leader="none" w:pos="17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Dispositions of obsolete or worn out property, whether now owned or hereafter acquired, in the ordinary course of business;</w:t>
      </w:r>
    </w:p>
    <w:p>
      <w:pPr>
        <w:spacing w:after="0" w:line="191" w:lineRule="exact"/>
        <w:rPr>
          <w:rFonts w:ascii="Arial" w:cs="Arial" w:eastAsia="Arial" w:hAnsi="Arial"/>
          <w:sz w:val="17"/>
          <w:szCs w:val="17"/>
          <w:color w:val="auto"/>
        </w:rPr>
      </w:pPr>
    </w:p>
    <w:p>
      <w:pPr>
        <w:ind w:left="1720" w:hanging="251"/>
        <w:spacing w:after="0"/>
        <w:tabs>
          <w:tab w:leader="none" w:pos="17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Dispositions of inventory in the ordinary course of business;</w:t>
      </w:r>
    </w:p>
    <w:p>
      <w:pPr>
        <w:spacing w:after="0" w:line="191" w:lineRule="exact"/>
        <w:rPr>
          <w:rFonts w:ascii="Arial" w:cs="Arial" w:eastAsia="Arial" w:hAnsi="Arial"/>
          <w:sz w:val="17"/>
          <w:szCs w:val="17"/>
          <w:color w:val="auto"/>
        </w:rPr>
      </w:pPr>
    </w:p>
    <w:p>
      <w:pPr>
        <w:ind w:left="760" w:right="20" w:firstLine="709"/>
        <w:spacing w:after="0" w:line="303" w:lineRule="auto"/>
        <w:tabs>
          <w:tab w:leader="none" w:pos="171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40"/>
          </w:cols>
          <w:pgMar w:left="240" w:top="312" w:right="219" w:bottom="1440" w:gutter="0" w:footer="0" w:header="0"/>
        </w:sectPr>
      </w:pPr>
    </w:p>
    <w:bookmarkStart w:id="101" w:name="page102"/>
    <w:bookmarkEnd w:id="101"/>
    <w:p>
      <w:pPr>
        <w:jc w:val="both"/>
        <w:ind w:left="766" w:firstLine="709"/>
        <w:spacing w:after="0" w:line="257" w:lineRule="auto"/>
        <w:tabs>
          <w:tab w:leader="none" w:pos="173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Dispositions of property by any Material Subsidiary to the Company or to a Material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if the transferor of such property is a Loan Party, the transferee thereof must be a Loan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if the transferor of such property is a Domestic Loan Party, then the transferee must be a Domestic Loan Party;</w:t>
      </w:r>
    </w:p>
    <w:p>
      <w:pPr>
        <w:spacing w:after="0" w:line="157" w:lineRule="exact"/>
        <w:rPr>
          <w:rFonts w:ascii="Arial" w:cs="Arial" w:eastAsia="Arial" w:hAnsi="Arial"/>
          <w:sz w:val="17"/>
          <w:szCs w:val="17"/>
          <w:color w:val="auto"/>
        </w:rPr>
      </w:pPr>
    </w:p>
    <w:p>
      <w:pPr>
        <w:ind w:left="1706" w:hanging="231"/>
        <w:spacing w:after="0"/>
        <w:tabs>
          <w:tab w:leader="none" w:pos="1706"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Dispositions permitted by </w:t>
      </w:r>
      <w:r>
        <w:rPr>
          <w:rFonts w:ascii="Arial" w:cs="Arial" w:eastAsia="Arial" w:hAnsi="Arial"/>
          <w:sz w:val="17"/>
          <w:szCs w:val="17"/>
          <w:u w:val="single" w:color="auto"/>
          <w:color w:val="auto"/>
        </w:rPr>
        <w:t>Section 7.04</w:t>
      </w:r>
      <w:r>
        <w:rPr>
          <w:rFonts w:ascii="Arial" w:cs="Arial" w:eastAsia="Arial" w:hAnsi="Arial"/>
          <w:sz w:val="17"/>
          <w:szCs w:val="17"/>
          <w:color w:val="auto"/>
        </w:rPr>
        <w:t>;</w:t>
      </w:r>
    </w:p>
    <w:p>
      <w:pPr>
        <w:spacing w:after="0" w:line="191" w:lineRule="exact"/>
        <w:rPr>
          <w:rFonts w:ascii="Arial" w:cs="Arial" w:eastAsia="Arial" w:hAnsi="Arial"/>
          <w:sz w:val="17"/>
          <w:szCs w:val="17"/>
          <w:color w:val="auto"/>
        </w:rPr>
      </w:pPr>
    </w:p>
    <w:p>
      <w:pPr>
        <w:jc w:val="both"/>
        <w:ind w:left="766" w:firstLine="709"/>
        <w:spacing w:after="0" w:line="251" w:lineRule="auto"/>
        <w:tabs>
          <w:tab w:leader="none" w:pos="170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 non-exclusive licenses of IP Rights (A) to any Loan Party or any Subsidiary of any Loan Party or (B) in the ordinary course of business and substantially consistent with past practice and (ii) licenses of IP Rights on an exclusive basis so long as such exclusive licensing is limited to geographic areas, particular fields of use, customized products for customers or limited time periods, and so long as after giving effect to such license, the Loan Parties retain sufficient rights to use the subject intellectual property as to enable them to continue to conduct their business in the ordinary course; and</w:t>
      </w:r>
    </w:p>
    <w:p>
      <w:pPr>
        <w:spacing w:after="0" w:line="161" w:lineRule="exact"/>
        <w:rPr>
          <w:rFonts w:ascii="Arial" w:cs="Arial" w:eastAsia="Arial" w:hAnsi="Arial"/>
          <w:sz w:val="17"/>
          <w:szCs w:val="17"/>
          <w:color w:val="auto"/>
        </w:rPr>
      </w:pPr>
    </w:p>
    <w:p>
      <w:pPr>
        <w:jc w:val="both"/>
        <w:ind w:left="766" w:firstLine="709"/>
        <w:spacing w:after="0" w:line="253" w:lineRule="auto"/>
        <w:tabs>
          <w:tab w:leader="none" w:pos="173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Dispositions by the Company and its Material Subsidiaries not otherwise permitted under this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at the time of such Disposition, no Default shall exist or would result from such Disposition and (ii) the aggregate book value of all property Disposed of in reliance on this </w:t>
      </w:r>
      <w:r>
        <w:rPr>
          <w:rFonts w:ascii="Arial" w:cs="Arial" w:eastAsia="Arial" w:hAnsi="Arial"/>
          <w:sz w:val="17"/>
          <w:szCs w:val="17"/>
          <w:u w:val="single" w:color="auto"/>
          <w:color w:val="auto"/>
        </w:rPr>
        <w:t>clause (g)</w:t>
      </w:r>
      <w:r>
        <w:rPr>
          <w:rFonts w:ascii="Arial" w:cs="Arial" w:eastAsia="Arial" w:hAnsi="Arial"/>
          <w:sz w:val="17"/>
          <w:szCs w:val="17"/>
          <w:color w:val="auto"/>
        </w:rPr>
        <w:t xml:space="preserve"> in any fiscal year shall not exceed $2,000,000;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Disposition pursuant to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(g)</w:t>
      </w:r>
      <w:r>
        <w:rPr>
          <w:rFonts w:ascii="Arial" w:cs="Arial" w:eastAsia="Arial" w:hAnsi="Arial"/>
          <w:sz w:val="17"/>
          <w:szCs w:val="17"/>
          <w:color w:val="auto"/>
        </w:rPr>
        <w:t xml:space="preserve"> shall be for fair market value.</w:t>
      </w:r>
    </w:p>
    <w:p>
      <w:pPr>
        <w:spacing w:after="0" w:line="154" w:lineRule="exact"/>
        <w:rPr>
          <w:sz w:val="20"/>
          <w:szCs w:val="20"/>
          <w:color w:val="auto"/>
        </w:rPr>
      </w:pPr>
    </w:p>
    <w:p>
      <w:pPr>
        <w:ind w:left="6" w:right="20" w:firstLine="763"/>
        <w:spacing w:after="0" w:line="278" w:lineRule="auto"/>
        <w:rPr>
          <w:sz w:val="20"/>
          <w:szCs w:val="20"/>
          <w:color w:val="auto"/>
        </w:rPr>
      </w:pPr>
      <w:r>
        <w:rPr>
          <w:rFonts w:ascii="Arial" w:cs="Arial" w:eastAsia="Arial" w:hAnsi="Arial"/>
          <w:sz w:val="17"/>
          <w:szCs w:val="17"/>
          <w:b w:val="1"/>
          <w:bCs w:val="1"/>
          <w:color w:val="auto"/>
        </w:rPr>
        <w:t>7.06 Restricted Payments</w:t>
      </w:r>
      <w:r>
        <w:rPr>
          <w:rFonts w:ascii="Arial" w:cs="Arial" w:eastAsia="Arial" w:hAnsi="Arial"/>
          <w:sz w:val="17"/>
          <w:szCs w:val="17"/>
          <w:color w:val="auto"/>
        </w:rPr>
        <w:t>. Declare or make, directly or indirectly, any Restricted Payment, or incur any obligation (contingent or otherwise) to do so, or</w:t>
      </w:r>
      <w:r>
        <w:rPr>
          <w:rFonts w:ascii="Arial" w:cs="Arial" w:eastAsia="Arial" w:hAnsi="Arial"/>
          <w:sz w:val="17"/>
          <w:szCs w:val="17"/>
          <w:b w:val="1"/>
          <w:bCs w:val="1"/>
          <w:color w:val="auto"/>
        </w:rPr>
        <w:t xml:space="preserve"> </w:t>
      </w:r>
      <w:r>
        <w:rPr>
          <w:rFonts w:ascii="Arial" w:cs="Arial" w:eastAsia="Arial" w:hAnsi="Arial"/>
          <w:sz w:val="17"/>
          <w:szCs w:val="17"/>
          <w:color w:val="auto"/>
        </w:rPr>
        <w:t>issue or sell any Equity Interests, except that:</w:t>
      </w:r>
    </w:p>
    <w:p>
      <w:pPr>
        <w:spacing w:after="0" w:line="139" w:lineRule="exact"/>
        <w:rPr>
          <w:sz w:val="20"/>
          <w:szCs w:val="20"/>
          <w:color w:val="auto"/>
        </w:rPr>
      </w:pPr>
    </w:p>
    <w:p>
      <w:pPr>
        <w:jc w:val="both"/>
        <w:ind w:left="766" w:right="20" w:firstLine="709"/>
        <w:spacing w:after="0" w:line="257" w:lineRule="auto"/>
        <w:tabs>
          <w:tab w:leader="none" w:pos="1731" w:val="left"/>
        </w:tabs>
        <w:numPr>
          <w:ilvl w:val="0"/>
          <w:numId w:val="130"/>
        </w:numPr>
        <w:rPr>
          <w:rFonts w:ascii="Arial" w:cs="Arial" w:eastAsia="Arial" w:hAnsi="Arial"/>
          <w:sz w:val="17"/>
          <w:szCs w:val="17"/>
          <w:color w:val="auto"/>
        </w:rPr>
      </w:pPr>
      <w:r>
        <w:rPr>
          <w:rFonts w:ascii="Arial" w:cs="Arial" w:eastAsia="Arial" w:hAnsi="Arial"/>
          <w:sz w:val="17"/>
          <w:szCs w:val="17"/>
          <w:color w:val="auto"/>
        </w:rPr>
        <w:t>each Material Subsidiary may make Restricted Payments to the Company and any other Subsidiary that owns an Equity Interest in such Material Subsidiary, in each case, ratably according to their respective holdings of the type of Equity Interest in respect of which such Restricted Payment is being made;</w:t>
      </w:r>
    </w:p>
    <w:p>
      <w:pPr>
        <w:spacing w:after="0" w:line="157" w:lineRule="exact"/>
        <w:rPr>
          <w:rFonts w:ascii="Arial" w:cs="Arial" w:eastAsia="Arial" w:hAnsi="Arial"/>
          <w:sz w:val="17"/>
          <w:szCs w:val="17"/>
          <w:color w:val="auto"/>
        </w:rPr>
      </w:pPr>
    </w:p>
    <w:p>
      <w:pPr>
        <w:ind w:left="766" w:firstLine="709"/>
        <w:spacing w:after="0" w:line="271" w:lineRule="auto"/>
        <w:tabs>
          <w:tab w:leader="none" w:pos="1733"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Company and each Material Subsidiary may make Restricted Payments payable solely in the form of common stock or other common Equity Interests of such Person;</w:t>
      </w:r>
    </w:p>
    <w:p>
      <w:pPr>
        <w:spacing w:after="0" w:line="144" w:lineRule="exact"/>
        <w:rPr>
          <w:rFonts w:ascii="Arial" w:cs="Arial" w:eastAsia="Arial" w:hAnsi="Arial"/>
          <w:sz w:val="17"/>
          <w:szCs w:val="17"/>
          <w:color w:val="auto"/>
        </w:rPr>
      </w:pPr>
    </w:p>
    <w:p>
      <w:pPr>
        <w:ind w:left="766" w:right="20" w:firstLine="709"/>
        <w:spacing w:after="0" w:line="271" w:lineRule="auto"/>
        <w:tabs>
          <w:tab w:leader="none" w:pos="1738"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Company and each Material Subsidiary may purchase, redeem or otherwise acquire Equity Interests issued by it with the proceeds received from the substantially concurrent issue of new shares of its common stock or other common Equity Interests;</w:t>
      </w:r>
    </w:p>
    <w:p>
      <w:pPr>
        <w:spacing w:after="0" w:line="144" w:lineRule="exact"/>
        <w:rPr>
          <w:rFonts w:ascii="Arial" w:cs="Arial" w:eastAsia="Arial" w:hAnsi="Arial"/>
          <w:sz w:val="17"/>
          <w:szCs w:val="17"/>
          <w:color w:val="auto"/>
        </w:rPr>
      </w:pPr>
    </w:p>
    <w:p>
      <w:pPr>
        <w:ind w:left="766" w:firstLine="709"/>
        <w:spacing w:after="0" w:line="271" w:lineRule="auto"/>
        <w:tabs>
          <w:tab w:leader="none" w:pos="1734"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the Company may issue and sell its common Equity Interests;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the Net Cash Proceeds of any such issuance or sale shall be used for general corporate purposes; and</w:t>
      </w:r>
    </w:p>
    <w:p>
      <w:pPr>
        <w:spacing w:after="0" w:line="144" w:lineRule="exact"/>
        <w:rPr>
          <w:rFonts w:ascii="Arial" w:cs="Arial" w:eastAsia="Arial" w:hAnsi="Arial"/>
          <w:sz w:val="17"/>
          <w:szCs w:val="17"/>
          <w:color w:val="auto"/>
        </w:rPr>
      </w:pPr>
    </w:p>
    <w:p>
      <w:pPr>
        <w:jc w:val="both"/>
        <w:ind w:left="766" w:firstLine="709"/>
        <w:spacing w:after="0" w:line="257" w:lineRule="auto"/>
        <w:tabs>
          <w:tab w:leader="none" w:pos="1729"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the Company may make other Restricted Payments in an aggregate amount not to exceed $5,000,000 during the term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immediately before and immediately after giving Pro Forma Effect to any such Restricted Payment, no Default shall have occurred and be continuing.</w:t>
      </w:r>
    </w:p>
    <w:p>
      <w:pPr>
        <w:spacing w:after="0" w:line="151" w:lineRule="exact"/>
        <w:rPr>
          <w:sz w:val="20"/>
          <w:szCs w:val="20"/>
          <w:color w:val="auto"/>
        </w:rPr>
      </w:pPr>
    </w:p>
    <w:p>
      <w:pPr>
        <w:jc w:val="both"/>
        <w:ind w:left="6" w:right="20" w:firstLine="763"/>
        <w:spacing w:after="0" w:line="278" w:lineRule="auto"/>
        <w:rPr>
          <w:sz w:val="20"/>
          <w:szCs w:val="20"/>
          <w:color w:val="auto"/>
        </w:rPr>
      </w:pPr>
      <w:r>
        <w:rPr>
          <w:rFonts w:ascii="Arial" w:cs="Arial" w:eastAsia="Arial" w:hAnsi="Arial"/>
          <w:sz w:val="17"/>
          <w:szCs w:val="17"/>
          <w:b w:val="1"/>
          <w:bCs w:val="1"/>
          <w:color w:val="auto"/>
        </w:rPr>
        <w:t>7.07 Change in Nature of Business</w:t>
      </w:r>
      <w:r>
        <w:rPr>
          <w:rFonts w:ascii="Arial" w:cs="Arial" w:eastAsia="Arial" w:hAnsi="Arial"/>
          <w:sz w:val="17"/>
          <w:szCs w:val="17"/>
          <w:color w:val="auto"/>
        </w:rPr>
        <w:t>. Engage in any material line of business substantially different from those lines of business conducted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its Material Subsidiaries on the date hereof or any business substantially related or incidental thereto.</w:t>
      </w:r>
    </w:p>
    <w:p>
      <w:pPr>
        <w:spacing w:after="0" w:line="133" w:lineRule="exact"/>
        <w:rPr>
          <w:sz w:val="20"/>
          <w:szCs w:val="20"/>
          <w:color w:val="auto"/>
        </w:rPr>
      </w:pPr>
    </w:p>
    <w:p>
      <w:pPr>
        <w:jc w:val="both"/>
        <w:ind w:left="6" w:firstLine="763"/>
        <w:spacing w:after="0" w:line="255" w:lineRule="auto"/>
        <w:rPr>
          <w:sz w:val="20"/>
          <w:szCs w:val="20"/>
          <w:color w:val="auto"/>
        </w:rPr>
      </w:pPr>
      <w:r>
        <w:rPr>
          <w:rFonts w:ascii="Arial" w:cs="Arial" w:eastAsia="Arial" w:hAnsi="Arial"/>
          <w:sz w:val="17"/>
          <w:szCs w:val="17"/>
          <w:b w:val="1"/>
          <w:bCs w:val="1"/>
          <w:color w:val="auto"/>
        </w:rPr>
        <w:t>7.08 Transactions with Affiliates</w:t>
      </w:r>
      <w:r>
        <w:rPr>
          <w:rFonts w:ascii="Arial" w:cs="Arial" w:eastAsia="Arial" w:hAnsi="Arial"/>
          <w:sz w:val="17"/>
          <w:szCs w:val="17"/>
          <w:color w:val="auto"/>
        </w:rPr>
        <w:t>. Enter into any transaction of any kind with any of its Affiliates, whether or not in the ordinary course of business,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than (a) intercompany loans among Loan Parties and their respective Subsidiaries permitted under </w:t>
      </w:r>
      <w:r>
        <w:rPr>
          <w:rFonts w:ascii="Arial" w:cs="Arial" w:eastAsia="Arial" w:hAnsi="Arial"/>
          <w:sz w:val="17"/>
          <w:szCs w:val="17"/>
          <w:u w:val="single" w:color="auto"/>
          <w:color w:val="auto"/>
        </w:rPr>
        <w:t>Section 7.02(c)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7.03(f)</w:t>
      </w:r>
      <w:r>
        <w:rPr>
          <w:rFonts w:ascii="Arial" w:cs="Arial" w:eastAsia="Arial" w:hAnsi="Arial"/>
          <w:sz w:val="17"/>
          <w:szCs w:val="17"/>
          <w:color w:val="auto"/>
        </w:rPr>
        <w:t>, (b) the Reorganization or (c) otherwise on fair and reasonable terms substantially as favorable to it as would be obtainable by it at the time in a comparable arm’s length transaction with a Person other than one of its Affiliates.</w:t>
      </w:r>
    </w:p>
    <w:p>
      <w:pPr>
        <w:spacing w:after="0" w:line="154" w:lineRule="exact"/>
        <w:rPr>
          <w:sz w:val="20"/>
          <w:szCs w:val="20"/>
          <w:color w:val="auto"/>
        </w:rPr>
      </w:pPr>
    </w:p>
    <w:p>
      <w:pPr>
        <w:ind w:left="766"/>
        <w:spacing w:after="0"/>
        <w:rPr>
          <w:sz w:val="20"/>
          <w:szCs w:val="20"/>
          <w:color w:val="auto"/>
        </w:rPr>
      </w:pPr>
      <w:r>
        <w:rPr>
          <w:rFonts w:ascii="Arial" w:cs="Arial" w:eastAsia="Arial" w:hAnsi="Arial"/>
          <w:sz w:val="15"/>
          <w:szCs w:val="15"/>
          <w:b w:val="1"/>
          <w:bCs w:val="1"/>
          <w:color w:val="auto"/>
        </w:rPr>
        <w:t>7.09 Burdensome Agreements</w:t>
      </w:r>
      <w:r>
        <w:rPr>
          <w:rFonts w:ascii="Arial" w:cs="Arial" w:eastAsia="Arial" w:hAnsi="Arial"/>
          <w:sz w:val="15"/>
          <w:szCs w:val="15"/>
          <w:color w:val="auto"/>
        </w:rPr>
        <w:t>. Enter into any Contractual Obligation (other than this Agreement or any other Loan Document) that (a) limits the ability</w:t>
      </w:r>
    </w:p>
    <w:p>
      <w:pPr>
        <w:spacing w:after="0" w:line="47" w:lineRule="exact"/>
        <w:rPr>
          <w:sz w:val="20"/>
          <w:szCs w:val="20"/>
          <w:color w:val="auto"/>
        </w:rPr>
      </w:pPr>
    </w:p>
    <w:p>
      <w:pPr>
        <w:ind w:left="6" w:right="20" w:hanging="6"/>
        <w:spacing w:after="0" w:line="284" w:lineRule="auto"/>
        <w:tabs>
          <w:tab w:leader="none" w:pos="214" w:val="left"/>
        </w:tabs>
        <w:numPr>
          <w:ilvl w:val="0"/>
          <w:numId w:val="131"/>
        </w:numPr>
        <w:rPr>
          <w:rFonts w:ascii="Arial" w:cs="Arial" w:eastAsia="Arial" w:hAnsi="Arial"/>
          <w:sz w:val="16"/>
          <w:szCs w:val="16"/>
          <w:color w:val="auto"/>
        </w:rPr>
      </w:pPr>
      <w:r>
        <w:rPr>
          <w:rFonts w:ascii="Arial" w:cs="Arial" w:eastAsia="Arial" w:hAnsi="Arial"/>
          <w:sz w:val="16"/>
          <w:szCs w:val="16"/>
          <w:color w:val="auto"/>
        </w:rPr>
        <w:t>of any Material Subsidiary to make Restricted Payments to the Company or any Guarantor or to otherwise transfer property to the Company or any Guarantor, (ii) of the Company or any Material Subsidiary to act as a Loan Party pursuant to the Loan Documents or (iii) of the Company or any Material Subsidiary to</w:t>
      </w:r>
    </w:p>
    <w:p>
      <w:pPr>
        <w:spacing w:after="0" w:line="137"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46"/>
          </w:cols>
          <w:pgMar w:left="234" w:top="313" w:right="219" w:bottom="1440" w:gutter="0" w:footer="0" w:header="0"/>
        </w:sectPr>
      </w:pPr>
    </w:p>
    <w:bookmarkStart w:id="102" w:name="page103"/>
    <w:bookmarkEnd w:id="102"/>
    <w:p>
      <w:pPr>
        <w:jc w:val="both"/>
        <w:spacing w:after="0" w:line="257" w:lineRule="auto"/>
        <w:rPr>
          <w:sz w:val="20"/>
          <w:szCs w:val="20"/>
          <w:color w:val="auto"/>
        </w:rPr>
      </w:pPr>
      <w:r>
        <w:rPr>
          <w:rFonts w:ascii="Arial" w:cs="Arial" w:eastAsia="Arial" w:hAnsi="Arial"/>
          <w:sz w:val="17"/>
          <w:szCs w:val="17"/>
          <w:color w:val="auto"/>
        </w:rPr>
        <w:t xml:space="preserve">create, incur, assume or suffer to exist Liens on property of such Person; </w:t>
      </w:r>
      <w:r>
        <w:rPr>
          <w:rFonts w:ascii="Arial" w:cs="Arial" w:eastAsia="Arial" w:hAnsi="Arial"/>
          <w:sz w:val="15"/>
          <w:szCs w:val="15"/>
          <w:u w:val="single" w:color="auto"/>
          <w:color w:val="auto"/>
        </w:rPr>
        <w:t>provided</w:t>
      </w:r>
      <w:r>
        <w:rPr>
          <w:rFonts w:ascii="Arial" w:cs="Arial" w:eastAsia="Arial" w:hAnsi="Arial"/>
          <w:sz w:val="15"/>
          <w:szCs w:val="15"/>
          <w:color w:val="auto"/>
        </w:rPr>
        <w:t>,</w:t>
      </w:r>
      <w:r>
        <w:rPr>
          <w:rFonts w:ascii="Arial" w:cs="Arial" w:eastAsia="Arial" w:hAnsi="Arial"/>
          <w:sz w:val="17"/>
          <w:szCs w:val="17"/>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this</w:t>
      </w:r>
      <w:r>
        <w:rPr>
          <w:rFonts w:ascii="Arial" w:cs="Arial" w:eastAsia="Arial" w:hAnsi="Arial"/>
          <w:sz w:val="17"/>
          <w:szCs w:val="17"/>
          <w:color w:val="auto"/>
        </w:rPr>
        <w:t xml:space="preserve"> </w:t>
      </w:r>
      <w:r>
        <w:rPr>
          <w:rFonts w:ascii="Arial" w:cs="Arial" w:eastAsia="Arial" w:hAnsi="Arial"/>
          <w:sz w:val="15"/>
          <w:szCs w:val="15"/>
          <w:u w:val="single" w:color="auto"/>
          <w:color w:val="auto"/>
        </w:rPr>
        <w:t>clause (iii)</w:t>
      </w:r>
      <w:r>
        <w:rPr>
          <w:rFonts w:ascii="Arial" w:cs="Arial" w:eastAsia="Arial" w:hAnsi="Arial"/>
          <w:sz w:val="17"/>
          <w:szCs w:val="17"/>
          <w:color w:val="auto"/>
        </w:rPr>
        <w:t xml:space="preserve"> </w:t>
      </w:r>
      <w:r>
        <w:rPr>
          <w:rFonts w:ascii="Arial" w:cs="Arial" w:eastAsia="Arial" w:hAnsi="Arial"/>
          <w:sz w:val="15"/>
          <w:szCs w:val="15"/>
          <w:color w:val="auto"/>
        </w:rPr>
        <w:t>shall not prohibit any negative pledge (x) incurred or provided</w:t>
      </w:r>
      <w:r>
        <w:rPr>
          <w:rFonts w:ascii="Arial" w:cs="Arial" w:eastAsia="Arial" w:hAnsi="Arial"/>
          <w:sz w:val="17"/>
          <w:szCs w:val="17"/>
          <w:color w:val="auto"/>
        </w:rPr>
        <w:t xml:space="preserve"> </w:t>
      </w:r>
      <w:r>
        <w:rPr>
          <w:rFonts w:ascii="Arial" w:cs="Arial" w:eastAsia="Arial" w:hAnsi="Arial"/>
          <w:sz w:val="15"/>
          <w:szCs w:val="15"/>
          <w:color w:val="auto"/>
        </w:rPr>
        <w:t xml:space="preserve">in favor of any holder of Indebtedness permitted under </w:t>
      </w:r>
      <w:r>
        <w:rPr>
          <w:rFonts w:ascii="Arial" w:cs="Arial" w:eastAsia="Arial" w:hAnsi="Arial"/>
          <w:sz w:val="15"/>
          <w:szCs w:val="15"/>
          <w:u w:val="single" w:color="auto"/>
          <w:color w:val="auto"/>
        </w:rPr>
        <w:t>Section 7.03(e)</w:t>
      </w:r>
      <w:r>
        <w:rPr>
          <w:rFonts w:ascii="Arial" w:cs="Arial" w:eastAsia="Arial" w:hAnsi="Arial"/>
          <w:sz w:val="15"/>
          <w:szCs w:val="15"/>
          <w:color w:val="auto"/>
        </w:rPr>
        <w:t xml:space="preserve"> solely to the extent any such negative pledge relates to the property financed by or the subject of such Indebtedness, (y) consisting of customary restrictions on or under leases, subleases, licenses, sublicenses or asset sale agreements otherwise permitted hereby so long as such restrictions only relate to the assets subject thereto or (z) constituting customary provisions restricting subletting or assignment of any lease governing a leasehold interest; or (b) requires the grant of a Lien to secure an obligation of such Person if a Lien is granted to secure another obligation of such Person.</w:t>
      </w:r>
    </w:p>
    <w:p>
      <w:pPr>
        <w:spacing w:after="0" w:line="158" w:lineRule="exact"/>
        <w:rPr>
          <w:sz w:val="20"/>
          <w:szCs w:val="20"/>
          <w:color w:val="auto"/>
        </w:rPr>
      </w:pPr>
    </w:p>
    <w:p>
      <w:pPr>
        <w:jc w:val="both"/>
        <w:ind w:firstLine="763"/>
        <w:spacing w:after="0" w:line="261" w:lineRule="auto"/>
        <w:rPr>
          <w:sz w:val="20"/>
          <w:szCs w:val="20"/>
          <w:color w:val="auto"/>
        </w:rPr>
      </w:pPr>
      <w:r>
        <w:rPr>
          <w:rFonts w:ascii="Arial" w:cs="Arial" w:eastAsia="Arial" w:hAnsi="Arial"/>
          <w:sz w:val="17"/>
          <w:szCs w:val="17"/>
          <w:b w:val="1"/>
          <w:bCs w:val="1"/>
          <w:color w:val="auto"/>
        </w:rPr>
        <w:t>7.10 Use of Proceeds</w:t>
      </w:r>
      <w:r>
        <w:rPr>
          <w:rFonts w:ascii="Arial" w:cs="Arial" w:eastAsia="Arial" w:hAnsi="Arial"/>
          <w:sz w:val="17"/>
          <w:szCs w:val="17"/>
          <w:color w:val="auto"/>
        </w:rPr>
        <w:t>. Use the proceeds of any Credit Extension, whether directly or indirectly, and whether immediately, incidentally or ultimately, to</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or carry margin stock (within the meaning of Regulation U of the FRB) or to extend credit to others for the purpose of purchasing or carrying margin stock or to refund indebtedness originally incurred for such purpose.</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7.11 Financial Covenants</w:t>
      </w:r>
      <w:r>
        <w:rPr>
          <w:rFonts w:ascii="Arial" w:cs="Arial" w:eastAsia="Arial" w:hAnsi="Arial"/>
          <w:sz w:val="17"/>
          <w:szCs w:val="17"/>
          <w:color w:val="auto"/>
        </w:rPr>
        <w:t>.</w:t>
      </w:r>
    </w:p>
    <w:p>
      <w:pPr>
        <w:spacing w:after="0" w:line="197" w:lineRule="exact"/>
        <w:rPr>
          <w:sz w:val="20"/>
          <w:szCs w:val="20"/>
          <w:color w:val="auto"/>
        </w:rPr>
      </w:pPr>
    </w:p>
    <w:p>
      <w:pPr>
        <w:ind w:left="760" w:firstLine="709"/>
        <w:spacing w:after="0" w:line="271" w:lineRule="auto"/>
        <w:tabs>
          <w:tab w:leader="none" w:pos="1706" w:val="left"/>
        </w:tabs>
        <w:numPr>
          <w:ilvl w:val="1"/>
          <w:numId w:val="132"/>
        </w:numPr>
        <w:rPr>
          <w:rFonts w:ascii="Arial" w:cs="Arial" w:eastAsia="Arial" w:hAnsi="Arial"/>
          <w:sz w:val="17"/>
          <w:szCs w:val="17"/>
          <w:color w:val="auto"/>
        </w:rPr>
      </w:pPr>
      <w:r>
        <w:rPr>
          <w:rFonts w:ascii="Arial" w:cs="Arial" w:eastAsia="Arial" w:hAnsi="Arial"/>
          <w:sz w:val="17"/>
          <w:szCs w:val="17"/>
          <w:u w:val="single" w:color="auto"/>
          <w:color w:val="auto"/>
        </w:rPr>
        <w:t>Consolidated Fixed Charge Coverage Ratio</w:t>
      </w:r>
      <w:r>
        <w:rPr>
          <w:rFonts w:ascii="Arial" w:cs="Arial" w:eastAsia="Arial" w:hAnsi="Arial"/>
          <w:sz w:val="17"/>
          <w:szCs w:val="17"/>
          <w:color w:val="auto"/>
        </w:rPr>
        <w:t>. Permit the Consolidated Fixed Charge Coverage Ratio as of the end of any fiscal quarter of the Company to be less than 1.25:1.00.</w:t>
      </w:r>
    </w:p>
    <w:p>
      <w:pPr>
        <w:spacing w:after="0" w:line="144" w:lineRule="exact"/>
        <w:rPr>
          <w:rFonts w:ascii="Arial" w:cs="Arial" w:eastAsia="Arial" w:hAnsi="Arial"/>
          <w:sz w:val="17"/>
          <w:szCs w:val="17"/>
          <w:color w:val="auto"/>
        </w:rPr>
      </w:pPr>
    </w:p>
    <w:p>
      <w:pPr>
        <w:ind w:left="1720" w:hanging="251"/>
        <w:spacing w:after="0"/>
        <w:tabs>
          <w:tab w:leader="none" w:pos="1720" w:val="left"/>
        </w:tabs>
        <w:numPr>
          <w:ilvl w:val="1"/>
          <w:numId w:val="132"/>
        </w:numPr>
        <w:rPr>
          <w:rFonts w:ascii="Arial" w:cs="Arial" w:eastAsia="Arial" w:hAnsi="Arial"/>
          <w:sz w:val="15"/>
          <w:szCs w:val="15"/>
          <w:color w:val="auto"/>
        </w:rPr>
      </w:pPr>
      <w:r>
        <w:rPr>
          <w:rFonts w:ascii="Arial" w:cs="Arial" w:eastAsia="Arial" w:hAnsi="Arial"/>
          <w:sz w:val="15"/>
          <w:szCs w:val="15"/>
          <w:u w:val="single" w:color="auto"/>
          <w:color w:val="auto"/>
        </w:rPr>
        <w:t>Consolidated Leverage Ratio</w:t>
      </w:r>
      <w:r>
        <w:rPr>
          <w:rFonts w:ascii="Arial" w:cs="Arial" w:eastAsia="Arial" w:hAnsi="Arial"/>
          <w:sz w:val="15"/>
          <w:szCs w:val="15"/>
          <w:color w:val="auto"/>
        </w:rPr>
        <w:t>. Permit the Consolidated Leverage Ratio as of the end of any fiscal quarter of the Company to be greater than</w:t>
      </w:r>
    </w:p>
    <w:p>
      <w:pPr>
        <w:spacing w:after="0" w:line="40" w:lineRule="exact"/>
        <w:rPr>
          <w:rFonts w:ascii="Arial" w:cs="Arial" w:eastAsia="Arial" w:hAnsi="Arial"/>
          <w:sz w:val="15"/>
          <w:szCs w:val="15"/>
          <w:color w:val="auto"/>
        </w:rPr>
      </w:pPr>
    </w:p>
    <w:p>
      <w:pPr>
        <w:jc w:val="both"/>
        <w:ind w:left="760" w:hanging="3"/>
        <w:spacing w:after="0" w:line="246" w:lineRule="auto"/>
        <w:tabs>
          <w:tab w:leader="none" w:pos="9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2.75:1.0, for any fiscal quarter ending during the period from the Closing Date to and including December 31, 2015 and (ii) 2.50:1.0, for any fiscal quarter ending thereafter;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following the consummation of a Material Acquisition, the ratio described in clause (i) above shall increase to 3.25:1.0 and the ratio described in clause (ii) above shall increase to 3.00:1.0 (the “</w:t>
      </w:r>
      <w:r>
        <w:rPr>
          <w:rFonts w:ascii="Arial" w:cs="Arial" w:eastAsia="Arial" w:hAnsi="Arial"/>
          <w:sz w:val="17"/>
          <w:szCs w:val="17"/>
          <w:u w:val="single" w:color="auto"/>
          <w:color w:val="auto"/>
        </w:rPr>
        <w:t>Leverage Increase</w:t>
      </w:r>
      <w:r>
        <w:rPr>
          <w:rFonts w:ascii="Arial" w:cs="Arial" w:eastAsia="Arial" w:hAnsi="Arial"/>
          <w:sz w:val="17"/>
          <w:szCs w:val="17"/>
          <w:color w:val="auto"/>
        </w:rPr>
        <w:t xml:space="preserve">”), in each case, for four consecutive fiscal quarters commencing with the fiscal quarter in which such Material Acquisition occurred;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for at least one full fiscal quarter immediately following each Leverage Increase, the Consolidated Leverage Ratio as of the end of such fiscal quarter shall be not greater than the applicable level set forth in clause (i) or (ii) above (without, for the avoidance of doubt, giving effect to the ratio increase contemplated by the first proviso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7.11(b)</w:t>
      </w:r>
      <w:r>
        <w:rPr>
          <w:rFonts w:ascii="Arial" w:cs="Arial" w:eastAsia="Arial" w:hAnsi="Arial"/>
          <w:sz w:val="17"/>
          <w:szCs w:val="17"/>
          <w:color w:val="auto"/>
        </w:rPr>
        <w:t>) before another Leverage Increase may occur.</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7.12 Amendments of Organization Documents, etc.</w:t>
      </w:r>
      <w:r>
        <w:rPr>
          <w:rFonts w:ascii="Arial" w:cs="Arial" w:eastAsia="Arial" w:hAnsi="Arial"/>
          <w:sz w:val="17"/>
          <w:szCs w:val="17"/>
          <w:color w:val="auto"/>
        </w:rPr>
        <w:t>.</w:t>
      </w:r>
    </w:p>
    <w:p>
      <w:pPr>
        <w:spacing w:after="0" w:line="197" w:lineRule="exact"/>
        <w:rPr>
          <w:sz w:val="20"/>
          <w:szCs w:val="20"/>
          <w:color w:val="auto"/>
        </w:rPr>
      </w:pPr>
    </w:p>
    <w:p>
      <w:pPr>
        <w:ind w:left="1700" w:hanging="231"/>
        <w:spacing w:after="0"/>
        <w:tabs>
          <w:tab w:leader="none" w:pos="17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Amend, modify or change any of its Organization Documents in a manner adverse to the Lenders.</w:t>
      </w:r>
    </w:p>
    <w:p>
      <w:pPr>
        <w:spacing w:after="0" w:line="191" w:lineRule="exact"/>
        <w:rPr>
          <w:rFonts w:ascii="Arial" w:cs="Arial" w:eastAsia="Arial" w:hAnsi="Arial"/>
          <w:sz w:val="17"/>
          <w:szCs w:val="17"/>
          <w:color w:val="auto"/>
        </w:rPr>
      </w:pPr>
    </w:p>
    <w:p>
      <w:pPr>
        <w:ind w:left="1720" w:hanging="251"/>
        <w:spacing w:after="0"/>
        <w:tabs>
          <w:tab w:leader="none" w:pos="172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Without providing ten (10) days prior written notice to the Administrative Agent, change its name, jurisdiction of formation or form of</w:t>
      </w:r>
    </w:p>
    <w:p>
      <w:pPr>
        <w:spacing w:after="0" w:line="29"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7"/>
          <w:szCs w:val="17"/>
          <w:color w:val="auto"/>
        </w:rPr>
        <w:t>organization.</w:t>
      </w:r>
    </w:p>
    <w:p>
      <w:pPr>
        <w:spacing w:after="0" w:line="177" w:lineRule="exact"/>
        <w:rPr>
          <w:rFonts w:ascii="Arial" w:cs="Arial" w:eastAsia="Arial" w:hAnsi="Arial"/>
          <w:sz w:val="16"/>
          <w:szCs w:val="16"/>
          <w:color w:val="auto"/>
        </w:rPr>
      </w:pPr>
    </w:p>
    <w:p>
      <w:pPr>
        <w:jc w:val="both"/>
        <w:ind w:left="760" w:right="20" w:firstLine="709"/>
        <w:spacing w:after="0" w:line="257" w:lineRule="auto"/>
        <w:tabs>
          <w:tab w:leader="none" w:pos="1733" w:val="left"/>
        </w:tabs>
        <w:numPr>
          <w:ilvl w:val="0"/>
          <w:numId w:val="134"/>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provisions of this Agreement to the contrary, (i) permit any Loan Party or any Subsidiary to issue or have outstanding any shares of preferred Equity Interests or (ii) create, incur, assume or suffer to exist any Lien on any Equity Interests of any Subsidiary of any Loan Party, except for Liens permitted by </w:t>
      </w:r>
      <w:r>
        <w:rPr>
          <w:rFonts w:ascii="Arial" w:cs="Arial" w:eastAsia="Arial" w:hAnsi="Arial"/>
          <w:sz w:val="17"/>
          <w:szCs w:val="17"/>
          <w:u w:val="single" w:color="auto"/>
          <w:color w:val="auto"/>
        </w:rPr>
        <w:t>Section 7.01</w:t>
      </w:r>
      <w:r>
        <w:rPr>
          <w:rFonts w:ascii="Arial" w:cs="Arial" w:eastAsia="Arial" w:hAnsi="Arial"/>
          <w:sz w:val="17"/>
          <w:szCs w:val="17"/>
          <w:color w:val="auto"/>
        </w:rPr>
        <w:t>.</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7.13 Accounting Changes</w:t>
      </w:r>
      <w:r>
        <w:rPr>
          <w:rFonts w:ascii="Arial" w:cs="Arial" w:eastAsia="Arial" w:hAnsi="Arial"/>
          <w:sz w:val="16"/>
          <w:szCs w:val="16"/>
          <w:color w:val="auto"/>
        </w:rPr>
        <w:t>. Make any change in (a) its accounting policies or reporting practices, except as required by GAAP, or (b) its fiscal year.</w:t>
      </w:r>
    </w:p>
    <w:p>
      <w:pPr>
        <w:spacing w:after="0" w:line="203" w:lineRule="exact"/>
        <w:rPr>
          <w:sz w:val="20"/>
          <w:szCs w:val="20"/>
          <w:color w:val="auto"/>
        </w:rPr>
      </w:pPr>
    </w:p>
    <w:p>
      <w:pPr>
        <w:jc w:val="both"/>
        <w:ind w:firstLine="763"/>
        <w:spacing w:after="0" w:line="255" w:lineRule="auto"/>
        <w:rPr>
          <w:sz w:val="20"/>
          <w:szCs w:val="20"/>
          <w:color w:val="auto"/>
        </w:rPr>
      </w:pPr>
      <w:r>
        <w:rPr>
          <w:rFonts w:ascii="Arial" w:cs="Arial" w:eastAsia="Arial" w:hAnsi="Arial"/>
          <w:sz w:val="17"/>
          <w:szCs w:val="17"/>
          <w:b w:val="1"/>
          <w:bCs w:val="1"/>
          <w:color w:val="auto"/>
        </w:rPr>
        <w:t>7.14 Prepayments, Etc. of Indebtedness</w:t>
      </w:r>
      <w:r>
        <w:rPr>
          <w:rFonts w:ascii="Arial" w:cs="Arial" w:eastAsia="Arial" w:hAnsi="Arial"/>
          <w:sz w:val="17"/>
          <w:szCs w:val="17"/>
          <w:color w:val="auto"/>
        </w:rPr>
        <w:t>. Prepay, redeem, purchase, defease or otherwise satisfy prior to the scheduled maturity thereof in any manner,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make any payment in violation of any subordination terms of, any Indebtedness, except (a) the prepayment of the Credit Extensions in accordance with the terms of this Agreement and (b) regularly scheduled or required repayments or redemptions of Indebtedness set forth in </w:t>
      </w:r>
      <w:r>
        <w:rPr>
          <w:rFonts w:ascii="Arial" w:cs="Arial" w:eastAsia="Arial" w:hAnsi="Arial"/>
          <w:sz w:val="17"/>
          <w:szCs w:val="17"/>
          <w:u w:val="single" w:color="auto"/>
          <w:color w:val="auto"/>
        </w:rPr>
        <w:t>Schedule 7.03</w:t>
      </w:r>
      <w:r>
        <w:rPr>
          <w:rFonts w:ascii="Arial" w:cs="Arial" w:eastAsia="Arial" w:hAnsi="Arial"/>
          <w:sz w:val="17"/>
          <w:szCs w:val="17"/>
          <w:color w:val="auto"/>
        </w:rPr>
        <w:t xml:space="preserve"> and refinancings and refundings of such Indebtedness in compliance with </w:t>
      </w:r>
      <w:r>
        <w:rPr>
          <w:rFonts w:ascii="Arial" w:cs="Arial" w:eastAsia="Arial" w:hAnsi="Arial"/>
          <w:sz w:val="17"/>
          <w:szCs w:val="17"/>
          <w:u w:val="single" w:color="auto"/>
          <w:color w:val="auto"/>
        </w:rPr>
        <w:t>Section 7.03(b)</w:t>
      </w:r>
      <w:r>
        <w:rPr>
          <w:rFonts w:ascii="Arial" w:cs="Arial" w:eastAsia="Arial" w:hAnsi="Arial"/>
          <w:sz w:val="17"/>
          <w:szCs w:val="17"/>
          <w:color w:val="auto"/>
        </w:rPr>
        <w:t>.</w:t>
      </w:r>
    </w:p>
    <w:p>
      <w:pPr>
        <w:spacing w:after="0" w:line="154" w:lineRule="exact"/>
        <w:rPr>
          <w:sz w:val="20"/>
          <w:szCs w:val="20"/>
          <w:color w:val="auto"/>
        </w:rPr>
      </w:pPr>
    </w:p>
    <w:p>
      <w:pPr>
        <w:jc w:val="both"/>
        <w:ind w:firstLine="763"/>
        <w:spacing w:after="0" w:line="278" w:lineRule="auto"/>
        <w:rPr>
          <w:sz w:val="20"/>
          <w:szCs w:val="20"/>
          <w:color w:val="auto"/>
        </w:rPr>
      </w:pPr>
      <w:r>
        <w:rPr>
          <w:rFonts w:ascii="Arial" w:cs="Arial" w:eastAsia="Arial" w:hAnsi="Arial"/>
          <w:sz w:val="17"/>
          <w:szCs w:val="17"/>
          <w:b w:val="1"/>
          <w:bCs w:val="1"/>
          <w:color w:val="auto"/>
        </w:rPr>
        <w:t>7.15 Amendment, Etc. of Indebtedness</w:t>
      </w:r>
      <w:r>
        <w:rPr>
          <w:rFonts w:ascii="Arial" w:cs="Arial" w:eastAsia="Arial" w:hAnsi="Arial"/>
          <w:sz w:val="17"/>
          <w:szCs w:val="17"/>
          <w:color w:val="auto"/>
        </w:rPr>
        <w:t>. Amend, modify or change in any manner any term or condition of any Indebtedness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7.03</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except for any refinancing, refunding, renewal or extension thereof permitted by </w:t>
      </w:r>
      <w:r>
        <w:rPr>
          <w:rFonts w:ascii="Arial" w:cs="Arial" w:eastAsia="Arial" w:hAnsi="Arial"/>
          <w:sz w:val="17"/>
          <w:szCs w:val="17"/>
          <w:u w:val="single" w:color="auto"/>
          <w:color w:val="auto"/>
        </w:rPr>
        <w:t>Section 7.03(b)</w:t>
      </w:r>
      <w:r>
        <w:rPr>
          <w:rFonts w:ascii="Arial" w:cs="Arial" w:eastAsia="Arial" w:hAnsi="Arial"/>
          <w:sz w:val="17"/>
          <w:szCs w:val="17"/>
          <w:color w:val="auto"/>
        </w:rPr>
        <w: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40"/>
          </w:cols>
          <w:pgMar w:left="240" w:top="312" w:right="219" w:bottom="1440" w:gutter="0" w:footer="0" w:header="0"/>
        </w:sectPr>
      </w:pPr>
    </w:p>
    <w:bookmarkStart w:id="103" w:name="page104"/>
    <w:bookmarkEnd w:id="103"/>
    <w:p>
      <w:pPr>
        <w:jc w:val="both"/>
        <w:ind w:firstLine="763"/>
        <w:spacing w:after="0" w:line="261" w:lineRule="auto"/>
        <w:rPr>
          <w:sz w:val="20"/>
          <w:szCs w:val="20"/>
          <w:color w:val="auto"/>
        </w:rPr>
      </w:pPr>
      <w:r>
        <w:rPr>
          <w:rFonts w:ascii="Arial" w:cs="Arial" w:eastAsia="Arial" w:hAnsi="Arial"/>
          <w:sz w:val="17"/>
          <w:szCs w:val="17"/>
          <w:b w:val="1"/>
          <w:bCs w:val="1"/>
          <w:color w:val="auto"/>
        </w:rPr>
        <w:t>7.16 Designation of Senior Debt</w:t>
      </w:r>
      <w:r>
        <w:rPr>
          <w:rFonts w:ascii="Arial" w:cs="Arial" w:eastAsia="Arial" w:hAnsi="Arial"/>
          <w:sz w:val="17"/>
          <w:szCs w:val="17"/>
          <w:color w:val="auto"/>
        </w:rPr>
        <w:t>. Designate any Indebtedness (other than the Obligations) of the Company or any of its Material Subsidiaries 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“Designated Senior Debt” (or any similar term) under, and as defined in, any agreement, instrument or document governing any Indebtedness permitted under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7.03</w:t>
      </w:r>
      <w:r>
        <w:rPr>
          <w:rFonts w:ascii="Arial" w:cs="Arial" w:eastAsia="Arial" w:hAnsi="Arial"/>
          <w:sz w:val="17"/>
          <w:szCs w:val="17"/>
          <w:color w:val="auto"/>
        </w:rPr>
        <w:t>.</w:t>
      </w:r>
    </w:p>
    <w:p>
      <w:pPr>
        <w:spacing w:after="0" w:line="148" w:lineRule="exact"/>
        <w:rPr>
          <w:sz w:val="20"/>
          <w:szCs w:val="20"/>
          <w:color w:val="auto"/>
        </w:rPr>
      </w:pPr>
    </w:p>
    <w:p>
      <w:pPr>
        <w:jc w:val="both"/>
        <w:ind w:firstLine="763"/>
        <w:spacing w:after="0" w:line="255" w:lineRule="auto"/>
        <w:rPr>
          <w:sz w:val="20"/>
          <w:szCs w:val="20"/>
          <w:color w:val="auto"/>
        </w:rPr>
      </w:pPr>
      <w:r>
        <w:rPr>
          <w:rFonts w:ascii="Arial" w:cs="Arial" w:eastAsia="Arial" w:hAnsi="Arial"/>
          <w:sz w:val="17"/>
          <w:szCs w:val="17"/>
          <w:b w:val="1"/>
          <w:bCs w:val="1"/>
          <w:color w:val="auto"/>
        </w:rPr>
        <w:t>7.17 Sanctions</w:t>
      </w:r>
      <w:r>
        <w:rPr>
          <w:rFonts w:ascii="Arial" w:cs="Arial" w:eastAsia="Arial" w:hAnsi="Arial"/>
          <w:sz w:val="17"/>
          <w:szCs w:val="17"/>
          <w:color w:val="auto"/>
        </w:rPr>
        <w:t>. Directly or indirectly, use the proceeds of any Loan or any Letter of Credit, or lend, contribute or otherwise make available such proceeds</w:t>
      </w:r>
      <w:r>
        <w:rPr>
          <w:rFonts w:ascii="Arial" w:cs="Arial" w:eastAsia="Arial" w:hAnsi="Arial"/>
          <w:sz w:val="17"/>
          <w:szCs w:val="17"/>
          <w:b w:val="1"/>
          <w:bCs w:val="1"/>
          <w:color w:val="auto"/>
        </w:rPr>
        <w:t xml:space="preserve"> </w:t>
      </w:r>
      <w:r>
        <w:rPr>
          <w:rFonts w:ascii="Arial" w:cs="Arial" w:eastAsia="Arial" w:hAnsi="Arial"/>
          <w:sz w:val="17"/>
          <w:szCs w:val="17"/>
          <w:color w:val="auto"/>
        </w:rPr>
        <w:t>to any Subsidiary, joint venture partner or other individual or entity, to fund any activities or business with any individual or entity, or in any country or territory, that, at the time of such funding, is the subject of Sanctions, or in any other manner that will result in a violation by any individual or entity (including any individual or entity participating in the transaction, whether as underwriter, advisor, investor or otherwise) of Sanctions.</w:t>
      </w:r>
    </w:p>
    <w:p>
      <w:pPr>
        <w:spacing w:after="0" w:line="154" w:lineRule="exact"/>
        <w:rPr>
          <w:sz w:val="20"/>
          <w:szCs w:val="20"/>
          <w:color w:val="auto"/>
        </w:rPr>
      </w:pPr>
    </w:p>
    <w:p>
      <w:pPr>
        <w:jc w:val="both"/>
        <w:ind w:right="20" w:firstLine="763"/>
        <w:spacing w:after="0" w:line="285" w:lineRule="auto"/>
        <w:rPr>
          <w:sz w:val="20"/>
          <w:szCs w:val="20"/>
          <w:color w:val="auto"/>
        </w:rPr>
      </w:pPr>
      <w:r>
        <w:rPr>
          <w:rFonts w:ascii="Arial" w:cs="Arial" w:eastAsia="Arial" w:hAnsi="Arial"/>
          <w:sz w:val="16"/>
          <w:szCs w:val="16"/>
          <w:b w:val="1"/>
          <w:bCs w:val="1"/>
          <w:color w:val="auto"/>
        </w:rPr>
        <w:t>7.18 Bank Accounts</w:t>
      </w:r>
      <w:r>
        <w:rPr>
          <w:rFonts w:ascii="Arial" w:cs="Arial" w:eastAsia="Arial" w:hAnsi="Arial"/>
          <w:sz w:val="16"/>
          <w:szCs w:val="16"/>
          <w:color w:val="auto"/>
        </w:rPr>
        <w:t>. With respect to each Domestic Loan Party only, open, or cause to be opened, any deposit account (as defined in the UCC),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account (as defined in the UCC) or other similar account unless the Administrative Agent is given thirty (30) days prior written notice and the Administrative Agent is granted a first-priority, perfected Lien in such account for the benefit of the Lenders in accordance with the Security Agreement.</w:t>
      </w:r>
    </w:p>
    <w:p>
      <w:pPr>
        <w:spacing w:after="0" w:line="130" w:lineRule="exact"/>
        <w:rPr>
          <w:sz w:val="20"/>
          <w:szCs w:val="20"/>
          <w:color w:val="auto"/>
        </w:rPr>
      </w:pPr>
    </w:p>
    <w:p>
      <w:pPr>
        <w:jc w:val="both"/>
        <w:ind w:firstLine="763"/>
        <w:spacing w:after="0" w:line="278" w:lineRule="auto"/>
        <w:rPr>
          <w:sz w:val="20"/>
          <w:szCs w:val="20"/>
          <w:color w:val="auto"/>
        </w:rPr>
      </w:pPr>
      <w:r>
        <w:rPr>
          <w:rFonts w:ascii="Arial" w:cs="Arial" w:eastAsia="Arial" w:hAnsi="Arial"/>
          <w:sz w:val="17"/>
          <w:szCs w:val="17"/>
          <w:b w:val="1"/>
          <w:bCs w:val="1"/>
          <w:color w:val="auto"/>
        </w:rPr>
        <w:t>7.19 Canadian Defined Benefit Pension Plan</w:t>
      </w:r>
      <w:r>
        <w:rPr>
          <w:rFonts w:ascii="Arial" w:cs="Arial" w:eastAsia="Arial" w:hAnsi="Arial"/>
          <w:sz w:val="17"/>
          <w:szCs w:val="17"/>
          <w:color w:val="auto"/>
        </w:rPr>
        <w:t>. Create, incur, assume or suffer to exist any liability or contingent liability in respect of a Canadian Defined</w:t>
      </w:r>
      <w:r>
        <w:rPr>
          <w:rFonts w:ascii="Arial" w:cs="Arial" w:eastAsia="Arial" w:hAnsi="Arial"/>
          <w:sz w:val="17"/>
          <w:szCs w:val="17"/>
          <w:b w:val="1"/>
          <w:bCs w:val="1"/>
          <w:color w:val="auto"/>
        </w:rPr>
        <w:t xml:space="preserve"> </w:t>
      </w:r>
      <w:r>
        <w:rPr>
          <w:rFonts w:ascii="Arial" w:cs="Arial" w:eastAsia="Arial" w:hAnsi="Arial"/>
          <w:sz w:val="17"/>
          <w:szCs w:val="17"/>
          <w:color w:val="auto"/>
        </w:rPr>
        <w:t>Benefit Pension Plan.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EVENTS OF DEFAULT AND REMEDIES</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8.01 Events of Default</w:t>
      </w:r>
      <w:r>
        <w:rPr>
          <w:rFonts w:ascii="Arial" w:cs="Arial" w:eastAsia="Arial" w:hAnsi="Arial"/>
          <w:sz w:val="17"/>
          <w:szCs w:val="17"/>
          <w:color w:val="auto"/>
        </w:rPr>
        <w:t>. Any of the following shall constitute an Event of Default:</w:t>
      </w:r>
    </w:p>
    <w:p>
      <w:pPr>
        <w:spacing w:after="0" w:line="197" w:lineRule="exact"/>
        <w:rPr>
          <w:sz w:val="20"/>
          <w:szCs w:val="20"/>
          <w:color w:val="auto"/>
        </w:rPr>
      </w:pPr>
    </w:p>
    <w:p>
      <w:pPr>
        <w:jc w:val="both"/>
        <w:ind w:left="760" w:right="20" w:firstLine="709"/>
        <w:spacing w:after="0" w:line="274" w:lineRule="auto"/>
        <w:tabs>
          <w:tab w:leader="none" w:pos="1706"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Non-Payment</w:t>
      </w:r>
      <w:r>
        <w:rPr>
          <w:rFonts w:ascii="Arial" w:cs="Arial" w:eastAsia="Arial" w:hAnsi="Arial"/>
          <w:sz w:val="16"/>
          <w:szCs w:val="16"/>
          <w:color w:val="auto"/>
        </w:rPr>
        <w:t>. Any Borrower or any other Loan Party fails to (i) pay when and as required to be paid herein, and in the currency required hereunder, any amount of principal of any Loan or any L/C Obligation or deposit any funds as Cash Collateral in respect of L/C Obligations, or (ii) pay within three days after the same becomes due, any interest on any Loan or on any L/C Obligation, or any fee due hereunder, or (iii) pay within five days after the same becomes due, any other amount payable hereunder or under any other Loan Document; or</w:t>
      </w:r>
    </w:p>
    <w:p>
      <w:pPr>
        <w:spacing w:after="0" w:line="144" w:lineRule="exact"/>
        <w:rPr>
          <w:rFonts w:ascii="Arial" w:cs="Arial" w:eastAsia="Arial" w:hAnsi="Arial"/>
          <w:sz w:val="16"/>
          <w:szCs w:val="16"/>
          <w:color w:val="auto"/>
        </w:rPr>
      </w:pPr>
    </w:p>
    <w:p>
      <w:pPr>
        <w:jc w:val="both"/>
        <w:ind w:left="760" w:firstLine="709"/>
        <w:spacing w:after="0" w:line="257" w:lineRule="auto"/>
        <w:tabs>
          <w:tab w:leader="none" w:pos="1715"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Specific Covenants</w:t>
      </w:r>
      <w:r>
        <w:rPr>
          <w:rFonts w:ascii="Arial" w:cs="Arial" w:eastAsia="Arial" w:hAnsi="Arial"/>
          <w:sz w:val="17"/>
          <w:szCs w:val="17"/>
          <w:color w:val="auto"/>
        </w:rPr>
        <w:t xml:space="preserve">. Any Borrower fails to perform or observe any term, covenant or agreement contained in any of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w:t>
      </w:r>
      <w:r>
        <w:rPr>
          <w:rFonts w:ascii="Arial" w:cs="Arial" w:eastAsia="Arial" w:hAnsi="Arial"/>
          <w:sz w:val="17"/>
          <w:szCs w:val="17"/>
          <w:color w:val="auto"/>
        </w:rPr>
        <w:t xml:space="preserve">, </w:t>
      </w:r>
      <w:r>
        <w:rPr>
          <w:rFonts w:ascii="Arial" w:cs="Arial" w:eastAsia="Arial" w:hAnsi="Arial"/>
          <w:sz w:val="17"/>
          <w:szCs w:val="17"/>
          <w:u w:val="single" w:color="auto"/>
          <w:color w:val="auto"/>
        </w:rPr>
        <w:t>6.03</w:t>
      </w:r>
      <w:r>
        <w:rPr>
          <w:rFonts w:ascii="Arial" w:cs="Arial" w:eastAsia="Arial" w:hAnsi="Arial"/>
          <w:sz w:val="17"/>
          <w:szCs w:val="17"/>
          <w:color w:val="auto"/>
        </w:rPr>
        <w:t xml:space="preserve">, </w:t>
      </w:r>
      <w:r>
        <w:rPr>
          <w:rFonts w:ascii="Arial" w:cs="Arial" w:eastAsia="Arial" w:hAnsi="Arial"/>
          <w:sz w:val="17"/>
          <w:szCs w:val="17"/>
          <w:u w:val="single" w:color="auto"/>
          <w:color w:val="auto"/>
        </w:rPr>
        <w:t>6.05</w:t>
      </w:r>
      <w:r>
        <w:rPr>
          <w:rFonts w:ascii="Arial" w:cs="Arial" w:eastAsia="Arial" w:hAnsi="Arial"/>
          <w:sz w:val="17"/>
          <w:szCs w:val="17"/>
          <w:color w:val="auto"/>
        </w:rPr>
        <w:t xml:space="preserve">, </w:t>
      </w:r>
      <w:r>
        <w:rPr>
          <w:rFonts w:ascii="Arial" w:cs="Arial" w:eastAsia="Arial" w:hAnsi="Arial"/>
          <w:sz w:val="17"/>
          <w:szCs w:val="17"/>
          <w:u w:val="single" w:color="auto"/>
          <w:color w:val="auto"/>
        </w:rPr>
        <w:t>6.10</w:t>
      </w:r>
      <w:r>
        <w:rPr>
          <w:rFonts w:ascii="Arial" w:cs="Arial" w:eastAsia="Arial" w:hAnsi="Arial"/>
          <w:sz w:val="17"/>
          <w:szCs w:val="17"/>
          <w:color w:val="auto"/>
        </w:rPr>
        <w:t xml:space="preserve">, </w:t>
      </w:r>
      <w:r>
        <w:rPr>
          <w:rFonts w:ascii="Arial" w:cs="Arial" w:eastAsia="Arial" w:hAnsi="Arial"/>
          <w:sz w:val="17"/>
          <w:szCs w:val="17"/>
          <w:u w:val="single" w:color="auto"/>
          <w:color w:val="auto"/>
        </w:rPr>
        <w:t>6.11</w:t>
      </w:r>
      <w:r>
        <w:rPr>
          <w:rFonts w:ascii="Arial" w:cs="Arial" w:eastAsia="Arial" w:hAnsi="Arial"/>
          <w:sz w:val="17"/>
          <w:szCs w:val="17"/>
          <w:color w:val="auto"/>
        </w:rPr>
        <w:t xml:space="preserve">, </w:t>
      </w:r>
      <w:r>
        <w:rPr>
          <w:rFonts w:ascii="Arial" w:cs="Arial" w:eastAsia="Arial" w:hAnsi="Arial"/>
          <w:sz w:val="17"/>
          <w:szCs w:val="17"/>
          <w:u w:val="single" w:color="auto"/>
          <w:color w:val="auto"/>
        </w:rPr>
        <w:t>6.13</w:t>
      </w:r>
      <w:r>
        <w:rPr>
          <w:rFonts w:ascii="Arial" w:cs="Arial" w:eastAsia="Arial" w:hAnsi="Arial"/>
          <w:sz w:val="17"/>
          <w:szCs w:val="17"/>
          <w:color w:val="auto"/>
        </w:rPr>
        <w:t xml:space="preserve">, </w:t>
      </w:r>
      <w:r>
        <w:rPr>
          <w:rFonts w:ascii="Arial" w:cs="Arial" w:eastAsia="Arial" w:hAnsi="Arial"/>
          <w:sz w:val="17"/>
          <w:szCs w:val="17"/>
          <w:u w:val="single" w:color="auto"/>
          <w:color w:val="auto"/>
        </w:rPr>
        <w:t>6.17</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6.19</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or any Guarantor fails to perform or observe any term, covenant or agreement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of the applicable Guaranty to the extent such failure would constitute an Event of Default under this </w:t>
      </w:r>
      <w:r>
        <w:rPr>
          <w:rFonts w:ascii="Arial" w:cs="Arial" w:eastAsia="Arial" w:hAnsi="Arial"/>
          <w:sz w:val="17"/>
          <w:szCs w:val="17"/>
          <w:u w:val="single" w:color="auto"/>
          <w:color w:val="auto"/>
        </w:rPr>
        <w:t>clause (b)</w:t>
      </w:r>
      <w:r>
        <w:rPr>
          <w:rFonts w:ascii="Arial" w:cs="Arial" w:eastAsia="Arial" w:hAnsi="Arial"/>
          <w:sz w:val="17"/>
          <w:szCs w:val="17"/>
          <w:color w:val="auto"/>
        </w:rPr>
        <w:t>; or</w:t>
      </w:r>
    </w:p>
    <w:p>
      <w:pPr>
        <w:spacing w:after="0" w:line="157" w:lineRule="exact"/>
        <w:rPr>
          <w:rFonts w:ascii="Arial" w:cs="Arial" w:eastAsia="Arial" w:hAnsi="Arial"/>
          <w:sz w:val="17"/>
          <w:szCs w:val="17"/>
          <w:color w:val="auto"/>
        </w:rPr>
      </w:pPr>
    </w:p>
    <w:p>
      <w:pPr>
        <w:jc w:val="both"/>
        <w:ind w:left="760" w:firstLine="709"/>
        <w:spacing w:after="0" w:line="281" w:lineRule="auto"/>
        <w:tabs>
          <w:tab w:leader="none" w:pos="1717"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Other Defaults</w:t>
      </w:r>
      <w:r>
        <w:rPr>
          <w:rFonts w:ascii="Arial" w:cs="Arial" w:eastAsia="Arial" w:hAnsi="Arial"/>
          <w:sz w:val="16"/>
          <w:szCs w:val="16"/>
          <w:color w:val="auto"/>
        </w:rPr>
        <w:t xml:space="preserve">. Any Loan Party fails to perform or observe any other covenant or agreement (not specified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contained in any Loan Document on its part to be performed or observed and such failure continues for 30 days after the earlier of (i) a Loan Party becoming aware of such failure or (ii) the date notice thereof shall have been given to the Company by the Administrative Agent; or</w:t>
      </w:r>
    </w:p>
    <w:p>
      <w:pPr>
        <w:spacing w:after="0" w:line="139" w:lineRule="exact"/>
        <w:rPr>
          <w:rFonts w:ascii="Arial" w:cs="Arial" w:eastAsia="Arial" w:hAnsi="Arial"/>
          <w:sz w:val="16"/>
          <w:szCs w:val="16"/>
          <w:color w:val="auto"/>
        </w:rPr>
      </w:pPr>
    </w:p>
    <w:p>
      <w:pPr>
        <w:jc w:val="both"/>
        <w:ind w:left="760" w:firstLine="709"/>
        <w:spacing w:after="0" w:line="257" w:lineRule="auto"/>
        <w:tabs>
          <w:tab w:leader="none" w:pos="1715"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Any representation, warranty, certification or statement of fact made or deemed made by or on behalf of any Borrower or any other Loan Party herein, in any other Loan Document, or in any document delivered in connection herewith or therewith shall be materially incorrect or misleading when made or deemed made; or</w:t>
      </w:r>
    </w:p>
    <w:p>
      <w:pPr>
        <w:spacing w:after="0" w:line="157" w:lineRule="exact"/>
        <w:rPr>
          <w:rFonts w:ascii="Arial" w:cs="Arial" w:eastAsia="Arial" w:hAnsi="Arial"/>
          <w:sz w:val="17"/>
          <w:szCs w:val="17"/>
          <w:color w:val="auto"/>
        </w:rPr>
      </w:pPr>
    </w:p>
    <w:p>
      <w:pPr>
        <w:jc w:val="both"/>
        <w:ind w:left="760" w:firstLine="709"/>
        <w:spacing w:after="0" w:line="247" w:lineRule="auto"/>
        <w:tabs>
          <w:tab w:leader="none" w:pos="1729"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Cross-Default</w:t>
      </w:r>
      <w:r>
        <w:rPr>
          <w:rFonts w:ascii="Arial" w:cs="Arial" w:eastAsia="Arial" w:hAnsi="Arial"/>
          <w:sz w:val="17"/>
          <w:szCs w:val="17"/>
          <w:color w:val="auto"/>
        </w:rPr>
        <w:t>. (i) Any Loan Party or any of its Material Subsidiaries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40"/>
          </w:cols>
          <w:pgMar w:left="240" w:top="306" w:right="219" w:bottom="1440" w:gutter="0" w:footer="0" w:header="0"/>
        </w:sectPr>
      </w:pPr>
    </w:p>
    <w:bookmarkStart w:id="104" w:name="page105"/>
    <w:bookmarkEnd w:id="104"/>
    <w:p>
      <w:pPr>
        <w:jc w:val="both"/>
        <w:spacing w:after="0" w:line="249" w:lineRule="auto"/>
        <w:rPr>
          <w:sz w:val="20"/>
          <w:szCs w:val="20"/>
          <w:color w:val="auto"/>
        </w:rPr>
      </w:pPr>
      <w:r>
        <w:rPr>
          <w:rFonts w:ascii="Arial" w:cs="Arial" w:eastAsia="Arial" w:hAnsi="Arial"/>
          <w:sz w:val="17"/>
          <w:szCs w:val="17"/>
          <w:color w:val="auto"/>
        </w:rPr>
        <w:t>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any Borrower or any Material Subsidiary is the Defaulting Party (as defined in such Swap Contract) or (B) any Termination Event (as so defined) under such Swap Contract as to which any Borrower or any Material Subsidiary is an Affected Party (as so defined) and, in either event, the Swap Termination Value owed by such Borrower or such Material Subsidiary as a result thereof is greater than the Threshold Amount; or</w:t>
      </w:r>
    </w:p>
    <w:p>
      <w:pPr>
        <w:spacing w:after="0" w:line="166" w:lineRule="exact"/>
        <w:rPr>
          <w:sz w:val="20"/>
          <w:szCs w:val="20"/>
          <w:color w:val="auto"/>
        </w:rPr>
      </w:pPr>
    </w:p>
    <w:p>
      <w:pPr>
        <w:jc w:val="both"/>
        <w:ind w:firstLine="709"/>
        <w:spacing w:after="0" w:line="264" w:lineRule="auto"/>
        <w:tabs>
          <w:tab w:leader="none" w:pos="927"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Insolvency Proceedings, Etc</w:t>
      </w:r>
      <w:r>
        <w:rPr>
          <w:rFonts w:ascii="Arial" w:cs="Arial" w:eastAsia="Arial" w:hAnsi="Arial"/>
          <w:sz w:val="16"/>
          <w:szCs w:val="16"/>
          <w:color w:val="auto"/>
        </w:rPr>
        <w:t>. Any Loan Party or any Material Subsidiary institutes or consents to the institution of any proceeding under any Debtor Relief Law (including in relation to a German Loan Party, its board of directors being required by applicable Law to file for insolvency), or makes an assignment for the benefit of creditors; or makes a proposal to its creditors or files notice of its intention to do so, institutes any other proceeding under applicable Law seeking to adjudicate it a bankrupt or an insolvent, or seeking liquidation, dissolution, winding-up, reorganization, compromise, arrangement, adjustment, protection, moratorium, relief, stay of proceedings of creditors, composition of it or its debts or any other similar relief; or applies for or consents to the appointment of any receiver, receiver-manager, trustee, custodian, conservator, liquidator, rehabilitator or similar officer for it or for all or any material part of its property; or any receiver, receiver-manager,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56" w:lineRule="exact"/>
        <w:rPr>
          <w:rFonts w:ascii="Arial" w:cs="Arial" w:eastAsia="Arial" w:hAnsi="Arial"/>
          <w:sz w:val="16"/>
          <w:szCs w:val="16"/>
          <w:color w:val="auto"/>
        </w:rPr>
      </w:pPr>
    </w:p>
    <w:p>
      <w:pPr>
        <w:jc w:val="both"/>
        <w:ind w:firstLine="709"/>
        <w:spacing w:after="0" w:line="251" w:lineRule="auto"/>
        <w:tabs>
          <w:tab w:leader="none" w:pos="955"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Inability to Pay Debts; Attachment</w:t>
      </w:r>
      <w:r>
        <w:rPr>
          <w:rFonts w:ascii="Arial" w:cs="Arial" w:eastAsia="Arial" w:hAnsi="Arial"/>
          <w:sz w:val="17"/>
          <w:szCs w:val="17"/>
          <w:color w:val="auto"/>
        </w:rPr>
        <w:t>. (i) Any Loan Party or any Material Subsidiary becomes unable or admits in writing its inability or fails generally to pay its debts as they become due (including, in relation to a German Loan Party, becoming over-indebted (</w:t>
      </w:r>
      <w:r>
        <w:rPr>
          <w:rFonts w:ascii="Arial" w:cs="Arial" w:eastAsia="Arial" w:hAnsi="Arial"/>
          <w:sz w:val="17"/>
          <w:szCs w:val="17"/>
          <w:i w:val="1"/>
          <w:iCs w:val="1"/>
          <w:color w:val="auto"/>
        </w:rPr>
        <w:t>überschuldet</w:t>
      </w:r>
      <w:r>
        <w:rPr>
          <w:rFonts w:ascii="Arial" w:cs="Arial" w:eastAsia="Arial" w:hAnsi="Arial"/>
          <w:sz w:val="17"/>
          <w:szCs w:val="17"/>
          <w:color w:val="auto"/>
        </w:rPr>
        <w:t>) or being unable to pay its debts as they fall due (</w:t>
      </w:r>
      <w:r>
        <w:rPr>
          <w:rFonts w:ascii="Arial" w:cs="Arial" w:eastAsia="Arial" w:hAnsi="Arial"/>
          <w:sz w:val="17"/>
          <w:szCs w:val="17"/>
          <w:i w:val="1"/>
          <w:iCs w:val="1"/>
          <w:color w:val="auto"/>
        </w:rPr>
        <w:t>zahlungsunfähig</w:t>
      </w:r>
      <w:r>
        <w:rPr>
          <w:rFonts w:ascii="Arial" w:cs="Arial" w:eastAsia="Arial" w:hAnsi="Arial"/>
          <w:sz w:val="17"/>
          <w:szCs w:val="17"/>
          <w:color w:val="auto"/>
        </w:rPr>
        <w:t>) within the meaning of section 19 and 17 of the German Insolvency Code, respectively), or (ii) any writ or warrant of attachment or execution or similar process is issued or levied against all or any material part of the property of any such Person and is not released, vacated or fully bonded within 30 days after its issue or levy; or</w:t>
      </w:r>
    </w:p>
    <w:p>
      <w:pPr>
        <w:spacing w:after="0" w:line="161" w:lineRule="exact"/>
        <w:rPr>
          <w:rFonts w:ascii="Arial" w:cs="Arial" w:eastAsia="Arial" w:hAnsi="Arial"/>
          <w:sz w:val="17"/>
          <w:szCs w:val="17"/>
          <w:color w:val="auto"/>
        </w:rPr>
      </w:pPr>
    </w:p>
    <w:p>
      <w:pPr>
        <w:jc w:val="both"/>
        <w:ind w:firstLine="709"/>
        <w:spacing w:after="0" w:line="268" w:lineRule="auto"/>
        <w:tabs>
          <w:tab w:leader="none" w:pos="955"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Judgments</w:t>
      </w:r>
      <w:r>
        <w:rPr>
          <w:rFonts w:ascii="Arial" w:cs="Arial" w:eastAsia="Arial" w:hAnsi="Arial"/>
          <w:sz w:val="16"/>
          <w:szCs w:val="16"/>
          <w:color w:val="auto"/>
        </w:rPr>
        <w:t>. There is entered against any Loan Party or any Material Subsidiary (i) one or more final judgments or orders for the payment of money in an aggregate amount (as to all such judgments or orders) exceeding $1,000,000 over any amount covered by independent third-party insurance as to which the insurer is rated as least “A” by A.M. Best Company, has been notified of the potential claim and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10 consecutive days during which a stay of enforcement of such judgment, by reason of a pending appeal or otherwise, is not in effect; or</w:t>
      </w:r>
    </w:p>
    <w:p>
      <w:pPr>
        <w:spacing w:after="0" w:line="150" w:lineRule="exact"/>
        <w:rPr>
          <w:rFonts w:ascii="Arial" w:cs="Arial" w:eastAsia="Arial" w:hAnsi="Arial"/>
          <w:sz w:val="16"/>
          <w:szCs w:val="16"/>
          <w:color w:val="auto"/>
        </w:rPr>
      </w:pPr>
    </w:p>
    <w:p>
      <w:pPr>
        <w:jc w:val="both"/>
        <w:ind w:right="20" w:firstLine="709"/>
        <w:spacing w:after="0" w:line="267" w:lineRule="auto"/>
        <w:tabs>
          <w:tab w:leader="none" w:pos="929"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ERISA; Foreign Government Scheme or Arrangement</w:t>
      </w:r>
      <w:r>
        <w:rPr>
          <w:rFonts w:ascii="Arial" w:cs="Arial" w:eastAsia="Arial" w:hAnsi="Arial"/>
          <w:sz w:val="16"/>
          <w:szCs w:val="16"/>
          <w:color w:val="auto"/>
        </w:rPr>
        <w:t>. (i) An ERISA Event occurs with respect to a Pension Plan or Multiemployer Plan which has resulted or could reasonably be expected to result in liability of the Borrowers under Title IV of ERISA to the Pension Plan, Multiemployer Plan or the PBGC in an aggregate amount in excess of the Threshold Amount, (ii) any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 (iii) a Foreign Plan Event occurs, or any Borrower or any Loan Party fails to pay amounts due or fails to take any other action, with respect to any Foreign Plan resulting in (or that could reasonably be expected to result in) liabilities in an aggregate amount in excess of the Threshold Amount; or</w:t>
      </w:r>
    </w:p>
    <w:p>
      <w:pPr>
        <w:spacing w:after="0" w:line="149" w:lineRule="exact"/>
        <w:rPr>
          <w:rFonts w:ascii="Arial" w:cs="Arial" w:eastAsia="Arial" w:hAnsi="Arial"/>
          <w:sz w:val="16"/>
          <w:szCs w:val="16"/>
          <w:color w:val="auto"/>
        </w:rPr>
      </w:pPr>
    </w:p>
    <w:p>
      <w:pPr>
        <w:jc w:val="both"/>
        <w:ind w:firstLine="709"/>
        <w:spacing w:after="0" w:line="281" w:lineRule="auto"/>
        <w:tabs>
          <w:tab w:leader="none" w:pos="917"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Invalidity of Loan Documents</w:t>
      </w:r>
      <w:r>
        <w:rPr>
          <w:rFonts w:ascii="Arial" w:cs="Arial" w:eastAsia="Arial" w:hAnsi="Arial"/>
          <w:sz w:val="16"/>
          <w:szCs w:val="16"/>
          <w:color w:val="auto"/>
        </w:rPr>
        <w:t>. Any provision of any Loan Document, at any time after its execution and delivery and for any reason other than as expressly permitted hereunder or thereunder or satisfaction in full of all the Obligations, ceases to be in full force and effect; or any Loan Party or any other Person contests in any manner the validity or enforceability of any provision of any Loan Document; or any Loan Party denies that it has</w:t>
      </w:r>
    </w:p>
    <w:p>
      <w:pPr>
        <w:spacing w:after="0" w:line="139"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0680"/>
          </w:cols>
          <w:pgMar w:left="1000" w:top="312" w:right="219" w:bottom="1440" w:gutter="0" w:footer="0" w:header="0"/>
        </w:sectPr>
      </w:pPr>
    </w:p>
    <w:bookmarkStart w:id="105" w:name="page106"/>
    <w:bookmarkEnd w:id="105"/>
    <w:p>
      <w:pPr>
        <w:ind w:left="760"/>
        <w:spacing w:after="0"/>
        <w:rPr>
          <w:sz w:val="20"/>
          <w:szCs w:val="20"/>
          <w:color w:val="auto"/>
        </w:rPr>
      </w:pPr>
      <w:r>
        <w:rPr>
          <w:rFonts w:ascii="Arial" w:cs="Arial" w:eastAsia="Arial" w:hAnsi="Arial"/>
          <w:sz w:val="16"/>
          <w:szCs w:val="16"/>
          <w:color w:val="auto"/>
        </w:rPr>
        <w:t>any or further liability or obligation under any Loan Document, or purports to revoke, terminate or rescind any provision of any Loan Document; or</w:t>
      </w:r>
    </w:p>
    <w:p>
      <w:pPr>
        <w:spacing w:after="0" w:line="203" w:lineRule="exact"/>
        <w:rPr>
          <w:sz w:val="20"/>
          <w:szCs w:val="20"/>
          <w:color w:val="auto"/>
        </w:rPr>
      </w:pPr>
    </w:p>
    <w:p>
      <w:pPr>
        <w:ind w:left="1720" w:hanging="251"/>
        <w:spacing w:after="0"/>
        <w:tabs>
          <w:tab w:leader="none" w:pos="1720" w:val="left"/>
        </w:tabs>
        <w:numPr>
          <w:ilvl w:val="1"/>
          <w:numId w:val="137"/>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There occurs any Change of Control; or</w:t>
      </w:r>
    </w:p>
    <w:p>
      <w:pPr>
        <w:spacing w:after="0" w:line="191" w:lineRule="exact"/>
        <w:rPr>
          <w:rFonts w:ascii="Arial" w:cs="Arial" w:eastAsia="Arial" w:hAnsi="Arial"/>
          <w:sz w:val="17"/>
          <w:szCs w:val="17"/>
          <w:color w:val="auto"/>
        </w:rPr>
      </w:pPr>
    </w:p>
    <w:p>
      <w:pPr>
        <w:jc w:val="both"/>
        <w:ind w:left="760" w:firstLine="709"/>
        <w:spacing w:after="0" w:line="257" w:lineRule="auto"/>
        <w:tabs>
          <w:tab w:leader="none" w:pos="1700" w:val="left"/>
        </w:tabs>
        <w:numPr>
          <w:ilvl w:val="1"/>
          <w:numId w:val="137"/>
        </w:numPr>
        <w:rPr>
          <w:rFonts w:ascii="Arial" w:cs="Arial" w:eastAsia="Arial" w:hAnsi="Arial"/>
          <w:sz w:val="17"/>
          <w:szCs w:val="17"/>
          <w:color w:val="auto"/>
        </w:rPr>
      </w:pPr>
      <w:r>
        <w:rPr>
          <w:rFonts w:ascii="Arial" w:cs="Arial" w:eastAsia="Arial" w:hAnsi="Arial"/>
          <w:sz w:val="17"/>
          <w:szCs w:val="17"/>
          <w:u w:val="single" w:color="auto"/>
          <w:color w:val="auto"/>
        </w:rPr>
        <w:t>Collateral Documents</w:t>
      </w:r>
      <w:r>
        <w:rPr>
          <w:rFonts w:ascii="Arial" w:cs="Arial" w:eastAsia="Arial" w:hAnsi="Arial"/>
          <w:sz w:val="17"/>
          <w:szCs w:val="17"/>
          <w:color w:val="auto"/>
        </w:rPr>
        <w:t xml:space="preserve">. Any Collateral Document after delivery thereof pursuant to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6.13</w:t>
      </w:r>
      <w:r>
        <w:rPr>
          <w:rFonts w:ascii="Arial" w:cs="Arial" w:eastAsia="Arial" w:hAnsi="Arial"/>
          <w:sz w:val="17"/>
          <w:szCs w:val="17"/>
          <w:color w:val="auto"/>
        </w:rPr>
        <w:t xml:space="preserve"> shall for any reason (other than pursuant to the terms thereof) cease to create a valid and perfected first priority Lien (subject to Liens permitted by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on the Collateral purported to be covered thereby; or</w:t>
      </w:r>
    </w:p>
    <w:p>
      <w:pPr>
        <w:spacing w:after="0" w:line="157" w:lineRule="exact"/>
        <w:rPr>
          <w:rFonts w:ascii="Arial" w:cs="Arial" w:eastAsia="Arial" w:hAnsi="Arial"/>
          <w:sz w:val="17"/>
          <w:szCs w:val="17"/>
          <w:color w:val="auto"/>
        </w:rPr>
      </w:pPr>
    </w:p>
    <w:p>
      <w:pPr>
        <w:jc w:val="both"/>
        <w:ind w:left="760" w:firstLine="709"/>
        <w:spacing w:after="0" w:line="282" w:lineRule="auto"/>
        <w:tabs>
          <w:tab w:leader="none" w:pos="1798" w:val="left"/>
        </w:tabs>
        <w:numPr>
          <w:ilvl w:val="1"/>
          <w:numId w:val="137"/>
        </w:numPr>
        <w:rPr>
          <w:rFonts w:ascii="Arial" w:cs="Arial" w:eastAsia="Arial" w:hAnsi="Arial"/>
          <w:sz w:val="15"/>
          <w:szCs w:val="15"/>
          <w:color w:val="auto"/>
        </w:rPr>
      </w:pPr>
      <w:r>
        <w:rPr>
          <w:rFonts w:ascii="Arial" w:cs="Arial" w:eastAsia="Arial" w:hAnsi="Arial"/>
          <w:sz w:val="15"/>
          <w:szCs w:val="15"/>
          <w:u w:val="single" w:color="auto"/>
          <w:color w:val="auto"/>
        </w:rPr>
        <w:t>Subordination</w:t>
      </w:r>
      <w:r>
        <w:rPr>
          <w:rFonts w:ascii="Arial" w:cs="Arial" w:eastAsia="Arial" w:hAnsi="Arial"/>
          <w:sz w:val="15"/>
          <w:szCs w:val="15"/>
          <w:color w:val="auto"/>
        </w:rPr>
        <w:t>. (i) The subordination provisions of the documents evidencing or governing any Indebtedness that is subordinated or otherwise junior to the obligations of the Loan Parties under the Loan Documents (the “</w:t>
      </w:r>
      <w:r>
        <w:rPr>
          <w:rFonts w:ascii="Arial" w:cs="Arial" w:eastAsia="Arial" w:hAnsi="Arial"/>
          <w:sz w:val="15"/>
          <w:szCs w:val="15"/>
          <w:u w:val="single" w:color="auto"/>
          <w:color w:val="auto"/>
        </w:rPr>
        <w:t>Subordinated Provisions</w:t>
      </w:r>
      <w:r>
        <w:rPr>
          <w:rFonts w:ascii="Arial" w:cs="Arial" w:eastAsia="Arial" w:hAnsi="Arial"/>
          <w:sz w:val="15"/>
          <w:szCs w:val="15"/>
          <w:color w:val="auto"/>
        </w:rPr>
        <w:t>”</w:t>
      </w:r>
      <w:r>
        <w:rPr>
          <w:rFonts w:ascii="Arial" w:cs="Arial" w:eastAsia="Arial" w:hAnsi="Arial"/>
          <w:sz w:val="15"/>
          <w:szCs w:val="15"/>
          <w:u w:val="single" w:color="auto"/>
          <w:color w:val="auto"/>
        </w:rPr>
        <w:t>)</w:t>
      </w:r>
      <w:r>
        <w:rPr>
          <w:rFonts w:ascii="Arial" w:cs="Arial" w:eastAsia="Arial" w:hAnsi="Arial"/>
          <w:sz w:val="15"/>
          <w:szCs w:val="15"/>
          <w:color w:val="auto"/>
        </w:rPr>
        <w:t xml:space="preserve"> shall, in whole or in part, terminate, cease to be effective or cease to be legally valid, binding and enforceable against any such holder of Indebtedness; or (ii) any Borrower or any other Loan Party shall, directly or indirectly, disavow or contest in any manner (A) the effectiveness, validity or enforceability of any of the Subordination Provisions,</w:t>
      </w:r>
    </w:p>
    <w:p>
      <w:pPr>
        <w:jc w:val="both"/>
        <w:ind w:left="760" w:hanging="3"/>
        <w:spacing w:after="0" w:line="249" w:lineRule="auto"/>
        <w:tabs>
          <w:tab w:leader="none" w:pos="1033"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that the Subordination Provisions exist for the benefit of the Administrative Agent, the Lenders and the L/C Issuer or (C) that all payments of principal of or premium and interest on the applicable subordinated Indebtedness, or realized from the liquidation of any property of any Loan Party, shall be subject to any of the Subordination Provisions.</w:t>
      </w:r>
    </w:p>
    <w:p>
      <w:pPr>
        <w:spacing w:after="0" w:line="157" w:lineRule="exact"/>
        <w:rPr>
          <w:sz w:val="20"/>
          <w:szCs w:val="20"/>
          <w:color w:val="auto"/>
        </w:rPr>
      </w:pPr>
    </w:p>
    <w:p>
      <w:pPr>
        <w:ind w:right="20" w:firstLine="763"/>
        <w:spacing w:after="0" w:line="278" w:lineRule="auto"/>
        <w:rPr>
          <w:sz w:val="20"/>
          <w:szCs w:val="20"/>
          <w:color w:val="auto"/>
        </w:rPr>
      </w:pPr>
      <w:r>
        <w:rPr>
          <w:rFonts w:ascii="Arial" w:cs="Arial" w:eastAsia="Arial" w:hAnsi="Arial"/>
          <w:sz w:val="17"/>
          <w:szCs w:val="17"/>
          <w:b w:val="1"/>
          <w:bCs w:val="1"/>
          <w:color w:val="auto"/>
        </w:rPr>
        <w:t>8.02 Remedies Upon Event of Default</w:t>
      </w:r>
      <w:r>
        <w:rPr>
          <w:rFonts w:ascii="Arial" w:cs="Arial" w:eastAsia="Arial" w:hAnsi="Arial"/>
          <w:sz w:val="17"/>
          <w:szCs w:val="17"/>
          <w:color w:val="auto"/>
        </w:rPr>
        <w:t>. If any Event of Default occurs and is continuing, the Administrative Agent shall, at the request of, or may,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consent of, the Required Lenders, take any or all of the following actions:</w:t>
      </w:r>
    </w:p>
    <w:p>
      <w:pPr>
        <w:spacing w:after="0" w:line="139" w:lineRule="exact"/>
        <w:rPr>
          <w:sz w:val="20"/>
          <w:szCs w:val="20"/>
          <w:color w:val="auto"/>
        </w:rPr>
      </w:pPr>
    </w:p>
    <w:p>
      <w:pPr>
        <w:ind w:left="760" w:firstLine="709"/>
        <w:spacing w:after="0" w:line="271" w:lineRule="auto"/>
        <w:tabs>
          <w:tab w:leader="none" w:pos="1708" w:val="left"/>
        </w:tabs>
        <w:numPr>
          <w:ilvl w:val="0"/>
          <w:numId w:val="139"/>
        </w:numPr>
        <w:rPr>
          <w:rFonts w:ascii="Arial" w:cs="Arial" w:eastAsia="Arial" w:hAnsi="Arial"/>
          <w:sz w:val="17"/>
          <w:szCs w:val="17"/>
          <w:color w:val="auto"/>
        </w:rPr>
      </w:pPr>
      <w:r>
        <w:rPr>
          <w:rFonts w:ascii="Arial" w:cs="Arial" w:eastAsia="Arial" w:hAnsi="Arial"/>
          <w:sz w:val="17"/>
          <w:szCs w:val="17"/>
          <w:color w:val="auto"/>
        </w:rPr>
        <w:t>declare the commitment of each Lender to make Loans and any obligation of the L/C Issuer to make L/C Credit Extensions to be terminated, whereupon such commitments and obligation shall be terminated;</w:t>
      </w:r>
    </w:p>
    <w:p>
      <w:pPr>
        <w:spacing w:after="0" w:line="144" w:lineRule="exact"/>
        <w:rPr>
          <w:rFonts w:ascii="Arial" w:cs="Arial" w:eastAsia="Arial" w:hAnsi="Arial"/>
          <w:sz w:val="17"/>
          <w:szCs w:val="17"/>
          <w:color w:val="auto"/>
        </w:rPr>
      </w:pPr>
    </w:p>
    <w:p>
      <w:pPr>
        <w:jc w:val="both"/>
        <w:ind w:left="760" w:right="20" w:firstLine="709"/>
        <w:spacing w:after="0" w:line="257" w:lineRule="auto"/>
        <w:tabs>
          <w:tab w:leader="none" w:pos="1742" w:val="left"/>
        </w:tabs>
        <w:numPr>
          <w:ilvl w:val="0"/>
          <w:numId w:val="139"/>
        </w:numPr>
        <w:rPr>
          <w:rFonts w:ascii="Arial" w:cs="Arial" w:eastAsia="Arial" w:hAnsi="Arial"/>
          <w:sz w:val="17"/>
          <w:szCs w:val="17"/>
          <w:color w:val="auto"/>
        </w:rPr>
      </w:pPr>
      <w:r>
        <w:rPr>
          <w:rFonts w:ascii="Arial" w:cs="Arial" w:eastAsia="Arial" w:hAnsi="Arial"/>
          <w:sz w:val="17"/>
          <w:szCs w:val="17"/>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57" w:lineRule="exact"/>
        <w:rPr>
          <w:rFonts w:ascii="Arial" w:cs="Arial" w:eastAsia="Arial" w:hAnsi="Arial"/>
          <w:sz w:val="17"/>
          <w:szCs w:val="17"/>
          <w:color w:val="auto"/>
        </w:rPr>
      </w:pPr>
    </w:p>
    <w:p>
      <w:pPr>
        <w:ind w:left="1720" w:hanging="251"/>
        <w:spacing w:after="0"/>
        <w:tabs>
          <w:tab w:leader="none" w:pos="172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require that the Company Cash Collateralize the L/C Obligations (in an amount equal to the Minimum Collateral Amount with respect</w:t>
      </w:r>
    </w:p>
    <w:p>
      <w:pPr>
        <w:spacing w:after="0" w:line="29"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7"/>
          <w:szCs w:val="17"/>
          <w:color w:val="auto"/>
        </w:rPr>
        <w:t>thereto); and</w:t>
      </w:r>
    </w:p>
    <w:p>
      <w:pPr>
        <w:spacing w:after="0" w:line="177" w:lineRule="exact"/>
        <w:rPr>
          <w:rFonts w:ascii="Arial" w:cs="Arial" w:eastAsia="Arial" w:hAnsi="Arial"/>
          <w:sz w:val="16"/>
          <w:szCs w:val="16"/>
          <w:color w:val="auto"/>
        </w:rPr>
      </w:pPr>
    </w:p>
    <w:p>
      <w:pPr>
        <w:ind w:left="760" w:right="20" w:firstLine="709"/>
        <w:spacing w:after="0" w:line="271" w:lineRule="auto"/>
        <w:tabs>
          <w:tab w:leader="none" w:pos="1724" w:val="left"/>
        </w:tabs>
        <w:numPr>
          <w:ilvl w:val="0"/>
          <w:numId w:val="139"/>
        </w:numPr>
        <w:rPr>
          <w:rFonts w:ascii="Arial" w:cs="Arial" w:eastAsia="Arial" w:hAnsi="Arial"/>
          <w:sz w:val="17"/>
          <w:szCs w:val="17"/>
          <w:color w:val="auto"/>
        </w:rPr>
      </w:pPr>
      <w:r>
        <w:rPr>
          <w:rFonts w:ascii="Arial" w:cs="Arial" w:eastAsia="Arial" w:hAnsi="Arial"/>
          <w:sz w:val="17"/>
          <w:szCs w:val="17"/>
          <w:color w:val="auto"/>
        </w:rPr>
        <w:t>exercise on behalf of itself, the Lenders and the L/C Issuer all rights and remedies available to it, the Lenders and the L/C Issuer under the Loan Documents;</w:t>
      </w:r>
    </w:p>
    <w:p>
      <w:pPr>
        <w:spacing w:after="0" w:line="145" w:lineRule="exact"/>
        <w:rPr>
          <w:sz w:val="20"/>
          <w:szCs w:val="20"/>
          <w:color w:val="auto"/>
        </w:rPr>
      </w:pPr>
    </w:p>
    <w:p>
      <w:pPr>
        <w:jc w:val="both"/>
        <w:ind w:left="760"/>
        <w:spacing w:after="0" w:line="251"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upon the occurrence of an actual or deemed entry of an order for relief with respect to any Borrower under the Bankruptcy Code of the United States or any other Debtor Relief Law,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Company to Cash Collateralize the L/C Obligations as aforesaid shall automatically become effective, in each case without further act of the Administrative Agent or any Lender.</w:t>
      </w:r>
    </w:p>
    <w:p>
      <w:pPr>
        <w:spacing w:after="0" w:line="156" w:lineRule="exact"/>
        <w:rPr>
          <w:sz w:val="20"/>
          <w:szCs w:val="20"/>
          <w:color w:val="auto"/>
        </w:rPr>
      </w:pPr>
    </w:p>
    <w:p>
      <w:pPr>
        <w:jc w:val="both"/>
        <w:ind w:firstLine="763"/>
        <w:spacing w:after="0" w:line="261" w:lineRule="auto"/>
        <w:rPr>
          <w:sz w:val="20"/>
          <w:szCs w:val="20"/>
          <w:color w:val="auto"/>
        </w:rPr>
      </w:pPr>
      <w:r>
        <w:rPr>
          <w:rFonts w:ascii="Arial" w:cs="Arial" w:eastAsia="Arial" w:hAnsi="Arial"/>
          <w:sz w:val="17"/>
          <w:szCs w:val="17"/>
          <w:b w:val="1"/>
          <w:bCs w:val="1"/>
          <w:color w:val="auto"/>
        </w:rPr>
        <w:t>8.03 Application of Funds</w:t>
      </w:r>
      <w:r>
        <w:rPr>
          <w:rFonts w:ascii="Arial" w:cs="Arial" w:eastAsia="Arial" w:hAnsi="Arial"/>
          <w:sz w:val="17"/>
          <w:szCs w:val="17"/>
          <w:color w:val="auto"/>
        </w:rPr>
        <w:t>. After exercise of remedies provided for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8.02</w:t>
      </w:r>
      <w:r>
        <w:rPr>
          <w:rFonts w:ascii="Arial" w:cs="Arial" w:eastAsia="Arial" w:hAnsi="Arial"/>
          <w:sz w:val="17"/>
          <w:szCs w:val="17"/>
          <w:b w:val="1"/>
          <w:bCs w:val="1"/>
          <w:color w:val="auto"/>
        </w:rPr>
        <w:t xml:space="preserve"> </w:t>
      </w:r>
      <w:r>
        <w:rPr>
          <w:rFonts w:ascii="Arial" w:cs="Arial" w:eastAsia="Arial" w:hAnsi="Arial"/>
          <w:sz w:val="17"/>
          <w:szCs w:val="17"/>
          <w:color w:val="auto"/>
        </w:rPr>
        <w:t>(or after the Loans have automatically become immediately due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payable and the L/C Obligations have automatically been required to be Cash Collateralized as set forth in the proviso to </w:t>
      </w:r>
      <w:r>
        <w:rPr>
          <w:rFonts w:ascii="Arial" w:cs="Arial" w:eastAsia="Arial" w:hAnsi="Arial"/>
          <w:sz w:val="17"/>
          <w:szCs w:val="17"/>
          <w:u w:val="single" w:color="auto"/>
          <w:color w:val="auto"/>
        </w:rPr>
        <w:t>Section 8.02</w:t>
      </w:r>
      <w:r>
        <w:rPr>
          <w:rFonts w:ascii="Arial" w:cs="Arial" w:eastAsia="Arial" w:hAnsi="Arial"/>
          <w:sz w:val="17"/>
          <w:szCs w:val="17"/>
          <w:color w:val="auto"/>
        </w:rPr>
        <w:t>), any amounts received on account of the Obligations shall be applied by the Administrative Agent in the following order:</w:t>
      </w:r>
    </w:p>
    <w:p>
      <w:pPr>
        <w:spacing w:after="0" w:line="154"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7"/>
          <w:szCs w:val="17"/>
          <w:u w:val="single" w:color="auto"/>
          <w:color w:val="auto"/>
        </w:rPr>
        <w:t>Article III</w:t>
      </w:r>
      <w:r>
        <w:rPr>
          <w:rFonts w:ascii="Arial" w:cs="Arial" w:eastAsia="Arial" w:hAnsi="Arial"/>
          <w:sz w:val="17"/>
          <w:szCs w:val="17"/>
          <w:color w:val="auto"/>
        </w:rPr>
        <w:t>) payable to the Administrative Agent in its capacity as such;</w:t>
      </w:r>
    </w:p>
    <w:p>
      <w:pPr>
        <w:spacing w:after="0" w:line="145"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u w:val="single" w:color="auto"/>
          <w:color w:val="auto"/>
        </w:rPr>
        <w:t>Second</w:t>
      </w:r>
      <w:r>
        <w:rPr>
          <w:rFonts w:ascii="Arial" w:cs="Arial" w:eastAsia="Arial" w:hAnsi="Arial"/>
          <w:sz w:val="17"/>
          <w:szCs w:val="17"/>
          <w:color w:val="auto"/>
        </w:rPr>
        <w:t>, to payment of that portion of the Obligations constituting fees, indemnities and other amounts (other than principal, interest and Letter of Credit Fees) payable to the Lenders and the L/C Issuer (including fees, charges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440"/>
          </w:cols>
          <w:pgMar w:left="240" w:top="312" w:right="219" w:bottom="1440" w:gutter="0" w:footer="0" w:header="0"/>
        </w:sectPr>
      </w:pPr>
    </w:p>
    <w:bookmarkStart w:id="106" w:name="page107"/>
    <w:bookmarkEnd w:id="106"/>
    <w:p>
      <w:pPr>
        <w:jc w:val="both"/>
        <w:ind w:right="20"/>
        <w:spacing w:after="0" w:line="271" w:lineRule="auto"/>
        <w:rPr>
          <w:sz w:val="20"/>
          <w:szCs w:val="20"/>
          <w:color w:val="auto"/>
        </w:rPr>
      </w:pPr>
      <w:r>
        <w:rPr>
          <w:rFonts w:ascii="Arial" w:cs="Arial" w:eastAsia="Arial" w:hAnsi="Arial"/>
          <w:sz w:val="17"/>
          <w:szCs w:val="17"/>
          <w:color w:val="auto"/>
        </w:rPr>
        <w:t xml:space="preserve">disbursements of counsel to the respective Lenders and the L/C Issuer) arising under the Loan Documents and amounts payable under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ratably among them in proportion to the respective amounts described in this clause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payable to them;</w:t>
      </w:r>
    </w:p>
    <w:p>
      <w:pPr>
        <w:spacing w:after="0" w:line="145" w:lineRule="exact"/>
        <w:rPr>
          <w:sz w:val="20"/>
          <w:szCs w:val="20"/>
          <w:color w:val="auto"/>
        </w:rPr>
      </w:pPr>
    </w:p>
    <w:p>
      <w:pPr>
        <w:jc w:val="both"/>
        <w:ind w:right="20" w:firstLine="763"/>
        <w:spacing w:after="0" w:line="257" w:lineRule="auto"/>
        <w:rPr>
          <w:sz w:val="20"/>
          <w:szCs w:val="20"/>
          <w:color w:val="auto"/>
        </w:rPr>
      </w:pPr>
      <w:r>
        <w:rPr>
          <w:rFonts w:ascii="Arial" w:cs="Arial" w:eastAsia="Arial" w:hAnsi="Arial"/>
          <w:sz w:val="17"/>
          <w:szCs w:val="17"/>
          <w:u w:val="single" w:color="auto"/>
          <w:color w:val="auto"/>
        </w:rPr>
        <w:t>Third</w:t>
      </w:r>
      <w:r>
        <w:rPr>
          <w:rFonts w:ascii="Arial" w:cs="Arial" w:eastAsia="Arial" w:hAnsi="Arial"/>
          <w:sz w:val="17"/>
          <w:szCs w:val="17"/>
          <w:color w:val="auto"/>
        </w:rPr>
        <w:t xml:space="preserve">, to payment of that portion of the Obligations constituting accrued and unpaid Letter of Credit Fees and interest on the Loans and L/C Borrowings and fees, premiums and scheduled periodic payments, and any interest accrued thereon, due under any Secured Swap Agreement, ratably among the Lenders, the Swap Banks and the L/C Issuer in proportion to the respective amounts described in this clause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held by them;</w:t>
      </w:r>
    </w:p>
    <w:p>
      <w:pPr>
        <w:spacing w:after="0" w:line="157" w:lineRule="exact"/>
        <w:rPr>
          <w:sz w:val="20"/>
          <w:szCs w:val="20"/>
          <w:color w:val="auto"/>
        </w:rPr>
      </w:pPr>
    </w:p>
    <w:p>
      <w:pPr>
        <w:jc w:val="both"/>
        <w:ind w:firstLine="763"/>
        <w:spacing w:after="0" w:line="251" w:lineRule="auto"/>
        <w:rPr>
          <w:sz w:val="20"/>
          <w:szCs w:val="20"/>
          <w:color w:val="auto"/>
        </w:rPr>
      </w:pPr>
      <w:r>
        <w:rPr>
          <w:rFonts w:ascii="Arial" w:cs="Arial" w:eastAsia="Arial" w:hAnsi="Arial"/>
          <w:sz w:val="17"/>
          <w:szCs w:val="17"/>
          <w:u w:val="single" w:color="auto"/>
          <w:color w:val="auto"/>
        </w:rPr>
        <w:t>Fourth</w:t>
      </w:r>
      <w:r>
        <w:rPr>
          <w:rFonts w:ascii="Arial" w:cs="Arial" w:eastAsia="Arial" w:hAnsi="Arial"/>
          <w:sz w:val="17"/>
          <w:szCs w:val="17"/>
          <w:color w:val="auto"/>
        </w:rPr>
        <w:t xml:space="preserve">, to (a) payment of that portion of the Obligations constituting accrued and unpaid principal of the Loans and L/C Borrowings, (b) payment of breakage, termination or other payments, and any interest accrued thereon, due under any Secured Swap Agreement, (c) payments of amounts due under any Secured Treasury Management Agreement and (d) Cash Collateralize that portion of L/C Obligations comprised of the aggregate undrawn amount of Letters of Credit, ratably among the Lenders, Swap Banks, Treasury Management Banks and the L/C Issuer in proportion to the respective amounts described in this clause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held by them; and</w:t>
      </w:r>
    </w:p>
    <w:p>
      <w:pPr>
        <w:spacing w:after="0" w:line="162"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u w:val="single" w:color="auto"/>
          <w:color w:val="auto"/>
        </w:rPr>
        <w:t>Last</w:t>
      </w:r>
      <w:r>
        <w:rPr>
          <w:rFonts w:ascii="Arial" w:cs="Arial" w:eastAsia="Arial" w:hAnsi="Arial"/>
          <w:sz w:val="17"/>
          <w:szCs w:val="17"/>
          <w:color w:val="auto"/>
        </w:rPr>
        <w:t>, the balance, if any, after all of the Obligations (other than any contingent claims for indemnification or expense reimbursement not yet asserted) have been indefeasibly paid in full, to the Company (on behalf of the Borrowers) or as otherwise required by Law.</w:t>
      </w:r>
    </w:p>
    <w:p>
      <w:pPr>
        <w:spacing w:after="0" w:line="145" w:lineRule="exact"/>
        <w:rPr>
          <w:sz w:val="20"/>
          <w:szCs w:val="20"/>
          <w:color w:val="auto"/>
        </w:rPr>
      </w:pPr>
    </w:p>
    <w:p>
      <w:pPr>
        <w:jc w:val="both"/>
        <w:ind w:firstLine="763"/>
        <w:spacing w:after="0" w:line="270"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Sections 2.03(c)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amounts used to Cash Collateralize the aggregate undrawn amount of Letters of Credit pursuant to clause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Excluded Swap Obligations with respect to any Loan Party shall not be paid with amounts received from such Loan Party or such Loan Party’s assets, but appropriate adjustments shall be made with respect to payments from other Loan Parties to preserve the allocation to Obligations otherwise set forth above in this Section.</w:t>
      </w:r>
    </w:p>
    <w:p>
      <w:pPr>
        <w:spacing w:after="0" w:line="149" w:lineRule="exact"/>
        <w:rPr>
          <w:sz w:val="20"/>
          <w:szCs w:val="20"/>
          <w:color w:val="auto"/>
        </w:rPr>
      </w:pPr>
    </w:p>
    <w:p>
      <w:pPr>
        <w:jc w:val="both"/>
        <w:ind w:firstLine="763"/>
        <w:spacing w:after="0" w:line="292" w:lineRule="auto"/>
        <w:rPr>
          <w:sz w:val="20"/>
          <w:szCs w:val="20"/>
          <w:color w:val="auto"/>
        </w:rPr>
      </w:pPr>
      <w:r>
        <w:rPr>
          <w:rFonts w:ascii="Arial" w:cs="Arial" w:eastAsia="Arial" w:hAnsi="Arial"/>
          <w:sz w:val="15"/>
          <w:szCs w:val="15"/>
          <w:color w:val="auto"/>
        </w:rPr>
        <w:t xml:space="preserve">Notwithstanding the foregoing, Obligations arising under Secured Treasury Management Agreements and Secured Swap Agreements shall be excluded from the application described above if the Administrative Agent has not received a Secured Party Designation Notice, together with such supporting documentation as the Administrative Agent may request, from the applicable Treasury Management Bank or Swap Bank, as the case may be. Each Treasury Management Bank or Swap Bank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for itself and its Affiliates as if a “Lender” party hereto.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IX.</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ADMINISTRATIVE AGENT</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9.01 Appointment and Authority</w:t>
      </w:r>
      <w:r>
        <w:rPr>
          <w:rFonts w:ascii="Arial" w:cs="Arial" w:eastAsia="Arial" w:hAnsi="Arial"/>
          <w:sz w:val="17"/>
          <w:szCs w:val="17"/>
          <w:color w:val="auto"/>
        </w:rPr>
        <w:t>.</w:t>
      </w:r>
    </w:p>
    <w:p>
      <w:pPr>
        <w:spacing w:after="0" w:line="197" w:lineRule="exact"/>
        <w:rPr>
          <w:sz w:val="20"/>
          <w:szCs w:val="20"/>
          <w:color w:val="auto"/>
        </w:rPr>
      </w:pPr>
    </w:p>
    <w:p>
      <w:pPr>
        <w:jc w:val="both"/>
        <w:ind w:left="760" w:firstLine="709"/>
        <w:spacing w:after="0" w:line="251" w:lineRule="auto"/>
        <w:tabs>
          <w:tab w:leader="none" w:pos="173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Each of the Lenders and the L/C Issuer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neither any Borrower nor any other Loan Party shall have rights as a third party beneficiary of any of such provisions.</w:t>
      </w:r>
    </w:p>
    <w:p>
      <w:pPr>
        <w:spacing w:after="0" w:line="161" w:lineRule="exact"/>
        <w:rPr>
          <w:rFonts w:ascii="Arial" w:cs="Arial" w:eastAsia="Arial" w:hAnsi="Arial"/>
          <w:sz w:val="17"/>
          <w:szCs w:val="17"/>
          <w:color w:val="auto"/>
        </w:rPr>
      </w:pPr>
    </w:p>
    <w:p>
      <w:pPr>
        <w:jc w:val="both"/>
        <w:ind w:left="760" w:firstLine="709"/>
        <w:spacing w:after="0" w:line="251" w:lineRule="auto"/>
        <w:tabs>
          <w:tab w:leader="none" w:pos="1739"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Administrative Agent shall also act as the “</w:t>
      </w:r>
      <w:r>
        <w:rPr>
          <w:rFonts w:ascii="Arial" w:cs="Arial" w:eastAsia="Arial" w:hAnsi="Arial"/>
          <w:sz w:val="17"/>
          <w:szCs w:val="17"/>
          <w:u w:val="single" w:color="auto"/>
          <w:color w:val="auto"/>
        </w:rPr>
        <w:t>collateral agent</w:t>
      </w:r>
      <w:r>
        <w:rPr>
          <w:rFonts w:ascii="Arial" w:cs="Arial" w:eastAsia="Arial" w:hAnsi="Arial"/>
          <w:sz w:val="17"/>
          <w:szCs w:val="17"/>
          <w:color w:val="auto"/>
        </w:rPr>
        <w:t>” under the Loan Documents, and each of the Lenders (including in its capacities as a potential Swap Bank and a potential Treasury Management Bank) and the L/C Issuer hereby irrevocably appoints and authorizes the Administrative Agent to act as the agent of such Lender and the L/C Issuer for purposes of acquiring, holding and enforcing any and all Liens on Collateral granted by any of the Loan Parties to secure any of the Obligations, together with such powers and discretion as are reasonably incidental thereto, and in relation to any Collateral subject to, or any Lien created pursuant to,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40"/>
          </w:cols>
          <w:pgMar w:left="240" w:top="312" w:right="219" w:bottom="1440" w:gutter="0" w:footer="0" w:header="0"/>
        </w:sectPr>
      </w:pPr>
    </w:p>
    <w:bookmarkStart w:id="107" w:name="page108"/>
    <w:bookmarkEnd w:id="107"/>
    <w:p>
      <w:pPr>
        <w:jc w:val="both"/>
        <w:ind w:left="760"/>
        <w:spacing w:after="0" w:line="257" w:lineRule="auto"/>
        <w:rPr>
          <w:sz w:val="20"/>
          <w:szCs w:val="20"/>
          <w:color w:val="auto"/>
        </w:rPr>
      </w:pPr>
      <w:r>
        <w:rPr>
          <w:rFonts w:ascii="Arial" w:cs="Arial" w:eastAsia="Arial" w:hAnsi="Arial"/>
          <w:sz w:val="17"/>
          <w:szCs w:val="17"/>
          <w:color w:val="auto"/>
        </w:rPr>
        <w:t xml:space="preserve">Collateral Documents governed by German law, subject to the terms and provisions of </w:t>
      </w:r>
      <w:r>
        <w:rPr>
          <w:rFonts w:ascii="Arial" w:cs="Arial" w:eastAsia="Arial" w:hAnsi="Arial"/>
          <w:sz w:val="15"/>
          <w:szCs w:val="15"/>
          <w:u w:val="single" w:color="auto"/>
          <w:color w:val="auto"/>
        </w:rPr>
        <w:t>Section 9.12</w:t>
      </w:r>
      <w:r>
        <w:rPr>
          <w:rFonts w:ascii="Arial" w:cs="Arial" w:eastAsia="Arial" w:hAnsi="Arial"/>
          <w:sz w:val="15"/>
          <w:szCs w:val="15"/>
          <w:color w:val="auto"/>
        </w:rPr>
        <w:t>. In this connection, the Administrative Agent, as “collateral</w:t>
      </w:r>
      <w:r>
        <w:rPr>
          <w:rFonts w:ascii="Arial" w:cs="Arial" w:eastAsia="Arial" w:hAnsi="Arial"/>
          <w:sz w:val="17"/>
          <w:szCs w:val="17"/>
          <w:color w:val="auto"/>
        </w:rPr>
        <w:t xml:space="preserve"> </w:t>
      </w:r>
      <w:r>
        <w:rPr>
          <w:rFonts w:ascii="Arial" w:cs="Arial" w:eastAsia="Arial" w:hAnsi="Arial"/>
          <w:sz w:val="15"/>
          <w:szCs w:val="15"/>
          <w:color w:val="auto"/>
        </w:rPr>
        <w:t xml:space="preserve">agent” and any co-agents, sub-agents and attorneys-in-fact appointed by the Administrative Agent pursuant to </w:t>
      </w:r>
      <w:r>
        <w:rPr>
          <w:rFonts w:ascii="Arial" w:cs="Arial" w:eastAsia="Arial" w:hAnsi="Arial"/>
          <w:sz w:val="15"/>
          <w:szCs w:val="15"/>
          <w:u w:val="single" w:color="auto"/>
          <w:color w:val="auto"/>
        </w:rPr>
        <w:t>Section 9.05</w:t>
      </w:r>
      <w:r>
        <w:rPr>
          <w:rFonts w:ascii="Arial" w:cs="Arial" w:eastAsia="Arial" w:hAnsi="Arial"/>
          <w:sz w:val="15"/>
          <w:szCs w:val="15"/>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XI</w:t>
      </w:r>
      <w:r>
        <w:rPr>
          <w:rFonts w:ascii="Arial" w:cs="Arial" w:eastAsia="Arial" w:hAnsi="Arial"/>
          <w:sz w:val="15"/>
          <w:szCs w:val="15"/>
          <w:color w:val="auto"/>
        </w:rPr>
        <w:t xml:space="preserve"> (including </w:t>
      </w:r>
      <w:r>
        <w:rPr>
          <w:rFonts w:ascii="Arial" w:cs="Arial" w:eastAsia="Arial" w:hAnsi="Arial"/>
          <w:sz w:val="15"/>
          <w:szCs w:val="15"/>
          <w:u w:val="single" w:color="auto"/>
          <w:color w:val="auto"/>
        </w:rPr>
        <w:t>Section 11.04(c)</w:t>
      </w:r>
      <w:r>
        <w:rPr>
          <w:rFonts w:ascii="Arial" w:cs="Arial" w:eastAsia="Arial" w:hAnsi="Arial"/>
          <w:sz w:val="15"/>
          <w:szCs w:val="15"/>
          <w:color w:val="auto"/>
        </w:rPr>
        <w:t>, as though such co-agents, sub-agents and attorneys-in-fact were the “collateral agent” under the Loan Documents) as if set forth in full herein with respect thereto.</w:t>
      </w:r>
    </w:p>
    <w:p>
      <w:pPr>
        <w:spacing w:after="0" w:line="158" w:lineRule="exact"/>
        <w:rPr>
          <w:sz w:val="20"/>
          <w:szCs w:val="20"/>
          <w:color w:val="auto"/>
        </w:rPr>
      </w:pPr>
    </w:p>
    <w:p>
      <w:pPr>
        <w:jc w:val="both"/>
        <w:ind w:firstLine="763"/>
        <w:spacing w:after="0" w:line="251" w:lineRule="auto"/>
        <w:rPr>
          <w:sz w:val="20"/>
          <w:szCs w:val="20"/>
          <w:color w:val="auto"/>
        </w:rPr>
      </w:pPr>
      <w:r>
        <w:rPr>
          <w:rFonts w:ascii="Arial" w:cs="Arial" w:eastAsia="Arial" w:hAnsi="Arial"/>
          <w:sz w:val="17"/>
          <w:szCs w:val="17"/>
          <w:b w:val="1"/>
          <w:bCs w:val="1"/>
          <w:color w:val="auto"/>
        </w:rPr>
        <w:t>9.02 Rights as a Lender</w:t>
      </w:r>
      <w:r>
        <w:rPr>
          <w:rFonts w:ascii="Arial" w:cs="Arial" w:eastAsia="Arial" w:hAnsi="Arial"/>
          <w:sz w:val="17"/>
          <w:szCs w:val="17"/>
          <w:color w:val="auto"/>
        </w:rPr>
        <w:t>. The Person serving as the Administrative Agent hereunder shall have the same rights and powers in its capacity as a Lender as</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Borrowers or any Subsidiary or other Affiliate thereof as if such Person were not the Administrative Agent hereunder and without any duty to account therefor to the Lenders.</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9.03 Exculpatory Provisions</w:t>
      </w:r>
      <w:r>
        <w:rPr>
          <w:rFonts w:ascii="Arial" w:cs="Arial" w:eastAsia="Arial" w:hAnsi="Arial"/>
          <w:sz w:val="15"/>
          <w:szCs w:val="15"/>
          <w:color w:val="auto"/>
        </w:rPr>
        <w:t>. The Administrative Agent shall not have any duties or obligations except those expressly set forth herein and in the other</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Loan Documents. Without limiting the generality of the foregoing, the Administrative Agent:</w:t>
      </w:r>
    </w:p>
    <w:p>
      <w:pPr>
        <w:spacing w:after="0" w:line="177" w:lineRule="exact"/>
        <w:rPr>
          <w:sz w:val="20"/>
          <w:szCs w:val="20"/>
          <w:color w:val="auto"/>
        </w:rPr>
      </w:pPr>
    </w:p>
    <w:p>
      <w:pPr>
        <w:ind w:left="1700" w:hanging="231"/>
        <w:spacing w:after="0"/>
        <w:tabs>
          <w:tab w:leader="none" w:pos="17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shall not be subject to any fiduciary or other implied duties, regardless of whether a Default has occurred and is continuing;</w:t>
      </w:r>
    </w:p>
    <w:p>
      <w:pPr>
        <w:spacing w:after="0" w:line="191" w:lineRule="exact"/>
        <w:rPr>
          <w:rFonts w:ascii="Arial" w:cs="Arial" w:eastAsia="Arial" w:hAnsi="Arial"/>
          <w:sz w:val="17"/>
          <w:szCs w:val="17"/>
          <w:color w:val="auto"/>
        </w:rPr>
      </w:pPr>
    </w:p>
    <w:p>
      <w:pPr>
        <w:jc w:val="both"/>
        <w:ind w:left="760" w:firstLine="709"/>
        <w:spacing w:after="0" w:line="251" w:lineRule="auto"/>
        <w:tabs>
          <w:tab w:leader="none" w:pos="1746"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take any action that, in its opinion or the opinion of its counsel, may expose the Administrative Agent to liability or that is contrary to any Loan Document or applicable law; and</w:t>
      </w:r>
    </w:p>
    <w:p>
      <w:pPr>
        <w:spacing w:after="0" w:line="161" w:lineRule="exact"/>
        <w:rPr>
          <w:rFonts w:ascii="Arial" w:cs="Arial" w:eastAsia="Arial" w:hAnsi="Arial"/>
          <w:sz w:val="17"/>
          <w:szCs w:val="17"/>
          <w:color w:val="auto"/>
        </w:rPr>
      </w:pPr>
    </w:p>
    <w:p>
      <w:pPr>
        <w:jc w:val="both"/>
        <w:ind w:left="760" w:firstLine="709"/>
        <w:spacing w:after="0" w:line="257" w:lineRule="auto"/>
        <w:tabs>
          <w:tab w:leader="none" w:pos="1721" w:val="left"/>
        </w:tabs>
        <w:numPr>
          <w:ilvl w:val="0"/>
          <w:numId w:val="141"/>
        </w:numPr>
        <w:rPr>
          <w:rFonts w:ascii="Arial" w:cs="Arial" w:eastAsia="Arial" w:hAnsi="Arial"/>
          <w:sz w:val="17"/>
          <w:szCs w:val="17"/>
          <w:color w:val="auto"/>
        </w:rPr>
      </w:pPr>
      <w:r>
        <w:rPr>
          <w:rFonts w:ascii="Arial" w:cs="Arial" w:eastAsia="Arial" w:hAnsi="Arial"/>
          <w:sz w:val="17"/>
          <w:szCs w:val="17"/>
          <w:color w:val="auto"/>
        </w:rPr>
        <w:t>shall not, except as expressly set forth herein and in the other Loan Documents, have any duty to disclose, and shall not be liable for the failure to disclose, any information relating to any of the Borrowers or any of their respective Affiliates that is communicated to or obtained by the Person serving as the Administrative Agent or any of its Affiliates in any capacity.</w:t>
      </w:r>
    </w:p>
    <w:p>
      <w:pPr>
        <w:spacing w:after="0" w:line="157" w:lineRule="exact"/>
        <w:rPr>
          <w:sz w:val="20"/>
          <w:szCs w:val="20"/>
          <w:color w:val="auto"/>
        </w:rPr>
      </w:pPr>
    </w:p>
    <w:p>
      <w:pPr>
        <w:jc w:val="both"/>
        <w:ind w:firstLine="763"/>
        <w:spacing w:after="0" w:line="297" w:lineRule="auto"/>
        <w:rPr>
          <w:sz w:val="20"/>
          <w:szCs w:val="20"/>
          <w:color w:val="auto"/>
        </w:rPr>
      </w:pPr>
      <w:r>
        <w:rPr>
          <w:rFonts w:ascii="Arial" w:cs="Arial" w:eastAsia="Arial" w:hAnsi="Arial"/>
          <w:sz w:val="15"/>
          <w:szCs w:val="15"/>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5"/>
          <w:szCs w:val="15"/>
          <w:u w:val="single" w:color="auto"/>
          <w:color w:val="auto"/>
        </w:rPr>
        <w:t>Sections 11.01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8.02)</w:t>
      </w:r>
      <w:r>
        <w:rPr>
          <w:rFonts w:ascii="Arial" w:cs="Arial" w:eastAsia="Arial" w:hAnsi="Arial"/>
          <w:sz w:val="15"/>
          <w:szCs w:val="15"/>
          <w:color w:val="auto"/>
        </w:rPr>
        <w:t xml:space="preserve"> or (ii) in the absence of its own gross negligence or willful misconduct. The Administrative Agent shall be deemed not to have knowledge of any Default unless and until notice describing such Default is given to the Administrative Agent by the Company, a Lender or the L/C Issuer.</w:t>
      </w:r>
    </w:p>
    <w:p>
      <w:pPr>
        <w:spacing w:after="0" w:line="131" w:lineRule="exact"/>
        <w:rPr>
          <w:sz w:val="20"/>
          <w:szCs w:val="20"/>
          <w:color w:val="auto"/>
        </w:rPr>
      </w:pPr>
    </w:p>
    <w:p>
      <w:pPr>
        <w:jc w:val="both"/>
        <w:ind w:firstLine="763"/>
        <w:spacing w:after="0" w:line="249" w:lineRule="auto"/>
        <w:rPr>
          <w:sz w:val="20"/>
          <w:szCs w:val="20"/>
          <w:color w:val="auto"/>
        </w:rPr>
      </w:pPr>
      <w:r>
        <w:rPr>
          <w:rFonts w:ascii="Arial" w:cs="Arial" w:eastAsia="Arial" w:hAnsi="Arial"/>
          <w:sz w:val="17"/>
          <w:szCs w:val="17"/>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elsewhere herein, other than to confirm receipt of items expressly required to be delivered to the Administrative Agent.</w:t>
      </w:r>
    </w:p>
    <w:p>
      <w:pPr>
        <w:spacing w:after="0" w:line="163"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Each of the Lenders (including in its capacity as a Swap Bank and a Treasury Management Bank, to the extent applicable) and the L/C Issuer hereby exempt the Administrative Agent, in any of its capacities hereunder or under the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440"/>
          </w:cols>
          <w:pgMar w:left="240" w:top="312" w:right="219" w:bottom="1440" w:gutter="0" w:footer="0" w:header="0"/>
        </w:sectPr>
      </w:pPr>
    </w:p>
    <w:bookmarkStart w:id="108" w:name="page109"/>
    <w:bookmarkEnd w:id="108"/>
    <w:p>
      <w:pPr>
        <w:jc w:val="both"/>
        <w:ind w:right="20"/>
        <w:spacing w:after="0" w:line="253" w:lineRule="auto"/>
        <w:rPr>
          <w:sz w:val="20"/>
          <w:szCs w:val="20"/>
          <w:color w:val="auto"/>
        </w:rPr>
      </w:pPr>
      <w:r>
        <w:rPr>
          <w:rFonts w:ascii="Arial" w:cs="Arial" w:eastAsia="Arial" w:hAnsi="Arial"/>
          <w:sz w:val="17"/>
          <w:szCs w:val="17"/>
          <w:color w:val="auto"/>
        </w:rPr>
        <w:t>other Loan Documents, any sub-agent appointed under Section 9.05 hereof, and any Related Parties of the Administrative Agent or any such sub-agent from the restrictions (to the extent such restrictions would otherwise apply) on self-dealing and multi-representation pursuant to any applicable laws, including, without limitation, pursuant to section 181 of the German Civil Code (</w:t>
      </w:r>
      <w:r>
        <w:rPr>
          <w:rFonts w:ascii="Arial" w:cs="Arial" w:eastAsia="Arial" w:hAnsi="Arial"/>
          <w:sz w:val="17"/>
          <w:szCs w:val="17"/>
          <w:i w:val="1"/>
          <w:iCs w:val="1"/>
          <w:color w:val="auto"/>
        </w:rPr>
        <w:t>Bürgerliches Gesetzbuch</w:t>
      </w:r>
      <w:r>
        <w:rPr>
          <w:rFonts w:ascii="Arial" w:cs="Arial" w:eastAsia="Arial" w:hAnsi="Arial"/>
          <w:sz w:val="17"/>
          <w:szCs w:val="17"/>
          <w:color w:val="auto"/>
        </w:rPr>
        <w:t>), in each case, to the extent permitted by its organizational documents and by applicable law.</w:t>
      </w:r>
    </w:p>
    <w:p>
      <w:pPr>
        <w:spacing w:after="0" w:line="154" w:lineRule="exact"/>
        <w:rPr>
          <w:sz w:val="20"/>
          <w:szCs w:val="20"/>
          <w:color w:val="auto"/>
        </w:rPr>
      </w:pPr>
    </w:p>
    <w:p>
      <w:pPr>
        <w:jc w:val="both"/>
        <w:ind w:firstLine="763"/>
        <w:spacing w:after="0" w:line="266" w:lineRule="auto"/>
        <w:rPr>
          <w:sz w:val="20"/>
          <w:szCs w:val="20"/>
          <w:color w:val="auto"/>
        </w:rPr>
      </w:pPr>
      <w:r>
        <w:rPr>
          <w:rFonts w:ascii="Arial" w:cs="Arial" w:eastAsia="Arial" w:hAnsi="Arial"/>
          <w:sz w:val="16"/>
          <w:szCs w:val="16"/>
          <w:b w:val="1"/>
          <w:bCs w:val="1"/>
          <w:color w:val="auto"/>
        </w:rPr>
        <w:t>9.04 Reliance by Administrative Agent</w:t>
      </w:r>
      <w:r>
        <w:rPr>
          <w:rFonts w:ascii="Arial" w:cs="Arial" w:eastAsia="Arial" w:hAnsi="Arial"/>
          <w:sz w:val="16"/>
          <w:szCs w:val="16"/>
          <w:color w:val="auto"/>
        </w:rPr>
        <w:t>. The Administrative Agent shall be entitled to rely upon, and shall not incur any liability for relying upon, any</w:t>
      </w:r>
      <w:r>
        <w:rPr>
          <w:rFonts w:ascii="Arial" w:cs="Arial" w:eastAsia="Arial" w:hAnsi="Arial"/>
          <w:sz w:val="16"/>
          <w:szCs w:val="16"/>
          <w:b w:val="1"/>
          <w:bCs w:val="1"/>
          <w:color w:val="auto"/>
        </w:rPr>
        <w:t xml:space="preserve"> </w:t>
      </w:r>
      <w:r>
        <w:rPr>
          <w:rFonts w:ascii="Arial" w:cs="Arial" w:eastAsia="Arial" w:hAnsi="Arial"/>
          <w:sz w:val="16"/>
          <w:szCs w:val="16"/>
          <w:color w:val="auto"/>
        </w:rPr>
        <w:t>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spacing w:after="0" w:line="146" w:lineRule="exact"/>
        <w:rPr>
          <w:sz w:val="20"/>
          <w:szCs w:val="20"/>
          <w:color w:val="auto"/>
        </w:rPr>
      </w:pPr>
    </w:p>
    <w:p>
      <w:pPr>
        <w:jc w:val="both"/>
        <w:ind w:firstLine="763"/>
        <w:spacing w:after="0" w:line="270" w:lineRule="auto"/>
        <w:rPr>
          <w:sz w:val="20"/>
          <w:szCs w:val="20"/>
          <w:color w:val="auto"/>
        </w:rPr>
      </w:pPr>
      <w:r>
        <w:rPr>
          <w:rFonts w:ascii="Arial" w:cs="Arial" w:eastAsia="Arial" w:hAnsi="Arial"/>
          <w:sz w:val="16"/>
          <w:szCs w:val="16"/>
          <w:b w:val="1"/>
          <w:bCs w:val="1"/>
          <w:color w:val="auto"/>
        </w:rPr>
        <w:t>9.05 Delegation of Duties</w:t>
      </w:r>
      <w:r>
        <w:rPr>
          <w:rFonts w:ascii="Arial" w:cs="Arial" w:eastAsia="Arial" w:hAnsi="Arial"/>
          <w:sz w:val="16"/>
          <w:szCs w:val="16"/>
          <w:color w:val="auto"/>
        </w:rPr>
        <w:t>. The Administrative Agent may perform any and all of its duties and exercise its rights and powers hereunder or under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may delegate any release from the restrictions specified in, and granted pursuant to,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to any such sub-agent.</w:t>
      </w:r>
    </w:p>
    <w:p>
      <w:pPr>
        <w:spacing w:after="0" w:line="141" w:lineRule="exact"/>
        <w:rPr>
          <w:sz w:val="20"/>
          <w:szCs w:val="20"/>
          <w:color w:val="auto"/>
        </w:rPr>
      </w:pPr>
    </w:p>
    <w:p>
      <w:pPr>
        <w:jc w:val="both"/>
        <w:ind w:firstLine="763"/>
        <w:spacing w:after="0" w:line="262" w:lineRule="auto"/>
        <w:rPr>
          <w:sz w:val="20"/>
          <w:szCs w:val="20"/>
          <w:color w:val="auto"/>
        </w:rPr>
      </w:pPr>
      <w:r>
        <w:rPr>
          <w:rFonts w:ascii="Arial" w:cs="Arial" w:eastAsia="Arial" w:hAnsi="Arial"/>
          <w:sz w:val="16"/>
          <w:szCs w:val="16"/>
          <w:b w:val="1"/>
          <w:bCs w:val="1"/>
          <w:color w:val="auto"/>
        </w:rPr>
        <w:t>9.06 Resignation of Administrative Agent</w:t>
      </w:r>
      <w:r>
        <w:rPr>
          <w:rFonts w:ascii="Arial" w:cs="Arial" w:eastAsia="Arial" w:hAnsi="Arial"/>
          <w:sz w:val="16"/>
          <w:szCs w:val="16"/>
          <w:color w:val="auto"/>
        </w:rPr>
        <w:t>. The Administrative Agent may at any time give notice of its resignation to the Lenders, the L/C Issuer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Company. Upon receipt of any such notice of resignation, the Required Lenders shall have the right to appoint a successor, which shall be a bank with an office in the United States, or an Affiliate of any such bank with an office in the United States and which successor agent shall be consented to by the Company at all times other than during the existence of an Event of Default under </w:t>
      </w:r>
      <w:r>
        <w:rPr>
          <w:rFonts w:ascii="Arial" w:cs="Arial" w:eastAsia="Arial" w:hAnsi="Arial"/>
          <w:sz w:val="16"/>
          <w:szCs w:val="16"/>
          <w:u w:val="single" w:color="auto"/>
          <w:color w:val="auto"/>
        </w:rPr>
        <w:t>Section 8.01(a)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(which consent of the Company shall not be unreasonably withheld or delayed).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L/C Issuer, appoint a successor Administrative Agent meeting the qualifications set forth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shall notify the Company and the Lenders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Administrative Agent shall continue to hold such collateral security until such time as a successor Administrative Agent is appointed and the rights and obligations of the retiring Administrative Agent are assigned and assumed by the successor Administrative Agent) and (b) all payments, communications and determinations provided to be made by, to or through the Administrative Agent shall instead be made by or to each Lender and the L/C Issuer directly, until such time as the Required Lenders appoint a successor Administrative Agent as provided for above in this Section. Upon the acceptance of a successor’s appointment as Administrative Agent hereunder and the execution of the corresponding assignment and assumption,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Borrowers to a successor Administrative Agent shall be the same as those payable to its predecessor unless otherwise agreed between the Borrowers and such successor. After the retiring Administrative Agent’s resignation hereunder and under the other Loan Documents, the provisions of this Article and </w:t>
      </w:r>
      <w:r>
        <w:rPr>
          <w:rFonts w:ascii="Arial" w:cs="Arial" w:eastAsia="Arial" w:hAnsi="Arial"/>
          <w:sz w:val="16"/>
          <w:szCs w:val="16"/>
          <w:u w:val="single" w:color="auto"/>
          <w:color w:val="auto"/>
        </w:rPr>
        <w:t>Section 11.04</w:t>
      </w:r>
      <w:r>
        <w:rPr>
          <w:rFonts w:ascii="Arial" w:cs="Arial" w:eastAsia="Arial" w:hAnsi="Arial"/>
          <w:sz w:val="16"/>
          <w:szCs w:val="16"/>
          <w:color w:val="auto"/>
        </w:rPr>
        <w:t xml:space="preserve"> shall continue in effect for the benefit of such retiring Administrative Agent,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440"/>
          </w:cols>
          <w:pgMar w:left="240" w:top="500" w:right="219" w:bottom="1440" w:gutter="0" w:footer="0" w:header="0"/>
        </w:sectPr>
      </w:pPr>
    </w:p>
    <w:bookmarkStart w:id="109" w:name="page110"/>
    <w:bookmarkEnd w:id="109"/>
    <w:p>
      <w:pPr>
        <w:jc w:val="both"/>
        <w:ind w:left="6" w:right="20"/>
        <w:spacing w:after="0" w:line="271" w:lineRule="auto"/>
        <w:rPr>
          <w:sz w:val="20"/>
          <w:szCs w:val="20"/>
          <w:color w:val="auto"/>
        </w:rPr>
      </w:pPr>
      <w:r>
        <w:rPr>
          <w:rFonts w:ascii="Arial" w:cs="Arial" w:eastAsia="Arial" w:hAnsi="Arial"/>
          <w:sz w:val="17"/>
          <w:szCs w:val="17"/>
          <w:color w:val="auto"/>
        </w:rPr>
        <w:t>its sub-agents and their respective Related Parties in respect of any actions taken or omitted to be taken by any of them while the retiring Administrative Agent was acting as Administrative Agent.</w:t>
      </w:r>
    </w:p>
    <w:p>
      <w:pPr>
        <w:spacing w:after="0" w:line="145" w:lineRule="exact"/>
        <w:rPr>
          <w:sz w:val="20"/>
          <w:szCs w:val="20"/>
          <w:color w:val="auto"/>
        </w:rPr>
      </w:pPr>
    </w:p>
    <w:p>
      <w:pPr>
        <w:jc w:val="both"/>
        <w:ind w:left="6" w:firstLine="763"/>
        <w:spacing w:after="0" w:line="282" w:lineRule="auto"/>
        <w:rPr>
          <w:sz w:val="20"/>
          <w:szCs w:val="20"/>
          <w:color w:val="auto"/>
        </w:rPr>
      </w:pPr>
      <w:r>
        <w:rPr>
          <w:rFonts w:ascii="Arial" w:cs="Arial" w:eastAsia="Arial" w:hAnsi="Arial"/>
          <w:sz w:val="15"/>
          <w:szCs w:val="15"/>
          <w:color w:val="auto"/>
        </w:rPr>
        <w:t>Any resignation by Bank of America as Administrative Agent pursuant to this Section shall also constitute its resignation as L/C Issuer and Swing Line Lender. Upon the acceptance of a successor’s appointment as Administrative Agent hereunder and the execution of a corresponding assignment and assumption, (a) such successor shall succeed to and become vested with all of the rights, powers, privileges and duties of the retiring L/C Issuer and Swing Line Lender, (b) the retiring L/C Issuer and Swing Line Lender shall be discharged from all of their respective duties and obligations hereunder or under the other Loan Documents, and</w:t>
      </w:r>
    </w:p>
    <w:p>
      <w:pPr>
        <w:ind w:left="6" w:hanging="6"/>
        <w:spacing w:after="0" w:line="284" w:lineRule="auto"/>
        <w:tabs>
          <w:tab w:leader="none" w:pos="259"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31" w:lineRule="exact"/>
        <w:rPr>
          <w:sz w:val="20"/>
          <w:szCs w:val="20"/>
          <w:color w:val="auto"/>
        </w:rPr>
      </w:pPr>
    </w:p>
    <w:p>
      <w:pPr>
        <w:jc w:val="both"/>
        <w:ind w:left="6" w:firstLine="763"/>
        <w:spacing w:after="0" w:line="251" w:lineRule="auto"/>
        <w:rPr>
          <w:sz w:val="20"/>
          <w:szCs w:val="20"/>
          <w:color w:val="auto"/>
        </w:rPr>
      </w:pPr>
      <w:r>
        <w:rPr>
          <w:rFonts w:ascii="Arial" w:cs="Arial" w:eastAsia="Arial" w:hAnsi="Arial"/>
          <w:sz w:val="17"/>
          <w:szCs w:val="17"/>
          <w:b w:val="1"/>
          <w:bCs w:val="1"/>
          <w:color w:val="auto"/>
        </w:rPr>
        <w:t>9.07 Non-Reliance on Administrative Agent and Other Lenders</w:t>
      </w:r>
      <w:r>
        <w:rPr>
          <w:rFonts w:ascii="Arial" w:cs="Arial" w:eastAsia="Arial" w:hAnsi="Arial"/>
          <w:sz w:val="17"/>
          <w:szCs w:val="17"/>
          <w:color w:val="auto"/>
        </w:rPr>
        <w:t>. Each Lender and the L/C Issuer acknowledges that it has, independently and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reliance upon the Administrative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57" w:lineRule="exact"/>
        <w:rPr>
          <w:sz w:val="20"/>
          <w:szCs w:val="20"/>
          <w:color w:val="auto"/>
        </w:rPr>
      </w:pPr>
    </w:p>
    <w:p>
      <w:pPr>
        <w:jc w:val="both"/>
        <w:ind w:left="6" w:firstLine="763"/>
        <w:spacing w:after="0" w:line="261" w:lineRule="auto"/>
        <w:rPr>
          <w:sz w:val="20"/>
          <w:szCs w:val="20"/>
          <w:color w:val="auto"/>
        </w:rPr>
      </w:pPr>
      <w:r>
        <w:rPr>
          <w:rFonts w:ascii="Arial" w:cs="Arial" w:eastAsia="Arial" w:hAnsi="Arial"/>
          <w:sz w:val="17"/>
          <w:szCs w:val="17"/>
          <w:b w:val="1"/>
          <w:bCs w:val="1"/>
          <w:color w:val="auto"/>
        </w:rPr>
        <w:t>9.08 No Other Duties, Etc</w:t>
      </w:r>
      <w:r>
        <w:rPr>
          <w:rFonts w:ascii="Arial" w:cs="Arial" w:eastAsia="Arial" w:hAnsi="Arial"/>
          <w:sz w:val="17"/>
          <w:szCs w:val="17"/>
          <w:color w:val="auto"/>
        </w:rPr>
        <w:t>. Anything herein to the contrary notwithstanding, no Person acting as “syndication agent”, “documentation agent”,</w:t>
      </w:r>
      <w:r>
        <w:rPr>
          <w:rFonts w:ascii="Arial" w:cs="Arial" w:eastAsia="Arial" w:hAnsi="Arial"/>
          <w:sz w:val="17"/>
          <w:szCs w:val="17"/>
          <w:b w:val="1"/>
          <w:bCs w:val="1"/>
          <w:color w:val="auto"/>
        </w:rPr>
        <w:t xml:space="preserve"> </w:t>
      </w:r>
      <w:r>
        <w:rPr>
          <w:rFonts w:ascii="Arial" w:cs="Arial" w:eastAsia="Arial" w:hAnsi="Arial"/>
          <w:sz w:val="17"/>
          <w:szCs w:val="17"/>
          <w:color w:val="auto"/>
        </w:rPr>
        <w:t>“bookrunner”, Arranger or other title as necessary listed on the cover page hereof shall have any powers, duties or responsibilities under this Agreement or any of the other Loan Documents, except in its capacity, as applicable, as the Administrative Agent, a Lender or the L/C Issuer hereunder.</w:t>
      </w:r>
    </w:p>
    <w:p>
      <w:pPr>
        <w:spacing w:after="0" w:line="148" w:lineRule="exact"/>
        <w:rPr>
          <w:sz w:val="20"/>
          <w:szCs w:val="20"/>
          <w:color w:val="auto"/>
        </w:rPr>
      </w:pPr>
    </w:p>
    <w:p>
      <w:pPr>
        <w:jc w:val="both"/>
        <w:ind w:left="6" w:firstLine="763"/>
        <w:spacing w:after="0" w:line="255" w:lineRule="auto"/>
        <w:rPr>
          <w:sz w:val="20"/>
          <w:szCs w:val="20"/>
          <w:color w:val="auto"/>
        </w:rPr>
      </w:pPr>
      <w:r>
        <w:rPr>
          <w:rFonts w:ascii="Arial" w:cs="Arial" w:eastAsia="Arial" w:hAnsi="Arial"/>
          <w:sz w:val="17"/>
          <w:szCs w:val="17"/>
          <w:b w:val="1"/>
          <w:bCs w:val="1"/>
          <w:color w:val="auto"/>
        </w:rPr>
        <w:t>9.09 Administrative Agent May File Proofs of Claim</w:t>
      </w:r>
      <w:r>
        <w:rPr>
          <w:rFonts w:ascii="Arial" w:cs="Arial" w:eastAsia="Arial" w:hAnsi="Arial"/>
          <w:sz w:val="17"/>
          <w:szCs w:val="17"/>
          <w:color w:val="auto"/>
        </w:rPr>
        <w:t>. In case of the pendency of any proceeding under any Debtor Relief Law or any other judicial</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60" w:lineRule="exact"/>
        <w:rPr>
          <w:sz w:val="20"/>
          <w:szCs w:val="20"/>
          <w:color w:val="auto"/>
        </w:rPr>
      </w:pPr>
    </w:p>
    <w:p>
      <w:pPr>
        <w:jc w:val="both"/>
        <w:ind w:left="766" w:firstLine="709"/>
        <w:spacing w:after="0" w:line="270" w:lineRule="auto"/>
        <w:tabs>
          <w:tab w:leader="none" w:pos="1712"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Arial" w:cs="Arial" w:eastAsia="Arial" w:hAnsi="Arial"/>
          <w:sz w:val="16"/>
          <w:szCs w:val="16"/>
          <w:u w:val="single" w:color="auto"/>
          <w:color w:val="auto"/>
        </w:rPr>
        <w:t>Sections 2.03(h)</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2.09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11.04)</w:t>
      </w:r>
      <w:r>
        <w:rPr>
          <w:rFonts w:ascii="Arial" w:cs="Arial" w:eastAsia="Arial" w:hAnsi="Arial"/>
          <w:sz w:val="16"/>
          <w:szCs w:val="16"/>
          <w:color w:val="auto"/>
        </w:rPr>
        <w:t xml:space="preserve"> allowed in such judicial proceeding; and</w:t>
      </w:r>
    </w:p>
    <w:p>
      <w:pPr>
        <w:spacing w:after="0" w:line="148" w:lineRule="exact"/>
        <w:rPr>
          <w:rFonts w:ascii="Arial" w:cs="Arial" w:eastAsia="Arial" w:hAnsi="Arial"/>
          <w:sz w:val="16"/>
          <w:szCs w:val="16"/>
          <w:color w:val="auto"/>
        </w:rPr>
      </w:pPr>
    </w:p>
    <w:p>
      <w:pPr>
        <w:ind w:left="1726" w:hanging="251"/>
        <w:spacing w:after="0"/>
        <w:tabs>
          <w:tab w:leader="none" w:pos="1726"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 same;</w:t>
      </w:r>
    </w:p>
    <w:p>
      <w:pPr>
        <w:spacing w:after="0" w:line="191" w:lineRule="exact"/>
        <w:rPr>
          <w:sz w:val="20"/>
          <w:szCs w:val="20"/>
          <w:color w:val="auto"/>
        </w:rPr>
      </w:pPr>
    </w:p>
    <w:p>
      <w:pPr>
        <w:jc w:val="both"/>
        <w:ind w:left="766"/>
        <w:spacing w:after="0" w:line="251" w:lineRule="auto"/>
        <w:rPr>
          <w:sz w:val="20"/>
          <w:szCs w:val="20"/>
          <w:color w:val="auto"/>
        </w:rPr>
      </w:pPr>
      <w:r>
        <w:rPr>
          <w:rFonts w:ascii="Arial" w:cs="Arial" w:eastAsia="Arial" w:hAnsi="Arial"/>
          <w:sz w:val="17"/>
          <w:szCs w:val="17"/>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7"/>
          <w:szCs w:val="17"/>
          <w:u w:val="single" w:color="auto"/>
          <w:color w:val="auto"/>
        </w:rPr>
        <w:t>Sections 2.09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11.04</w:t>
      </w:r>
      <w:r>
        <w:rPr>
          <w:rFonts w:ascii="Arial" w:cs="Arial" w:eastAsia="Arial" w:hAnsi="Arial"/>
          <w:sz w:val="17"/>
          <w:szCs w:val="17"/>
          <w:color w:val="auto"/>
        </w:rPr>
        <w:t>.</w:t>
      </w:r>
    </w:p>
    <w:p>
      <w:pPr>
        <w:spacing w:after="0" w:line="162" w:lineRule="exact"/>
        <w:rPr>
          <w:sz w:val="20"/>
          <w:szCs w:val="20"/>
          <w:color w:val="auto"/>
        </w:rPr>
      </w:pPr>
    </w:p>
    <w:p>
      <w:pPr>
        <w:jc w:val="both"/>
        <w:ind w:left="6" w:right="20" w:firstLine="763"/>
        <w:spacing w:after="0" w:line="257" w:lineRule="auto"/>
        <w:rPr>
          <w:sz w:val="20"/>
          <w:szCs w:val="20"/>
          <w:color w:val="auto"/>
        </w:rPr>
      </w:pPr>
      <w:r>
        <w:rPr>
          <w:rFonts w:ascii="Arial" w:cs="Arial" w:eastAsia="Arial" w:hAnsi="Arial"/>
          <w:sz w:val="17"/>
          <w:szCs w:val="17"/>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to authorize the Administrative Agent to vote in respect of the claim of any Lender or the L/C Issuer in any such proceeding.</w:t>
      </w:r>
    </w:p>
    <w:p>
      <w:pPr>
        <w:spacing w:after="0" w:line="157"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446"/>
          </w:cols>
          <w:pgMar w:left="234" w:top="312" w:right="219" w:bottom="1440" w:gutter="0" w:footer="0" w:header="0"/>
        </w:sectPr>
      </w:pPr>
    </w:p>
    <w:bookmarkStart w:id="110" w:name="page111"/>
    <w:bookmarkEnd w:id="110"/>
    <w:p>
      <w:pPr>
        <w:ind w:left="760"/>
        <w:spacing w:after="0"/>
        <w:rPr>
          <w:sz w:val="20"/>
          <w:szCs w:val="20"/>
          <w:color w:val="auto"/>
        </w:rPr>
      </w:pPr>
      <w:r>
        <w:rPr>
          <w:rFonts w:ascii="Arial" w:cs="Arial" w:eastAsia="Arial" w:hAnsi="Arial"/>
          <w:sz w:val="15"/>
          <w:szCs w:val="15"/>
          <w:b w:val="1"/>
          <w:bCs w:val="1"/>
          <w:color w:val="auto"/>
        </w:rPr>
        <w:t>9.10 Collateral and Guaranty Matters</w:t>
      </w:r>
      <w:r>
        <w:rPr>
          <w:rFonts w:ascii="Arial" w:cs="Arial" w:eastAsia="Arial" w:hAnsi="Arial"/>
          <w:sz w:val="15"/>
          <w:szCs w:val="15"/>
          <w:color w:val="auto"/>
        </w:rPr>
        <w:t>. Each Lender (including in its capacities as a potential Treasury Management Bank and a potential Swap Bank)</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and the L/C Issuer irrevocably authorize, and grant power of attorney (</w:t>
      </w:r>
      <w:r>
        <w:rPr>
          <w:rFonts w:ascii="Arial" w:cs="Arial" w:eastAsia="Arial" w:hAnsi="Arial"/>
          <w:sz w:val="17"/>
          <w:szCs w:val="17"/>
          <w:i w:val="1"/>
          <w:iCs w:val="1"/>
          <w:color w:val="auto"/>
        </w:rPr>
        <w:t>Vollmacht</w:t>
      </w:r>
      <w:r>
        <w:rPr>
          <w:rFonts w:ascii="Arial" w:cs="Arial" w:eastAsia="Arial" w:hAnsi="Arial"/>
          <w:sz w:val="17"/>
          <w:szCs w:val="17"/>
          <w:color w:val="auto"/>
        </w:rPr>
        <w:t>) to, the Administrative Agent, at its option and in its discretion:</w:t>
      </w:r>
    </w:p>
    <w:p>
      <w:pPr>
        <w:spacing w:after="0" w:line="177" w:lineRule="exact"/>
        <w:rPr>
          <w:sz w:val="20"/>
          <w:szCs w:val="20"/>
          <w:color w:val="auto"/>
        </w:rPr>
      </w:pPr>
    </w:p>
    <w:p>
      <w:pPr>
        <w:jc w:val="both"/>
        <w:ind w:left="760" w:firstLine="709"/>
        <w:spacing w:after="0" w:line="281" w:lineRule="auto"/>
        <w:tabs>
          <w:tab w:leader="none" w:pos="1717" w:val="left"/>
        </w:tabs>
        <w:numPr>
          <w:ilvl w:val="1"/>
          <w:numId w:val="144"/>
        </w:numPr>
        <w:rPr>
          <w:rFonts w:ascii="Arial" w:cs="Arial" w:eastAsia="Arial" w:hAnsi="Arial"/>
          <w:sz w:val="15"/>
          <w:szCs w:val="15"/>
          <w:color w:val="auto"/>
        </w:rPr>
      </w:pPr>
      <w:r>
        <w:rPr>
          <w:rFonts w:ascii="Arial" w:cs="Arial" w:eastAsia="Arial" w:hAnsi="Arial"/>
          <w:sz w:val="15"/>
          <w:szCs w:val="15"/>
          <w:color w:val="auto"/>
        </w:rPr>
        <w:t xml:space="preserve">to release any Lien on any property granted to or held by the Administrative Agent under any Loan Document (i) upon termination of the aggregate Revolving Credit Commitments and payment in full of all Obligations (other than contingent indemnification obligations not yet due) and the expiration or termination of all Letters of Credit (other than Letters of Credit as to which other arrangements satisfactory to the Administrative Agent and the L/C Issuer shall have been made;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Cash Collateralization of 102% of the undrawn amount of any Letter of Credit shall constitute a satisfactory arrangement), (ii) that is sold or to be sold as part of or in connection with any sale permitted hereunder or under any other Loan Document, or</w:t>
      </w:r>
    </w:p>
    <w:p>
      <w:pPr>
        <w:ind w:left="1060" w:hanging="303"/>
        <w:spacing w:after="0"/>
        <w:tabs>
          <w:tab w:leader="none" w:pos="10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if approved, authorized or ratified in writing by the Required Lenders in accordance with </w:t>
      </w:r>
      <w:r>
        <w:rPr>
          <w:rFonts w:ascii="Arial" w:cs="Arial" w:eastAsia="Arial" w:hAnsi="Arial"/>
          <w:sz w:val="17"/>
          <w:szCs w:val="17"/>
          <w:u w:val="single" w:color="auto"/>
          <w:color w:val="auto"/>
        </w:rPr>
        <w:t>Section 11.01</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760" w:right="20" w:firstLine="709"/>
        <w:spacing w:after="0" w:line="271" w:lineRule="auto"/>
        <w:tabs>
          <w:tab w:leader="none" w:pos="1718" w:val="left"/>
        </w:tabs>
        <w:numPr>
          <w:ilvl w:val="1"/>
          <w:numId w:val="145"/>
        </w:numPr>
        <w:rPr>
          <w:rFonts w:ascii="Arial" w:cs="Arial" w:eastAsia="Arial" w:hAnsi="Arial"/>
          <w:sz w:val="17"/>
          <w:szCs w:val="17"/>
          <w:color w:val="auto"/>
        </w:rPr>
      </w:pPr>
      <w:r>
        <w:rPr>
          <w:rFonts w:ascii="Arial" w:cs="Arial" w:eastAsia="Arial" w:hAnsi="Arial"/>
          <w:sz w:val="17"/>
          <w:szCs w:val="17"/>
          <w:color w:val="auto"/>
        </w:rPr>
        <w:t xml:space="preserve">to subordinate any Lien on any property granted to or held by the Administrative Agent under any Loan Document to the holder of any Lien on such property that is permitted by </w:t>
      </w:r>
      <w:r>
        <w:rPr>
          <w:rFonts w:ascii="Arial" w:cs="Arial" w:eastAsia="Arial" w:hAnsi="Arial"/>
          <w:sz w:val="17"/>
          <w:szCs w:val="17"/>
          <w:u w:val="single" w:color="auto"/>
          <w:color w:val="auto"/>
        </w:rPr>
        <w:t>Section 7.01(j)</w:t>
      </w:r>
      <w:r>
        <w:rPr>
          <w:rFonts w:ascii="Arial" w:cs="Arial" w:eastAsia="Arial" w:hAnsi="Arial"/>
          <w:sz w:val="17"/>
          <w:szCs w:val="17"/>
          <w:color w:val="auto"/>
        </w:rPr>
        <w:t>; and</w:t>
      </w:r>
    </w:p>
    <w:p>
      <w:pPr>
        <w:spacing w:after="0" w:line="144" w:lineRule="exact"/>
        <w:rPr>
          <w:rFonts w:ascii="Arial" w:cs="Arial" w:eastAsia="Arial" w:hAnsi="Arial"/>
          <w:sz w:val="17"/>
          <w:szCs w:val="17"/>
          <w:color w:val="auto"/>
        </w:rPr>
      </w:pPr>
    </w:p>
    <w:p>
      <w:pPr>
        <w:ind w:left="760" w:firstLine="709"/>
        <w:spacing w:after="0" w:line="271" w:lineRule="auto"/>
        <w:tabs>
          <w:tab w:leader="none" w:pos="1734" w:val="left"/>
        </w:tabs>
        <w:numPr>
          <w:ilvl w:val="1"/>
          <w:numId w:val="145"/>
        </w:numPr>
        <w:rPr>
          <w:rFonts w:ascii="Arial" w:cs="Arial" w:eastAsia="Arial" w:hAnsi="Arial"/>
          <w:sz w:val="17"/>
          <w:szCs w:val="17"/>
          <w:color w:val="auto"/>
        </w:rPr>
      </w:pPr>
      <w:r>
        <w:rPr>
          <w:rFonts w:ascii="Arial" w:cs="Arial" w:eastAsia="Arial" w:hAnsi="Arial"/>
          <w:sz w:val="17"/>
          <w:szCs w:val="17"/>
          <w:color w:val="auto"/>
        </w:rPr>
        <w:t>to release any Guarantor from its obligations under any Guaranty if such Person ceases to be a Guarantor as a result of a transaction permitted hereunder.</w:t>
      </w:r>
    </w:p>
    <w:p>
      <w:pPr>
        <w:spacing w:after="0" w:line="145" w:lineRule="exact"/>
        <w:rPr>
          <w:sz w:val="20"/>
          <w:szCs w:val="20"/>
          <w:color w:val="auto"/>
        </w:rPr>
      </w:pPr>
    </w:p>
    <w:p>
      <w:pPr>
        <w:jc w:val="both"/>
        <w:ind w:firstLine="763"/>
        <w:spacing w:after="0" w:line="287" w:lineRule="auto"/>
        <w:rPr>
          <w:sz w:val="20"/>
          <w:szCs w:val="20"/>
          <w:color w:val="auto"/>
        </w:rPr>
      </w:pPr>
      <w:r>
        <w:rPr>
          <w:rFonts w:ascii="Arial" w:cs="Arial" w:eastAsia="Arial" w:hAnsi="Arial"/>
          <w:sz w:val="15"/>
          <w:szCs w:val="15"/>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any Guaranty pursuant to this </w:t>
      </w:r>
      <w:r>
        <w:rPr>
          <w:rFonts w:ascii="Arial" w:cs="Arial" w:eastAsia="Arial" w:hAnsi="Arial"/>
          <w:sz w:val="15"/>
          <w:szCs w:val="15"/>
          <w:u w:val="single" w:color="auto"/>
          <w:color w:val="auto"/>
        </w:rPr>
        <w:t>Section 9.10</w:t>
      </w:r>
      <w:r>
        <w:rPr>
          <w:rFonts w:ascii="Arial" w:cs="Arial" w:eastAsia="Arial" w:hAnsi="Arial"/>
          <w:sz w:val="15"/>
          <w:szCs w:val="15"/>
          <w:color w:val="auto"/>
        </w:rPr>
        <w:t xml:space="preserve">. In each case as specified in this </w:t>
      </w:r>
      <w:r>
        <w:rPr>
          <w:rFonts w:ascii="Arial" w:cs="Arial" w:eastAsia="Arial" w:hAnsi="Arial"/>
          <w:sz w:val="15"/>
          <w:szCs w:val="15"/>
          <w:u w:val="single" w:color="auto"/>
          <w:color w:val="auto"/>
        </w:rPr>
        <w:t>Section 9.10</w:t>
      </w:r>
      <w:r>
        <w:rPr>
          <w:rFonts w:ascii="Arial" w:cs="Arial" w:eastAsia="Arial" w:hAnsi="Arial"/>
          <w:sz w:val="15"/>
          <w:szCs w:val="15"/>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obligations under any Guaranty, in each case, in accordance with the terms of the Loan Documents and this </w:t>
      </w:r>
      <w:r>
        <w:rPr>
          <w:rFonts w:ascii="Arial" w:cs="Arial" w:eastAsia="Arial" w:hAnsi="Arial"/>
          <w:sz w:val="15"/>
          <w:szCs w:val="15"/>
          <w:u w:val="single" w:color="auto"/>
          <w:color w:val="auto"/>
        </w:rPr>
        <w:t>Section 9.10</w:t>
      </w:r>
      <w:r>
        <w:rPr>
          <w:rFonts w:ascii="Arial" w:cs="Arial" w:eastAsia="Arial" w:hAnsi="Arial"/>
          <w:sz w:val="15"/>
          <w:szCs w:val="15"/>
          <w:color w:val="auto"/>
        </w:rPr>
        <w:t xml:space="preserve">. Each Loan Party hereby irrevocably consents to any release or subordination of Collateral and any release of any Guarantor from its obligations under any Guaranty, in each case, in accordance with the terms of the Loan Documents and this </w:t>
      </w:r>
      <w:r>
        <w:rPr>
          <w:rFonts w:ascii="Arial" w:cs="Arial" w:eastAsia="Arial" w:hAnsi="Arial"/>
          <w:sz w:val="15"/>
          <w:szCs w:val="15"/>
          <w:u w:val="single" w:color="auto"/>
          <w:color w:val="auto"/>
        </w:rPr>
        <w:t>Section 9.10</w:t>
      </w:r>
      <w:r>
        <w:rPr>
          <w:rFonts w:ascii="Arial" w:cs="Arial" w:eastAsia="Arial" w:hAnsi="Arial"/>
          <w:sz w:val="15"/>
          <w:szCs w:val="15"/>
          <w:color w:val="auto"/>
        </w:rPr>
        <w:t>.</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9.11 Secured Treasury Management Agreements and Secured Swap Agreements</w:t>
      </w:r>
      <w:r>
        <w:rPr>
          <w:rFonts w:ascii="Arial" w:cs="Arial" w:eastAsia="Arial" w:hAnsi="Arial"/>
          <w:sz w:val="17"/>
          <w:szCs w:val="17"/>
          <w:color w:val="auto"/>
        </w:rPr>
        <w:t>.</w:t>
      </w:r>
    </w:p>
    <w:p>
      <w:pPr>
        <w:spacing w:after="0" w:line="197" w:lineRule="exact"/>
        <w:rPr>
          <w:sz w:val="20"/>
          <w:szCs w:val="20"/>
          <w:color w:val="auto"/>
        </w:rPr>
      </w:pPr>
    </w:p>
    <w:p>
      <w:pPr>
        <w:jc w:val="both"/>
        <w:ind w:firstLine="763"/>
        <w:spacing w:after="0" w:line="284" w:lineRule="auto"/>
        <w:rPr>
          <w:sz w:val="20"/>
          <w:szCs w:val="20"/>
          <w:color w:val="auto"/>
        </w:rPr>
      </w:pPr>
      <w:r>
        <w:rPr>
          <w:rFonts w:ascii="Arial" w:cs="Arial" w:eastAsia="Arial" w:hAnsi="Arial"/>
          <w:sz w:val="15"/>
          <w:szCs w:val="15"/>
          <w:color w:val="auto"/>
        </w:rPr>
        <w:t xml:space="preserve">No Treasury Management Bank or Swap Bank that obtains the benefit of </w:t>
      </w:r>
      <w:r>
        <w:rPr>
          <w:rFonts w:ascii="Arial" w:cs="Arial" w:eastAsia="Arial" w:hAnsi="Arial"/>
          <w:sz w:val="15"/>
          <w:szCs w:val="15"/>
          <w:u w:val="single" w:color="auto"/>
          <w:color w:val="auto"/>
        </w:rPr>
        <w:t>Section 8.03</w:t>
      </w:r>
      <w:r>
        <w:rPr>
          <w:rFonts w:ascii="Arial" w:cs="Arial" w:eastAsia="Arial" w:hAnsi="Arial"/>
          <w:sz w:val="15"/>
          <w:szCs w:val="15"/>
          <w:color w:val="auto"/>
        </w:rPr>
        <w:t xml:space="preserve">, any Guaranty or any Collateral by virtue of the provisions hereof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Collateral Document) other than in its capacity as a Lender and, in such case, only to the extent expressly provided in the Loan Documents. Notwithstanding any other provision of this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to the contrary, the Administrative Agent shall not be required to verify the payment of, or that other satisfactory arrangements have been made with respect to, Obligations arising under Secured Treasury Management Agreements and Secured Swap Agreements except to the extent expressly provided herein and unless the Administrative Agent has received a Secured Party Designation Notice of such Obligations, together with such supporting documentation as the Administrative Agent may request, from the applicable Treasury Management Bank or Swap Bank, as the case may be. The Administrative Agent shall not be required to verify the payment of, or that other satisfactory arrangements have been made with respect to, Obligations arising under Secured Treasury Management Agreements and Secured Swap Agreements in the case of the Maturity Date.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440"/>
          </w:cols>
          <w:pgMar w:left="240" w:top="306" w:right="219" w:bottom="1440" w:gutter="0" w:footer="0" w:header="0"/>
        </w:sectPr>
      </w:pPr>
    </w:p>
    <w:bookmarkStart w:id="111" w:name="page112"/>
    <w:bookmarkEnd w:id="111"/>
    <w:p>
      <w:pPr>
        <w:ind w:left="3"/>
        <w:spacing w:after="0"/>
        <w:rPr>
          <w:sz w:val="20"/>
          <w:szCs w:val="20"/>
          <w:color w:val="auto"/>
        </w:rPr>
      </w:pPr>
      <w:r>
        <w:rPr>
          <w:rFonts w:ascii="Arial" w:cs="Arial" w:eastAsia="Arial" w:hAnsi="Arial"/>
          <w:sz w:val="17"/>
          <w:szCs w:val="17"/>
          <w:b w:val="1"/>
          <w:bCs w:val="1"/>
          <w:color w:val="auto"/>
        </w:rPr>
        <w:t>9.12 Provisions Relating to German Collateral</w:t>
      </w:r>
      <w:r>
        <w:rPr>
          <w:rFonts w:ascii="Arial" w:cs="Arial" w:eastAsia="Arial" w:hAnsi="Arial"/>
          <w:sz w:val="17"/>
          <w:szCs w:val="17"/>
          <w:color w:val="auto"/>
        </w:rPr>
        <w:t>.</w:t>
      </w:r>
    </w:p>
    <w:p>
      <w:pPr>
        <w:spacing w:after="0" w:line="197" w:lineRule="exact"/>
        <w:rPr>
          <w:sz w:val="20"/>
          <w:szCs w:val="20"/>
          <w:color w:val="auto"/>
        </w:rPr>
      </w:pPr>
    </w:p>
    <w:p>
      <w:pPr>
        <w:ind w:left="243" w:hanging="243"/>
        <w:spacing w:after="0"/>
        <w:tabs>
          <w:tab w:leader="none" w:pos="243"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Administrative Agent shall:</w:t>
      </w:r>
    </w:p>
    <w:p>
      <w:pPr>
        <w:spacing w:after="0" w:line="191" w:lineRule="exact"/>
        <w:rPr>
          <w:rFonts w:ascii="Arial" w:cs="Arial" w:eastAsia="Arial" w:hAnsi="Arial"/>
          <w:sz w:val="17"/>
          <w:szCs w:val="17"/>
          <w:color w:val="auto"/>
        </w:rPr>
      </w:pPr>
    </w:p>
    <w:p>
      <w:pPr>
        <w:jc w:val="both"/>
        <w:ind w:left="763" w:firstLine="660"/>
        <w:spacing w:after="0" w:line="253" w:lineRule="auto"/>
        <w:tabs>
          <w:tab w:leader="none" w:pos="1764" w:val="left"/>
        </w:tabs>
        <w:numPr>
          <w:ilvl w:val="2"/>
          <w:numId w:val="146"/>
        </w:numPr>
        <w:rPr>
          <w:rFonts w:ascii="Arial" w:cs="Arial" w:eastAsia="Arial" w:hAnsi="Arial"/>
          <w:sz w:val="17"/>
          <w:szCs w:val="17"/>
          <w:color w:val="auto"/>
        </w:rPr>
      </w:pPr>
      <w:r>
        <w:rPr>
          <w:rFonts w:ascii="Arial" w:cs="Arial" w:eastAsia="Arial" w:hAnsi="Arial"/>
          <w:sz w:val="17"/>
          <w:szCs w:val="17"/>
          <w:color w:val="auto"/>
        </w:rPr>
        <w:t>hold and administer any Liens on the Collateral governed by German law which is security assigned (</w:t>
      </w:r>
      <w:r>
        <w:rPr>
          <w:rFonts w:ascii="Arial" w:cs="Arial" w:eastAsia="Arial" w:hAnsi="Arial"/>
          <w:sz w:val="17"/>
          <w:szCs w:val="17"/>
          <w:i w:val="1"/>
          <w:iCs w:val="1"/>
          <w:color w:val="auto"/>
        </w:rPr>
        <w:t>Sicherungseigentum/Sicherungsabtretung</w:t>
      </w:r>
      <w:r>
        <w:rPr>
          <w:rFonts w:ascii="Arial" w:cs="Arial" w:eastAsia="Arial" w:hAnsi="Arial"/>
          <w:sz w:val="17"/>
          <w:szCs w:val="17"/>
          <w:color w:val="auto"/>
        </w:rPr>
        <w:t>) or otherwise transferred under a non-accessory security right (</w:t>
      </w:r>
      <w:r>
        <w:rPr>
          <w:rFonts w:ascii="Arial" w:cs="Arial" w:eastAsia="Arial" w:hAnsi="Arial"/>
          <w:sz w:val="17"/>
          <w:szCs w:val="17"/>
          <w:i w:val="1"/>
          <w:iCs w:val="1"/>
          <w:color w:val="auto"/>
        </w:rPr>
        <w:t>nicht-akzessorische Sicherheit</w:t>
      </w:r>
      <w:r>
        <w:rPr>
          <w:rFonts w:ascii="Arial" w:cs="Arial" w:eastAsia="Arial" w:hAnsi="Arial"/>
          <w:sz w:val="17"/>
          <w:szCs w:val="17"/>
          <w:color w:val="auto"/>
        </w:rPr>
        <w:t>) to it as trustee for the benefit of the Lenders (including in their respective capacities as a Swap Bank or a Treasury Management Bank, as applicable) and the L/C Issuer; and</w:t>
      </w:r>
    </w:p>
    <w:p>
      <w:pPr>
        <w:spacing w:after="0" w:line="160" w:lineRule="exact"/>
        <w:rPr>
          <w:rFonts w:ascii="Arial" w:cs="Arial" w:eastAsia="Arial" w:hAnsi="Arial"/>
          <w:sz w:val="17"/>
          <w:szCs w:val="17"/>
          <w:color w:val="auto"/>
        </w:rPr>
      </w:pPr>
    </w:p>
    <w:p>
      <w:pPr>
        <w:jc w:val="both"/>
        <w:ind w:left="763" w:right="20" w:firstLine="660"/>
        <w:spacing w:after="0" w:line="257" w:lineRule="auto"/>
        <w:tabs>
          <w:tab w:leader="none" w:pos="1680" w:val="left"/>
        </w:tabs>
        <w:numPr>
          <w:ilvl w:val="2"/>
          <w:numId w:val="146"/>
        </w:numPr>
        <w:rPr>
          <w:rFonts w:ascii="Arial" w:cs="Arial" w:eastAsia="Arial" w:hAnsi="Arial"/>
          <w:sz w:val="17"/>
          <w:szCs w:val="17"/>
          <w:color w:val="auto"/>
        </w:rPr>
      </w:pPr>
      <w:r>
        <w:rPr>
          <w:rFonts w:ascii="Arial" w:cs="Arial" w:eastAsia="Arial" w:hAnsi="Arial"/>
          <w:sz w:val="17"/>
          <w:szCs w:val="17"/>
          <w:color w:val="auto"/>
        </w:rPr>
        <w:t>administer any Liens on the Collateral governed by German law which is pledged (</w:t>
      </w:r>
      <w:r>
        <w:rPr>
          <w:rFonts w:ascii="Arial" w:cs="Arial" w:eastAsia="Arial" w:hAnsi="Arial"/>
          <w:sz w:val="17"/>
          <w:szCs w:val="17"/>
          <w:i w:val="1"/>
          <w:iCs w:val="1"/>
          <w:color w:val="auto"/>
        </w:rPr>
        <w:t>Verpfändung</w:t>
      </w:r>
      <w:r>
        <w:rPr>
          <w:rFonts w:ascii="Arial" w:cs="Arial" w:eastAsia="Arial" w:hAnsi="Arial"/>
          <w:sz w:val="17"/>
          <w:szCs w:val="17"/>
          <w:color w:val="auto"/>
        </w:rPr>
        <w:t>) or otherwise transferred to it and any Lender (including in its capacity as a Swap Bank or a Treasury Management Bank, as applicable) and/or the L/C Issuer under an accessory security right (</w:t>
      </w:r>
      <w:r>
        <w:rPr>
          <w:rFonts w:ascii="Arial" w:cs="Arial" w:eastAsia="Arial" w:hAnsi="Arial"/>
          <w:sz w:val="17"/>
          <w:szCs w:val="17"/>
          <w:i w:val="1"/>
          <w:iCs w:val="1"/>
          <w:color w:val="auto"/>
        </w:rPr>
        <w:t>akzessorische Sicherheit</w:t>
      </w:r>
      <w:r>
        <w:rPr>
          <w:rFonts w:ascii="Arial" w:cs="Arial" w:eastAsia="Arial" w:hAnsi="Arial"/>
          <w:sz w:val="17"/>
          <w:szCs w:val="17"/>
          <w:color w:val="auto"/>
        </w:rPr>
        <w:t>) as agent;</w:t>
      </w:r>
    </w:p>
    <w:p>
      <w:pPr>
        <w:spacing w:after="0" w:line="157" w:lineRule="exact"/>
        <w:rPr>
          <w:rFonts w:ascii="Arial" w:cs="Arial" w:eastAsia="Arial" w:hAnsi="Arial"/>
          <w:sz w:val="17"/>
          <w:szCs w:val="17"/>
          <w:color w:val="auto"/>
        </w:rPr>
      </w:pPr>
    </w:p>
    <w:p>
      <w:pPr>
        <w:ind w:left="3" w:right="20" w:firstLine="709"/>
        <w:spacing w:after="0" w:line="253" w:lineRule="auto"/>
        <w:tabs>
          <w:tab w:leader="none" w:pos="964" w:val="left"/>
        </w:tabs>
        <w:numPr>
          <w:ilvl w:val="1"/>
          <w:numId w:val="146"/>
        </w:numPr>
        <w:rPr>
          <w:rFonts w:ascii="Arial" w:cs="Arial" w:eastAsia="Arial" w:hAnsi="Arial"/>
          <w:sz w:val="17"/>
          <w:szCs w:val="17"/>
          <w:color w:val="auto"/>
        </w:rPr>
      </w:pPr>
      <w:r>
        <w:rPr>
          <w:rFonts w:ascii="Arial" w:cs="Arial" w:eastAsia="Arial" w:hAnsi="Arial"/>
          <w:sz w:val="17"/>
          <w:szCs w:val="17"/>
          <w:color w:val="auto"/>
        </w:rPr>
        <w:t>Each Lender (including in its capacity as a Swap Bank or a Treasury Management Bank, as applicable) and the L/C Issuer hereby authorize the Administrative Agent and grant power of attorney (</w:t>
      </w:r>
      <w:r>
        <w:rPr>
          <w:rFonts w:ascii="Arial" w:cs="Arial" w:eastAsia="Arial" w:hAnsi="Arial"/>
          <w:sz w:val="17"/>
          <w:szCs w:val="17"/>
          <w:i w:val="1"/>
          <w:iCs w:val="1"/>
          <w:color w:val="auto"/>
        </w:rPr>
        <w:t>Vollmacht</w:t>
      </w:r>
      <w:r>
        <w:rPr>
          <w:rFonts w:ascii="Arial" w:cs="Arial" w:eastAsia="Arial" w:hAnsi="Arial"/>
          <w:sz w:val="17"/>
          <w:szCs w:val="17"/>
          <w:color w:val="auto"/>
        </w:rPr>
        <w:t>) to the Administrative Agent:</w:t>
      </w:r>
    </w:p>
    <w:p>
      <w:pPr>
        <w:jc w:val="both"/>
        <w:ind w:left="763" w:firstLine="660"/>
        <w:spacing w:after="0" w:line="319" w:lineRule="auto"/>
        <w:tabs>
          <w:tab w:leader="none" w:pos="1652" w:val="left"/>
        </w:tabs>
        <w:numPr>
          <w:ilvl w:val="2"/>
          <w:numId w:val="146"/>
        </w:numPr>
        <w:rPr>
          <w:rFonts w:ascii="Arial" w:cs="Arial" w:eastAsia="Arial" w:hAnsi="Arial"/>
          <w:sz w:val="15"/>
          <w:szCs w:val="15"/>
          <w:color w:val="auto"/>
        </w:rPr>
      </w:pPr>
      <w:r>
        <w:rPr>
          <w:rFonts w:ascii="Arial" w:cs="Arial" w:eastAsia="Arial" w:hAnsi="Arial"/>
          <w:sz w:val="15"/>
          <w:szCs w:val="15"/>
          <w:color w:val="auto"/>
        </w:rPr>
        <w:t>to exercise such rights, remedies, powers and discretions as are specifically delegated to or conferred upon the Administrative Agent under the Collateral Documents governed by German law, together with such powers and discretions as are reasonably incidental thereto;</w:t>
      </w:r>
    </w:p>
    <w:p>
      <w:pPr>
        <w:spacing w:after="0" w:line="113" w:lineRule="exact"/>
        <w:rPr>
          <w:rFonts w:ascii="Arial" w:cs="Arial" w:eastAsia="Arial" w:hAnsi="Arial"/>
          <w:sz w:val="15"/>
          <w:szCs w:val="15"/>
          <w:color w:val="auto"/>
        </w:rPr>
      </w:pPr>
    </w:p>
    <w:p>
      <w:pPr>
        <w:ind w:left="763" w:firstLine="660"/>
        <w:spacing w:after="0" w:line="271" w:lineRule="auto"/>
        <w:tabs>
          <w:tab w:leader="none" w:pos="1691" w:val="left"/>
        </w:tabs>
        <w:numPr>
          <w:ilvl w:val="2"/>
          <w:numId w:val="146"/>
        </w:numPr>
        <w:rPr>
          <w:rFonts w:ascii="Arial" w:cs="Arial" w:eastAsia="Arial" w:hAnsi="Arial"/>
          <w:sz w:val="17"/>
          <w:szCs w:val="17"/>
          <w:color w:val="auto"/>
        </w:rPr>
      </w:pPr>
      <w:r>
        <w:rPr>
          <w:rFonts w:ascii="Arial" w:cs="Arial" w:eastAsia="Arial" w:hAnsi="Arial"/>
          <w:sz w:val="17"/>
          <w:szCs w:val="17"/>
          <w:color w:val="auto"/>
        </w:rPr>
        <w:t>to take such action on its behalf as may from time to time be authorized under or in accordance with the Collateral Documents governed by German law; and</w:t>
      </w:r>
    </w:p>
    <w:p>
      <w:pPr>
        <w:spacing w:after="0" w:line="144" w:lineRule="exact"/>
        <w:rPr>
          <w:rFonts w:ascii="Arial" w:cs="Arial" w:eastAsia="Arial" w:hAnsi="Arial"/>
          <w:sz w:val="17"/>
          <w:szCs w:val="17"/>
          <w:color w:val="auto"/>
        </w:rPr>
      </w:pPr>
    </w:p>
    <w:p>
      <w:pPr>
        <w:jc w:val="both"/>
        <w:ind w:left="763" w:firstLine="660"/>
        <w:spacing w:after="0" w:line="251" w:lineRule="auto"/>
        <w:tabs>
          <w:tab w:leader="none" w:pos="1729" w:val="left"/>
        </w:tabs>
        <w:numPr>
          <w:ilvl w:val="2"/>
          <w:numId w:val="146"/>
        </w:numPr>
        <w:rPr>
          <w:rFonts w:ascii="Arial" w:cs="Arial" w:eastAsia="Arial" w:hAnsi="Arial"/>
          <w:sz w:val="17"/>
          <w:szCs w:val="17"/>
          <w:color w:val="auto"/>
        </w:rPr>
      </w:pPr>
      <w:r>
        <w:rPr>
          <w:rFonts w:ascii="Arial" w:cs="Arial" w:eastAsia="Arial" w:hAnsi="Arial"/>
          <w:sz w:val="17"/>
          <w:szCs w:val="17"/>
          <w:color w:val="auto"/>
        </w:rPr>
        <w:t>to accept as its representative (</w:t>
      </w:r>
      <w:r>
        <w:rPr>
          <w:rFonts w:ascii="Arial" w:cs="Arial" w:eastAsia="Arial" w:hAnsi="Arial"/>
          <w:sz w:val="17"/>
          <w:szCs w:val="17"/>
          <w:i w:val="1"/>
          <w:iCs w:val="1"/>
          <w:color w:val="auto"/>
        </w:rPr>
        <w:t>Stellvertreter</w:t>
      </w:r>
      <w:r>
        <w:rPr>
          <w:rFonts w:ascii="Arial" w:cs="Arial" w:eastAsia="Arial" w:hAnsi="Arial"/>
          <w:sz w:val="17"/>
          <w:szCs w:val="17"/>
          <w:color w:val="auto"/>
        </w:rPr>
        <w:t>) any pledge or other creation of any accessory security right granted in favor of each such Lender (in its capacity as a Lender, a Swap Bank or a Treasury Management Bank, as applicable) and/or L/C Issuer in connection with the Obligations secured under German law and to agree to and execute on its behalf as its representative (</w:t>
      </w:r>
      <w:r>
        <w:rPr>
          <w:rFonts w:ascii="Arial" w:cs="Arial" w:eastAsia="Arial" w:hAnsi="Arial"/>
          <w:sz w:val="17"/>
          <w:szCs w:val="17"/>
          <w:i w:val="1"/>
          <w:iCs w:val="1"/>
          <w:color w:val="auto"/>
        </w:rPr>
        <w:t>Stellvertreter</w:t>
      </w:r>
      <w:r>
        <w:rPr>
          <w:rFonts w:ascii="Arial" w:cs="Arial" w:eastAsia="Arial" w:hAnsi="Arial"/>
          <w:sz w:val="17"/>
          <w:szCs w:val="17"/>
          <w:color w:val="auto"/>
        </w:rPr>
        <w:t>) any amendments and/or alterations to any Collateral Document governed by German law which creates a pledge or any other accessory security right (</w:t>
      </w:r>
      <w:r>
        <w:rPr>
          <w:rFonts w:ascii="Arial" w:cs="Arial" w:eastAsia="Arial" w:hAnsi="Arial"/>
          <w:sz w:val="17"/>
          <w:szCs w:val="17"/>
          <w:i w:val="1"/>
          <w:iCs w:val="1"/>
          <w:color w:val="auto"/>
        </w:rPr>
        <w:t>akzessorische</w:t>
      </w:r>
      <w:r>
        <w:rPr>
          <w:rFonts w:ascii="Arial" w:cs="Arial" w:eastAsia="Arial" w:hAnsi="Arial"/>
          <w:sz w:val="17"/>
          <w:szCs w:val="17"/>
          <w:color w:val="auto"/>
        </w:rPr>
        <w:t xml:space="preserve"> </w:t>
      </w:r>
      <w:r>
        <w:rPr>
          <w:rFonts w:ascii="Arial" w:cs="Arial" w:eastAsia="Arial" w:hAnsi="Arial"/>
          <w:sz w:val="17"/>
          <w:szCs w:val="17"/>
          <w:i w:val="1"/>
          <w:iCs w:val="1"/>
          <w:color w:val="auto"/>
        </w:rPr>
        <w:t>Sicherheit</w:t>
      </w:r>
      <w:r>
        <w:rPr>
          <w:rFonts w:ascii="Arial" w:cs="Arial" w:eastAsia="Arial" w:hAnsi="Arial"/>
          <w:sz w:val="17"/>
          <w:szCs w:val="17"/>
          <w:color w:val="auto"/>
        </w:rPr>
        <w:t>), including the release or confirmation of release of such security.</w:t>
      </w:r>
    </w:p>
    <w:p>
      <w:pPr>
        <w:spacing w:after="0" w:line="161" w:lineRule="exact"/>
        <w:rPr>
          <w:rFonts w:ascii="Arial" w:cs="Arial" w:eastAsia="Arial" w:hAnsi="Arial"/>
          <w:sz w:val="17"/>
          <w:szCs w:val="17"/>
          <w:color w:val="auto"/>
        </w:rPr>
      </w:pPr>
    </w:p>
    <w:p>
      <w:pPr>
        <w:jc w:val="both"/>
        <w:ind w:left="3" w:firstLine="709"/>
        <w:spacing w:after="0" w:line="251" w:lineRule="auto"/>
        <w:tabs>
          <w:tab w:leader="none" w:pos="964" w:val="left"/>
        </w:tabs>
        <w:numPr>
          <w:ilvl w:val="1"/>
          <w:numId w:val="146"/>
        </w:numPr>
        <w:rPr>
          <w:rFonts w:ascii="Arial" w:cs="Arial" w:eastAsia="Arial" w:hAnsi="Arial"/>
          <w:sz w:val="17"/>
          <w:szCs w:val="17"/>
          <w:color w:val="auto"/>
        </w:rPr>
      </w:pPr>
      <w:r>
        <w:rPr>
          <w:rFonts w:ascii="Arial" w:cs="Arial" w:eastAsia="Arial" w:hAnsi="Arial"/>
          <w:sz w:val="17"/>
          <w:szCs w:val="17"/>
          <w:color w:val="auto"/>
        </w:rPr>
        <w:t>Each Lender (including in its capacity as a Swap Bank or a Treasury Management Bank, as applicable) and/or L/C Issuer (other than the Administrative Agent) hereby ratifies and approves all acts and declarations previously taken by the Administrative Agent on such Lender’s and/or L/C Issuer’s behalf (including for the avoidance of doubt the declarations made by the Administrative Agent as representative without power of attorney (</w:t>
      </w:r>
      <w:r>
        <w:rPr>
          <w:rFonts w:ascii="Arial" w:cs="Arial" w:eastAsia="Arial" w:hAnsi="Arial"/>
          <w:sz w:val="17"/>
          <w:szCs w:val="17"/>
          <w:i w:val="1"/>
          <w:iCs w:val="1"/>
          <w:color w:val="auto"/>
        </w:rPr>
        <w:t>Vertreter ohne Vertretungsmacht</w:t>
      </w:r>
      <w:r>
        <w:rPr>
          <w:rFonts w:ascii="Arial" w:cs="Arial" w:eastAsia="Arial" w:hAnsi="Arial"/>
          <w:sz w:val="17"/>
          <w:szCs w:val="17"/>
          <w:color w:val="auto"/>
        </w:rPr>
        <w:t>) in relation to the creation of any pledge (</w:t>
      </w:r>
      <w:r>
        <w:rPr>
          <w:rFonts w:ascii="Arial" w:cs="Arial" w:eastAsia="Arial" w:hAnsi="Arial"/>
          <w:sz w:val="17"/>
          <w:szCs w:val="17"/>
          <w:i w:val="1"/>
          <w:iCs w:val="1"/>
          <w:color w:val="auto"/>
        </w:rPr>
        <w:t>Pfandrecht</w:t>
      </w:r>
      <w:r>
        <w:rPr>
          <w:rFonts w:ascii="Arial" w:cs="Arial" w:eastAsia="Arial" w:hAnsi="Arial"/>
          <w:sz w:val="17"/>
          <w:szCs w:val="17"/>
          <w:color w:val="auto"/>
        </w:rPr>
        <w:t>) on behalf and for the benefit of any such Lender and/or L/C Issuer as future pledgee or otherwise).</w:t>
      </w:r>
    </w:p>
    <w:p>
      <w:pPr>
        <w:spacing w:after="0" w:line="161" w:lineRule="exact"/>
        <w:rPr>
          <w:rFonts w:ascii="Arial" w:cs="Arial" w:eastAsia="Arial" w:hAnsi="Arial"/>
          <w:sz w:val="17"/>
          <w:szCs w:val="17"/>
          <w:color w:val="auto"/>
        </w:rPr>
      </w:pPr>
    </w:p>
    <w:p>
      <w:pPr>
        <w:jc w:val="both"/>
        <w:ind w:left="3" w:firstLine="709"/>
        <w:spacing w:after="0" w:line="249" w:lineRule="auto"/>
        <w:tabs>
          <w:tab w:leader="none" w:pos="974" w:val="left"/>
        </w:tabs>
        <w:numPr>
          <w:ilvl w:val="1"/>
          <w:numId w:val="146"/>
        </w:numPr>
        <w:rPr>
          <w:rFonts w:ascii="Arial" w:cs="Arial" w:eastAsia="Arial" w:hAnsi="Arial"/>
          <w:sz w:val="17"/>
          <w:szCs w:val="17"/>
          <w:color w:val="auto"/>
        </w:rPr>
      </w:pPr>
      <w:r>
        <w:rPr>
          <w:rFonts w:ascii="Arial" w:cs="Arial" w:eastAsia="Arial" w:hAnsi="Arial"/>
          <w:sz w:val="17"/>
          <w:szCs w:val="17"/>
          <w:color w:val="auto"/>
        </w:rPr>
        <w:t xml:space="preserve">Each of the Lenders (including in their respective capacities as a Swap Bank or a Treasury Management Bank, as applicable) and/or L/C Issuer (other than the Administrative Agent) hereby authorizes the Administrative Agent, in any of its capacities hereunder or under the other Loan Documents, to (sub-)delegate any powers granted to it under this </w:t>
      </w: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to any representative it may elect in its discretion and to grant powers of attorney to any such representative, including the exemption from self-dealing and representing several persons (in particular from the restrictions of section 181 of the German Civil Code (</w:t>
      </w:r>
      <w:r>
        <w:rPr>
          <w:rFonts w:ascii="Arial" w:cs="Arial" w:eastAsia="Arial" w:hAnsi="Arial"/>
          <w:sz w:val="17"/>
          <w:szCs w:val="17"/>
          <w:i w:val="1"/>
          <w:iCs w:val="1"/>
          <w:color w:val="auto"/>
        </w:rPr>
        <w:t>Bürgerliches Gesetzbuch</w:t>
      </w:r>
      <w:r>
        <w:rPr>
          <w:rFonts w:ascii="Arial" w:cs="Arial" w:eastAsia="Arial" w:hAnsi="Arial"/>
          <w:sz w:val="17"/>
          <w:szCs w:val="17"/>
          <w:color w:val="auto"/>
        </w:rPr>
        <w:t>) (in each case, to the extent permitted by its organizational documents and by applicable law)).</w:t>
      </w:r>
    </w:p>
    <w:p>
      <w:pPr>
        <w:spacing w:after="0" w:line="166" w:lineRule="exact"/>
        <w:rPr>
          <w:rFonts w:ascii="Arial" w:cs="Arial" w:eastAsia="Arial" w:hAnsi="Arial"/>
          <w:sz w:val="17"/>
          <w:szCs w:val="17"/>
          <w:color w:val="auto"/>
        </w:rPr>
      </w:pPr>
    </w:p>
    <w:p>
      <w:pPr>
        <w:jc w:val="both"/>
        <w:ind w:left="3" w:firstLine="709"/>
        <w:spacing w:after="0" w:line="270" w:lineRule="auto"/>
        <w:tabs>
          <w:tab w:leader="none" w:pos="952" w:val="left"/>
        </w:tabs>
        <w:numPr>
          <w:ilvl w:val="1"/>
          <w:numId w:val="146"/>
        </w:numPr>
        <w:rPr>
          <w:rFonts w:ascii="Arial" w:cs="Arial" w:eastAsia="Arial" w:hAnsi="Arial"/>
          <w:sz w:val="16"/>
          <w:szCs w:val="16"/>
          <w:color w:val="auto"/>
        </w:rPr>
      </w:pPr>
      <w:r>
        <w:rPr>
          <w:rFonts w:ascii="Arial" w:cs="Arial" w:eastAsia="Arial" w:hAnsi="Arial"/>
          <w:sz w:val="16"/>
          <w:szCs w:val="16"/>
          <w:color w:val="auto"/>
        </w:rPr>
        <w:t>Any Liens on the Collateral governed by German law shall be enforced by the Administrative Agent for its own account and for the account of the Lenders (including in their respective capacities as a Swap Bank or a Treasury Management Bank, as applicable) and the L/C Issuer. To the extent that any Collateral subject to any German law governed Collateral Document is not held by the Administrative Agent but by a Lender or L/C Issuer, then such Collateral shall be enforced through the Administrative Agent on behalf of such Lender or L/C Issuer in accordance with the terms of this Agreement and the applicable Collateral Document as if that Collateral had been held by the Administrative Agent.</w:t>
      </w:r>
    </w:p>
    <w:p>
      <w:pPr>
        <w:spacing w:after="0" w:line="149" w:lineRule="exact"/>
        <w:rPr>
          <w:sz w:val="20"/>
          <w:szCs w:val="20"/>
          <w:color w:val="auto"/>
        </w:rPr>
      </w:pPr>
    </w:p>
    <w:p>
      <w:pPr>
        <w:ind w:left="4823"/>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0683"/>
          </w:cols>
          <w:pgMar w:left="997" w:top="306" w:right="21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7"/>
          <w:szCs w:val="17"/>
          <w:b w:val="1"/>
          <w:bCs w:val="1"/>
          <w:color w:val="auto"/>
        </w:rPr>
        <w:t>ARTICLE X.</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BORROWER GUARANTY</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10.01 The Borrower Guaranty.</w:t>
      </w:r>
    </w:p>
    <w:p>
      <w:pPr>
        <w:spacing w:after="0" w:line="197" w:lineRule="exact"/>
        <w:rPr>
          <w:sz w:val="20"/>
          <w:szCs w:val="20"/>
          <w:color w:val="auto"/>
        </w:rPr>
      </w:pPr>
    </w:p>
    <w:p>
      <w:pPr>
        <w:jc w:val="both"/>
        <w:ind w:firstLine="757"/>
        <w:spacing w:after="0" w:line="266" w:lineRule="auto"/>
        <w:tabs>
          <w:tab w:leader="none" w:pos="1003"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 Each of the U.S. Borrowers hereby jointly and severally with the other U.S. Borrowers guarantees to each Lender, each Swap Bank, each Treasury Management Bank, and the Administrative Agent as hereinafter provided, as primary obligor and not as surety, the prompt payment of all U.S. Borrower Guaranteed Obligations in full when due (whether at stated maturity, as a mandatory prepayment, by acceleration, as a mandatory Cash Collateralization or otherwise) strictly in accordance with the terms thereof. The U.S. Borrowers hereby further agree that if any of the U.S. Borrower Guaranteed Obligations are not paid in full when due (whether at stated maturity, as a mandatory prepayment, by acceleration, as a mandatory Cash Collateralization or otherwise), the U.S. Borrowers will, jointly and severally, promptly pay the same, without any demand or notice whatsoever, and that in the case of any extension of time of payment or renewal of any of the U.S. Borrower Guaranteed Obligations, the same will be promptly paid in full when due (whether at extended maturity, as a mandatory prepayment, by acceleration, as a mandatory Cash Collateralization or otherwise) in accordance with the terms of such extension or renewal.</w:t>
      </w:r>
    </w:p>
    <w:p>
      <w:pPr>
        <w:spacing w:after="0" w:line="150" w:lineRule="exact"/>
        <w:rPr>
          <w:rFonts w:ascii="Arial" w:cs="Arial" w:eastAsia="Arial" w:hAnsi="Arial"/>
          <w:sz w:val="16"/>
          <w:szCs w:val="16"/>
          <w:color w:val="auto"/>
        </w:rPr>
      </w:pPr>
    </w:p>
    <w:p>
      <w:pPr>
        <w:jc w:val="both"/>
        <w:ind w:left="760" w:firstLine="709"/>
        <w:spacing w:after="0" w:line="286" w:lineRule="auto"/>
        <w:tabs>
          <w:tab w:leader="none" w:pos="1733" w:val="left"/>
        </w:tabs>
        <w:numPr>
          <w:ilvl w:val="1"/>
          <w:numId w:val="147"/>
        </w:numPr>
        <w:rPr>
          <w:rFonts w:ascii="Arial" w:cs="Arial" w:eastAsia="Arial" w:hAnsi="Arial"/>
          <w:sz w:val="15"/>
          <w:szCs w:val="15"/>
          <w:color w:val="auto"/>
        </w:rPr>
      </w:pPr>
      <w:r>
        <w:rPr>
          <w:rFonts w:ascii="Arial" w:cs="Arial" w:eastAsia="Arial" w:hAnsi="Arial"/>
          <w:sz w:val="15"/>
          <w:szCs w:val="15"/>
          <w:color w:val="auto"/>
        </w:rPr>
        <w:t>Each of the Foreign Borrowers hereby jointly and severally with the other Foreign Borrowers guarantees to each Lender, each Swap Bank, each Treasury Management Bank, and the Administrative Agent as hereinafter provided, as primary obligor and not as surety, the prompt payment of all Foreign Obligations in full when due (whether at stated maturity, as a mandatory prepayment, by acceleration, as a mandatory Cash Collateralization or otherwise) strictly in accordance with the terms thereof. The Foreign Borrowers hereby further agree that if any of the Foreign Obligations are not paid in full when due (whether at stated maturity, as a mandatory prepayment, by acceleration, as a mandatory Cash Collateralization or otherwise), the Foreign Borrowers will, jointly and severally, promptly pay the same, without any demand or notice whatsoever, and that in the case of any extension of time of payment or renewal of any of the Foreign Obligations, the same will be promptly paid in full when due (whether at extended maturity, as a mandatory prepayment, by acceleration, as a mandatory Cash Collateralization or otherwise) in accordance with the terms of such extension or renewal.</w:t>
      </w:r>
    </w:p>
    <w:p>
      <w:pPr>
        <w:spacing w:after="0" w:line="137" w:lineRule="exact"/>
        <w:rPr>
          <w:rFonts w:ascii="Arial" w:cs="Arial" w:eastAsia="Arial" w:hAnsi="Arial"/>
          <w:sz w:val="15"/>
          <w:szCs w:val="15"/>
          <w:color w:val="auto"/>
        </w:rPr>
      </w:pPr>
    </w:p>
    <w:p>
      <w:pPr>
        <w:jc w:val="both"/>
        <w:ind w:firstLine="757"/>
        <w:spacing w:after="0" w:line="251" w:lineRule="auto"/>
        <w:tabs>
          <w:tab w:leader="none" w:pos="1006"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Notwithstanding any provision to the contrary contained herein or in any other of the Loan Documents, Secured Swap Agreements or Secured Treasury Management Agreements, (i) the obligations of each Borrower (other than the Company) under this Agreement and the other Loan Documents shall be limited to an aggregate amount equal to the largest amount that would not render such obligations subject to avoidance under the Debtor Relief Laws or any comparable provisions of any applicable state, provincial or territorial law and (ii) the Obligations of a Subsidiary that are guaranteed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exclude any Excluded Swap Obligations with respect to such Subsidiary.</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10.02 Obligations Unconditional.</w:t>
      </w:r>
    </w:p>
    <w:p>
      <w:pPr>
        <w:spacing w:after="0" w:line="197" w:lineRule="exact"/>
        <w:rPr>
          <w:sz w:val="20"/>
          <w:szCs w:val="20"/>
          <w:color w:val="auto"/>
        </w:rPr>
      </w:pPr>
    </w:p>
    <w:p>
      <w:pPr>
        <w:jc w:val="both"/>
        <w:ind w:firstLine="757"/>
        <w:spacing w:after="0" w:line="247" w:lineRule="auto"/>
        <w:tabs>
          <w:tab w:leader="none" w:pos="1028"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(i) The obligations of the U.S. Borrowers under </w:t>
      </w:r>
      <w:r>
        <w:rPr>
          <w:rFonts w:ascii="Arial" w:cs="Arial" w:eastAsia="Arial" w:hAnsi="Arial"/>
          <w:sz w:val="17"/>
          <w:szCs w:val="17"/>
          <w:u w:val="single" w:color="auto"/>
          <w:color w:val="auto"/>
        </w:rPr>
        <w:t>Section 10.01(a)(i)</w:t>
      </w:r>
      <w:r>
        <w:rPr>
          <w:rFonts w:ascii="Arial" w:cs="Arial" w:eastAsia="Arial" w:hAnsi="Arial"/>
          <w:sz w:val="17"/>
          <w:szCs w:val="17"/>
          <w:color w:val="auto"/>
        </w:rPr>
        <w:t xml:space="preserve"> are joint and several, absolute and unconditional, irrespective of the value, genuineness, validity, regularity or enforceability of any of the Loan Documents, Secured Swap Agreements or Secured Treasury Management Agreements, or any other agreement or instrument referred to therein, or any substitution, release, impairment or exchange of any other guarantee of or security for any of the U.S. Borrower Guaranteed Obligations, and, to the fullest extent permitted by applicable law, irrespective of any law or regulation or other circumstance whatsoever which might otherwise constitute a legal or equitable discharge or defense of a surety or guarantor, it being the intent of this </w:t>
      </w:r>
      <w:r>
        <w:rPr>
          <w:rFonts w:ascii="Arial" w:cs="Arial" w:eastAsia="Arial" w:hAnsi="Arial"/>
          <w:sz w:val="17"/>
          <w:szCs w:val="17"/>
          <w:u w:val="single" w:color="auto"/>
          <w:color w:val="auto"/>
        </w:rPr>
        <w:t>Section 10.02(a)(i)</w:t>
      </w:r>
      <w:r>
        <w:rPr>
          <w:rFonts w:ascii="Arial" w:cs="Arial" w:eastAsia="Arial" w:hAnsi="Arial"/>
          <w:sz w:val="17"/>
          <w:szCs w:val="17"/>
          <w:color w:val="auto"/>
        </w:rPr>
        <w:t xml:space="preserve"> that the obligations of the U.S. Borrowers hereunder shall be absolute and unconditional under any and all circumstances. Each U.S. Borrower agrees that such U.S. Borrower shall have no right of subrogation, indemnity, reimbursement or contribution against any other Loan Party for amounts paid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until such time as the U.S. Borrower Guaranteed Obligations (other than contingent indemnification obligations not yet due) have been paid in full and the Commitments have expired or terminated.</w:t>
      </w:r>
    </w:p>
    <w:p>
      <w:pPr>
        <w:spacing w:after="0" w:line="170" w:lineRule="exact"/>
        <w:rPr>
          <w:rFonts w:ascii="Arial" w:cs="Arial" w:eastAsia="Arial" w:hAnsi="Arial"/>
          <w:sz w:val="17"/>
          <w:szCs w:val="17"/>
          <w:color w:val="auto"/>
        </w:rPr>
      </w:pPr>
    </w:p>
    <w:p>
      <w:pPr>
        <w:jc w:val="both"/>
        <w:ind w:left="760" w:firstLine="709"/>
        <w:spacing w:after="0" w:line="253" w:lineRule="auto"/>
        <w:tabs>
          <w:tab w:leader="none" w:pos="1742" w:val="left"/>
        </w:tabs>
        <w:numPr>
          <w:ilvl w:val="1"/>
          <w:numId w:val="148"/>
        </w:numPr>
        <w:rPr>
          <w:rFonts w:ascii="Arial" w:cs="Arial" w:eastAsia="Arial" w:hAnsi="Arial"/>
          <w:sz w:val="17"/>
          <w:szCs w:val="17"/>
          <w:color w:val="auto"/>
        </w:rPr>
      </w:pPr>
      <w:r>
        <w:rPr>
          <w:rFonts w:ascii="Arial" w:cs="Arial" w:eastAsia="Arial" w:hAnsi="Arial"/>
          <w:sz w:val="17"/>
          <w:szCs w:val="17"/>
          <w:color w:val="auto"/>
        </w:rPr>
        <w:t xml:space="preserve">The obligations of the Foreign Borrowers under </w:t>
      </w:r>
      <w:r>
        <w:rPr>
          <w:rFonts w:ascii="Arial" w:cs="Arial" w:eastAsia="Arial" w:hAnsi="Arial"/>
          <w:sz w:val="17"/>
          <w:szCs w:val="17"/>
          <w:u w:val="single" w:color="auto"/>
          <w:color w:val="auto"/>
        </w:rPr>
        <w:t>Section 10.01(a)(ii)</w:t>
      </w:r>
      <w:r>
        <w:rPr>
          <w:rFonts w:ascii="Arial" w:cs="Arial" w:eastAsia="Arial" w:hAnsi="Arial"/>
          <w:sz w:val="17"/>
          <w:szCs w:val="17"/>
          <w:color w:val="auto"/>
        </w:rPr>
        <w:t xml:space="preserve"> are joint and several, absolute and unconditional, irrespective of the value, genuineness, validity, regularity or enforceability of any of the Loan Documents, Secured Swap Agreements or Secured Treasury Management Agreements, or any other agreement or instrument referred to therein, or any substitution, release, impairment or exchange of any other guarantee of or security for any of the Foreign Obligations, and, to the fullest extent permitted by applicable law, irrespective of</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440"/>
          </w:cols>
          <w:pgMar w:left="240" w:top="306" w:right="219" w:bottom="1440" w:gutter="0" w:footer="0" w:header="0"/>
        </w:sectPr>
      </w:pPr>
    </w:p>
    <w:bookmarkStart w:id="113" w:name="page114"/>
    <w:bookmarkEnd w:id="113"/>
    <w:p>
      <w:pPr>
        <w:jc w:val="both"/>
        <w:ind w:left="760" w:right="20"/>
        <w:spacing w:after="0" w:line="270" w:lineRule="auto"/>
        <w:rPr>
          <w:sz w:val="20"/>
          <w:szCs w:val="20"/>
          <w:color w:val="auto"/>
        </w:rPr>
      </w:pPr>
      <w:r>
        <w:rPr>
          <w:rFonts w:ascii="Arial" w:cs="Arial" w:eastAsia="Arial" w:hAnsi="Arial"/>
          <w:sz w:val="16"/>
          <w:szCs w:val="16"/>
          <w:color w:val="auto"/>
        </w:rPr>
        <w:t xml:space="preserve">any law or regulation or other circumstance whatsoever which might otherwise constitute a legal or equitable discharge or defense of a surety or guarantor, it being the intent of this </w:t>
      </w:r>
      <w:r>
        <w:rPr>
          <w:rFonts w:ascii="Arial" w:cs="Arial" w:eastAsia="Arial" w:hAnsi="Arial"/>
          <w:sz w:val="16"/>
          <w:szCs w:val="16"/>
          <w:u w:val="single" w:color="auto"/>
          <w:color w:val="auto"/>
        </w:rPr>
        <w:t>Section 10.02(a)(ii)</w:t>
      </w:r>
      <w:r>
        <w:rPr>
          <w:rFonts w:ascii="Arial" w:cs="Arial" w:eastAsia="Arial" w:hAnsi="Arial"/>
          <w:sz w:val="16"/>
          <w:szCs w:val="16"/>
          <w:color w:val="auto"/>
        </w:rPr>
        <w:t xml:space="preserve"> that the obligations of the Foreign Borrowers hereunder shall be absolute and unconditional under any and all circumstances. Each Foreign Borrower agrees that such Foreign Borrower shall have no right of subrogation, indemnity, reimbursement or contribution against any other Loan Party for amounts paid under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until such time as the Foreign Obligations (other than contingent indemnification obligations not yet due) have been paid in full and the Commitments have expired or terminated.</w:t>
      </w:r>
    </w:p>
    <w:p>
      <w:pPr>
        <w:spacing w:after="0" w:line="149" w:lineRule="exact"/>
        <w:rPr>
          <w:sz w:val="20"/>
          <w:szCs w:val="20"/>
          <w:color w:val="auto"/>
        </w:rPr>
      </w:pPr>
    </w:p>
    <w:p>
      <w:pPr>
        <w:ind w:right="20" w:firstLine="757"/>
        <w:spacing w:after="0" w:line="271" w:lineRule="auto"/>
        <w:tabs>
          <w:tab w:leader="none" w:pos="1026" w:val="left"/>
        </w:tabs>
        <w:numPr>
          <w:ilvl w:val="0"/>
          <w:numId w:val="149"/>
        </w:numPr>
        <w:rPr>
          <w:rFonts w:ascii="Arial" w:cs="Arial" w:eastAsia="Arial" w:hAnsi="Arial"/>
          <w:sz w:val="17"/>
          <w:szCs w:val="17"/>
          <w:color w:val="auto"/>
        </w:rPr>
      </w:pPr>
      <w:r>
        <w:rPr>
          <w:rFonts w:ascii="Arial" w:cs="Arial" w:eastAsia="Arial" w:hAnsi="Arial"/>
          <w:sz w:val="17"/>
          <w:szCs w:val="17"/>
          <w:color w:val="auto"/>
        </w:rPr>
        <w:t>Without limiting the generality of the foregoing, it is agreed that, to the fullest extent permitted by law, the occurrence of any one or more of the following shall not alter or impair the liability of any Borrower hereunder, which shall remain absolute and unconditional as described above:</w:t>
      </w:r>
    </w:p>
    <w:p>
      <w:pPr>
        <w:spacing w:after="0" w:line="144" w:lineRule="exact"/>
        <w:rPr>
          <w:rFonts w:ascii="Arial" w:cs="Arial" w:eastAsia="Arial" w:hAnsi="Arial"/>
          <w:sz w:val="17"/>
          <w:szCs w:val="17"/>
          <w:color w:val="auto"/>
        </w:rPr>
      </w:pPr>
    </w:p>
    <w:p>
      <w:pPr>
        <w:ind w:left="760" w:right="20" w:firstLine="709"/>
        <w:spacing w:after="0" w:line="303" w:lineRule="auto"/>
        <w:tabs>
          <w:tab w:leader="none" w:pos="170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at any time or from time to time, without notice to any Borrower, the time for any performance of or compliance with any of the U.S. Borrower Guaranteed Obligations or Foreign Obligations, as applicable, shall be extended, or such performance or compliance shall be waived;</w:t>
      </w:r>
    </w:p>
    <w:p>
      <w:pPr>
        <w:spacing w:after="0" w:line="121" w:lineRule="exact"/>
        <w:rPr>
          <w:rFonts w:ascii="Arial" w:cs="Arial" w:eastAsia="Arial" w:hAnsi="Arial"/>
          <w:sz w:val="16"/>
          <w:szCs w:val="16"/>
          <w:color w:val="auto"/>
        </w:rPr>
      </w:pPr>
    </w:p>
    <w:p>
      <w:pPr>
        <w:jc w:val="both"/>
        <w:ind w:left="760" w:firstLine="709"/>
        <w:spacing w:after="0" w:line="257" w:lineRule="auto"/>
        <w:tabs>
          <w:tab w:leader="none" w:pos="1782" w:val="left"/>
        </w:tabs>
        <w:numPr>
          <w:ilvl w:val="1"/>
          <w:numId w:val="149"/>
        </w:numPr>
        <w:rPr>
          <w:rFonts w:ascii="Arial" w:cs="Arial" w:eastAsia="Arial" w:hAnsi="Arial"/>
          <w:sz w:val="17"/>
          <w:szCs w:val="17"/>
          <w:color w:val="auto"/>
        </w:rPr>
      </w:pPr>
      <w:r>
        <w:rPr>
          <w:rFonts w:ascii="Arial" w:cs="Arial" w:eastAsia="Arial" w:hAnsi="Arial"/>
          <w:sz w:val="17"/>
          <w:szCs w:val="17"/>
          <w:color w:val="auto"/>
        </w:rPr>
        <w:t>any of the acts mentioned in any of the provisions of any of the Loan Documents, any Secured Swap Agreement, or any Secured Treasury Management Agreement, or any other agreement or instrument referred to in the Loan Documents, such Secured Swap Agreements or such Secured Treasury Management Agreements shall be done or omitted;</w:t>
      </w:r>
    </w:p>
    <w:p>
      <w:pPr>
        <w:spacing w:after="0" w:line="157" w:lineRule="exact"/>
        <w:rPr>
          <w:rFonts w:ascii="Arial" w:cs="Arial" w:eastAsia="Arial" w:hAnsi="Arial"/>
          <w:sz w:val="17"/>
          <w:szCs w:val="17"/>
          <w:color w:val="auto"/>
        </w:rPr>
      </w:pPr>
    </w:p>
    <w:p>
      <w:pPr>
        <w:jc w:val="both"/>
        <w:ind w:left="760" w:firstLine="709"/>
        <w:spacing w:after="0" w:line="249" w:lineRule="auto"/>
        <w:tabs>
          <w:tab w:leader="none" w:pos="1782"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the maturity of any of the U.S. Borrower Guaranteed Obligations or Foreign Obligations, as applicable, shall be accelerated, or any of the U.S. Borrower Guaranteed Obligations or Foreign Obligations, as applicable, shall be modified, supplemented or amended in any respect, or any right under any of the Loan Documents, any Secured Swap Agreement or any Secured Treasury Management Agreement, or any other agreement or instrument referred to in the Loan Documents, such Secured Swap Agreements or such Secured Treasury Management Agreements shall be waived or any other guarantee of any of the U.S. Borrower Guaranteed Obligations or Foreign Obligations, as applicable, or any security therefor shall be released, impaired or exchanged in whole or in part or otherwise dealt with;</w:t>
      </w:r>
    </w:p>
    <w:p>
      <w:pPr>
        <w:spacing w:after="0" w:line="166" w:lineRule="exact"/>
        <w:rPr>
          <w:rFonts w:ascii="Arial" w:cs="Arial" w:eastAsia="Arial" w:hAnsi="Arial"/>
          <w:sz w:val="17"/>
          <w:szCs w:val="17"/>
          <w:color w:val="auto"/>
        </w:rPr>
      </w:pPr>
    </w:p>
    <w:p>
      <w:pPr>
        <w:ind w:left="760" w:firstLine="709"/>
        <w:spacing w:after="0" w:line="271" w:lineRule="auto"/>
        <w:tabs>
          <w:tab w:leader="none" w:pos="1766" w:val="left"/>
        </w:tabs>
        <w:numPr>
          <w:ilvl w:val="1"/>
          <w:numId w:val="149"/>
        </w:numPr>
        <w:rPr>
          <w:rFonts w:ascii="Arial" w:cs="Arial" w:eastAsia="Arial" w:hAnsi="Arial"/>
          <w:sz w:val="17"/>
          <w:szCs w:val="17"/>
          <w:color w:val="auto"/>
        </w:rPr>
      </w:pPr>
      <w:r>
        <w:rPr>
          <w:rFonts w:ascii="Arial" w:cs="Arial" w:eastAsia="Arial" w:hAnsi="Arial"/>
          <w:sz w:val="17"/>
          <w:szCs w:val="17"/>
          <w:color w:val="auto"/>
        </w:rPr>
        <w:t>any Lien granted to, or in favor of, the Administrative Agent or any Lender or Lenders as security for any of the U.S. Borrower Guaranteed Obligations or Foreign Obligations, as applicable, shall fail to attach or be perfected; or</w:t>
      </w:r>
    </w:p>
    <w:p>
      <w:pPr>
        <w:spacing w:after="0" w:line="144" w:lineRule="exact"/>
        <w:rPr>
          <w:rFonts w:ascii="Arial" w:cs="Arial" w:eastAsia="Arial" w:hAnsi="Arial"/>
          <w:sz w:val="17"/>
          <w:szCs w:val="17"/>
          <w:color w:val="auto"/>
        </w:rPr>
      </w:pPr>
    </w:p>
    <w:p>
      <w:pPr>
        <w:jc w:val="both"/>
        <w:ind w:left="760" w:firstLine="709"/>
        <w:spacing w:after="0" w:line="257" w:lineRule="auto"/>
        <w:tabs>
          <w:tab w:leader="none" w:pos="1752" w:val="left"/>
        </w:tabs>
        <w:numPr>
          <w:ilvl w:val="1"/>
          <w:numId w:val="149"/>
        </w:numPr>
        <w:rPr>
          <w:rFonts w:ascii="Arial" w:cs="Arial" w:eastAsia="Arial" w:hAnsi="Arial"/>
          <w:sz w:val="17"/>
          <w:szCs w:val="17"/>
          <w:color w:val="auto"/>
        </w:rPr>
      </w:pPr>
      <w:r>
        <w:rPr>
          <w:rFonts w:ascii="Arial" w:cs="Arial" w:eastAsia="Arial" w:hAnsi="Arial"/>
          <w:sz w:val="17"/>
          <w:szCs w:val="17"/>
          <w:color w:val="auto"/>
        </w:rPr>
        <w:t>any of the U.S. Borrower Guaranteed Obligations or Foreign Obligations, as applicable, shall be determined to be void or voidable (including, without limitation, for the benefit of any creditor of any U.S. Borrower or Foreign Borrower, as applicable) or shall be subordinated to the claims of any Person (including, without limitation, any creditor of any U.S. Borrower or Foreign Borrower, as applicable).</w:t>
      </w:r>
    </w:p>
    <w:p>
      <w:pPr>
        <w:spacing w:after="0" w:line="157" w:lineRule="exact"/>
        <w:rPr>
          <w:sz w:val="20"/>
          <w:szCs w:val="20"/>
          <w:color w:val="auto"/>
        </w:rPr>
      </w:pPr>
    </w:p>
    <w:p>
      <w:pPr>
        <w:jc w:val="both"/>
        <w:ind w:firstLine="763"/>
        <w:spacing w:after="0" w:line="251" w:lineRule="auto"/>
        <w:rPr>
          <w:sz w:val="20"/>
          <w:szCs w:val="20"/>
          <w:color w:val="auto"/>
        </w:rPr>
      </w:pPr>
      <w:r>
        <w:rPr>
          <w:rFonts w:ascii="Arial" w:cs="Arial" w:eastAsia="Arial" w:hAnsi="Arial"/>
          <w:sz w:val="17"/>
          <w:szCs w:val="17"/>
          <w:color w:val="auto"/>
        </w:rPr>
        <w:t>With respect to its obligations hereunder, each Borrower hereby expressly waives diligence, presentment, demand of payment, protest and all notices whatsoever, and any requirement that the Administrative Agent or any Lender exhaust any right, power or remedy or proceed against any Person under any of the Loan Documents, any Secured Swap Agreement or any Secured Treasury Management Agreement, or any other agreement or instrument referred to in the Loan Documents, such Secured Swap Agreements or such Secured Treasury Management Agreements, or against any other Person under any other guarantee of, or security for, any of the U.S. Borrower Guaranteed Obligations or Foreign Obligations, as applicable.</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10.03 Reinstatement.</w:t>
      </w:r>
    </w:p>
    <w:p>
      <w:pPr>
        <w:spacing w:after="0" w:line="197" w:lineRule="exact"/>
        <w:rPr>
          <w:sz w:val="20"/>
          <w:szCs w:val="20"/>
          <w:color w:val="auto"/>
        </w:rPr>
      </w:pPr>
    </w:p>
    <w:p>
      <w:pPr>
        <w:jc w:val="both"/>
        <w:ind w:firstLine="763"/>
        <w:spacing w:after="0" w:line="251" w:lineRule="auto"/>
        <w:rPr>
          <w:sz w:val="20"/>
          <w:szCs w:val="20"/>
          <w:color w:val="auto"/>
        </w:rPr>
      </w:pPr>
      <w:r>
        <w:rPr>
          <w:rFonts w:ascii="Arial" w:cs="Arial" w:eastAsia="Arial" w:hAnsi="Arial"/>
          <w:sz w:val="17"/>
          <w:szCs w:val="17"/>
          <w:color w:val="auto"/>
        </w:rPr>
        <w:t xml:space="preserve">The obligations of the U.S. Borrowers or the Foreign Borrowers, as applicable,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be automatically reinstated if and to the extent that for any reason any payment by or on behalf of any Person in respect of the U.S. Borrower Guaranteed Obligations or the Foreign Obligations, as applicable, is rescinded or must be otherwise restored by any holder of any of the U.S. Borrower Guaranteed Obligations or the Foreign Obligations, as applicable, whether as a result of any proceedings in bankruptcy or reorganization or otherwise, and each U.S. Borrower or each Foreign Borrower, as applicable, agrees that it will indemnify the Administrative Agent and each other holder of the U.S.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440"/>
          </w:cols>
          <w:pgMar w:left="240" w:top="312" w:right="219" w:bottom="1440" w:gutter="0" w:footer="0" w:header="0"/>
        </w:sectPr>
      </w:pPr>
    </w:p>
    <w:bookmarkStart w:id="114" w:name="page115"/>
    <w:bookmarkEnd w:id="114"/>
    <w:p>
      <w:pPr>
        <w:jc w:val="both"/>
        <w:spacing w:after="0" w:line="274" w:lineRule="auto"/>
        <w:rPr>
          <w:sz w:val="20"/>
          <w:szCs w:val="20"/>
          <w:color w:val="auto"/>
        </w:rPr>
      </w:pPr>
      <w:r>
        <w:rPr>
          <w:rFonts w:ascii="Arial" w:cs="Arial" w:eastAsia="Arial" w:hAnsi="Arial"/>
          <w:sz w:val="16"/>
          <w:szCs w:val="16"/>
          <w:color w:val="auto"/>
        </w:rPr>
        <w:t>Borrower Guaranteed Obligations or the Foreign Obligations, as applicable, on demand for all reasonable costs and expenses (including, without limitation, the fees, charges and disbursements of counsel) incurred by the Administrative Agent or such other holder of the U.S. Borrower Guaranteed Obligations or the Foreign Obligations, as applicable, in connection with such rescission or restoration, including any such costs and expenses incurred in defending against any claim alleging that such payment constituted a preference, fraudulent transfer or similar payment under any bankruptcy, insolvency or similar law.</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10.04 Certain Additional Waivers.</w:t>
      </w:r>
    </w:p>
    <w:p>
      <w:pPr>
        <w:spacing w:after="0" w:line="197" w:lineRule="exact"/>
        <w:rPr>
          <w:sz w:val="20"/>
          <w:szCs w:val="20"/>
          <w:color w:val="auto"/>
        </w:rPr>
      </w:pPr>
    </w:p>
    <w:p>
      <w:pPr>
        <w:jc w:val="both"/>
        <w:ind w:firstLine="763"/>
        <w:spacing w:after="0" w:line="274" w:lineRule="auto"/>
        <w:rPr>
          <w:sz w:val="20"/>
          <w:szCs w:val="20"/>
          <w:color w:val="auto"/>
        </w:rPr>
      </w:pPr>
      <w:r>
        <w:rPr>
          <w:rFonts w:ascii="Arial" w:cs="Arial" w:eastAsia="Arial" w:hAnsi="Arial"/>
          <w:sz w:val="16"/>
          <w:szCs w:val="16"/>
          <w:color w:val="auto"/>
        </w:rPr>
        <w:t xml:space="preserve">Each U.S. Borrower agrees that such U.S. Borrower shall have no right of recourse to security for the U.S. Borrower Guaranteed Obligations, except through the exercise of rights of subrogation pursuant to </w:t>
      </w:r>
      <w:r>
        <w:rPr>
          <w:rFonts w:ascii="Arial" w:cs="Arial" w:eastAsia="Arial" w:hAnsi="Arial"/>
          <w:sz w:val="16"/>
          <w:szCs w:val="16"/>
          <w:u w:val="single" w:color="auto"/>
          <w:color w:val="auto"/>
        </w:rPr>
        <w:t>Section 10.02(a)(i)</w:t>
      </w:r>
      <w:r>
        <w:rPr>
          <w:rFonts w:ascii="Arial" w:cs="Arial" w:eastAsia="Arial" w:hAnsi="Arial"/>
          <w:sz w:val="16"/>
          <w:szCs w:val="16"/>
          <w:color w:val="auto"/>
        </w:rPr>
        <w:t xml:space="preserve"> and through the exercise of rights of contribution pursuant to </w:t>
      </w:r>
      <w:r>
        <w:rPr>
          <w:rFonts w:ascii="Arial" w:cs="Arial" w:eastAsia="Arial" w:hAnsi="Arial"/>
          <w:sz w:val="16"/>
          <w:szCs w:val="16"/>
          <w:u w:val="single" w:color="auto"/>
          <w:color w:val="auto"/>
        </w:rPr>
        <w:t>Section 10.06(a)</w:t>
      </w:r>
      <w:r>
        <w:rPr>
          <w:rFonts w:ascii="Arial" w:cs="Arial" w:eastAsia="Arial" w:hAnsi="Arial"/>
          <w:sz w:val="16"/>
          <w:szCs w:val="16"/>
          <w:color w:val="auto"/>
        </w:rPr>
        <w:t xml:space="preserve">. Each Foreign Borrower agrees that such Foreign Borrower shall have no right of recourse to security for the Foreign Obligations, except through the exercise of rights of subrogation pursuant to </w:t>
      </w:r>
      <w:r>
        <w:rPr>
          <w:rFonts w:ascii="Arial" w:cs="Arial" w:eastAsia="Arial" w:hAnsi="Arial"/>
          <w:sz w:val="16"/>
          <w:szCs w:val="16"/>
          <w:u w:val="single" w:color="auto"/>
          <w:color w:val="auto"/>
        </w:rPr>
        <w:t>Section 10.02(a)(ii)</w:t>
      </w:r>
      <w:r>
        <w:rPr>
          <w:rFonts w:ascii="Arial" w:cs="Arial" w:eastAsia="Arial" w:hAnsi="Arial"/>
          <w:sz w:val="16"/>
          <w:szCs w:val="16"/>
          <w:color w:val="auto"/>
        </w:rPr>
        <w:t xml:space="preserve"> and through the exercise of rights of contribution pursuant to </w:t>
      </w:r>
      <w:r>
        <w:rPr>
          <w:rFonts w:ascii="Arial" w:cs="Arial" w:eastAsia="Arial" w:hAnsi="Arial"/>
          <w:sz w:val="16"/>
          <w:szCs w:val="16"/>
          <w:u w:val="single" w:color="auto"/>
          <w:color w:val="auto"/>
        </w:rPr>
        <w:t>Section 10.06(b)</w:t>
      </w:r>
      <w:r>
        <w:rPr>
          <w:rFonts w:ascii="Arial" w:cs="Arial" w:eastAsia="Arial" w:hAnsi="Arial"/>
          <w:sz w:val="16"/>
          <w:szCs w:val="16"/>
          <w:color w:val="auto"/>
        </w:rPr>
        <w:t>.</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10.05 Remedies.</w:t>
      </w:r>
    </w:p>
    <w:p>
      <w:pPr>
        <w:spacing w:after="0" w:line="197" w:lineRule="exact"/>
        <w:rPr>
          <w:sz w:val="20"/>
          <w:szCs w:val="20"/>
          <w:color w:val="auto"/>
        </w:rPr>
      </w:pPr>
    </w:p>
    <w:p>
      <w:pPr>
        <w:jc w:val="both"/>
        <w:ind w:firstLine="757"/>
        <w:spacing w:after="0" w:line="286" w:lineRule="auto"/>
        <w:tabs>
          <w:tab w:leader="none" w:pos="1006" w:val="left"/>
        </w:tabs>
        <w:numPr>
          <w:ilvl w:val="0"/>
          <w:numId w:val="150"/>
        </w:numPr>
        <w:rPr>
          <w:rFonts w:ascii="Arial" w:cs="Arial" w:eastAsia="Arial" w:hAnsi="Arial"/>
          <w:sz w:val="15"/>
          <w:szCs w:val="15"/>
          <w:color w:val="auto"/>
        </w:rPr>
      </w:pPr>
      <w:r>
        <w:rPr>
          <w:rFonts w:ascii="Arial" w:cs="Arial" w:eastAsia="Arial" w:hAnsi="Arial"/>
          <w:sz w:val="15"/>
          <w:szCs w:val="15"/>
          <w:color w:val="auto"/>
        </w:rPr>
        <w:t xml:space="preserve">The U.S. Borrowers agree that, to the fullest extent permitted by law, as between the U.S. Borrowers, on the one hand, and the Administrative Agent and the Secured Parties, on the other hand, the U.S. Borrower Guaranteed Obligations may be declared to be forthwith due and payable as provided in </w:t>
      </w:r>
      <w:r>
        <w:rPr>
          <w:rFonts w:ascii="Arial" w:cs="Arial" w:eastAsia="Arial" w:hAnsi="Arial"/>
          <w:sz w:val="15"/>
          <w:szCs w:val="15"/>
          <w:u w:val="single" w:color="auto"/>
          <w:color w:val="auto"/>
        </w:rPr>
        <w:t>Section 8.02</w:t>
      </w:r>
      <w:r>
        <w:rPr>
          <w:rFonts w:ascii="Arial" w:cs="Arial" w:eastAsia="Arial" w:hAnsi="Arial"/>
          <w:sz w:val="15"/>
          <w:szCs w:val="15"/>
          <w:color w:val="auto"/>
        </w:rPr>
        <w:t xml:space="preserve"> (and shall be deemed to have become automatically due and payable in the circumstances provided in said </w:t>
      </w:r>
      <w:r>
        <w:rPr>
          <w:rFonts w:ascii="Arial" w:cs="Arial" w:eastAsia="Arial" w:hAnsi="Arial"/>
          <w:sz w:val="15"/>
          <w:szCs w:val="15"/>
          <w:u w:val="single" w:color="auto"/>
          <w:color w:val="auto"/>
        </w:rPr>
        <w:t>Section 8.02</w:t>
      </w:r>
      <w:r>
        <w:rPr>
          <w:rFonts w:ascii="Arial" w:cs="Arial" w:eastAsia="Arial" w:hAnsi="Arial"/>
          <w:sz w:val="15"/>
          <w:szCs w:val="15"/>
          <w:color w:val="auto"/>
        </w:rPr>
        <w:t xml:space="preserve">) for purposes of </w:t>
      </w:r>
      <w:r>
        <w:rPr>
          <w:rFonts w:ascii="Arial" w:cs="Arial" w:eastAsia="Arial" w:hAnsi="Arial"/>
          <w:sz w:val="15"/>
          <w:szCs w:val="15"/>
          <w:u w:val="single" w:color="auto"/>
          <w:color w:val="auto"/>
        </w:rPr>
        <w:t>Section 10.01(a)(i)</w:t>
      </w:r>
      <w:r>
        <w:rPr>
          <w:rFonts w:ascii="Arial" w:cs="Arial" w:eastAsia="Arial" w:hAnsi="Arial"/>
          <w:sz w:val="15"/>
          <w:szCs w:val="15"/>
          <w:color w:val="auto"/>
        </w:rPr>
        <w:t xml:space="preserve"> notwithstanding any stay, injunction or other prohibition preventing such declaration (or preventing the U.S. Borrower Guaranteed Obligations from becoming automatically due and payable) as against any other Person and that, in the event of such declaration (or the U.S. Borrower Guaranteed Obligations being deemed to have become automatically due and payable), the U.S. Borrower Obligations (whether or not due and payable by any other Person) shall forthwith become due and payable by the U.S. Borrowers for purposes of </w:t>
      </w:r>
      <w:r>
        <w:rPr>
          <w:rFonts w:ascii="Arial" w:cs="Arial" w:eastAsia="Arial" w:hAnsi="Arial"/>
          <w:sz w:val="15"/>
          <w:szCs w:val="15"/>
          <w:u w:val="single" w:color="auto"/>
          <w:color w:val="auto"/>
        </w:rPr>
        <w:t>Section 10.01(a)(i)</w:t>
      </w:r>
      <w:r>
        <w:rPr>
          <w:rFonts w:ascii="Arial" w:cs="Arial" w:eastAsia="Arial" w:hAnsi="Arial"/>
          <w:sz w:val="15"/>
          <w:szCs w:val="15"/>
          <w:color w:val="auto"/>
        </w:rPr>
        <w:t>. The U.S. Borrowers acknowledge and agree that their obligations hereunder are secured in accordance with the terms of the Collateral Documents and that the Lenders may exercise their remedies thereunder in accordance with the terms thereof.</w:t>
      </w:r>
    </w:p>
    <w:p>
      <w:pPr>
        <w:spacing w:after="0" w:line="137" w:lineRule="exact"/>
        <w:rPr>
          <w:rFonts w:ascii="Arial" w:cs="Arial" w:eastAsia="Arial" w:hAnsi="Arial"/>
          <w:sz w:val="15"/>
          <w:szCs w:val="15"/>
          <w:color w:val="auto"/>
        </w:rPr>
      </w:pPr>
    </w:p>
    <w:p>
      <w:pPr>
        <w:jc w:val="both"/>
        <w:ind w:right="20" w:firstLine="757"/>
        <w:spacing w:after="0" w:line="266" w:lineRule="auto"/>
        <w:tabs>
          <w:tab w:leader="none" w:pos="101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The Foreign Borrowers agree that, to the fullest extent permitted by law, as between the Foreign Borrowers, on the one hand, and the Administrative Agent and the Secured Parties, on the other hand, the Foreign Obligations may be declared to be forthwith due and payable as provided in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(and shall be deemed to have become automatically due and payable in the circumstances provided in said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for purposes of </w:t>
      </w:r>
      <w:r>
        <w:rPr>
          <w:rFonts w:ascii="Arial" w:cs="Arial" w:eastAsia="Arial" w:hAnsi="Arial"/>
          <w:sz w:val="16"/>
          <w:szCs w:val="16"/>
          <w:u w:val="single" w:color="auto"/>
          <w:color w:val="auto"/>
        </w:rPr>
        <w:t>Section 10.01(a)(ii)</w:t>
      </w:r>
      <w:r>
        <w:rPr>
          <w:rFonts w:ascii="Arial" w:cs="Arial" w:eastAsia="Arial" w:hAnsi="Arial"/>
          <w:sz w:val="16"/>
          <w:szCs w:val="16"/>
          <w:color w:val="auto"/>
        </w:rPr>
        <w:t xml:space="preserve"> notwithstanding any stay, injunction or other prohibition preventing such declaration (or preventing the Foreign Obligations from becoming automatically due and payable) as against any other Person and that, in the event of such declaration (or the Foreign Obligations being deemed to have become automatically due and payable), the Foreign Borrower Obligations (whether or not due and payable by any other Person) shall forthwith become due and payable by the Foreign Borrowers for purposes of </w:t>
      </w:r>
      <w:r>
        <w:rPr>
          <w:rFonts w:ascii="Arial" w:cs="Arial" w:eastAsia="Arial" w:hAnsi="Arial"/>
          <w:sz w:val="16"/>
          <w:szCs w:val="16"/>
          <w:u w:val="single" w:color="auto"/>
          <w:color w:val="auto"/>
        </w:rPr>
        <w:t>Section 10.01(a)(ii)</w:t>
      </w:r>
      <w:r>
        <w:rPr>
          <w:rFonts w:ascii="Arial" w:cs="Arial" w:eastAsia="Arial" w:hAnsi="Arial"/>
          <w:sz w:val="16"/>
          <w:szCs w:val="16"/>
          <w:color w:val="auto"/>
        </w:rPr>
        <w:t>. The Foreign Borrowers acknowledge and agree that their obligations hereunder are secured in accordance with the terms of the Collateral Documents and that the Lenders may exercise their remedies thereunder in accordance with the terms thereof.</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10.06 Rights of Contribution.</w:t>
      </w:r>
    </w:p>
    <w:p>
      <w:pPr>
        <w:spacing w:after="0" w:line="197" w:lineRule="exact"/>
        <w:rPr>
          <w:sz w:val="20"/>
          <w:szCs w:val="20"/>
          <w:color w:val="auto"/>
        </w:rPr>
      </w:pPr>
    </w:p>
    <w:p>
      <w:pPr>
        <w:jc w:val="both"/>
        <w:ind w:firstLine="757"/>
        <w:spacing w:after="0" w:line="274" w:lineRule="auto"/>
        <w:tabs>
          <w:tab w:leader="none" w:pos="1012"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U.S. Borrowers agree among themselves that, in connection with payments made hereunder, each U.S. Borrower shall have contribution rights against the other U.S. Borrowers as permitted under applicable law. Such contribution rights shall be subordinate and subject in right of payment to the obligations of the U.S. Borrowers under the Loan Documents and no U.S. Borrower shall exercise such rights of contribution until all U.S. Borrower Guaranteed Obligations (other than contingent indemnification obligations not yet due) have been paid in full and the Commitments have terminated.</w:t>
      </w:r>
    </w:p>
    <w:p>
      <w:pPr>
        <w:spacing w:after="0" w:line="144" w:lineRule="exact"/>
        <w:rPr>
          <w:rFonts w:ascii="Arial" w:cs="Arial" w:eastAsia="Arial" w:hAnsi="Arial"/>
          <w:sz w:val="16"/>
          <w:szCs w:val="16"/>
          <w:color w:val="auto"/>
        </w:rPr>
      </w:pPr>
    </w:p>
    <w:p>
      <w:pPr>
        <w:jc w:val="both"/>
        <w:ind w:firstLine="757"/>
        <w:spacing w:after="0" w:line="308" w:lineRule="auto"/>
        <w:tabs>
          <w:tab w:leader="none" w:pos="1021"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 Foreign Borrowers agree among themselves that, in connection with payments made hereunder, each Foreign Borrower shall have contribution rights against the other Foreign Borrowers as permitted under applicable law. Such contribution rights shall be subordinate and subject in right of payment to the obligations of the Foreign Borrowers under the Loan Documents and no Foreign Borrower shall exercise such rights of contribution until all Foreign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440"/>
          </w:cols>
          <w:pgMar w:left="240" w:top="312" w:right="21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color w:val="auto"/>
        </w:rPr>
        <w:t>Obligations (other than contingent indemnification obligations not yet due) have been paid in full and the Commitments have terminated.</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10.07 Guarantee of Payment; Continuing Guarantee.</w:t>
      </w:r>
    </w:p>
    <w:p>
      <w:pPr>
        <w:spacing w:after="0" w:line="197" w:lineRule="exact"/>
        <w:rPr>
          <w:sz w:val="20"/>
          <w:szCs w:val="20"/>
          <w:color w:val="auto"/>
        </w:rPr>
      </w:pPr>
    </w:p>
    <w:p>
      <w:pPr>
        <w:jc w:val="both"/>
        <w:ind w:firstLine="763"/>
        <w:spacing w:after="0" w:line="257" w:lineRule="auto"/>
        <w:rPr>
          <w:sz w:val="20"/>
          <w:szCs w:val="20"/>
          <w:color w:val="auto"/>
        </w:rPr>
      </w:pPr>
      <w:r>
        <w:rPr>
          <w:rFonts w:ascii="Arial" w:cs="Arial" w:eastAsia="Arial" w:hAnsi="Arial"/>
          <w:sz w:val="17"/>
          <w:szCs w:val="17"/>
          <w:color w:val="auto"/>
        </w:rPr>
        <w:t xml:space="preserve">The guarantee in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by the U.S. Borrowers is a guaranty of payment and not of collection, is a continuing guarantee, and shall apply to all U.S. Borrower Guaranteed Obligations whenever arising. The guarantee in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by the Foreign Borrowers is a guaranty of payment and not of collection, is a continuing guarantee, and shall apply to all Foreign Obligations whenever arising.</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10.08 Keepwell.</w:t>
      </w:r>
    </w:p>
    <w:p>
      <w:pPr>
        <w:spacing w:after="0" w:line="197" w:lineRule="exact"/>
        <w:rPr>
          <w:sz w:val="20"/>
          <w:szCs w:val="20"/>
          <w:color w:val="auto"/>
        </w:rPr>
      </w:pPr>
    </w:p>
    <w:p>
      <w:pPr>
        <w:jc w:val="both"/>
        <w:ind w:firstLine="763"/>
        <w:spacing w:after="0" w:line="264" w:lineRule="auto"/>
        <w:rPr>
          <w:sz w:val="20"/>
          <w:szCs w:val="20"/>
          <w:color w:val="auto"/>
        </w:rPr>
      </w:pPr>
      <w:r>
        <w:rPr>
          <w:rFonts w:ascii="Arial" w:cs="Arial" w:eastAsia="Arial" w:hAnsi="Arial"/>
          <w:sz w:val="16"/>
          <w:szCs w:val="16"/>
          <w:color w:val="auto"/>
        </w:rPr>
        <w:t>Each U.S. Borrower that is a Qualified ECP Guarantor at the time any Guaranty by any Loan Party that is not then an “eligible contract participant” under the Commodity Exchange Act (a “</w:t>
      </w:r>
      <w:r>
        <w:rPr>
          <w:rFonts w:ascii="Arial" w:cs="Arial" w:eastAsia="Arial" w:hAnsi="Arial"/>
          <w:sz w:val="16"/>
          <w:szCs w:val="16"/>
          <w:u w:val="single" w:color="auto"/>
          <w:color w:val="auto"/>
        </w:rPr>
        <w:t>Specified Loan Party</w:t>
      </w:r>
      <w:r>
        <w:rPr>
          <w:rFonts w:ascii="Arial" w:cs="Arial" w:eastAsia="Arial" w:hAnsi="Arial"/>
          <w:sz w:val="16"/>
          <w:szCs w:val="16"/>
          <w:color w:val="auto"/>
        </w:rPr>
        <w:t xml:space="preserve">”) or the grant of a security interest under the Loan Documents by any such Specified Loan Party, in either case,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voidable under applicable Debtor Relief Laws, and not for any greater amount). The obligations and undertakings of each U.S. Borrower under this Section shall remain in full force and effect until such time as the Obligations have been paid in full and the Commitments have expired or terminated. Each U.S. Borrower intends this Section to constitute, and this Section shall be deemed to constitute, a guarantee of the obligations of, and a “keepwell, support, or other agreement” for the benefit of, each Specified Loan Party for all purposes of the Commodity Exchange Act.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MISCELLANEOUS</w:t>
      </w:r>
    </w:p>
    <w:p>
      <w:pPr>
        <w:spacing w:after="0" w:line="171" w:lineRule="exact"/>
        <w:rPr>
          <w:sz w:val="20"/>
          <w:szCs w:val="20"/>
          <w:color w:val="auto"/>
        </w:rPr>
      </w:pPr>
    </w:p>
    <w:p>
      <w:pPr>
        <w:jc w:val="both"/>
        <w:ind w:firstLine="763"/>
        <w:spacing w:after="0" w:line="255" w:lineRule="auto"/>
        <w:rPr>
          <w:sz w:val="20"/>
          <w:szCs w:val="20"/>
          <w:color w:val="auto"/>
        </w:rPr>
      </w:pPr>
      <w:r>
        <w:rPr>
          <w:rFonts w:ascii="Arial" w:cs="Arial" w:eastAsia="Arial" w:hAnsi="Arial"/>
          <w:sz w:val="17"/>
          <w:szCs w:val="17"/>
          <w:b w:val="1"/>
          <w:bCs w:val="1"/>
          <w:color w:val="auto"/>
        </w:rPr>
        <w:t>11.01 Amendments, Etc</w:t>
      </w:r>
      <w:r>
        <w:rPr>
          <w:rFonts w:ascii="Arial" w:cs="Arial" w:eastAsia="Arial" w:hAnsi="Arial"/>
          <w:sz w:val="17"/>
          <w:szCs w:val="17"/>
          <w:color w:val="auto"/>
        </w:rPr>
        <w:t>. No amendment or waiver of any provision of this Agreement or any other Loan Document, and no consent to any departure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Borrower or any other Loan Party therefrom, shall be effective unless in writing signed by the Required Lenders and the applicable Borrower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amendment, waiver or consent shall:</w:t>
      </w:r>
    </w:p>
    <w:p>
      <w:pPr>
        <w:spacing w:after="0" w:line="160" w:lineRule="exact"/>
        <w:rPr>
          <w:sz w:val="20"/>
          <w:szCs w:val="20"/>
          <w:color w:val="auto"/>
        </w:rPr>
      </w:pPr>
    </w:p>
    <w:p>
      <w:pPr>
        <w:ind w:left="760" w:right="20" w:firstLine="709"/>
        <w:spacing w:after="0" w:line="271" w:lineRule="auto"/>
        <w:tabs>
          <w:tab w:leader="none" w:pos="1719"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extend or increase the Commitment of any Lender (or reinstate any Commitment terminated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without the written consent of such Lender;</w:t>
      </w:r>
    </w:p>
    <w:p>
      <w:pPr>
        <w:spacing w:after="0" w:line="144" w:lineRule="exact"/>
        <w:rPr>
          <w:rFonts w:ascii="Arial" w:cs="Arial" w:eastAsia="Arial" w:hAnsi="Arial"/>
          <w:sz w:val="17"/>
          <w:szCs w:val="17"/>
          <w:color w:val="auto"/>
        </w:rPr>
      </w:pPr>
    </w:p>
    <w:p>
      <w:pPr>
        <w:jc w:val="both"/>
        <w:ind w:left="760" w:firstLine="709"/>
        <w:spacing w:after="0" w:line="253" w:lineRule="auto"/>
        <w:tabs>
          <w:tab w:leader="none" w:pos="174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postpone any date fixed by this Agreement or any other Loan Document for (i) any payment (excluding mandatory prepayments) of principal, interest, fees or other amounts due to the Lenders (or any of them) hereunder or under such other Loan Document without the written consent of each Lender entitled to such payment or (ii) any scheduled reduction of any Facility hereunder or under any other Loan Document without the written consent of each Appropriate Lender;</w:t>
      </w:r>
    </w:p>
    <w:p>
      <w:pPr>
        <w:spacing w:after="0" w:line="160" w:lineRule="exact"/>
        <w:rPr>
          <w:rFonts w:ascii="Arial" w:cs="Arial" w:eastAsia="Arial" w:hAnsi="Arial"/>
          <w:sz w:val="17"/>
          <w:szCs w:val="17"/>
          <w:color w:val="auto"/>
        </w:rPr>
      </w:pPr>
    </w:p>
    <w:p>
      <w:pPr>
        <w:jc w:val="both"/>
        <w:ind w:left="760" w:firstLine="709"/>
        <w:spacing w:after="0" w:line="249" w:lineRule="auto"/>
        <w:tabs>
          <w:tab w:leader="none" w:pos="1706"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reduce the principal of, or the rate of interest specified herein on, any Loan or L/C Borrowing, or (subject to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of the third proviso to this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any fees or other amounts payable hereunder or under any other Loan Document without the written consent of each Lender directly affected thereby;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only the consent of the Required Lenders shall be necessary (i) to amend the definition of “Default Rate” or to waive any obligation of any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440"/>
          </w:cols>
          <w:pgMar w:left="240" w:top="312" w:right="219" w:bottom="1440" w:gutter="0" w:footer="0" w:header="0"/>
        </w:sectPr>
      </w:pPr>
    </w:p>
    <w:bookmarkStart w:id="116" w:name="page117"/>
    <w:bookmarkEnd w:id="116"/>
    <w:p>
      <w:pPr>
        <w:jc w:val="both"/>
        <w:ind w:left="760" w:firstLine="709"/>
        <w:spacing w:after="0" w:line="249" w:lineRule="auto"/>
        <w:tabs>
          <w:tab w:leader="none" w:pos="1723" w:val="left"/>
        </w:tabs>
        <w:numPr>
          <w:ilvl w:val="1"/>
          <w:numId w:val="153"/>
        </w:numPr>
        <w:rPr>
          <w:rFonts w:ascii="Arial" w:cs="Arial" w:eastAsia="Arial" w:hAnsi="Arial"/>
          <w:sz w:val="17"/>
          <w:szCs w:val="17"/>
          <w:color w:val="auto"/>
        </w:rPr>
      </w:pPr>
      <w:r>
        <w:rPr>
          <w:rFonts w:ascii="Arial" w:cs="Arial" w:eastAsia="Arial" w:hAnsi="Arial"/>
          <w:sz w:val="17"/>
          <w:szCs w:val="17"/>
          <w:color w:val="auto"/>
        </w:rPr>
        <w:t xml:space="preserve">change (i) </w:t>
      </w:r>
      <w:r>
        <w:rPr>
          <w:rFonts w:ascii="Arial" w:cs="Arial" w:eastAsia="Arial" w:hAnsi="Arial"/>
          <w:sz w:val="17"/>
          <w:szCs w:val="17"/>
          <w:u w:val="single" w:color="auto"/>
          <w:color w:val="auto"/>
        </w:rPr>
        <w:t>Section 8.03</w:t>
      </w:r>
      <w:r>
        <w:rPr>
          <w:rFonts w:ascii="Arial" w:cs="Arial" w:eastAsia="Arial" w:hAnsi="Arial"/>
          <w:sz w:val="17"/>
          <w:szCs w:val="17"/>
          <w:color w:val="auto"/>
        </w:rPr>
        <w:t xml:space="preserve"> in a manner that would alter the pro rata sharing of payments required thereby without the written consent of each Lender or (ii) the order of application of any reduction in the Commitments or any prepayment of Loans among the Facilities from the application thereof set forth in the applicable provisions of </w:t>
      </w:r>
      <w:r>
        <w:rPr>
          <w:rFonts w:ascii="Arial" w:cs="Arial" w:eastAsia="Arial" w:hAnsi="Arial"/>
          <w:sz w:val="17"/>
          <w:szCs w:val="17"/>
          <w:u w:val="single" w:color="auto"/>
          <w:color w:val="auto"/>
        </w:rPr>
        <w:t>Section 2.05(b)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2.06(b)</w:t>
      </w:r>
      <w:r>
        <w:rPr>
          <w:rFonts w:ascii="Arial" w:cs="Arial" w:eastAsia="Arial" w:hAnsi="Arial"/>
          <w:sz w:val="17"/>
          <w:szCs w:val="17"/>
          <w:color w:val="auto"/>
        </w:rPr>
        <w:t>, respectively, in any manner that materially and adversely affects the Lenders under a Facility without the written consent of (i) if such Facility is the Company Term Facility, the Required Company Term Lenders, (ii) if such Facility is the Gentherm Germany Term Facility, the Required Gentherm Germany Term Lenders, (iii) if such Facility is an Add-On Company Term Facility, the Required Add-On Company Term Lenders with respect to such Add-On Company Term Facility and (iv) if such Facility is the Revolving Credit Facility, the Required Revolving Lenders;</w:t>
      </w:r>
    </w:p>
    <w:p>
      <w:pPr>
        <w:spacing w:after="0" w:line="162" w:lineRule="exact"/>
        <w:rPr>
          <w:rFonts w:ascii="Arial" w:cs="Arial" w:eastAsia="Arial" w:hAnsi="Arial"/>
          <w:sz w:val="17"/>
          <w:szCs w:val="17"/>
          <w:color w:val="auto"/>
        </w:rPr>
      </w:pPr>
    </w:p>
    <w:p>
      <w:pPr>
        <w:ind w:left="760" w:firstLine="709"/>
        <w:spacing w:after="0" w:line="271" w:lineRule="auto"/>
        <w:tabs>
          <w:tab w:leader="none" w:pos="1719" w:val="left"/>
        </w:tabs>
        <w:numPr>
          <w:ilvl w:val="1"/>
          <w:numId w:val="153"/>
        </w:numPr>
        <w:rPr>
          <w:rFonts w:ascii="Arial" w:cs="Arial" w:eastAsia="Arial" w:hAnsi="Arial"/>
          <w:sz w:val="17"/>
          <w:szCs w:val="17"/>
          <w:color w:val="auto"/>
        </w:rPr>
      </w:pPr>
      <w:r>
        <w:rPr>
          <w:rFonts w:ascii="Arial" w:cs="Arial" w:eastAsia="Arial" w:hAnsi="Arial"/>
          <w:sz w:val="17"/>
          <w:szCs w:val="17"/>
          <w:color w:val="auto"/>
        </w:rPr>
        <w:t xml:space="preserve">amend the definition of “Alternative Currency” or </w:t>
      </w:r>
      <w:r>
        <w:rPr>
          <w:rFonts w:ascii="Arial" w:cs="Arial" w:eastAsia="Arial" w:hAnsi="Arial"/>
          <w:sz w:val="17"/>
          <w:szCs w:val="17"/>
          <w:u w:val="single" w:color="auto"/>
          <w:color w:val="auto"/>
        </w:rPr>
        <w:t>Section 1.09</w:t>
      </w:r>
      <w:r>
        <w:rPr>
          <w:rFonts w:ascii="Arial" w:cs="Arial" w:eastAsia="Arial" w:hAnsi="Arial"/>
          <w:sz w:val="17"/>
          <w:szCs w:val="17"/>
          <w:color w:val="auto"/>
        </w:rPr>
        <w:t xml:space="preserve"> or add any new Borrower that is a Foreign Subsidiary without the written consent of each Lender;</w:t>
      </w:r>
    </w:p>
    <w:p>
      <w:pPr>
        <w:spacing w:after="0" w:line="144" w:lineRule="exact"/>
        <w:rPr>
          <w:rFonts w:ascii="Arial" w:cs="Arial" w:eastAsia="Arial" w:hAnsi="Arial"/>
          <w:sz w:val="17"/>
          <w:szCs w:val="17"/>
          <w:color w:val="auto"/>
        </w:rPr>
      </w:pPr>
    </w:p>
    <w:p>
      <w:pPr>
        <w:jc w:val="both"/>
        <w:ind w:left="760" w:firstLine="709"/>
        <w:spacing w:after="0" w:line="251" w:lineRule="auto"/>
        <w:tabs>
          <w:tab w:leader="none" w:pos="1688" w:val="left"/>
        </w:tabs>
        <w:numPr>
          <w:ilvl w:val="1"/>
          <w:numId w:val="153"/>
        </w:numPr>
        <w:rPr>
          <w:rFonts w:ascii="Arial" w:cs="Arial" w:eastAsia="Arial" w:hAnsi="Arial"/>
          <w:sz w:val="17"/>
          <w:szCs w:val="17"/>
          <w:color w:val="auto"/>
        </w:rPr>
      </w:pPr>
      <w:r>
        <w:rPr>
          <w:rFonts w:ascii="Arial" w:cs="Arial" w:eastAsia="Arial" w:hAnsi="Arial"/>
          <w:sz w:val="17"/>
          <w:szCs w:val="17"/>
          <w:color w:val="auto"/>
        </w:rPr>
        <w:t xml:space="preserve">change (i) any provision of this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or the definition of “Required Lenders” or any other provision hereof specifying the number or percentage of Lenders required to amend, waive or otherwise modify any rights hereunder or make any determination or grant any consent hereunder (other than the definitions specified in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11.01(f)</w:t>
      </w:r>
      <w:r>
        <w:rPr>
          <w:rFonts w:ascii="Arial" w:cs="Arial" w:eastAsia="Arial" w:hAnsi="Arial"/>
          <w:sz w:val="17"/>
          <w:szCs w:val="17"/>
          <w:color w:val="auto"/>
        </w:rPr>
        <w:t>), without the written consent of each Lender or (ii) the definition of “Required Revolving Lenders,” “Required Company Term Lenders,”, “Required Gentherm Germany Term Lenders” or “Required Add-On Company Term Lenders” without the written consent of each Lender under the applicable Facility;</w:t>
      </w:r>
    </w:p>
    <w:p>
      <w:pPr>
        <w:spacing w:after="0" w:line="161" w:lineRule="exact"/>
        <w:rPr>
          <w:rFonts w:ascii="Arial" w:cs="Arial" w:eastAsia="Arial" w:hAnsi="Arial"/>
          <w:sz w:val="17"/>
          <w:szCs w:val="17"/>
          <w:color w:val="auto"/>
        </w:rPr>
      </w:pPr>
    </w:p>
    <w:p>
      <w:pPr>
        <w:ind w:left="1720" w:hanging="251"/>
        <w:spacing w:after="0"/>
        <w:tabs>
          <w:tab w:leader="none" w:pos="172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release all or substantially all of the Collateral without the written consent of each Lender;</w:t>
      </w:r>
    </w:p>
    <w:p>
      <w:pPr>
        <w:spacing w:after="0" w:line="191" w:lineRule="exact"/>
        <w:rPr>
          <w:rFonts w:ascii="Arial" w:cs="Arial" w:eastAsia="Arial" w:hAnsi="Arial"/>
          <w:sz w:val="17"/>
          <w:szCs w:val="17"/>
          <w:color w:val="auto"/>
        </w:rPr>
      </w:pPr>
    </w:p>
    <w:p>
      <w:pPr>
        <w:jc w:val="both"/>
        <w:ind w:left="760" w:firstLine="709"/>
        <w:spacing w:after="0" w:line="257" w:lineRule="auto"/>
        <w:tabs>
          <w:tab w:leader="none" w:pos="1728" w:val="left"/>
        </w:tabs>
        <w:numPr>
          <w:ilvl w:val="1"/>
          <w:numId w:val="153"/>
        </w:numPr>
        <w:rPr>
          <w:rFonts w:ascii="Arial" w:cs="Arial" w:eastAsia="Arial" w:hAnsi="Arial"/>
          <w:sz w:val="17"/>
          <w:szCs w:val="17"/>
          <w:color w:val="auto"/>
        </w:rPr>
      </w:pPr>
      <w:r>
        <w:rPr>
          <w:rFonts w:ascii="Arial" w:cs="Arial" w:eastAsia="Arial" w:hAnsi="Arial"/>
          <w:sz w:val="17"/>
          <w:szCs w:val="17"/>
          <w:color w:val="auto"/>
        </w:rPr>
        <w:t xml:space="preserve">release any Borrower or all or substantially all of the Guarantors or the value of the Guaranty without the written consent of each Lender, except to the extent the release of any Guarantor is permitted pursuant to </w:t>
      </w:r>
      <w:r>
        <w:rPr>
          <w:rFonts w:ascii="Arial" w:cs="Arial" w:eastAsia="Arial" w:hAnsi="Arial"/>
          <w:sz w:val="17"/>
          <w:szCs w:val="17"/>
          <w:u w:val="single" w:color="auto"/>
          <w:color w:val="auto"/>
        </w:rPr>
        <w:t>Section 9.10</w:t>
      </w:r>
      <w:r>
        <w:rPr>
          <w:rFonts w:ascii="Arial" w:cs="Arial" w:eastAsia="Arial" w:hAnsi="Arial"/>
          <w:sz w:val="17"/>
          <w:szCs w:val="17"/>
          <w:color w:val="auto"/>
        </w:rPr>
        <w:t xml:space="preserve"> (in which case such release may be made by the Administrative Agent acting alone); or</w:t>
      </w:r>
    </w:p>
    <w:p>
      <w:pPr>
        <w:spacing w:after="0" w:line="157" w:lineRule="exact"/>
        <w:rPr>
          <w:rFonts w:ascii="Arial" w:cs="Arial" w:eastAsia="Arial" w:hAnsi="Arial"/>
          <w:sz w:val="17"/>
          <w:szCs w:val="17"/>
          <w:color w:val="auto"/>
        </w:rPr>
      </w:pPr>
    </w:p>
    <w:p>
      <w:pPr>
        <w:jc w:val="both"/>
        <w:ind w:left="760" w:firstLine="709"/>
        <w:spacing w:after="0" w:line="266" w:lineRule="auto"/>
        <w:tabs>
          <w:tab w:leader="none" w:pos="1691" w:val="left"/>
        </w:tabs>
        <w:numPr>
          <w:ilvl w:val="1"/>
          <w:numId w:val="153"/>
        </w:numPr>
        <w:rPr>
          <w:rFonts w:ascii="Arial" w:cs="Arial" w:eastAsia="Arial" w:hAnsi="Arial"/>
          <w:sz w:val="16"/>
          <w:szCs w:val="16"/>
          <w:color w:val="auto"/>
        </w:rPr>
      </w:pPr>
      <w:r>
        <w:rPr>
          <w:rFonts w:ascii="Arial" w:cs="Arial" w:eastAsia="Arial" w:hAnsi="Arial"/>
          <w:sz w:val="16"/>
          <w:szCs w:val="16"/>
          <w:color w:val="auto"/>
        </w:rPr>
        <w:t>impose any greater restriction on the ability of any Lender under a Facility to assign any of its rights or obligations hereunder without the written consent of (i) if such Facility is the Company Term Facility, the Required Company Term Lenders, (ii) if such Facility is the Gentherm Germany Term Facility, the Required Gentherm Germany Term Lenders, (iii) if such Facility is the Revolving Credit Facility, the Required Revolving Lenders and</w:t>
      </w:r>
    </w:p>
    <w:p>
      <w:pPr>
        <w:ind w:left="760" w:right="20" w:hanging="3"/>
        <w:spacing w:after="0" w:line="254" w:lineRule="auto"/>
        <w:tabs>
          <w:tab w:leader="none" w:pos="1064" w:val="left"/>
        </w:tabs>
        <w:numPr>
          <w:ilvl w:val="0"/>
          <w:numId w:val="154"/>
        </w:numPr>
        <w:rPr>
          <w:rFonts w:ascii="Arial" w:cs="Arial" w:eastAsia="Arial" w:hAnsi="Arial"/>
          <w:sz w:val="17"/>
          <w:szCs w:val="17"/>
          <w:color w:val="auto"/>
        </w:rPr>
      </w:pPr>
      <w:r>
        <w:rPr>
          <w:rFonts w:ascii="Arial" w:cs="Arial" w:eastAsia="Arial" w:hAnsi="Arial"/>
          <w:sz w:val="17"/>
          <w:szCs w:val="17"/>
          <w:color w:val="auto"/>
        </w:rPr>
        <w:t>if such Facility is an Add-On Company Term Facility, the Required Add-On Company Term Lenders with respect to such Add-On Company Term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-1779905</wp:posOffset>
            </wp:positionV>
            <wp:extent cx="349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925" cy="7620"/>
                    </a:xfrm>
                    <a:prstGeom prst="rect">
                      <a:avLst/>
                    </a:prstGeom>
                    <a:noFill/>
                  </pic:spPr>
                </pic:pic>
              </a:graphicData>
            </a:graphic>
          </wp:anchor>
        </w:drawing>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u w:val="single" w:color="auto"/>
          <w:color w:val="auto"/>
        </w:rPr>
        <w:t>provided further</w:t>
      </w:r>
      <w:r>
        <w:rPr>
          <w:rFonts w:ascii="Arial" w:cs="Arial" w:eastAsia="Arial" w:hAnsi="Arial"/>
          <w:sz w:val="16"/>
          <w:szCs w:val="16"/>
          <w:color w:val="auto"/>
        </w:rPr>
        <w:t>, that (i) no amendment, waiver or consent shall, unless in writing and signed by the L/C Issuer in addition to the Lenders required above, affect the rights or duties of the L/C Issuer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the Fee Letter may be amended, or rights or privileges thereunder waived, in a writing executed only by the parties thereto; (v)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 (vi)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and (vii) the Required Lenders shall determine whether or not to allow a Loan Party to use cash collateral in the context of a bankruptcy or insolvency proceeding and such determination shall be binding on all of the Lenders.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440"/>
          </w:cols>
          <w:pgMar w:left="240" w:top="312" w:right="219" w:bottom="1440" w:gutter="0" w:footer="0" w:header="0"/>
        </w:sectPr>
      </w:pPr>
    </w:p>
    <w:bookmarkStart w:id="117" w:name="page118"/>
    <w:bookmarkEnd w:id="117"/>
    <w:p>
      <w:pPr>
        <w:jc w:val="both"/>
        <w:ind w:right="20" w:firstLine="763"/>
        <w:spacing w:after="0" w:line="257" w:lineRule="auto"/>
        <w:rPr>
          <w:sz w:val="20"/>
          <w:szCs w:val="20"/>
          <w:color w:val="auto"/>
        </w:rPr>
      </w:pPr>
      <w:r>
        <w:rPr>
          <w:rFonts w:ascii="Arial" w:cs="Arial" w:eastAsia="Arial" w:hAnsi="Arial"/>
          <w:sz w:val="17"/>
          <w:szCs w:val="17"/>
          <w:color w:val="auto"/>
        </w:rPr>
        <w:t xml:space="preserve">If any Lender is a Non-Consenting Lender, the Company may replace such Non-Consenting Lender in accordance with </w:t>
      </w:r>
      <w:r>
        <w:rPr>
          <w:rFonts w:ascii="Arial" w:cs="Arial" w:eastAsia="Arial" w:hAnsi="Arial"/>
          <w:sz w:val="17"/>
          <w:szCs w:val="17"/>
          <w:u w:val="single" w:color="auto"/>
          <w:color w:val="auto"/>
        </w:rPr>
        <w:t>Section 11.13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amendment, waiver, consent or release can be effected as a result of the assignment contemplated by such Section (together with all other such assignments required by the Company to be made pursuant to this paragraph).</w:t>
      </w:r>
    </w:p>
    <w:p>
      <w:pPr>
        <w:spacing w:after="0" w:line="157" w:lineRule="exact"/>
        <w:rPr>
          <w:sz w:val="20"/>
          <w:szCs w:val="20"/>
          <w:color w:val="auto"/>
        </w:rPr>
      </w:pPr>
    </w:p>
    <w:p>
      <w:pPr>
        <w:jc w:val="both"/>
        <w:ind w:firstLine="763"/>
        <w:spacing w:after="0" w:line="263" w:lineRule="auto"/>
        <w:rPr>
          <w:sz w:val="20"/>
          <w:szCs w:val="20"/>
          <w:color w:val="auto"/>
        </w:rPr>
      </w:pPr>
      <w:r>
        <w:rPr>
          <w:rFonts w:ascii="Arial" w:cs="Arial" w:eastAsia="Arial" w:hAnsi="Arial"/>
          <w:sz w:val="16"/>
          <w:szCs w:val="16"/>
          <w:color w:val="auto"/>
        </w:rPr>
        <w:t xml:space="preserve">Notwithstanding any provision herein to the contrary, (x) this Agreement may be amended with the written consent of the Required Lenders, the Administrative Agent and the Borrowers and the relevant Lenders providing such additional credit facilities (i) to add one or more additional revolving credit or term loan facilities to this Agreement and to permit the extensions of credit and all related obligations and liabilities arising in connection therewith from time to time outstanding to share ratably (or on a basis subordinated to the existing facilities hereunder) in the benefits of this Agreement and the other Loan Documents with the obligations and liabilities from time to time outstanding in respect of the existing facilities hereunder, and (ii) in connection with the foregoing, to permit, as deemed appropriate by the Administrative Agent and approved by the Required Lenders, the Lenders providing such additional credit facilities to participate in any required vote or action required to be approved by the Required Lenders or by any other number, percentage or class of Lenders hereunder, (y) in order to implement any additional Commitments in accordance with </w:t>
      </w:r>
      <w:r>
        <w:rPr>
          <w:rFonts w:ascii="Arial" w:cs="Arial" w:eastAsia="Arial" w:hAnsi="Arial"/>
          <w:sz w:val="16"/>
          <w:szCs w:val="16"/>
          <w:u w:val="single" w:color="auto"/>
          <w:color w:val="auto"/>
        </w:rPr>
        <w:t>Section 2.02(f)</w:t>
      </w:r>
      <w:r>
        <w:rPr>
          <w:rFonts w:ascii="Arial" w:cs="Arial" w:eastAsia="Arial" w:hAnsi="Arial"/>
          <w:sz w:val="16"/>
          <w:szCs w:val="16"/>
          <w:color w:val="auto"/>
        </w:rPr>
        <w:t xml:space="preserve">, this Agreement may be amended for such purpose (but solely to the extent necessary to implement such additional Commitments in accordance with </w:t>
      </w:r>
      <w:r>
        <w:rPr>
          <w:rFonts w:ascii="Arial" w:cs="Arial" w:eastAsia="Arial" w:hAnsi="Arial"/>
          <w:sz w:val="16"/>
          <w:szCs w:val="16"/>
          <w:u w:val="single" w:color="auto"/>
          <w:color w:val="auto"/>
        </w:rPr>
        <w:t>Section 2.02(f)</w:t>
      </w:r>
      <w:r>
        <w:rPr>
          <w:rFonts w:ascii="Arial" w:cs="Arial" w:eastAsia="Arial" w:hAnsi="Arial"/>
          <w:sz w:val="16"/>
          <w:szCs w:val="16"/>
          <w:color w:val="auto"/>
        </w:rPr>
        <w:t>) by the Borrowers, the Administrative Agent and the relevant Lenders providing such additional Commitments and (z) as to any amendment, amendment and restatement or other modifications otherwise approved in accordance with this Section, it shall not be necessary to obtain the consent or approval of any Lender that, upon giving effect to such amendment, amendment and restatement or other modification, would have no Commitment or outstanding Loans so long as such Lender receives payment in full of the principal of and interest accrued on each Loan made by, and all other amounts owing to, such Lender or accrued for the account of such Lender under this Agreement and the other Loan Documents at the time such amendment, amendment and restatement or other modification becomes effective.</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11.02 Notices; Effectiveness; Electronic Communication.</w:t>
      </w:r>
    </w:p>
    <w:p>
      <w:pPr>
        <w:spacing w:after="0" w:line="197" w:lineRule="exact"/>
        <w:rPr>
          <w:sz w:val="20"/>
          <w:szCs w:val="20"/>
          <w:color w:val="auto"/>
        </w:rPr>
      </w:pPr>
    </w:p>
    <w:p>
      <w:pPr>
        <w:jc w:val="both"/>
        <w:ind w:left="760" w:firstLine="709"/>
        <w:spacing w:after="0" w:line="253" w:lineRule="auto"/>
        <w:tabs>
          <w:tab w:leader="none" w:pos="1717"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Notices Generally</w:t>
      </w:r>
      <w:r>
        <w:rPr>
          <w:rFonts w:ascii="Arial" w:cs="Arial" w:eastAsia="Arial" w:hAnsi="Arial"/>
          <w:sz w:val="17"/>
          <w:szCs w:val="17"/>
          <w:color w:val="auto"/>
        </w:rPr>
        <w:t xml:space="preserve">. Except in the case of notices and other communications expressly permitted to be given by telephone (and except as provided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60" w:lineRule="exact"/>
        <w:rPr>
          <w:rFonts w:ascii="Arial" w:cs="Arial" w:eastAsia="Arial" w:hAnsi="Arial"/>
          <w:sz w:val="17"/>
          <w:szCs w:val="17"/>
          <w:color w:val="auto"/>
        </w:rPr>
      </w:pPr>
    </w:p>
    <w:p>
      <w:pPr>
        <w:ind w:left="1520" w:firstLine="660"/>
        <w:spacing w:after="0" w:line="271" w:lineRule="auto"/>
        <w:tabs>
          <w:tab w:leader="none" w:pos="2393" w:val="left"/>
        </w:tabs>
        <w:numPr>
          <w:ilvl w:val="1"/>
          <w:numId w:val="155"/>
        </w:numPr>
        <w:rPr>
          <w:rFonts w:ascii="Arial" w:cs="Arial" w:eastAsia="Arial" w:hAnsi="Arial"/>
          <w:sz w:val="17"/>
          <w:szCs w:val="17"/>
          <w:color w:val="auto"/>
        </w:rPr>
      </w:pPr>
      <w:r>
        <w:rPr>
          <w:rFonts w:ascii="Arial" w:cs="Arial" w:eastAsia="Arial" w:hAnsi="Arial"/>
          <w:sz w:val="17"/>
          <w:szCs w:val="17"/>
          <w:color w:val="auto"/>
        </w:rPr>
        <w:t xml:space="preserve">if to a Borrower, the Administrative Agent, the L/C Issuer or the Swing Line Lender, to the address, telecopier number, electronic mail address or telephone number specified for such Person on </w:t>
      </w:r>
      <w:r>
        <w:rPr>
          <w:rFonts w:ascii="Arial" w:cs="Arial" w:eastAsia="Arial" w:hAnsi="Arial"/>
          <w:sz w:val="17"/>
          <w:szCs w:val="17"/>
          <w:u w:val="single" w:color="auto"/>
          <w:color w:val="auto"/>
        </w:rPr>
        <w:t>Schedule 11.02</w:t>
      </w:r>
      <w:r>
        <w:rPr>
          <w:rFonts w:ascii="Arial" w:cs="Arial" w:eastAsia="Arial" w:hAnsi="Arial"/>
          <w:sz w:val="17"/>
          <w:szCs w:val="17"/>
          <w:color w:val="auto"/>
        </w:rPr>
        <w:t>; and</w:t>
      </w:r>
    </w:p>
    <w:p>
      <w:pPr>
        <w:spacing w:after="0" w:line="144" w:lineRule="exact"/>
        <w:rPr>
          <w:rFonts w:ascii="Arial" w:cs="Arial" w:eastAsia="Arial" w:hAnsi="Arial"/>
          <w:sz w:val="17"/>
          <w:szCs w:val="17"/>
          <w:color w:val="auto"/>
        </w:rPr>
      </w:pPr>
    </w:p>
    <w:p>
      <w:pPr>
        <w:ind w:left="1520" w:firstLine="660"/>
        <w:spacing w:after="0" w:line="271" w:lineRule="auto"/>
        <w:tabs>
          <w:tab w:leader="none" w:pos="2485" w:val="left"/>
        </w:tabs>
        <w:numPr>
          <w:ilvl w:val="1"/>
          <w:numId w:val="155"/>
        </w:numPr>
        <w:rPr>
          <w:rFonts w:ascii="Arial" w:cs="Arial" w:eastAsia="Arial" w:hAnsi="Arial"/>
          <w:sz w:val="17"/>
          <w:szCs w:val="17"/>
          <w:color w:val="auto"/>
        </w:rPr>
      </w:pPr>
      <w:r>
        <w:rPr>
          <w:rFonts w:ascii="Arial" w:cs="Arial" w:eastAsia="Arial" w:hAnsi="Arial"/>
          <w:sz w:val="17"/>
          <w:szCs w:val="17"/>
          <w:color w:val="auto"/>
        </w:rPr>
        <w:t>if to any other Lender, to the address, telecopier number, electronic mail address or telephone number specified in its Administrative Questionnaire.</w:t>
      </w:r>
    </w:p>
    <w:p>
      <w:pPr>
        <w:spacing w:after="0" w:line="145" w:lineRule="exact"/>
        <w:rPr>
          <w:sz w:val="20"/>
          <w:szCs w:val="20"/>
          <w:color w:val="auto"/>
        </w:rPr>
      </w:pPr>
    </w:p>
    <w:p>
      <w:pPr>
        <w:jc w:val="both"/>
        <w:ind w:left="760" w:firstLine="712"/>
        <w:spacing w:after="0" w:line="251" w:lineRule="auto"/>
        <w:rPr>
          <w:sz w:val="20"/>
          <w:szCs w:val="20"/>
          <w:color w:val="auto"/>
        </w:rPr>
      </w:pPr>
      <w:r>
        <w:rPr>
          <w:rFonts w:ascii="Arial" w:cs="Arial" w:eastAsia="Arial" w:hAnsi="Arial"/>
          <w:sz w:val="17"/>
          <w:szCs w:val="17"/>
          <w:color w:val="auto"/>
        </w:rPr>
        <w:t xml:space="preserve">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below, shall be effective as provided in such </w:t>
      </w:r>
      <w:r>
        <w:rPr>
          <w:rFonts w:ascii="Arial" w:cs="Arial" w:eastAsia="Arial" w:hAnsi="Arial"/>
          <w:sz w:val="17"/>
          <w:szCs w:val="17"/>
          <w:u w:val="single" w:color="auto"/>
          <w:color w:val="auto"/>
        </w:rPr>
        <w:t>clause (b)</w:t>
      </w:r>
      <w:r>
        <w:rPr>
          <w:rFonts w:ascii="Arial" w:cs="Arial" w:eastAsia="Arial" w:hAnsi="Arial"/>
          <w:sz w:val="17"/>
          <w:szCs w:val="17"/>
          <w:color w:val="auto"/>
        </w:rPr>
        <w:t>.</w:t>
      </w:r>
    </w:p>
    <w:p>
      <w:pPr>
        <w:spacing w:after="0" w:line="162" w:lineRule="exact"/>
        <w:rPr>
          <w:sz w:val="20"/>
          <w:szCs w:val="20"/>
          <w:color w:val="auto"/>
        </w:rPr>
      </w:pPr>
    </w:p>
    <w:p>
      <w:pPr>
        <w:jc w:val="both"/>
        <w:ind w:left="760" w:firstLine="709"/>
        <w:spacing w:after="0" w:line="289" w:lineRule="auto"/>
        <w:tabs>
          <w:tab w:leader="none" w:pos="1715" w:val="left"/>
        </w:tabs>
        <w:numPr>
          <w:ilvl w:val="0"/>
          <w:numId w:val="156"/>
        </w:numPr>
        <w:rPr>
          <w:rFonts w:ascii="Arial" w:cs="Arial" w:eastAsia="Arial" w:hAnsi="Arial"/>
          <w:sz w:val="15"/>
          <w:szCs w:val="15"/>
          <w:color w:val="auto"/>
        </w:rPr>
      </w:pPr>
      <w:r>
        <w:rPr>
          <w:rFonts w:ascii="Arial" w:cs="Arial" w:eastAsia="Arial" w:hAnsi="Arial"/>
          <w:sz w:val="15"/>
          <w:szCs w:val="15"/>
          <w:u w:val="single" w:color="auto"/>
          <w:color w:val="auto"/>
        </w:rPr>
        <w:t>Electronic Communications</w:t>
      </w:r>
      <w:r>
        <w:rPr>
          <w:rFonts w:ascii="Arial" w:cs="Arial" w:eastAsia="Arial" w:hAnsi="Arial"/>
          <w:sz w:val="15"/>
          <w:szCs w:val="15"/>
          <w:color w:val="auto"/>
        </w:rPr>
        <w:t xml:space="preserve">. Notices and other communications to the Lenders and the L/C Issuer hereunder may be delivered or furnished by electronic communication (including e-mail and Internet or intranet websites) pursuant to procedures approved by the Administrative Agent;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foregoing shall not apply to notices to any Lender or the L/C Issuer pursuant to </w:t>
      </w:r>
      <w:r>
        <w:rPr>
          <w:rFonts w:ascii="Arial" w:cs="Arial" w:eastAsia="Arial" w:hAnsi="Arial"/>
          <w:sz w:val="15"/>
          <w:szCs w:val="15"/>
          <w:u w:val="single" w:color="auto"/>
          <w:color w:val="auto"/>
        </w:rPr>
        <w:t>Article II</w:t>
      </w:r>
      <w:r>
        <w:rPr>
          <w:rFonts w:ascii="Arial" w:cs="Arial" w:eastAsia="Arial" w:hAnsi="Arial"/>
          <w:sz w:val="15"/>
          <w:szCs w:val="15"/>
          <w:color w:val="auto"/>
        </w:rPr>
        <w:t xml:space="preserve"> if such Lender or the L/C Issuer, as applicable, has notified the Administrative Agent that it is incapable of receiving notices under such Article by electronic communication. The Administrative Agent or the Company may, in its discretion, agree to accept notices and other communications to it hereunder by electronic communications pursuant to procedures approved by 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approval of such procedures may be limited to particular notices or communications; and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440"/>
          </w:cols>
          <w:pgMar w:left="240" w:top="312" w:right="219" w:bottom="1440" w:gutter="0" w:footer="0" w:header="0"/>
        </w:sectPr>
      </w:pPr>
    </w:p>
    <w:bookmarkStart w:id="118" w:name="page119"/>
    <w:bookmarkEnd w:id="118"/>
    <w:p>
      <w:pPr>
        <w:jc w:val="both"/>
        <w:ind w:right="20"/>
        <w:spacing w:after="0" w:line="271" w:lineRule="auto"/>
        <w:rPr>
          <w:sz w:val="20"/>
          <w:szCs w:val="20"/>
          <w:color w:val="auto"/>
        </w:rPr>
      </w:pPr>
      <w:r>
        <w:rPr>
          <w:rFonts w:ascii="Arial" w:cs="Arial" w:eastAsia="Arial" w:hAnsi="Arial"/>
          <w:sz w:val="17"/>
          <w:szCs w:val="17"/>
          <w:color w:val="auto"/>
        </w:rPr>
        <w:t xml:space="preserve">provided further that notices of any Default or Event of Default shall not be effective if delivered by electronic communication, unless the same shall have been also delivered by facsimile or otherwise in accordance with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w:t>
      </w:r>
    </w:p>
    <w:p>
      <w:pPr>
        <w:spacing w:after="0" w:line="145" w:lineRule="exact"/>
        <w:rPr>
          <w:sz w:val="20"/>
          <w:szCs w:val="20"/>
          <w:color w:val="auto"/>
        </w:rPr>
      </w:pPr>
    </w:p>
    <w:p>
      <w:pPr>
        <w:jc w:val="both"/>
        <w:ind w:firstLine="712"/>
        <w:spacing w:after="0" w:line="289" w:lineRule="auto"/>
        <w:rPr>
          <w:sz w:val="20"/>
          <w:szCs w:val="20"/>
          <w:color w:val="auto"/>
        </w:rPr>
      </w:pPr>
      <w:r>
        <w:rPr>
          <w:rFonts w:ascii="Arial" w:cs="Arial" w:eastAsia="Arial" w:hAnsi="Arial"/>
          <w:sz w:val="15"/>
          <w:szCs w:val="15"/>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of notification that such notice or communication is available and identifying the website address therefor.</w:t>
      </w:r>
    </w:p>
    <w:p>
      <w:pPr>
        <w:spacing w:after="0" w:line="137" w:lineRule="exact"/>
        <w:rPr>
          <w:sz w:val="20"/>
          <w:szCs w:val="20"/>
          <w:color w:val="auto"/>
        </w:rPr>
      </w:pPr>
    </w:p>
    <w:p>
      <w:pPr>
        <w:jc w:val="both"/>
        <w:ind w:firstLine="709"/>
        <w:spacing w:after="0" w:line="263" w:lineRule="auto"/>
        <w:tabs>
          <w:tab w:leader="none" w:pos="946"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The Platform</w:t>
      </w:r>
      <w:r>
        <w:rPr>
          <w:rFonts w:ascii="Arial" w:cs="Arial" w:eastAsia="Arial" w:hAnsi="Arial"/>
          <w:sz w:val="16"/>
          <w:szCs w:val="16"/>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6"/>
          <w:szCs w:val="16"/>
          <w:u w:val="single" w:color="auto"/>
          <w:color w:val="auto"/>
        </w:rPr>
        <w:t>Agent Parties</w:t>
      </w:r>
      <w:r>
        <w:rPr>
          <w:rFonts w:ascii="Arial" w:cs="Arial" w:eastAsia="Arial" w:hAnsi="Arial"/>
          <w:sz w:val="16"/>
          <w:szCs w:val="16"/>
          <w:color w:val="auto"/>
        </w:rPr>
        <w:t xml:space="preserve">”) have any liability to any Borrower, any Lender, the L/C Issuer or any other Person for losses, claims, damages, liabilities or expenses of any kind (whether in tort, contract or otherwise) arising out of any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any Agent Party have any liability to any Borrower, any Lender, the L/C Issuer or any other Person for indirect, special, incidental, consequential or punitive damages (as opposed to direct or actual damages).</w:t>
      </w:r>
    </w:p>
    <w:p>
      <w:pPr>
        <w:spacing w:after="0" w:line="159" w:lineRule="exact"/>
        <w:rPr>
          <w:rFonts w:ascii="Arial" w:cs="Arial" w:eastAsia="Arial" w:hAnsi="Arial"/>
          <w:sz w:val="16"/>
          <w:szCs w:val="16"/>
          <w:color w:val="auto"/>
        </w:rPr>
      </w:pPr>
    </w:p>
    <w:p>
      <w:pPr>
        <w:jc w:val="both"/>
        <w:ind w:firstLine="709"/>
        <w:spacing w:after="0" w:line="264" w:lineRule="auto"/>
        <w:tabs>
          <w:tab w:leader="none" w:pos="979"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Each of the Borrowers, the Administrative Agent, the L/C Issuer and the Swing 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the Company, the Administrative Agent, the L/C Issuer and the Swing Line Lender.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53" w:lineRule="exact"/>
        <w:rPr>
          <w:rFonts w:ascii="Arial" w:cs="Arial" w:eastAsia="Arial" w:hAnsi="Arial"/>
          <w:sz w:val="16"/>
          <w:szCs w:val="16"/>
          <w:color w:val="auto"/>
        </w:rPr>
      </w:pPr>
    </w:p>
    <w:p>
      <w:pPr>
        <w:jc w:val="both"/>
        <w:ind w:firstLine="709"/>
        <w:spacing w:after="0" w:line="249" w:lineRule="auto"/>
        <w:tabs>
          <w:tab w:leader="none" w:pos="957"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Reliance by Administrative Agent, L/C Issuer and Lenders</w:t>
      </w:r>
      <w:r>
        <w:rPr>
          <w:rFonts w:ascii="Arial" w:cs="Arial" w:eastAsia="Arial" w:hAnsi="Arial"/>
          <w:sz w:val="17"/>
          <w:szCs w:val="17"/>
          <w:color w:val="auto"/>
        </w:rPr>
        <w:t>. The Administrative Agent, the L/C Issuer and the Lenders shall be entitled to rely and act upon any notices (including telephonic Committed Loan Notices and Swing 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the Administrative Agent, the L/C Issuer, each Lender and the Related Parties of each of them from all losses, costs, expenses and liabilities resulting from the reliance by such Person</w:t>
      </w:r>
    </w:p>
    <w:p>
      <w:pPr>
        <w:spacing w:after="0" w:line="166"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0680"/>
          </w:cols>
          <w:pgMar w:left="1000" w:top="312" w:right="219" w:bottom="1440" w:gutter="0" w:footer="0" w:header="0"/>
        </w:sectPr>
      </w:pPr>
    </w:p>
    <w:bookmarkStart w:id="119" w:name="page120"/>
    <w:bookmarkEnd w:id="119"/>
    <w:p>
      <w:pPr>
        <w:ind w:left="760" w:right="20"/>
        <w:spacing w:after="0" w:line="271" w:lineRule="auto"/>
        <w:rPr>
          <w:sz w:val="20"/>
          <w:szCs w:val="20"/>
          <w:color w:val="auto"/>
        </w:rPr>
      </w:pPr>
      <w:r>
        <w:rPr>
          <w:rFonts w:ascii="Arial" w:cs="Arial" w:eastAsia="Arial" w:hAnsi="Arial"/>
          <w:sz w:val="17"/>
          <w:szCs w:val="17"/>
          <w:color w:val="auto"/>
        </w:rPr>
        <w:t>on each notice purportedly given by or on behalf of any Borrower. All telephonic notices to and other telephonic communications with the Administrative Agent may be recorded by the Administrative Agent, and each of the parties hereto hereby consents to such recording.</w:t>
      </w:r>
    </w:p>
    <w:p>
      <w:pPr>
        <w:spacing w:after="0" w:line="139" w:lineRule="exact"/>
        <w:rPr>
          <w:sz w:val="20"/>
          <w:szCs w:val="20"/>
          <w:color w:val="auto"/>
        </w:rPr>
      </w:pPr>
    </w:p>
    <w:p>
      <w:pPr>
        <w:jc w:val="both"/>
        <w:ind w:right="20" w:firstLine="763"/>
        <w:spacing w:after="0" w:line="253" w:lineRule="auto"/>
        <w:rPr>
          <w:sz w:val="20"/>
          <w:szCs w:val="20"/>
          <w:color w:val="auto"/>
        </w:rPr>
      </w:pPr>
      <w:r>
        <w:rPr>
          <w:rFonts w:ascii="Arial" w:cs="Arial" w:eastAsia="Arial" w:hAnsi="Arial"/>
          <w:sz w:val="17"/>
          <w:szCs w:val="17"/>
          <w:b w:val="1"/>
          <w:bCs w:val="1"/>
          <w:color w:val="auto"/>
        </w:rPr>
        <w:t>11.03 No Waiver; Cumulative Remedies; Enforcement</w:t>
      </w:r>
      <w:r>
        <w:rPr>
          <w:rFonts w:ascii="Arial" w:cs="Arial" w:eastAsia="Arial" w:hAnsi="Arial"/>
          <w:sz w:val="17"/>
          <w:szCs w:val="17"/>
          <w:color w:val="auto"/>
        </w:rPr>
        <w:t>. No failure by any Lender or the Administrative Agent to exercise, and no delay by any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 in exercising, any right, remedy, power or privilege hereunder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under each other Loan Document are cumulative and not exclusive of any rights, remedies, powers and privileges provided by Law.</w:t>
      </w:r>
    </w:p>
    <w:p>
      <w:pPr>
        <w:spacing w:after="0" w:line="160" w:lineRule="exact"/>
        <w:rPr>
          <w:sz w:val="20"/>
          <w:szCs w:val="20"/>
          <w:color w:val="auto"/>
        </w:rPr>
      </w:pPr>
    </w:p>
    <w:p>
      <w:pPr>
        <w:jc w:val="both"/>
        <w:ind w:firstLine="763"/>
        <w:spacing w:after="0" w:line="263" w:lineRule="auto"/>
        <w:rPr>
          <w:sz w:val="20"/>
          <w:szCs w:val="20"/>
          <w:color w:val="auto"/>
        </w:rPr>
      </w:pPr>
      <w:r>
        <w:rPr>
          <w:rFonts w:ascii="Arial" w:cs="Arial" w:eastAsia="Arial" w:hAnsi="Arial"/>
          <w:sz w:val="16"/>
          <w:szCs w:val="16"/>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for the benefit of all the Lenders and the L/C Issuer;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(subject to the terms of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and (ii) in addition to the matters set forth in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of the preceding proviso and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any Lender may, with the consent of the Required Lenders, enforce any rights and remedies available to it and as authorized by the Required Lenders.</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11.04 Expenses; Indemnity; Damage Waiver.</w:t>
      </w:r>
    </w:p>
    <w:p>
      <w:pPr>
        <w:spacing w:after="0" w:line="197" w:lineRule="exact"/>
        <w:rPr>
          <w:sz w:val="20"/>
          <w:szCs w:val="20"/>
          <w:color w:val="auto"/>
        </w:rPr>
      </w:pPr>
    </w:p>
    <w:p>
      <w:pPr>
        <w:jc w:val="both"/>
        <w:ind w:left="760" w:firstLine="709"/>
        <w:spacing w:after="0" w:line="264" w:lineRule="auto"/>
        <w:tabs>
          <w:tab w:leader="none" w:pos="1729"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The Borrowers shall pay (i) all reasonable out-of-pocket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 in connection with the issuance, amendment, renewal or extension of any Letter of Credit or any demand for payment thereunder and (iii) all reasonable out-of-pocket expenses incurred by the Administrative Agent, any Lender or the L/C Issuer (including the reasonable fees, charges and disbursements of counsel for the Administrative Agent, any Lender or the L/C Issuer), in connection with the enforcement or protection of its rights (A) in connection with this Agreement and the other Loan Documents, including its rights under this Section, or (B) in connection with the Loans made or Letters of Credit issued hereunder, including all such reasonable out-of-pocket expenses incurred during any workout, restructuring or negotiations in respect of such Loans or Letters of Credit.</w:t>
      </w:r>
    </w:p>
    <w:p>
      <w:pPr>
        <w:spacing w:after="0" w:line="156" w:lineRule="exact"/>
        <w:rPr>
          <w:rFonts w:ascii="Arial" w:cs="Arial" w:eastAsia="Arial" w:hAnsi="Arial"/>
          <w:sz w:val="16"/>
          <w:szCs w:val="16"/>
          <w:color w:val="auto"/>
        </w:rPr>
      </w:pPr>
    </w:p>
    <w:p>
      <w:pPr>
        <w:jc w:val="both"/>
        <w:ind w:left="760" w:firstLine="709"/>
        <w:spacing w:after="0" w:line="248" w:lineRule="auto"/>
        <w:tabs>
          <w:tab w:leader="none" w:pos="1715"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Indemnification by the Borrowers</w:t>
      </w:r>
      <w:r>
        <w:rPr>
          <w:rFonts w:ascii="Arial" w:cs="Arial" w:eastAsia="Arial" w:hAnsi="Arial"/>
          <w:sz w:val="17"/>
          <w:szCs w:val="17"/>
          <w:color w:val="auto"/>
        </w:rPr>
        <w:t>. The Borrowers shall indemnify the Administrative Agent (and any sub-agent thereof), each Lender and the L/C Issuer, and each Related Party of any of the foregoing Persons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against, and hold each Indemnitee harmless from, any and all losses, claims, damages, liabilities and related expenses (including the reasonable fees, charges and disbursements of any counsel for any Indemnitee) incurred by any Indemnitee or asserted against any Indemnitee by any third party or by any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440"/>
          </w:cols>
          <w:pgMar w:left="240" w:top="312" w:right="219" w:bottom="1440" w:gutter="0" w:footer="0" w:header="0"/>
        </w:sectPr>
      </w:pPr>
    </w:p>
    <w:bookmarkStart w:id="120" w:name="page121"/>
    <w:bookmarkEnd w:id="120"/>
    <w:p>
      <w:pPr>
        <w:jc w:val="both"/>
        <w:ind w:left="760"/>
        <w:spacing w:after="0" w:line="268" w:lineRule="auto"/>
        <w:rPr>
          <w:sz w:val="20"/>
          <w:szCs w:val="20"/>
          <w:color w:val="auto"/>
        </w:rPr>
      </w:pPr>
      <w:r>
        <w:rPr>
          <w:rFonts w:ascii="Arial" w:cs="Arial" w:eastAsia="Arial" w:hAnsi="Arial"/>
          <w:sz w:val="16"/>
          <w:szCs w:val="16"/>
          <w:color w:val="auto"/>
        </w:rPr>
        <w:t xml:space="preserve">Documents,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Borrower or any Material Subsidiary, or any Environmental Liability related in any way to any Borrower or any of its Material Subsidiaries, or (iv) any actual or prospective claim, litigation, investigation or proceeding relating to any of the foregoing, whether based on contract, tort or any other theory, whether brought by a third party or by any Borrower or any other Loan Party or any of such Borrower’s or such Loan Party’s directors, shareholders or creditors, and regardless of whether any Indemnitee is a party thereto; </w:t>
      </w:r>
      <w:r>
        <w:rPr>
          <w:rFonts w:ascii="Arial" w:cs="Arial" w:eastAsia="Arial" w:hAnsi="Arial"/>
          <w:sz w:val="14"/>
          <w:szCs w:val="14"/>
          <w:u w:val="single" w:color="auto"/>
          <w:color w:val="auto"/>
        </w:rPr>
        <w:t>provided</w:t>
      </w:r>
      <w:r>
        <w:rPr>
          <w:rFonts w:ascii="Arial" w:cs="Arial" w:eastAsia="Arial" w:hAnsi="Arial"/>
          <w:sz w:val="16"/>
          <w:szCs w:val="16"/>
          <w:color w:val="auto"/>
        </w:rPr>
        <w:t xml:space="preserve"> </w:t>
      </w:r>
      <w:r>
        <w:rPr>
          <w:rFonts w:ascii="Arial" w:cs="Arial" w:eastAsia="Arial" w:hAnsi="Arial"/>
          <w:sz w:val="14"/>
          <w:szCs w:val="14"/>
          <w:color w:val="auto"/>
        </w:rPr>
        <w:t>that such indemnity shall not, as to any Indemnitee, be available to the extent that such losses,</w:t>
      </w:r>
      <w:r>
        <w:rPr>
          <w:rFonts w:ascii="Arial" w:cs="Arial" w:eastAsia="Arial" w:hAnsi="Arial"/>
          <w:sz w:val="16"/>
          <w:szCs w:val="16"/>
          <w:color w:val="auto"/>
        </w:rPr>
        <w:t xml:space="preserve"> </w:t>
      </w:r>
      <w:r>
        <w:rPr>
          <w:rFonts w:ascii="Arial" w:cs="Arial" w:eastAsia="Arial" w:hAnsi="Arial"/>
          <w:sz w:val="14"/>
          <w:szCs w:val="14"/>
          <w:color w:val="auto"/>
        </w:rPr>
        <w:t xml:space="preserve">claims, damages, liabilities or related expenses (x) are determined by a court of competent jurisdiction by final and nonappealable judgment to have resulted from the gross negligence or willful misconduct of such Indemnitee or (y) result from a claim brought by any Borrower or any other Loan Party against an Indemnitee for breach in bad faith of such Indemnitee’s obligations hereunder or under any other Loan Document, if such Borrower or such other Loan Party has obtained a final and nonappealable judgment in its favor on such claim as determined by a court of competent jurisdiction. This </w:t>
      </w:r>
      <w:r>
        <w:rPr>
          <w:rFonts w:ascii="Arial" w:cs="Arial" w:eastAsia="Arial" w:hAnsi="Arial"/>
          <w:sz w:val="14"/>
          <w:szCs w:val="14"/>
          <w:u w:val="single" w:color="auto"/>
          <w:color w:val="auto"/>
        </w:rPr>
        <w:t>Section 11.04(b)</w:t>
      </w:r>
      <w:r>
        <w:rPr>
          <w:rFonts w:ascii="Arial" w:cs="Arial" w:eastAsia="Arial" w:hAnsi="Arial"/>
          <w:sz w:val="14"/>
          <w:szCs w:val="14"/>
          <w:color w:val="auto"/>
        </w:rPr>
        <w:t xml:space="preserve"> shall not apply with respect to Taxes other than any Taxes that represent losses, claims, damages, etc. arising from a non-Tax claim.</w:t>
      </w:r>
    </w:p>
    <w:p>
      <w:pPr>
        <w:spacing w:after="0" w:line="157" w:lineRule="exact"/>
        <w:rPr>
          <w:sz w:val="20"/>
          <w:szCs w:val="20"/>
          <w:color w:val="auto"/>
        </w:rPr>
      </w:pPr>
    </w:p>
    <w:p>
      <w:pPr>
        <w:jc w:val="both"/>
        <w:ind w:left="760" w:firstLine="709"/>
        <w:spacing w:after="0" w:line="266" w:lineRule="auto"/>
        <w:tabs>
          <w:tab w:leader="none" w:pos="1717"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the Borrowers for any reason fail to indefeasibly pay any amount required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11.04(a)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to be paid by them to the Administrative Agent (or any sub-agent thereof), the L/C Issuer or any Related Party of any of the foregoing, each Lender severally agrees to pay to the Administrative Agent (or any such subagent), the L/C Issuer or such Related Party, as the case may be, such Lender’s pro rata share (determined as of the time that the applicable unreimbursed expense or indemnity payment is sought based on each Lender’s share of the Total Credit Exposure at such time) of such 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(or any such sub-agent) or the L/C Issuer in its capacity as such, or against any Related Party of any of the foregoing acting for the Administrative Agent (or any such sub-agent) or L/C Issuer in connection with such capacity. The obligations of the Lenders under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are subject to the provisions of </w:t>
      </w:r>
      <w:r>
        <w:rPr>
          <w:rFonts w:ascii="Arial" w:cs="Arial" w:eastAsia="Arial" w:hAnsi="Arial"/>
          <w:sz w:val="16"/>
          <w:szCs w:val="16"/>
          <w:u w:val="single" w:color="auto"/>
          <w:color w:val="auto"/>
        </w:rPr>
        <w:t>Section 2.12(d)</w:t>
      </w:r>
      <w:r>
        <w:rPr>
          <w:rFonts w:ascii="Arial" w:cs="Arial" w:eastAsia="Arial" w:hAnsi="Arial"/>
          <w:sz w:val="16"/>
          <w:szCs w:val="16"/>
          <w:color w:val="auto"/>
        </w:rPr>
        <w:t>.</w:t>
      </w:r>
    </w:p>
    <w:p>
      <w:pPr>
        <w:spacing w:after="0" w:line="150" w:lineRule="exact"/>
        <w:rPr>
          <w:rFonts w:ascii="Arial" w:cs="Arial" w:eastAsia="Arial" w:hAnsi="Arial"/>
          <w:sz w:val="16"/>
          <w:szCs w:val="16"/>
          <w:color w:val="auto"/>
        </w:rPr>
      </w:pPr>
    </w:p>
    <w:p>
      <w:pPr>
        <w:jc w:val="both"/>
        <w:ind w:left="760" w:firstLine="709"/>
        <w:spacing w:after="0" w:line="266" w:lineRule="auto"/>
        <w:tabs>
          <w:tab w:leader="none" w:pos="1715"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Waiver of Consequential Damages, Etc.</w:t>
      </w:r>
      <w:r>
        <w:rPr>
          <w:rFonts w:ascii="Arial" w:cs="Arial" w:eastAsia="Arial" w:hAnsi="Arial"/>
          <w:sz w:val="16"/>
          <w:szCs w:val="16"/>
          <w:color w:val="auto"/>
        </w:rPr>
        <w:t xml:space="preserve"> To the fullest extent permitted by applicable law, no Borrower shall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50" w:lineRule="exact"/>
        <w:rPr>
          <w:rFonts w:ascii="Arial" w:cs="Arial" w:eastAsia="Arial" w:hAnsi="Arial"/>
          <w:sz w:val="16"/>
          <w:szCs w:val="16"/>
          <w:color w:val="auto"/>
        </w:rPr>
      </w:pPr>
    </w:p>
    <w:p>
      <w:pPr>
        <w:ind w:left="1700" w:hanging="231"/>
        <w:spacing w:after="0"/>
        <w:tabs>
          <w:tab w:leader="none" w:pos="1700"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All amounts due under this Section shall be payable not later than ten Business Days after demand therefor.</w:t>
      </w:r>
    </w:p>
    <w:p>
      <w:pPr>
        <w:spacing w:after="0" w:line="191" w:lineRule="exact"/>
        <w:rPr>
          <w:rFonts w:ascii="Arial" w:cs="Arial" w:eastAsia="Arial" w:hAnsi="Arial"/>
          <w:sz w:val="17"/>
          <w:szCs w:val="17"/>
          <w:color w:val="auto"/>
        </w:rPr>
      </w:pPr>
    </w:p>
    <w:p>
      <w:pPr>
        <w:jc w:val="both"/>
        <w:ind w:left="760" w:firstLine="709"/>
        <w:spacing w:after="0" w:line="257" w:lineRule="auto"/>
        <w:tabs>
          <w:tab w:leader="none" w:pos="1687"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agreements in this Section shall survive the resignation of the Administrative Agent, the L/C Issuer and the Swing Line Lender, the replacement of any Lender, the termination of the aggregate Revolving Credit Commitments and the repayment, satisfaction or discharge of all the other Obligations.</w:t>
      </w:r>
    </w:p>
    <w:p>
      <w:pPr>
        <w:spacing w:after="0" w:line="151" w:lineRule="exact"/>
        <w:rPr>
          <w:sz w:val="20"/>
          <w:szCs w:val="20"/>
          <w:color w:val="auto"/>
        </w:rPr>
      </w:pPr>
    </w:p>
    <w:p>
      <w:pPr>
        <w:jc w:val="both"/>
        <w:ind w:firstLine="763"/>
        <w:spacing w:after="0" w:line="253" w:lineRule="auto"/>
        <w:rPr>
          <w:sz w:val="20"/>
          <w:szCs w:val="20"/>
          <w:color w:val="auto"/>
        </w:rPr>
      </w:pPr>
      <w:r>
        <w:rPr>
          <w:rFonts w:ascii="Arial" w:cs="Arial" w:eastAsia="Arial" w:hAnsi="Arial"/>
          <w:sz w:val="17"/>
          <w:szCs w:val="17"/>
          <w:b w:val="1"/>
          <w:bCs w:val="1"/>
          <w:color w:val="auto"/>
        </w:rPr>
        <w:t>11.05 Payments Set Aside</w:t>
      </w:r>
      <w:r>
        <w:rPr>
          <w:rFonts w:ascii="Arial" w:cs="Arial" w:eastAsia="Arial" w:hAnsi="Arial"/>
          <w:sz w:val="17"/>
          <w:szCs w:val="17"/>
          <w:color w:val="auto"/>
        </w:rPr>
        <w:t>. To the extent that any payment by or on behalf of a Borrower is made to the Administrative Agent, the L/C Issuer or any</w:t>
      </w:r>
      <w:r>
        <w:rPr>
          <w:rFonts w:ascii="Arial" w:cs="Arial" w:eastAsia="Arial" w:hAnsi="Arial"/>
          <w:sz w:val="17"/>
          <w:szCs w:val="17"/>
          <w:b w:val="1"/>
          <w:bCs w:val="1"/>
          <w:color w:val="auto"/>
        </w:rPr>
        <w:t xml:space="preserve"> </w:t>
      </w:r>
      <w:r>
        <w:rPr>
          <w:rFonts w:ascii="Arial" w:cs="Arial" w:eastAsia="Arial" w:hAnsi="Arial"/>
          <w:sz w:val="17"/>
          <w:szCs w:val="17"/>
          <w:color w:val="auto"/>
        </w:rPr>
        <w:t>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440"/>
          </w:cols>
          <w:pgMar w:left="240" w:top="312" w:right="219" w:bottom="1440" w:gutter="0" w:footer="0" w:header="0"/>
        </w:sectPr>
      </w:pPr>
    </w:p>
    <w:bookmarkStart w:id="121" w:name="page122"/>
    <w:bookmarkEnd w:id="121"/>
    <w:p>
      <w:pPr>
        <w:jc w:val="both"/>
        <w:spacing w:after="0" w:line="292" w:lineRule="auto"/>
        <w:rPr>
          <w:sz w:val="20"/>
          <w:szCs w:val="20"/>
          <w:color w:val="auto"/>
        </w:rPr>
      </w:pPr>
      <w:r>
        <w:rPr>
          <w:rFonts w:ascii="Arial" w:cs="Arial" w:eastAsia="Arial" w:hAnsi="Arial"/>
          <w:sz w:val="15"/>
          <w:szCs w:val="15"/>
          <w:color w:val="auto"/>
        </w:rPr>
        <w:t xml:space="preserve">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 under </w:t>
      </w:r>
      <w:r>
        <w:rPr>
          <w:rFonts w:ascii="Arial" w:cs="Arial" w:eastAsia="Arial" w:hAnsi="Arial"/>
          <w:sz w:val="13"/>
          <w:szCs w:val="13"/>
          <w:u w:val="single" w:color="auto"/>
          <w:color w:val="auto"/>
        </w:rPr>
        <w:t>clause (b)</w:t>
      </w:r>
      <w:r>
        <w:rPr>
          <w:rFonts w:ascii="Arial" w:cs="Arial" w:eastAsia="Arial" w:hAnsi="Arial"/>
          <w:sz w:val="15"/>
          <w:szCs w:val="15"/>
          <w:color w:val="auto"/>
        </w:rPr>
        <w:t xml:space="preserve"> </w:t>
      </w:r>
      <w:r>
        <w:rPr>
          <w:rFonts w:ascii="Arial" w:cs="Arial" w:eastAsia="Arial" w:hAnsi="Arial"/>
          <w:sz w:val="13"/>
          <w:szCs w:val="13"/>
          <w:color w:val="auto"/>
        </w:rPr>
        <w:t>of the preceding sentence shall survive the payment in full of the Obligations and the termination of this Agreement.</w:t>
      </w:r>
    </w:p>
    <w:p>
      <w:pPr>
        <w:spacing w:after="0" w:line="129"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11.06 Successors and Assigns.</w:t>
      </w:r>
    </w:p>
    <w:p>
      <w:pPr>
        <w:spacing w:after="0" w:line="197" w:lineRule="exact"/>
        <w:rPr>
          <w:sz w:val="20"/>
          <w:szCs w:val="20"/>
          <w:color w:val="auto"/>
        </w:rPr>
      </w:pPr>
    </w:p>
    <w:p>
      <w:pPr>
        <w:jc w:val="both"/>
        <w:ind w:left="760" w:firstLine="709"/>
        <w:spacing w:after="0" w:line="285" w:lineRule="auto"/>
        <w:tabs>
          <w:tab w:leader="none" w:pos="1706" w:val="left"/>
        </w:tabs>
        <w:numPr>
          <w:ilvl w:val="0"/>
          <w:numId w:val="160"/>
        </w:numPr>
        <w:rPr>
          <w:rFonts w:ascii="Arial" w:cs="Arial" w:eastAsia="Arial" w:hAnsi="Arial"/>
          <w:sz w:val="15"/>
          <w:szCs w:val="15"/>
          <w:color w:val="auto"/>
        </w:rPr>
      </w:pPr>
      <w:r>
        <w:rPr>
          <w:rFonts w:ascii="Arial" w:cs="Arial" w:eastAsia="Arial" w:hAnsi="Arial"/>
          <w:sz w:val="15"/>
          <w:szCs w:val="15"/>
          <w:u w:val="single" w:color="auto"/>
          <w:color w:val="auto"/>
        </w:rPr>
        <w:t>Successors and Assigns Generally</w:t>
      </w:r>
      <w:r>
        <w:rPr>
          <w:rFonts w:ascii="Arial" w:cs="Arial" w:eastAsia="Arial" w:hAnsi="Arial"/>
          <w:sz w:val="15"/>
          <w:szCs w:val="15"/>
          <w:color w:val="auto"/>
        </w:rPr>
        <w:t xml:space="preserve">. The provisions of this Agreement shall be binding upon and inure to the benefit of the parties hereto and their respective successors and assigns permitted hereby, except that neither any Borrower nor any other Loan Party may assign or otherwise transfer any of its rights or obligations under any Loan Document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5"/>
          <w:szCs w:val="15"/>
          <w:u w:val="single" w:color="auto"/>
          <w:color w:val="auto"/>
        </w:rPr>
        <w:t>Section 11.06(b)</w:t>
      </w:r>
      <w:r>
        <w:rPr>
          <w:rFonts w:ascii="Arial" w:cs="Arial" w:eastAsia="Arial" w:hAnsi="Arial"/>
          <w:sz w:val="15"/>
          <w:szCs w:val="15"/>
          <w:color w:val="auto"/>
        </w:rPr>
        <w:t xml:space="preserve">, (ii) by way of participation in accordance with the provisions of </w:t>
      </w:r>
      <w:r>
        <w:rPr>
          <w:rFonts w:ascii="Arial" w:cs="Arial" w:eastAsia="Arial" w:hAnsi="Arial"/>
          <w:sz w:val="15"/>
          <w:szCs w:val="15"/>
          <w:u w:val="single" w:color="auto"/>
          <w:color w:val="auto"/>
        </w:rPr>
        <w:t>Section 11.06(d)</w:t>
      </w:r>
      <w:r>
        <w:rPr>
          <w:rFonts w:ascii="Arial" w:cs="Arial" w:eastAsia="Arial" w:hAnsi="Arial"/>
          <w:sz w:val="15"/>
          <w:szCs w:val="15"/>
          <w:color w:val="auto"/>
        </w:rPr>
        <w:t xml:space="preserve">, or (iii) by way of pledge or assignment of a security interest subject to the restrictions of </w:t>
      </w:r>
      <w:r>
        <w:rPr>
          <w:rFonts w:ascii="Arial" w:cs="Arial" w:eastAsia="Arial" w:hAnsi="Arial"/>
          <w:sz w:val="15"/>
          <w:szCs w:val="15"/>
          <w:u w:val="single" w:color="auto"/>
          <w:color w:val="auto"/>
        </w:rPr>
        <w:t>clause (e)</w:t>
      </w:r>
      <w:r>
        <w:rPr>
          <w:rFonts w:ascii="Arial" w:cs="Arial" w:eastAsia="Arial" w:hAnsi="Arial"/>
          <w:sz w:val="15"/>
          <w:szCs w:val="15"/>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5"/>
          <w:szCs w:val="15"/>
          <w:u w:val="single" w:color="auto"/>
          <w:color w:val="auto"/>
        </w:rPr>
        <w:t>clause (d)</w:t>
      </w:r>
      <w:r>
        <w:rPr>
          <w:rFonts w:ascii="Arial" w:cs="Arial" w:eastAsia="Arial" w:hAnsi="Arial"/>
          <w:sz w:val="15"/>
          <w:szCs w:val="15"/>
          <w:color w:val="auto"/>
        </w:rPr>
        <w:t xml:space="preserve"> of this Section and, to the extent expressly contemplated hereby, the Related Parties of each of the Administrative Agent, the L/C Issuer and the Lenders) any legal or equitable right, remedy or claim under or by reason of this Agreement.</w:t>
      </w:r>
    </w:p>
    <w:p>
      <w:pPr>
        <w:spacing w:after="0" w:line="137" w:lineRule="exact"/>
        <w:rPr>
          <w:rFonts w:ascii="Arial" w:cs="Arial" w:eastAsia="Arial" w:hAnsi="Arial"/>
          <w:sz w:val="15"/>
          <w:szCs w:val="15"/>
          <w:color w:val="auto"/>
        </w:rPr>
      </w:pPr>
    </w:p>
    <w:p>
      <w:pPr>
        <w:jc w:val="both"/>
        <w:ind w:left="760" w:right="20" w:firstLine="709"/>
        <w:spacing w:after="0" w:line="281" w:lineRule="auto"/>
        <w:tabs>
          <w:tab w:leader="none" w:pos="1715"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Assignments by Lenders</w:t>
      </w:r>
      <w:r>
        <w:rPr>
          <w:rFonts w:ascii="Arial" w:cs="Arial" w:eastAsia="Arial" w:hAnsi="Arial"/>
          <w:sz w:val="16"/>
          <w:szCs w:val="16"/>
          <w:color w:val="auto"/>
        </w:rPr>
        <w:t xml:space="preserve">. Any Lender may at any time assign to one or more assignees all or a portion of its rights and obligations under this Agreement (including all or a portion of its Commitment and the Loans (including for purposes of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participations in L/C Obligations and in Swing Line Loans) at the time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assignment shall be subject to the following conditions:</w:t>
      </w:r>
    </w:p>
    <w:p>
      <w:pPr>
        <w:spacing w:after="0" w:line="139" w:lineRule="exact"/>
        <w:rPr>
          <w:rFonts w:ascii="Arial" w:cs="Arial" w:eastAsia="Arial" w:hAnsi="Arial"/>
          <w:sz w:val="16"/>
          <w:szCs w:val="16"/>
          <w:color w:val="auto"/>
        </w:rPr>
      </w:pPr>
    </w:p>
    <w:p>
      <w:pPr>
        <w:ind w:left="2380" w:hanging="200"/>
        <w:spacing w:after="0"/>
        <w:tabs>
          <w:tab w:leader="none" w:pos="2380" w:val="left"/>
        </w:tabs>
        <w:numPr>
          <w:ilvl w:val="1"/>
          <w:numId w:val="160"/>
        </w:numPr>
        <w:rPr>
          <w:rFonts w:ascii="Arial" w:cs="Arial" w:eastAsia="Arial" w:hAnsi="Arial"/>
          <w:sz w:val="17"/>
          <w:szCs w:val="17"/>
          <w:color w:val="auto"/>
        </w:rPr>
      </w:pPr>
      <w:r>
        <w:rPr>
          <w:rFonts w:ascii="Arial" w:cs="Arial" w:eastAsia="Arial" w:hAnsi="Arial"/>
          <w:sz w:val="17"/>
          <w:szCs w:val="17"/>
          <w:u w:val="single" w:color="auto"/>
          <w:color w:val="auto"/>
        </w:rPr>
        <w:t>Minimum Amounts</w:t>
      </w:r>
      <w:r>
        <w:rPr>
          <w:rFonts w:ascii="Arial" w:cs="Arial" w:eastAsia="Arial" w:hAnsi="Arial"/>
          <w:sz w:val="17"/>
          <w:szCs w:val="17"/>
          <w:color w:val="auto"/>
        </w:rPr>
        <w:t>.</w:t>
      </w:r>
    </w:p>
    <w:p>
      <w:pPr>
        <w:spacing w:after="0" w:line="191" w:lineRule="exact"/>
        <w:rPr>
          <w:rFonts w:ascii="Arial" w:cs="Arial" w:eastAsia="Arial" w:hAnsi="Arial"/>
          <w:sz w:val="17"/>
          <w:szCs w:val="17"/>
          <w:color w:val="auto"/>
        </w:rPr>
      </w:pPr>
    </w:p>
    <w:p>
      <w:pPr>
        <w:jc w:val="both"/>
        <w:ind w:left="2280" w:right="20" w:firstLine="612"/>
        <w:spacing w:after="0" w:line="257" w:lineRule="auto"/>
        <w:tabs>
          <w:tab w:leader="none" w:pos="3179" w:val="left"/>
        </w:tabs>
        <w:numPr>
          <w:ilvl w:val="2"/>
          <w:numId w:val="160"/>
        </w:numPr>
        <w:rPr>
          <w:rFonts w:ascii="Arial" w:cs="Arial" w:eastAsia="Arial" w:hAnsi="Arial"/>
          <w:sz w:val="17"/>
          <w:szCs w:val="17"/>
          <w:color w:val="auto"/>
        </w:rPr>
      </w:pPr>
      <w:r>
        <w:rPr>
          <w:rFonts w:ascii="Arial" w:cs="Arial" w:eastAsia="Arial" w:hAnsi="Arial"/>
          <w:sz w:val="17"/>
          <w:szCs w:val="17"/>
          <w:color w:val="auto"/>
        </w:rPr>
        <w:t>in the case of an assignment of the entire remaining amount of the assigning Lender’s Commitment under any Facility and the Loans at the time owing to it under such Facility or in the case of an assignment to a Lender, an Affiliate of a Lender or an Approved Fund, no minimum amount need be assigned; and</w:t>
      </w:r>
    </w:p>
    <w:p>
      <w:pPr>
        <w:spacing w:after="0" w:line="157" w:lineRule="exact"/>
        <w:rPr>
          <w:rFonts w:ascii="Arial" w:cs="Arial" w:eastAsia="Arial" w:hAnsi="Arial"/>
          <w:sz w:val="17"/>
          <w:szCs w:val="17"/>
          <w:color w:val="auto"/>
        </w:rPr>
      </w:pPr>
    </w:p>
    <w:p>
      <w:pPr>
        <w:jc w:val="both"/>
        <w:ind w:left="2280" w:firstLine="612"/>
        <w:spacing w:after="0" w:line="286" w:lineRule="auto"/>
        <w:tabs>
          <w:tab w:leader="none" w:pos="3172" w:val="left"/>
        </w:tabs>
        <w:numPr>
          <w:ilvl w:val="2"/>
          <w:numId w:val="160"/>
        </w:numPr>
        <w:rPr>
          <w:rFonts w:ascii="Arial" w:cs="Arial" w:eastAsia="Arial" w:hAnsi="Arial"/>
          <w:sz w:val="15"/>
          <w:szCs w:val="15"/>
          <w:color w:val="auto"/>
        </w:rPr>
      </w:pPr>
      <w:r>
        <w:rPr>
          <w:rFonts w:ascii="Arial" w:cs="Arial" w:eastAsia="Arial" w:hAnsi="Arial"/>
          <w:sz w:val="15"/>
          <w:szCs w:val="15"/>
          <w:color w:val="auto"/>
        </w:rPr>
        <w:t xml:space="preserve">in any case not described in </w:t>
      </w:r>
      <w:r>
        <w:rPr>
          <w:rFonts w:ascii="Arial" w:cs="Arial" w:eastAsia="Arial" w:hAnsi="Arial"/>
          <w:sz w:val="15"/>
          <w:szCs w:val="15"/>
          <w:u w:val="single" w:color="auto"/>
          <w:color w:val="auto"/>
        </w:rPr>
        <w:t>clause (b)(i)(A)</w:t>
      </w:r>
      <w:r>
        <w:rPr>
          <w:rFonts w:ascii="Arial" w:cs="Arial" w:eastAsia="Arial" w:hAnsi="Arial"/>
          <w:sz w:val="15"/>
          <w:szCs w:val="15"/>
          <w:color w:val="auto"/>
        </w:rPr>
        <w:t xml:space="preserve">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or $1,000.000, in the case of any assignment in respect of the Company Term Facility, the Gentherm Germany Term Facility or any Add-On Company Term Facility unless each of the Administrative Agent and, so long as no Event of Default has occurred and is continuing, the Company otherwise consents (each such consent not to be unreasonably withheld or delayed);</w:t>
      </w:r>
    </w:p>
    <w:p>
      <w:pPr>
        <w:spacing w:after="0" w:line="137" w:lineRule="exact"/>
        <w:rPr>
          <w:rFonts w:ascii="Arial" w:cs="Arial" w:eastAsia="Arial" w:hAnsi="Arial"/>
          <w:sz w:val="15"/>
          <w:szCs w:val="15"/>
          <w:color w:val="auto"/>
        </w:rPr>
      </w:pPr>
    </w:p>
    <w:p>
      <w:pPr>
        <w:jc w:val="both"/>
        <w:ind w:left="1520" w:firstLine="660"/>
        <w:spacing w:after="0" w:line="253" w:lineRule="auto"/>
        <w:tabs>
          <w:tab w:leader="none" w:pos="2457" w:val="left"/>
        </w:tabs>
        <w:numPr>
          <w:ilvl w:val="1"/>
          <w:numId w:val="160"/>
        </w:numPr>
        <w:rPr>
          <w:rFonts w:ascii="Arial" w:cs="Arial" w:eastAsia="Arial" w:hAnsi="Arial"/>
          <w:sz w:val="17"/>
          <w:szCs w:val="17"/>
          <w:color w:val="auto"/>
        </w:rPr>
      </w:pPr>
      <w:r>
        <w:rPr>
          <w:rFonts w:ascii="Arial" w:cs="Arial" w:eastAsia="Arial" w:hAnsi="Arial"/>
          <w:sz w:val="17"/>
          <w:szCs w:val="17"/>
          <w:u w:val="single" w:color="auto"/>
          <w:color w:val="auto"/>
        </w:rPr>
        <w:t>Proportionate Amounts</w:t>
      </w:r>
      <w:r>
        <w:rPr>
          <w:rFonts w:ascii="Arial" w:cs="Arial" w:eastAsia="Arial" w:hAnsi="Arial"/>
          <w:sz w:val="17"/>
          <w:szCs w:val="17"/>
          <w:color w:val="auto"/>
        </w:rPr>
        <w:t xml:space="preserve">. Each partial assignment shall be made as an assignment of a proportionate part of all the assigning Lender’s rights and obligations under this Agreement with respect to the Loans or the Commitment assigned, except that this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shall not (A) apply to the Swing Line Lender’s rights and obligations in respect of Swing Line Loans or (B) prohibit any Lender from assigning all or a portion of its rights and obligations among separate Facilities on a non-pro rata basis;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440"/>
          </w:cols>
          <w:pgMar w:left="240" w:top="312" w:right="219" w:bottom="1440" w:gutter="0" w:footer="0" w:header="0"/>
        </w:sectPr>
      </w:pPr>
    </w:p>
    <w:bookmarkStart w:id="122" w:name="page123"/>
    <w:bookmarkEnd w:id="122"/>
    <w:p>
      <w:pPr>
        <w:ind w:left="760" w:right="20" w:firstLine="660"/>
        <w:spacing w:after="0" w:line="271" w:lineRule="auto"/>
        <w:tabs>
          <w:tab w:leader="none" w:pos="1734"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Required Consents</w:t>
      </w:r>
      <w:r>
        <w:rPr>
          <w:rFonts w:ascii="Arial" w:cs="Arial" w:eastAsia="Arial" w:hAnsi="Arial"/>
          <w:sz w:val="17"/>
          <w:szCs w:val="17"/>
          <w:color w:val="auto"/>
        </w:rPr>
        <w:t xml:space="preserve">. No consent shall be required for any assignment except to the extent required by </w:t>
      </w:r>
      <w:r>
        <w:rPr>
          <w:rFonts w:ascii="Arial" w:cs="Arial" w:eastAsia="Arial" w:hAnsi="Arial"/>
          <w:sz w:val="17"/>
          <w:szCs w:val="17"/>
          <w:u w:val="single" w:color="auto"/>
          <w:color w:val="auto"/>
        </w:rPr>
        <w:t>clause (b)(i)(B)</w:t>
      </w:r>
      <w:r>
        <w:rPr>
          <w:rFonts w:ascii="Arial" w:cs="Arial" w:eastAsia="Arial" w:hAnsi="Arial"/>
          <w:sz w:val="17"/>
          <w:szCs w:val="17"/>
          <w:color w:val="auto"/>
        </w:rPr>
        <w:t xml:space="preserve"> of this Section and, in addition:</w:t>
      </w:r>
    </w:p>
    <w:p>
      <w:pPr>
        <w:spacing w:after="0" w:line="144" w:lineRule="exact"/>
        <w:rPr>
          <w:rFonts w:ascii="Arial" w:cs="Arial" w:eastAsia="Arial" w:hAnsi="Arial"/>
          <w:sz w:val="17"/>
          <w:szCs w:val="17"/>
          <w:color w:val="auto"/>
        </w:rPr>
      </w:pPr>
    </w:p>
    <w:p>
      <w:pPr>
        <w:jc w:val="both"/>
        <w:ind w:left="1520" w:right="20" w:firstLine="612"/>
        <w:spacing w:after="0" w:line="297" w:lineRule="auto"/>
        <w:tabs>
          <w:tab w:leader="none" w:pos="2420" w:val="left"/>
        </w:tabs>
        <w:numPr>
          <w:ilvl w:val="1"/>
          <w:numId w:val="161"/>
        </w:numPr>
        <w:rPr>
          <w:rFonts w:ascii="Arial" w:cs="Arial" w:eastAsia="Arial" w:hAnsi="Arial"/>
          <w:sz w:val="15"/>
          <w:szCs w:val="15"/>
          <w:color w:val="auto"/>
        </w:rPr>
      </w:pPr>
      <w:r>
        <w:rPr>
          <w:rFonts w:ascii="Arial" w:cs="Arial" w:eastAsia="Arial" w:hAnsi="Arial"/>
          <w:sz w:val="15"/>
          <w:szCs w:val="15"/>
          <w:color w:val="auto"/>
        </w:rPr>
        <w:t xml:space="preserve">the consent of the Company (such consent not to be unreasonably withheld or delayed) shall be required unless (1) an Event of Default has occurred and is continuing at the time of such assignment or (2) such assignment is to a Lender, an Affiliate of a Lender or an Approved Fund;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Company shall be deemed to have consented to any such assignment unless it shall object thereto by written notice to the Administrative Agent within five (5) Business Days after having received notice thereof;</w:t>
      </w:r>
    </w:p>
    <w:p>
      <w:pPr>
        <w:spacing w:after="0" w:line="130" w:lineRule="exact"/>
        <w:rPr>
          <w:rFonts w:ascii="Arial" w:cs="Arial" w:eastAsia="Arial" w:hAnsi="Arial"/>
          <w:sz w:val="15"/>
          <w:szCs w:val="15"/>
          <w:color w:val="auto"/>
        </w:rPr>
      </w:pPr>
    </w:p>
    <w:p>
      <w:pPr>
        <w:jc w:val="both"/>
        <w:ind w:left="1520" w:firstLine="612"/>
        <w:spacing w:after="0" w:line="253" w:lineRule="auto"/>
        <w:tabs>
          <w:tab w:leader="none" w:pos="2404" w:val="left"/>
        </w:tabs>
        <w:numPr>
          <w:ilvl w:val="1"/>
          <w:numId w:val="161"/>
        </w:numPr>
        <w:rPr>
          <w:rFonts w:ascii="Arial" w:cs="Arial" w:eastAsia="Arial" w:hAnsi="Arial"/>
          <w:sz w:val="17"/>
          <w:szCs w:val="17"/>
          <w:color w:val="auto"/>
        </w:rPr>
      </w:pPr>
      <w:r>
        <w:rPr>
          <w:rFonts w:ascii="Arial" w:cs="Arial" w:eastAsia="Arial" w:hAnsi="Arial"/>
          <w:sz w:val="17"/>
          <w:szCs w:val="17"/>
          <w:color w:val="auto"/>
        </w:rPr>
        <w:t>the consent of the Administrative Agent (such consent not to be unreasonably withheld or delayed) shall be required for assignments in respect of (1) any Revolving Credit Commitment if such assignment is to a Person that is not a Lender, an Affiliate of such Lender or an Approved Fund or (2) any Term Loan to a Person that is not a Lender, an Affiliate of a Lender or an Approved Fund;</w:t>
      </w:r>
    </w:p>
    <w:p>
      <w:pPr>
        <w:spacing w:after="0" w:line="160" w:lineRule="exact"/>
        <w:rPr>
          <w:rFonts w:ascii="Arial" w:cs="Arial" w:eastAsia="Arial" w:hAnsi="Arial"/>
          <w:sz w:val="17"/>
          <w:szCs w:val="17"/>
          <w:color w:val="auto"/>
        </w:rPr>
      </w:pPr>
    </w:p>
    <w:p>
      <w:pPr>
        <w:jc w:val="both"/>
        <w:ind w:left="1520" w:firstLine="612"/>
        <w:spacing w:after="0" w:line="257" w:lineRule="auto"/>
        <w:tabs>
          <w:tab w:leader="none" w:pos="2428" w:val="left"/>
        </w:tabs>
        <w:numPr>
          <w:ilvl w:val="1"/>
          <w:numId w:val="161"/>
        </w:numPr>
        <w:rPr>
          <w:rFonts w:ascii="Arial" w:cs="Arial" w:eastAsia="Arial" w:hAnsi="Arial"/>
          <w:sz w:val="17"/>
          <w:szCs w:val="17"/>
          <w:color w:val="auto"/>
        </w:rPr>
      </w:pPr>
      <w:r>
        <w:rPr>
          <w:rFonts w:ascii="Arial" w:cs="Arial" w:eastAsia="Arial" w:hAnsi="Arial"/>
          <w:sz w:val="17"/>
          <w:szCs w:val="17"/>
          <w:color w:val="auto"/>
        </w:rPr>
        <w:t>the consent of the L/C Issuer (such consent not to be unreasonably withheld or delayed) shall be required for any assignment that increases the obligation of the assignee to participate in exposure under one or more Letters of Credit (whether or not then outstanding); and</w:t>
      </w:r>
    </w:p>
    <w:p>
      <w:pPr>
        <w:spacing w:after="0" w:line="157" w:lineRule="exact"/>
        <w:rPr>
          <w:rFonts w:ascii="Arial" w:cs="Arial" w:eastAsia="Arial" w:hAnsi="Arial"/>
          <w:sz w:val="17"/>
          <w:szCs w:val="17"/>
          <w:color w:val="auto"/>
        </w:rPr>
      </w:pPr>
    </w:p>
    <w:p>
      <w:pPr>
        <w:ind w:left="1520" w:right="20" w:firstLine="612"/>
        <w:spacing w:after="0" w:line="271" w:lineRule="auto"/>
        <w:tabs>
          <w:tab w:leader="none" w:pos="2421" w:val="left"/>
        </w:tabs>
        <w:numPr>
          <w:ilvl w:val="1"/>
          <w:numId w:val="161"/>
        </w:numPr>
        <w:rPr>
          <w:rFonts w:ascii="Arial" w:cs="Arial" w:eastAsia="Arial" w:hAnsi="Arial"/>
          <w:sz w:val="17"/>
          <w:szCs w:val="17"/>
          <w:color w:val="auto"/>
        </w:rPr>
      </w:pPr>
      <w:r>
        <w:rPr>
          <w:rFonts w:ascii="Arial" w:cs="Arial" w:eastAsia="Arial" w:hAnsi="Arial"/>
          <w:sz w:val="17"/>
          <w:szCs w:val="17"/>
          <w:color w:val="auto"/>
        </w:rPr>
        <w:t>the consent of the Swing Line Lender (such consent not to be unreasonably withheld or delayed) shall be required for any assignment in respect of the Revolving Credit Facility.</w:t>
      </w:r>
    </w:p>
    <w:p>
      <w:pPr>
        <w:spacing w:after="0" w:line="144" w:lineRule="exact"/>
        <w:rPr>
          <w:rFonts w:ascii="Arial" w:cs="Arial" w:eastAsia="Arial" w:hAnsi="Arial"/>
          <w:sz w:val="17"/>
          <w:szCs w:val="17"/>
          <w:color w:val="auto"/>
        </w:rPr>
      </w:pPr>
    </w:p>
    <w:p>
      <w:pPr>
        <w:jc w:val="both"/>
        <w:ind w:left="760" w:firstLine="660"/>
        <w:spacing w:after="0" w:line="253" w:lineRule="auto"/>
        <w:tabs>
          <w:tab w:leader="none" w:pos="1759"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60" w:lineRule="exact"/>
        <w:rPr>
          <w:rFonts w:ascii="Arial" w:cs="Arial" w:eastAsia="Arial" w:hAnsi="Arial"/>
          <w:sz w:val="17"/>
          <w:szCs w:val="17"/>
          <w:color w:val="auto"/>
        </w:rPr>
      </w:pPr>
    </w:p>
    <w:p>
      <w:pPr>
        <w:jc w:val="both"/>
        <w:ind w:left="760" w:firstLine="660"/>
        <w:spacing w:after="0" w:line="257" w:lineRule="auto"/>
        <w:tabs>
          <w:tab w:leader="none" w:pos="1688"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No Assignment to Certain Persons</w:t>
      </w:r>
      <w:r>
        <w:rPr>
          <w:rFonts w:ascii="Arial" w:cs="Arial" w:eastAsia="Arial" w:hAnsi="Arial"/>
          <w:sz w:val="17"/>
          <w:szCs w:val="17"/>
          <w:color w:val="auto"/>
        </w:rPr>
        <w:t xml:space="preserve">. No such assignment shall be made (A) to any Borrower or any Borrower’s Affiliates or Subsidiaries, or (B) to any Defaulting Lender or any of its Subsidiaries, or any Person who, upon becoming a Lender hereunder, would constitute any of the foregoing Persons described in this </w:t>
      </w:r>
      <w:r>
        <w:rPr>
          <w:rFonts w:ascii="Arial" w:cs="Arial" w:eastAsia="Arial" w:hAnsi="Arial"/>
          <w:sz w:val="17"/>
          <w:szCs w:val="17"/>
          <w:u w:val="single" w:color="auto"/>
          <w:color w:val="auto"/>
        </w:rPr>
        <w:t>clause (B)</w:t>
      </w:r>
      <w:r>
        <w:rPr>
          <w:rFonts w:ascii="Arial" w:cs="Arial" w:eastAsia="Arial" w:hAnsi="Arial"/>
          <w:sz w:val="17"/>
          <w:szCs w:val="17"/>
          <w:color w:val="auto"/>
        </w:rPr>
        <w:t>, or (C) to a natural person.</w:t>
      </w:r>
    </w:p>
    <w:p>
      <w:pPr>
        <w:spacing w:after="0" w:line="157" w:lineRule="exact"/>
        <w:rPr>
          <w:rFonts w:ascii="Arial" w:cs="Arial" w:eastAsia="Arial" w:hAnsi="Arial"/>
          <w:sz w:val="17"/>
          <w:szCs w:val="17"/>
          <w:color w:val="auto"/>
        </w:rPr>
      </w:pPr>
    </w:p>
    <w:p>
      <w:pPr>
        <w:jc w:val="both"/>
        <w:ind w:left="760" w:firstLine="660"/>
        <w:spacing w:after="0" w:line="283" w:lineRule="auto"/>
        <w:tabs>
          <w:tab w:leader="none" w:pos="1712" w:val="left"/>
        </w:tabs>
        <w:numPr>
          <w:ilvl w:val="0"/>
          <w:numId w:val="161"/>
        </w:numPr>
        <w:rPr>
          <w:rFonts w:ascii="Arial" w:cs="Arial" w:eastAsia="Arial" w:hAnsi="Arial"/>
          <w:sz w:val="15"/>
          <w:szCs w:val="15"/>
          <w:color w:val="auto"/>
        </w:rPr>
      </w:pPr>
      <w:r>
        <w:rPr>
          <w:rFonts w:ascii="Arial" w:cs="Arial" w:eastAsia="Arial" w:hAnsi="Arial"/>
          <w:sz w:val="15"/>
          <w:szCs w:val="15"/>
          <w:u w:val="single" w:color="auto"/>
          <w:color w:val="auto"/>
        </w:rPr>
        <w:t>Certain Additional Payments</w:t>
      </w:r>
      <w:r>
        <w:rPr>
          <w:rFonts w:ascii="Arial" w:cs="Arial" w:eastAsia="Arial" w:hAnsi="Arial"/>
          <w:sz w:val="15"/>
          <w:szCs w:val="15"/>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or any Lender hereunder (and interest accrued thereon) and (B)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42" w:lineRule="exact"/>
        <w:rPr>
          <w:sz w:val="20"/>
          <w:szCs w:val="20"/>
          <w:color w:val="auto"/>
        </w:rPr>
      </w:pPr>
    </w:p>
    <w:p>
      <w:pPr>
        <w:jc w:val="both"/>
        <w:ind w:right="20"/>
        <w:spacing w:after="0" w:line="308" w:lineRule="auto"/>
        <w:rPr>
          <w:sz w:val="20"/>
          <w:szCs w:val="20"/>
          <w:color w:val="auto"/>
        </w:rPr>
      </w:pPr>
      <w:r>
        <w:rPr>
          <w:rFonts w:ascii="Arial" w:cs="Arial" w:eastAsia="Arial" w:hAnsi="Arial"/>
          <w:sz w:val="15"/>
          <w:szCs w:val="15"/>
          <w:color w:val="auto"/>
        </w:rPr>
        <w:t xml:space="preserve">Subject to acceptance and recording thereof by the Administrative Agent pursuant to </w:t>
      </w:r>
      <w:r>
        <w:rPr>
          <w:rFonts w:ascii="Arial" w:cs="Arial" w:eastAsia="Arial" w:hAnsi="Arial"/>
          <w:sz w:val="15"/>
          <w:szCs w:val="15"/>
          <w:u w:val="single" w:color="auto"/>
          <w:color w:val="auto"/>
        </w:rPr>
        <w:t>clause (c)</w:t>
      </w:r>
      <w:r>
        <w:rPr>
          <w:rFonts w:ascii="Arial" w:cs="Arial" w:eastAsia="Arial" w:hAnsi="Arial"/>
          <w:sz w:val="15"/>
          <w:szCs w:val="15"/>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w:t>
      </w:r>
    </w:p>
    <w:p>
      <w:pPr>
        <w:spacing w:after="0" w:line="121"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0680"/>
          </w:cols>
          <w:pgMar w:left="1000" w:top="312" w:right="219" w:bottom="1440" w:gutter="0" w:footer="0" w:header="0"/>
        </w:sectPr>
      </w:pPr>
    </w:p>
    <w:bookmarkStart w:id="123" w:name="page124"/>
    <w:bookmarkEnd w:id="123"/>
    <w:p>
      <w:pPr>
        <w:jc w:val="both"/>
        <w:spacing w:after="0" w:line="268" w:lineRule="auto"/>
        <w:rPr>
          <w:sz w:val="20"/>
          <w:szCs w:val="20"/>
          <w:color w:val="auto"/>
        </w:rPr>
      </w:pPr>
      <w:r>
        <w:rPr>
          <w:rFonts w:ascii="Arial" w:cs="Arial" w:eastAsia="Arial" w:hAnsi="Arial"/>
          <w:sz w:val="16"/>
          <w:szCs w:val="16"/>
          <w:color w:val="auto"/>
        </w:rPr>
        <w:t xml:space="preserve">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11.04</w:t>
      </w:r>
      <w:r>
        <w:rPr>
          <w:rFonts w:ascii="Arial" w:cs="Arial" w:eastAsia="Arial" w:hAnsi="Arial"/>
          <w:sz w:val="16"/>
          <w:szCs w:val="16"/>
          <w:color w:val="auto"/>
        </w:rPr>
        <w:t xml:space="preserve"> with respect to facts and circumstances occurring prior to the effective date of such assignment. Upon request, each Borrower (at its expense) shall execute and deliver a Note to the assignee Lender. Any assignment or transfer by a Lender of rights or obligations under this Agreement that does not comply with this clause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Section 11.06(d)</w:t>
      </w:r>
      <w:r>
        <w:rPr>
          <w:rFonts w:ascii="Arial" w:cs="Arial" w:eastAsia="Arial" w:hAnsi="Arial"/>
          <w:sz w:val="16"/>
          <w:szCs w:val="16"/>
          <w:color w:val="auto"/>
        </w:rPr>
        <w:t>.</w:t>
      </w:r>
    </w:p>
    <w:p>
      <w:pPr>
        <w:spacing w:after="0" w:line="150" w:lineRule="exact"/>
        <w:rPr>
          <w:sz w:val="20"/>
          <w:szCs w:val="20"/>
          <w:color w:val="auto"/>
        </w:rPr>
      </w:pPr>
    </w:p>
    <w:p>
      <w:pPr>
        <w:jc w:val="both"/>
        <w:ind w:firstLine="709"/>
        <w:spacing w:after="0" w:line="248" w:lineRule="auto"/>
        <w:tabs>
          <w:tab w:leader="none" w:pos="946"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Register</w:t>
      </w:r>
      <w:r>
        <w:rPr>
          <w:rFonts w:ascii="Arial" w:cs="Arial" w:eastAsia="Arial" w:hAnsi="Arial"/>
          <w:sz w:val="17"/>
          <w:szCs w:val="17"/>
          <w:color w:val="auto"/>
        </w:rPr>
        <w:t>. The Administrative Agent, acting solely for this purpose as an agent of the Borrowers, shall maintain at the Administrative Agent’s Office a copy of each Assignment and Assumption delivered to it and a register for the recordation of the names and addresses of the Lenders, and the Commitments of, and principal amounts of the Loans and L/C Obligations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and the Borrowers, the Administrative Agent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Borrowers and any Lender, at any reasonable time and from time to time upon reasonable prior notice.</w:t>
      </w:r>
    </w:p>
    <w:p>
      <w:pPr>
        <w:spacing w:after="0" w:line="165" w:lineRule="exact"/>
        <w:rPr>
          <w:rFonts w:ascii="Arial" w:cs="Arial" w:eastAsia="Arial" w:hAnsi="Arial"/>
          <w:sz w:val="17"/>
          <w:szCs w:val="17"/>
          <w:color w:val="auto"/>
        </w:rPr>
      </w:pPr>
    </w:p>
    <w:p>
      <w:pPr>
        <w:jc w:val="both"/>
        <w:ind w:firstLine="709"/>
        <w:spacing w:after="0" w:line="266" w:lineRule="auto"/>
        <w:tabs>
          <w:tab w:leader="none" w:pos="990"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at any time, without the consent of, or notice to, any Borrower or the Administrative Agent, sell participations to any Person (other than a natural Person, a Defaulting Lender or any Borrower or any of such Borrower’s Affiliates or Subsidiaries) (each,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6"/>
          <w:szCs w:val="16"/>
          <w:u w:val="single" w:color="auto"/>
          <w:color w:val="auto"/>
        </w:rPr>
        <w:t>Section 11.04(c)</w:t>
      </w:r>
      <w:r>
        <w:rPr>
          <w:rFonts w:ascii="Arial" w:cs="Arial" w:eastAsia="Arial" w:hAnsi="Arial"/>
          <w:sz w:val="16"/>
          <w:szCs w:val="16"/>
          <w:color w:val="auto"/>
        </w:rPr>
        <w:t xml:space="preserve"> without regard to the existence of any participations.</w:t>
      </w:r>
    </w:p>
    <w:p>
      <w:pPr>
        <w:spacing w:after="0" w:line="150" w:lineRule="exact"/>
        <w:rPr>
          <w:sz w:val="20"/>
          <w:szCs w:val="20"/>
          <w:color w:val="auto"/>
        </w:rPr>
      </w:pPr>
    </w:p>
    <w:p>
      <w:pPr>
        <w:jc w:val="both"/>
        <w:ind w:firstLine="712"/>
        <w:spacing w:after="0" w:line="262"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that affects such Participant. The Borrower agrees that each Participant shall be entitled to the benefits of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(subject to the requirements and limitations therein, including the requirements under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(it being understood that the documentation required under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shall be delivered to the Lender that sells the participation)) to the same extent as if it were a Lender and had acquired its interest by assignment pursuant to paragraph (b)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 agrees to be subject to the provisions of </w:t>
      </w:r>
      <w:r>
        <w:rPr>
          <w:rFonts w:ascii="Arial" w:cs="Arial" w:eastAsia="Arial" w:hAnsi="Arial"/>
          <w:sz w:val="16"/>
          <w:szCs w:val="16"/>
          <w:u w:val="single" w:color="auto"/>
          <w:color w:val="auto"/>
        </w:rPr>
        <w:t>Sections 3.06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11.13</w:t>
      </w:r>
      <w:r>
        <w:rPr>
          <w:rFonts w:ascii="Arial" w:cs="Arial" w:eastAsia="Arial" w:hAnsi="Arial"/>
          <w:sz w:val="16"/>
          <w:szCs w:val="16"/>
          <w:color w:val="auto"/>
        </w:rPr>
        <w:t xml:space="preserve"> as if it were an assignee under paragraph (b) of this Section and (B) shall not be entitled to receive any greater payment under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any Borrower’s request and expense, to use reasonable efforts to cooperate with the Borrowers to effectuate the provisions of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with respect to any Participant. To the extent permitted by law, each Participant also shall be entitled to the benefits of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w:t>
      </w:r>
    </w:p>
    <w:p>
      <w:pPr>
        <w:spacing w:after="0" w:line="161"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0680"/>
          </w:cols>
          <w:pgMar w:left="1000" w:top="312" w:right="219" w:bottom="1440" w:gutter="0" w:footer="0" w:header="0"/>
        </w:sectPr>
      </w:pPr>
    </w:p>
    <w:bookmarkStart w:id="124" w:name="page125"/>
    <w:bookmarkEnd w:id="124"/>
    <w:p>
      <w:pPr>
        <w:jc w:val="both"/>
        <w:ind w:left="760"/>
        <w:spacing w:after="0" w:line="268" w:lineRule="auto"/>
        <w:rPr>
          <w:sz w:val="20"/>
          <w:szCs w:val="20"/>
          <w:color w:val="auto"/>
        </w:rPr>
      </w:pPr>
      <w:r>
        <w:rPr>
          <w:rFonts w:ascii="Arial" w:cs="Arial" w:eastAsia="Arial" w:hAnsi="Arial"/>
          <w:sz w:val="16"/>
          <w:szCs w:val="16"/>
          <w:color w:val="auto"/>
        </w:rPr>
        <w:t>(including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50" w:lineRule="exact"/>
        <w:rPr>
          <w:sz w:val="20"/>
          <w:szCs w:val="20"/>
          <w:color w:val="auto"/>
        </w:rPr>
      </w:pPr>
    </w:p>
    <w:p>
      <w:pPr>
        <w:jc w:val="both"/>
        <w:ind w:left="760" w:firstLine="709"/>
        <w:spacing w:after="0" w:line="253" w:lineRule="auto"/>
        <w:tabs>
          <w:tab w:leader="none" w:pos="1717"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Certain Pledges</w:t>
      </w:r>
      <w:r>
        <w:rPr>
          <w:rFonts w:ascii="Arial" w:cs="Arial" w:eastAsia="Arial" w:hAnsi="Arial"/>
          <w:sz w:val="17"/>
          <w:szCs w:val="17"/>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pledge or assignment shall release such Lender from any of its obligations hereunder or substitute any such pledgee or assignee for such Lender as a party hereto.</w:t>
      </w:r>
    </w:p>
    <w:p>
      <w:pPr>
        <w:spacing w:after="0" w:line="160" w:lineRule="exact"/>
        <w:rPr>
          <w:rFonts w:ascii="Arial" w:cs="Arial" w:eastAsia="Arial" w:hAnsi="Arial"/>
          <w:sz w:val="17"/>
          <w:szCs w:val="17"/>
          <w:color w:val="auto"/>
        </w:rPr>
      </w:pPr>
    </w:p>
    <w:p>
      <w:pPr>
        <w:jc w:val="both"/>
        <w:ind w:left="760" w:firstLine="709"/>
        <w:spacing w:after="0" w:line="262" w:lineRule="auto"/>
        <w:tabs>
          <w:tab w:leader="none" w:pos="1687"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Resignation as L/C Issuer or Swing Line Lender after Assignment</w:t>
      </w:r>
      <w:r>
        <w:rPr>
          <w:rFonts w:ascii="Arial" w:cs="Arial" w:eastAsia="Arial" w:hAnsi="Arial"/>
          <w:sz w:val="16"/>
          <w:szCs w:val="16"/>
          <w:color w:val="auto"/>
        </w:rPr>
        <w:t xml:space="preserve">. Notwithstanding anything to the contrary contained herein, if at any time Bank of America assigns all of its Revolving Credit Commitment and Revolving Credit Loans pursuant to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 Bank of America may, (i) upon 30 days’ notice to the Company and the Lenders, resign as L/C Issuer and/or (ii) upon 30 days’ notice to the Company, resign as Swing Line Lender. In the event of any such resignation as L/C Issuer or Swing Line Lender, the Company shall be entitled to appoint from among the Lenders a successor L/C Issuer or Swing Line Lender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any such appointment shall be subject to acceptance thereof by the Lender so appointed and (B) no failure by the Company to appoint any such successor shall affect the resignation of Bank of America as L/C Issuer or Swing 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4013200</wp:posOffset>
            </wp:positionH>
            <wp:positionV relativeFrom="paragraph">
              <wp:posOffset>-1926590</wp:posOffset>
            </wp:positionV>
            <wp:extent cx="2730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305" cy="7620"/>
                    </a:xfrm>
                    <a:prstGeom prst="rect">
                      <a:avLst/>
                    </a:prstGeom>
                    <a:noFill/>
                  </pic:spPr>
                </pic:pic>
              </a:graphicData>
            </a:graphic>
          </wp:anchor>
        </w:drawing>
      </w:r>
    </w:p>
    <w:p>
      <w:pPr>
        <w:spacing w:after="0" w:line="136" w:lineRule="exact"/>
        <w:rPr>
          <w:sz w:val="20"/>
          <w:szCs w:val="20"/>
          <w:color w:val="auto"/>
        </w:rPr>
      </w:pPr>
    </w:p>
    <w:p>
      <w:pPr>
        <w:jc w:val="both"/>
        <w:ind w:firstLine="763"/>
        <w:spacing w:after="0" w:line="264" w:lineRule="auto"/>
        <w:rPr>
          <w:sz w:val="20"/>
          <w:szCs w:val="20"/>
          <w:color w:val="auto"/>
        </w:rPr>
      </w:pPr>
      <w:r>
        <w:rPr>
          <w:rFonts w:ascii="Arial" w:cs="Arial" w:eastAsia="Arial" w:hAnsi="Arial"/>
          <w:sz w:val="16"/>
          <w:szCs w:val="16"/>
          <w:b w:val="1"/>
          <w:bCs w:val="1"/>
          <w:color w:val="auto"/>
        </w:rPr>
        <w:t>11.07 Treatment of Certain Information; Confidentiality</w:t>
      </w:r>
      <w:r>
        <w:rPr>
          <w:rFonts w:ascii="Arial" w:cs="Arial" w:eastAsia="Arial" w:hAnsi="Arial"/>
          <w:sz w:val="16"/>
          <w:szCs w:val="16"/>
          <w:color w:val="auto"/>
        </w:rPr>
        <w:t>. Each of the Administrative Agent, the Lenders and the L/C Issuer agrees to maintain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provided that the disclosing party shall use commercially reasonable efforts to notify the Company prior to the disclosure thereof unless prohibited by applicable Law,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a Borrower and its obligations, (g) with the consent of the Company or (h) to the extent such Information (x) becomes publicly available other than as a result of a breach of this Section or (y) becomes available to the Administrative Agent,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440"/>
          </w:cols>
          <w:pgMar w:left="240" w:top="312" w:right="21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color w:val="auto"/>
        </w:rPr>
        <w:t>any Lender, the L/C Issuer or any of their respective Affiliates on a nonconfidential basis from a source other than the Company.</w:t>
      </w:r>
    </w:p>
    <w:p>
      <w:pPr>
        <w:spacing w:after="0" w:line="191" w:lineRule="exact"/>
        <w:rPr>
          <w:sz w:val="20"/>
          <w:szCs w:val="20"/>
          <w:color w:val="auto"/>
        </w:rPr>
      </w:pPr>
    </w:p>
    <w:p>
      <w:pPr>
        <w:jc w:val="both"/>
        <w:ind w:firstLine="763"/>
        <w:spacing w:after="0" w:line="251" w:lineRule="auto"/>
        <w:rPr>
          <w:sz w:val="20"/>
          <w:szCs w:val="20"/>
          <w:color w:val="auto"/>
        </w:rPr>
      </w:pPr>
      <w:r>
        <w:rPr>
          <w:rFonts w:ascii="Arial" w:cs="Arial" w:eastAsia="Arial" w:hAnsi="Arial"/>
          <w:sz w:val="17"/>
          <w:szCs w:val="17"/>
          <w:color w:val="auto"/>
        </w:rPr>
        <w:t>For purposes of this Section, “</w:t>
      </w:r>
      <w:r>
        <w:rPr>
          <w:rFonts w:ascii="Arial" w:cs="Arial" w:eastAsia="Arial" w:hAnsi="Arial"/>
          <w:sz w:val="17"/>
          <w:szCs w:val="17"/>
          <w:u w:val="single" w:color="auto"/>
          <w:color w:val="auto"/>
        </w:rPr>
        <w:t>Information</w:t>
      </w:r>
      <w:r>
        <w:rPr>
          <w:rFonts w:ascii="Arial" w:cs="Arial" w:eastAsia="Arial" w:hAnsi="Arial"/>
          <w:sz w:val="17"/>
          <w:szCs w:val="17"/>
          <w:color w:val="auto"/>
        </w:rPr>
        <w:t>” means all information received from the Company or any Subsidiary relating to the Company or any Subsidiary or any of their respective businesses, other than any such information that is available to the Administrative Agent, any Lender or the L/C Issuer on a nonconfidential basis prior to disclosure by the Company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62" w:lineRule="exact"/>
        <w:rPr>
          <w:sz w:val="20"/>
          <w:szCs w:val="20"/>
          <w:color w:val="auto"/>
        </w:rPr>
      </w:pPr>
    </w:p>
    <w:p>
      <w:pPr>
        <w:jc w:val="both"/>
        <w:ind w:right="20" w:firstLine="763"/>
        <w:spacing w:after="0" w:line="281" w:lineRule="auto"/>
        <w:rPr>
          <w:sz w:val="20"/>
          <w:szCs w:val="20"/>
          <w:color w:val="auto"/>
        </w:rPr>
      </w:pPr>
      <w:r>
        <w:rPr>
          <w:rFonts w:ascii="Arial" w:cs="Arial" w:eastAsia="Arial" w:hAnsi="Arial"/>
          <w:sz w:val="16"/>
          <w:szCs w:val="16"/>
          <w:color w:val="auto"/>
        </w:rPr>
        <w:t>Each of the Administrative Agent, the Lenders and the L/C Issuer acknowledges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33" w:lineRule="exact"/>
        <w:rPr>
          <w:sz w:val="20"/>
          <w:szCs w:val="20"/>
          <w:color w:val="auto"/>
        </w:rPr>
      </w:pPr>
    </w:p>
    <w:p>
      <w:pPr>
        <w:jc w:val="both"/>
        <w:ind w:firstLine="763"/>
        <w:spacing w:after="0" w:line="282" w:lineRule="auto"/>
        <w:rPr>
          <w:sz w:val="20"/>
          <w:szCs w:val="20"/>
          <w:color w:val="auto"/>
        </w:rPr>
      </w:pPr>
      <w:r>
        <w:rPr>
          <w:rFonts w:ascii="Arial" w:cs="Arial" w:eastAsia="Arial" w:hAnsi="Arial"/>
          <w:sz w:val="15"/>
          <w:szCs w:val="15"/>
          <w:b w:val="1"/>
          <w:bCs w:val="1"/>
          <w:color w:val="auto"/>
        </w:rPr>
        <w:t>11.08 Right of Setoff</w:t>
      </w:r>
      <w:r>
        <w:rPr>
          <w:rFonts w:ascii="Arial" w:cs="Arial" w:eastAsia="Arial" w:hAnsi="Arial"/>
          <w:sz w:val="15"/>
          <w:szCs w:val="15"/>
          <w:color w:val="auto"/>
        </w:rPr>
        <w:t>. If an Event of Default shall have occurred and be continuing, each Lender, the L/C Issuer and each of their respective Affiliates is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any Borrower against any and all of the obligations of such Borrower now or hereafter existing under this Agreement or any other Loan Document to such Lender or the L/C Issuer, irrespective of whether or not such Lender or the L/C Issuer shall have made any demand under this Agreement or any other Loan Document and although such obligations of such Borrower may be contingent or unmatured or are owed to a branch or office of such Lender or the L/C Issuer different from the branch or office holding such deposit or obligated on such indebtedness;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5"/>
          <w:szCs w:val="15"/>
          <w:u w:val="single" w:color="auto"/>
          <w:color w:val="auto"/>
        </w:rPr>
        <w:t>Section 2.16</w:t>
      </w:r>
      <w:r>
        <w:rPr>
          <w:rFonts w:ascii="Arial" w:cs="Arial" w:eastAsia="Arial" w:hAnsi="Arial"/>
          <w:sz w:val="15"/>
          <w:szCs w:val="15"/>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Company and the Administrative Agent promptly after any such setoff and application;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failure to give such notice shall not affect the validity of such setoff and application.</w:t>
      </w:r>
    </w:p>
    <w:p>
      <w:pPr>
        <w:spacing w:after="0" w:line="140" w:lineRule="exact"/>
        <w:rPr>
          <w:sz w:val="20"/>
          <w:szCs w:val="20"/>
          <w:color w:val="auto"/>
        </w:rPr>
      </w:pPr>
    </w:p>
    <w:p>
      <w:pPr>
        <w:jc w:val="both"/>
        <w:ind w:firstLine="763"/>
        <w:spacing w:after="0" w:line="249" w:lineRule="auto"/>
        <w:rPr>
          <w:sz w:val="20"/>
          <w:szCs w:val="20"/>
          <w:color w:val="auto"/>
        </w:rPr>
      </w:pPr>
      <w:r>
        <w:rPr>
          <w:rFonts w:ascii="Arial" w:cs="Arial" w:eastAsia="Arial" w:hAnsi="Arial"/>
          <w:sz w:val="17"/>
          <w:szCs w:val="17"/>
          <w:b w:val="1"/>
          <w:bCs w:val="1"/>
          <w:color w:val="auto"/>
        </w:rPr>
        <w:t>11.09 Interest Rate Limitation</w:t>
      </w:r>
      <w:r>
        <w:rPr>
          <w:rFonts w:ascii="Arial" w:cs="Arial" w:eastAsia="Arial" w:hAnsi="Arial"/>
          <w:sz w:val="17"/>
          <w:szCs w:val="17"/>
          <w:color w:val="auto"/>
        </w:rPr>
        <w:t>. Notwithstanding anything to the contrary contained in any Loan Document, the interest paid or agreed to be paid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Loan Documents shall not exceed the maximum rate of non-usurious interest permitted by applicable Law (including, without limitation, the Criminal Code (Canada)) (the “</w:t>
      </w:r>
      <w:r>
        <w:rPr>
          <w:rFonts w:ascii="Arial" w:cs="Arial" w:eastAsia="Arial" w:hAnsi="Arial"/>
          <w:sz w:val="17"/>
          <w:szCs w:val="17"/>
          <w:u w:val="single" w:color="auto"/>
          <w:color w:val="auto"/>
        </w:rPr>
        <w:t>Maximum Rate</w:t>
      </w:r>
      <w:r>
        <w:rPr>
          <w:rFonts w:ascii="Arial" w:cs="Arial" w:eastAsia="Arial" w:hAnsi="Arial"/>
          <w:sz w:val="17"/>
          <w:szCs w:val="17"/>
          <w:color w:val="auto"/>
        </w:rPr>
        <w:t>”). If the Administrative Agent or any Lender shall receive interest in an amount that exceeds the Maximum Rate, the excess interest shall be applied to the principal of the Loans or, if it exceeds such unpaid principal, refunded to the Company (on behalf of the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59" w:lineRule="exact"/>
        <w:rPr>
          <w:sz w:val="20"/>
          <w:szCs w:val="20"/>
          <w:color w:val="auto"/>
        </w:rPr>
      </w:pPr>
    </w:p>
    <w:p>
      <w:pPr>
        <w:jc w:val="both"/>
        <w:ind w:firstLine="763"/>
        <w:spacing w:after="0" w:line="272" w:lineRule="auto"/>
        <w:rPr>
          <w:sz w:val="20"/>
          <w:szCs w:val="20"/>
          <w:color w:val="auto"/>
        </w:rPr>
      </w:pPr>
      <w:r>
        <w:rPr>
          <w:rFonts w:ascii="Arial" w:cs="Arial" w:eastAsia="Arial" w:hAnsi="Arial"/>
          <w:sz w:val="16"/>
          <w:szCs w:val="16"/>
          <w:b w:val="1"/>
          <w:bCs w:val="1"/>
          <w:color w:val="auto"/>
        </w:rPr>
        <w:t>11.10 Counterparts; Integration; Effectiveness</w:t>
      </w:r>
      <w:r>
        <w:rPr>
          <w:rFonts w:ascii="Arial" w:cs="Arial" w:eastAsia="Arial" w:hAnsi="Arial"/>
          <w:sz w:val="16"/>
          <w:szCs w:val="16"/>
          <w:color w:val="auto"/>
        </w:rPr>
        <w:t>. This Agreement may be executed in counterparts (and by different parties hereto in different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counterparts), each of which shall constitute an original, but all of which when taken together shall constitute a single contract. Except as provided in </w:t>
      </w:r>
      <w:r>
        <w:rPr>
          <w:rFonts w:ascii="Arial" w:cs="Arial" w:eastAsia="Arial" w:hAnsi="Arial"/>
          <w:sz w:val="16"/>
          <w:szCs w:val="16"/>
          <w:u w:val="single" w:color="auto"/>
          <w:color w:val="auto"/>
        </w:rPr>
        <w:t>Section 4.01</w:t>
      </w:r>
      <w:r>
        <w:rPr>
          <w:rFonts w:ascii="Arial" w:cs="Arial" w:eastAsia="Arial" w:hAnsi="Arial"/>
          <w:sz w:val="16"/>
          <w:szCs w:val="16"/>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other electronic imaging means shall be effective as delivery of a manually executed counterpart of this Agreement.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440"/>
          </w:cols>
          <w:pgMar w:left="240" w:top="312" w:right="219" w:bottom="1440" w:gutter="0" w:footer="0" w:header="0"/>
        </w:sectPr>
      </w:pPr>
    </w:p>
    <w:bookmarkStart w:id="126" w:name="page127"/>
    <w:bookmarkEnd w:id="126"/>
    <w:p>
      <w:pPr>
        <w:jc w:val="both"/>
        <w:ind w:firstLine="763"/>
        <w:spacing w:after="0" w:line="251" w:lineRule="auto"/>
        <w:rPr>
          <w:sz w:val="20"/>
          <w:szCs w:val="20"/>
          <w:color w:val="auto"/>
        </w:rPr>
      </w:pPr>
      <w:r>
        <w:rPr>
          <w:rFonts w:ascii="Arial" w:cs="Arial" w:eastAsia="Arial" w:hAnsi="Arial"/>
          <w:sz w:val="17"/>
          <w:szCs w:val="17"/>
          <w:b w:val="1"/>
          <w:bCs w:val="1"/>
          <w:color w:val="auto"/>
        </w:rPr>
        <w:t>11.11 Survival of Representations and Warranties</w:t>
      </w:r>
      <w:r>
        <w:rPr>
          <w:rFonts w:ascii="Arial" w:cs="Arial" w:eastAsia="Arial" w:hAnsi="Arial"/>
          <w:sz w:val="17"/>
          <w:szCs w:val="17"/>
          <w:color w:val="auto"/>
        </w:rPr>
        <w:t>. All representations and warranties made hereunder and in any other Loan Document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57" w:lineRule="exact"/>
        <w:rPr>
          <w:sz w:val="20"/>
          <w:szCs w:val="20"/>
          <w:color w:val="auto"/>
        </w:rPr>
      </w:pPr>
    </w:p>
    <w:p>
      <w:pPr>
        <w:jc w:val="both"/>
        <w:ind w:right="20" w:firstLine="763"/>
        <w:spacing w:after="0" w:line="289" w:lineRule="auto"/>
        <w:rPr>
          <w:sz w:val="20"/>
          <w:szCs w:val="20"/>
          <w:color w:val="auto"/>
        </w:rPr>
      </w:pPr>
      <w:r>
        <w:rPr>
          <w:rFonts w:ascii="Arial" w:cs="Arial" w:eastAsia="Arial" w:hAnsi="Arial"/>
          <w:sz w:val="15"/>
          <w:szCs w:val="15"/>
          <w:b w:val="1"/>
          <w:bCs w:val="1"/>
          <w:color w:val="auto"/>
        </w:rPr>
        <w:t>11.12 Severability</w:t>
      </w:r>
      <w:r>
        <w:rPr>
          <w:rFonts w:ascii="Arial" w:cs="Arial" w:eastAsia="Arial" w:hAnsi="Arial"/>
          <w:sz w:val="15"/>
          <w:szCs w:val="15"/>
          <w:color w:val="auto"/>
        </w:rPr>
        <w:t>. If any provision of this Agreement or the other Loan Documents is held to be illegal, invalid or unenforceable, (a) the legality, validity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5"/>
          <w:szCs w:val="15"/>
          <w:u w:val="single" w:color="auto"/>
          <w:color w:val="auto"/>
        </w:rPr>
        <w:t>Section 11.12</w:t>
      </w:r>
      <w:r>
        <w:rPr>
          <w:rFonts w:ascii="Arial" w:cs="Arial" w:eastAsia="Arial" w:hAnsi="Arial"/>
          <w:sz w:val="15"/>
          <w:szCs w:val="15"/>
          <w:color w:val="auto"/>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129" w:lineRule="exact"/>
        <w:rPr>
          <w:sz w:val="20"/>
          <w:szCs w:val="20"/>
          <w:color w:val="auto"/>
        </w:rPr>
      </w:pPr>
    </w:p>
    <w:p>
      <w:pPr>
        <w:jc w:val="both"/>
        <w:ind w:firstLine="763"/>
        <w:spacing w:after="0" w:line="251" w:lineRule="auto"/>
        <w:rPr>
          <w:sz w:val="20"/>
          <w:szCs w:val="20"/>
          <w:color w:val="auto"/>
        </w:rPr>
      </w:pPr>
      <w:r>
        <w:rPr>
          <w:rFonts w:ascii="Arial" w:cs="Arial" w:eastAsia="Arial" w:hAnsi="Arial"/>
          <w:sz w:val="17"/>
          <w:szCs w:val="17"/>
          <w:b w:val="1"/>
          <w:bCs w:val="1"/>
          <w:color w:val="auto"/>
        </w:rPr>
        <w:t>11.13 Replacement of Lenders</w:t>
      </w:r>
      <w:r>
        <w:rPr>
          <w:rFonts w:ascii="Arial" w:cs="Arial" w:eastAsia="Arial" w:hAnsi="Arial"/>
          <w:sz w:val="17"/>
          <w:szCs w:val="17"/>
          <w:color w:val="auto"/>
        </w:rPr>
        <w:t>. If the Company is entitled to replace a Lender pursuant to the provisions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3.06(b)</w:t>
      </w:r>
      <w:r>
        <w:rPr>
          <w:rFonts w:ascii="Arial" w:cs="Arial" w:eastAsia="Arial" w:hAnsi="Arial"/>
          <w:sz w:val="17"/>
          <w:szCs w:val="17"/>
          <w:color w:val="auto"/>
        </w:rPr>
        <w:t>, or if any Lender is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Defaulting Lender or a Non-Consenting Lender,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7"/>
          <w:szCs w:val="17"/>
          <w:u w:val="single" w:color="auto"/>
          <w:color w:val="auto"/>
        </w:rPr>
        <w:t>Section 11.06</w:t>
      </w:r>
      <w:r>
        <w:rPr>
          <w:rFonts w:ascii="Arial" w:cs="Arial" w:eastAsia="Arial" w:hAnsi="Arial"/>
          <w:sz w:val="17"/>
          <w:szCs w:val="17"/>
          <w:color w:val="auto"/>
        </w:rPr>
        <w:t xml:space="preserve">), all of its interests, rights (other than its rights to payments pursuant to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immediately prior to such assignment)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63" w:lineRule="exact"/>
        <w:rPr>
          <w:sz w:val="20"/>
          <w:szCs w:val="20"/>
          <w:color w:val="auto"/>
        </w:rPr>
      </w:pPr>
    </w:p>
    <w:p>
      <w:pPr>
        <w:ind w:left="1700" w:hanging="231"/>
        <w:spacing w:after="0"/>
        <w:tabs>
          <w:tab w:leader="none" w:pos="170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the Company shall have paid to the Administrative Agent the assignment fee (if any) specified in </w:t>
      </w:r>
      <w:r>
        <w:rPr>
          <w:rFonts w:ascii="Arial" w:cs="Arial" w:eastAsia="Arial" w:hAnsi="Arial"/>
          <w:sz w:val="17"/>
          <w:szCs w:val="17"/>
          <w:u w:val="single" w:color="auto"/>
          <w:color w:val="auto"/>
        </w:rPr>
        <w:t>Section 11.06(b)</w:t>
      </w:r>
      <w:r>
        <w:rPr>
          <w:rFonts w:ascii="Arial" w:cs="Arial" w:eastAsia="Arial" w:hAnsi="Arial"/>
          <w:sz w:val="17"/>
          <w:szCs w:val="17"/>
          <w:color w:val="auto"/>
        </w:rPr>
        <w:t>;</w:t>
      </w:r>
    </w:p>
    <w:p>
      <w:pPr>
        <w:spacing w:after="0" w:line="191" w:lineRule="exact"/>
        <w:rPr>
          <w:rFonts w:ascii="Arial" w:cs="Arial" w:eastAsia="Arial" w:hAnsi="Arial"/>
          <w:sz w:val="17"/>
          <w:szCs w:val="17"/>
          <w:color w:val="auto"/>
        </w:rPr>
      </w:pPr>
    </w:p>
    <w:p>
      <w:pPr>
        <w:jc w:val="both"/>
        <w:ind w:left="760" w:right="20" w:firstLine="709"/>
        <w:spacing w:after="0" w:line="253" w:lineRule="auto"/>
        <w:tabs>
          <w:tab w:leader="none" w:pos="1726"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such Lender shall have received payment of an amount equal to one hundred percent (100%) of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7"/>
          <w:szCs w:val="17"/>
          <w:u w:val="single" w:color="auto"/>
          <w:color w:val="auto"/>
        </w:rPr>
        <w:t>Section 3.05</w:t>
      </w:r>
      <w:r>
        <w:rPr>
          <w:rFonts w:ascii="Arial" w:cs="Arial" w:eastAsia="Arial" w:hAnsi="Arial"/>
          <w:sz w:val="17"/>
          <w:szCs w:val="17"/>
          <w:color w:val="auto"/>
        </w:rPr>
        <w:t>) from the assignee (to the extent of such outstanding principal and accrued interest and fees) or the Company (in the case of all other amounts);</w:t>
      </w:r>
    </w:p>
    <w:p>
      <w:pPr>
        <w:spacing w:after="0" w:line="160" w:lineRule="exact"/>
        <w:rPr>
          <w:rFonts w:ascii="Arial" w:cs="Arial" w:eastAsia="Arial" w:hAnsi="Arial"/>
          <w:sz w:val="17"/>
          <w:szCs w:val="17"/>
          <w:color w:val="auto"/>
        </w:rPr>
      </w:pPr>
    </w:p>
    <w:p>
      <w:pPr>
        <w:ind w:left="760" w:right="20" w:firstLine="709"/>
        <w:spacing w:after="0" w:line="271" w:lineRule="auto"/>
        <w:tabs>
          <w:tab w:leader="none" w:pos="171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in the case of any such assignment resulting from a claim for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payments required to be made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such assignment will result in a reduction in such compensation or payments thereafter;</w:t>
      </w:r>
    </w:p>
    <w:p>
      <w:pPr>
        <w:spacing w:after="0" w:line="138" w:lineRule="exact"/>
        <w:rPr>
          <w:rFonts w:ascii="Arial" w:cs="Arial" w:eastAsia="Arial" w:hAnsi="Arial"/>
          <w:sz w:val="17"/>
          <w:szCs w:val="17"/>
          <w:color w:val="auto"/>
        </w:rPr>
      </w:pPr>
    </w:p>
    <w:p>
      <w:pPr>
        <w:ind w:left="1720" w:hanging="251"/>
        <w:spacing w:after="0"/>
        <w:tabs>
          <w:tab w:leader="none" w:pos="172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such assignment does not conflict with applicable Laws</w:t>
      </w:r>
      <w:r>
        <w:rPr>
          <w:rFonts w:ascii="Arial" w:cs="Arial" w:eastAsia="Arial" w:hAnsi="Arial"/>
          <w:sz w:val="17"/>
          <w:szCs w:val="17"/>
          <w:b w:val="1"/>
          <w:bCs w:val="1"/>
          <w:color w:val="auto"/>
        </w:rPr>
        <w:t>;</w:t>
      </w:r>
      <w:r>
        <w:rPr>
          <w:rFonts w:ascii="Arial" w:cs="Arial" w:eastAsia="Arial" w:hAnsi="Arial"/>
          <w:sz w:val="17"/>
          <w:szCs w:val="17"/>
          <w:color w:val="auto"/>
        </w:rPr>
        <w:t xml:space="preserve"> and</w:t>
      </w:r>
    </w:p>
    <w:p>
      <w:pPr>
        <w:spacing w:after="0" w:line="197" w:lineRule="exact"/>
        <w:rPr>
          <w:rFonts w:ascii="Arial" w:cs="Arial" w:eastAsia="Arial" w:hAnsi="Arial"/>
          <w:sz w:val="17"/>
          <w:szCs w:val="17"/>
          <w:color w:val="auto"/>
        </w:rPr>
      </w:pPr>
    </w:p>
    <w:p>
      <w:pPr>
        <w:jc w:val="both"/>
        <w:ind w:left="760" w:firstLine="709"/>
        <w:spacing w:after="0" w:line="249" w:lineRule="auto"/>
        <w:tabs>
          <w:tab w:leader="none" w:pos="1714"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in the case of any such assignment resulting from a Non-Consenting Lender’s failure to consent to a proposed change, waiver, discharge or termination with respect to any Loan Document, the applicable replacement bank, financial institution or Fund consents to the proposed change, waiver, discharge or 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by such Non-Consenting Lender to execute and deliver an Assignment and Assumption shall not impair the validity of the removal of such Non-Consenting Lender and the mandatory assignment of such Non-Consenting Lender’s Commitments and outstanding Loans and participations in L/C Obligations and Swing Line Loans pursuant to this </w:t>
      </w:r>
      <w:r>
        <w:rPr>
          <w:rFonts w:ascii="Arial" w:cs="Arial" w:eastAsia="Arial" w:hAnsi="Arial"/>
          <w:sz w:val="17"/>
          <w:szCs w:val="17"/>
          <w:u w:val="single" w:color="auto"/>
          <w:color w:val="auto"/>
        </w:rPr>
        <w:t>Section 11.13</w:t>
      </w:r>
      <w:r>
        <w:rPr>
          <w:rFonts w:ascii="Arial" w:cs="Arial" w:eastAsia="Arial" w:hAnsi="Arial"/>
          <w:sz w:val="17"/>
          <w:szCs w:val="17"/>
          <w:color w:val="auto"/>
        </w:rPr>
        <w:t xml:space="preserve"> shall nevertheless be effective without the execution by such Non-Consenting Lender of an Assignment and Assumption.</w:t>
      </w:r>
    </w:p>
    <w:p>
      <w:pPr>
        <w:spacing w:after="0" w:line="166" w:lineRule="exact"/>
        <w:rPr>
          <w:sz w:val="20"/>
          <w:szCs w:val="20"/>
          <w:color w:val="auto"/>
        </w:rPr>
      </w:pPr>
    </w:p>
    <w:p>
      <w:pPr>
        <w:ind w:firstLine="763"/>
        <w:spacing w:after="0" w:line="271" w:lineRule="auto"/>
        <w:rPr>
          <w:sz w:val="20"/>
          <w:szCs w:val="20"/>
          <w:color w:val="auto"/>
        </w:rPr>
      </w:pPr>
      <w:r>
        <w:rPr>
          <w:rFonts w:ascii="Arial" w:cs="Arial" w:eastAsia="Arial" w:hAnsi="Arial"/>
          <w:sz w:val="17"/>
          <w:szCs w:val="17"/>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440"/>
          </w:cols>
          <w:pgMar w:left="240" w:top="306" w:right="219" w:bottom="1440" w:gutter="0" w:footer="0" w:header="0"/>
        </w:sectPr>
      </w:pPr>
    </w:p>
    <w:bookmarkStart w:id="127" w:name="page128"/>
    <w:bookmarkEnd w:id="127"/>
    <w:p>
      <w:pPr>
        <w:ind w:left="760"/>
        <w:spacing w:after="0"/>
        <w:rPr>
          <w:sz w:val="20"/>
          <w:szCs w:val="20"/>
          <w:color w:val="auto"/>
        </w:rPr>
      </w:pPr>
      <w:r>
        <w:rPr>
          <w:rFonts w:ascii="Arial" w:cs="Arial" w:eastAsia="Arial" w:hAnsi="Arial"/>
          <w:sz w:val="17"/>
          <w:szCs w:val="17"/>
          <w:b w:val="1"/>
          <w:bCs w:val="1"/>
          <w:color w:val="auto"/>
        </w:rPr>
        <w:t>11.14 Governing Law; Jurisdiction; Etc.</w:t>
      </w:r>
    </w:p>
    <w:p>
      <w:pPr>
        <w:spacing w:after="0" w:line="197" w:lineRule="exact"/>
        <w:rPr>
          <w:sz w:val="20"/>
          <w:szCs w:val="20"/>
          <w:color w:val="auto"/>
        </w:rPr>
      </w:pPr>
    </w:p>
    <w:p>
      <w:pPr>
        <w:ind w:left="760" w:firstLine="709"/>
        <w:spacing w:after="0" w:line="271" w:lineRule="auto"/>
        <w:tabs>
          <w:tab w:leader="none" w:pos="1706"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LAW OF THE STATE OF NEW YORK.</w:t>
      </w:r>
    </w:p>
    <w:p>
      <w:pPr>
        <w:spacing w:after="0" w:line="144" w:lineRule="exact"/>
        <w:rPr>
          <w:rFonts w:ascii="Arial" w:cs="Arial" w:eastAsia="Arial" w:hAnsi="Arial"/>
          <w:sz w:val="17"/>
          <w:szCs w:val="17"/>
          <w:color w:val="auto"/>
        </w:rPr>
      </w:pPr>
    </w:p>
    <w:p>
      <w:pPr>
        <w:jc w:val="both"/>
        <w:ind w:left="760" w:firstLine="709"/>
        <w:spacing w:after="0" w:line="246" w:lineRule="auto"/>
        <w:tabs>
          <w:tab w:leader="none" w:pos="1715"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EACH BORROWER IRREVOCABLY AND UNCONDITIONALLY SUBMITS, FOR ITSELF AND ITS PROPERTY, TO THE NONEXCLUSIVE JURISDICTION OF THE COURTS OF THE STATE OF NEW YORK SITTING IN NEW YORK COUNTY AND OF THE UNITED STATES DISTRICT COURT FOR THE SOUTHERN DISTRICT OF NEW YORK, AND ANY APPELLATE COURT FROM ANY THEREOF, IN ANY ACTION OR PROCEEDING ARISING OUT OF OR RELATING TO THIS AGREEMENT OR ANY OTHER LOAN DOCUMENT, OR FOR RECOGNITION OR ENFORCEMENT OF ANY JUDGMENT RELATED THERETO,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ANY BORROWER OR ITS PROPERTIES IN THE COURTS OF ANY JURISDICTION.</w:t>
      </w:r>
    </w:p>
    <w:p>
      <w:pPr>
        <w:spacing w:after="0" w:line="173" w:lineRule="exact"/>
        <w:rPr>
          <w:rFonts w:ascii="Arial" w:cs="Arial" w:eastAsia="Arial" w:hAnsi="Arial"/>
          <w:sz w:val="17"/>
          <w:szCs w:val="17"/>
          <w:color w:val="auto"/>
        </w:rPr>
      </w:pPr>
    </w:p>
    <w:p>
      <w:pPr>
        <w:jc w:val="both"/>
        <w:ind w:left="760" w:firstLine="709"/>
        <w:spacing w:after="0" w:line="249" w:lineRule="auto"/>
        <w:tabs>
          <w:tab w:leader="none" w:pos="1729"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WAIVER OF VENUE</w:t>
      </w:r>
      <w:r>
        <w:rPr>
          <w:rFonts w:ascii="Arial" w:cs="Arial" w:eastAsia="Arial" w:hAnsi="Arial"/>
          <w:sz w:val="17"/>
          <w:szCs w:val="17"/>
          <w:color w:val="auto"/>
        </w:rPr>
        <w:t>. EACH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66" w:lineRule="exact"/>
        <w:rPr>
          <w:rFonts w:ascii="Arial" w:cs="Arial" w:eastAsia="Arial" w:hAnsi="Arial"/>
          <w:sz w:val="17"/>
          <w:szCs w:val="17"/>
          <w:color w:val="auto"/>
        </w:rPr>
      </w:pPr>
    </w:p>
    <w:p>
      <w:pPr>
        <w:jc w:val="both"/>
        <w:ind w:left="760" w:firstLine="709"/>
        <w:spacing w:after="0" w:line="266" w:lineRule="auto"/>
        <w:tabs>
          <w:tab w:leader="none" w:pos="1774"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SERVICE OF PROCESS</w:t>
      </w:r>
      <w:r>
        <w:rPr>
          <w:rFonts w:ascii="Arial" w:cs="Arial" w:eastAsia="Arial" w:hAnsi="Arial"/>
          <w:sz w:val="16"/>
          <w:szCs w:val="16"/>
          <w:color w:val="auto"/>
        </w:rPr>
        <w:t xml:space="preserve">. EACH PARTY HERETO AGREES THAT THE PROCESS BY WHICH ANY SUIT, ACTION OR PROCEEDING IS BEGUN MAY BE SERVED ON IT BY BEING DELIVERED IN CONNECTION WITH ANY SUIT, ACTION OR PROCEEDING IN NEW YORK TO THE PROCESS AGENT FOR SUCH PARTY. EACH PARTY HERETO IRREVOCABLY CONSENTS TO SERVICE OF PROCESS, INCLUDING SERVICE ON ANY PROCESS AGENT, IN THE MANNER PROVIDED FOR NOTICES (OTHER THAN ELECTRONIC NOTICES) IN </w:t>
      </w:r>
      <w:r>
        <w:rPr>
          <w:rFonts w:ascii="Arial" w:cs="Arial" w:eastAsia="Arial" w:hAnsi="Arial"/>
          <w:sz w:val="16"/>
          <w:szCs w:val="16"/>
          <w:u w:val="single" w:color="auto"/>
          <w:color w:val="auto"/>
        </w:rPr>
        <w:t>SECTION 11.02</w:t>
      </w:r>
      <w:r>
        <w:rPr>
          <w:rFonts w:ascii="Arial" w:cs="Arial" w:eastAsia="Arial" w:hAnsi="Arial"/>
          <w:sz w:val="16"/>
          <w:szCs w:val="16"/>
          <w:color w:val="auto"/>
        </w:rPr>
        <w:t>. EACH PARTY HERETO FURTHER IRREVOCABLY AGREES THAT THE PROCESS BY WHICH ANY SUIT, ACTION OR PROCEEDING IS BEGUN MAY BE SERVED ON IT BY BEING DELIVERED IN CONNECTION WITH ANY SUIT, ACTION OR PROCEEDING IN NEW YORK TO THE PROCESS AGENT FOR SUCH PARTY. NOTHING IN THIS AGREEMENT WILL AFFECT THE RIGHT OF ANY PARTY HERETO TO SERVE PROCESS IN ANY OTHER MANNER PERMITTED BY APPLICABLE LAW.</w:t>
      </w:r>
    </w:p>
    <w:p>
      <w:pPr>
        <w:spacing w:after="0" w:line="144" w:lineRule="exact"/>
        <w:rPr>
          <w:sz w:val="20"/>
          <w:szCs w:val="20"/>
          <w:color w:val="auto"/>
        </w:rPr>
      </w:pPr>
    </w:p>
    <w:p>
      <w:pPr>
        <w:jc w:val="both"/>
        <w:ind w:firstLine="763"/>
        <w:spacing w:after="0" w:line="249" w:lineRule="auto"/>
        <w:rPr>
          <w:sz w:val="20"/>
          <w:szCs w:val="20"/>
          <w:color w:val="auto"/>
        </w:rPr>
      </w:pPr>
      <w:r>
        <w:rPr>
          <w:rFonts w:ascii="Arial" w:cs="Arial" w:eastAsia="Arial" w:hAnsi="Arial"/>
          <w:sz w:val="17"/>
          <w:szCs w:val="17"/>
          <w:b w:val="1"/>
          <w:bCs w:val="1"/>
          <w:color w:val="auto"/>
        </w:rPr>
        <w:t>11.15 Waiver of Jury Trial</w:t>
      </w:r>
      <w:r>
        <w:rPr>
          <w:rFonts w:ascii="Arial" w:cs="Arial" w:eastAsia="Arial" w:hAnsi="Arial"/>
          <w:sz w:val="17"/>
          <w:szCs w:val="17"/>
          <w:color w:val="auto"/>
        </w:rPr>
        <w:t>. EACH PARTY HERETO HEREBY IRREVOCABLY WAIVES, TO THE FULLEST EXTENT PERMITTED BY</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440"/>
          </w:cols>
          <w:pgMar w:left="240" w:top="306" w:right="219" w:bottom="1440" w:gutter="0" w:footer="0" w:header="0"/>
        </w:sectPr>
      </w:pPr>
    </w:p>
    <w:bookmarkStart w:id="128" w:name="page129"/>
    <w:bookmarkEnd w:id="128"/>
    <w:p>
      <w:pPr>
        <w:jc w:val="both"/>
        <w:ind w:firstLine="763"/>
        <w:spacing w:after="0" w:line="263" w:lineRule="auto"/>
        <w:rPr>
          <w:sz w:val="20"/>
          <w:szCs w:val="20"/>
          <w:color w:val="auto"/>
        </w:rPr>
      </w:pPr>
      <w:r>
        <w:rPr>
          <w:rFonts w:ascii="Arial" w:cs="Arial" w:eastAsia="Arial" w:hAnsi="Arial"/>
          <w:sz w:val="16"/>
          <w:szCs w:val="16"/>
          <w:b w:val="1"/>
          <w:bCs w:val="1"/>
          <w:color w:val="auto"/>
        </w:rPr>
        <w:t>11.16 No Advisory or Fiduciary Responsibility</w:t>
      </w:r>
      <w:r>
        <w:rPr>
          <w:rFonts w:ascii="Arial" w:cs="Arial" w:eastAsia="Arial" w:hAnsi="Arial"/>
          <w:sz w:val="16"/>
          <w:szCs w:val="16"/>
          <w:color w:val="auto"/>
        </w:rPr>
        <w:t>. In connection with all aspects of each transaction contemplated hereby (including in connection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any amendment, waiver or other modification hereof or of any other Loan Document), each Borrower acknowledges and agrees, and acknowledges its Affiliates’ understanding, that: (i) (A) the arranging and other services regarding this Agreement provided by the Administrative Agent and the Arranger, are arm’s-length commercial transactions between such Borrower and its Affiliates, on the one hand, and the Administrative Agent and the Arranger, on the other hand, (B) such Borrower has consulted its own legal, accounting, regulatory and tax advisors to the extent it has deemed appropriate, and (C) such Borrower is capable of evaluating, and understands and accepts, the terms, risks and conditions of the transactions contemplated hereby and by the other Loan Documents; (ii) (A) the Administrative Agent and the Arranger each is and has been acting solely as a principal and, except as expressly agreed in writing by the relevant parties, has not been, is not, and will not be acting as an advisor, agent or fiduciary for such Borrower or any of its Affiliates, or any other Person and (B) neither the Administrative Agent nor the Arranger has any obligation to such Borrower or any of its Affiliates with respect to the transactions contemplated hereby except those obligations expressly set forth herein and in the other Loan Documents; and (iii) the Administrative Agent and the Arranger and their respective Affiliates may be engaged in a broad range of transactions that involve interests that differ from those of such Borrower and its Affiliates, and neither the Administrative Agent nor the Arranger has any obligation to disclose any of such interests to the Borrower or its Affiliates. To the fullest extent permitted by Law, each of the Borrowers hereby waives and releases any claims that it may have against the Administrative Agent and the Arranger with respect to any breach or alleged breach of agency or fiduciary duty in connection with any aspect of any transaction contemplated hereby.</w:t>
      </w:r>
    </w:p>
    <w:p>
      <w:pPr>
        <w:spacing w:after="0" w:line="155" w:lineRule="exact"/>
        <w:rPr>
          <w:sz w:val="20"/>
          <w:szCs w:val="20"/>
          <w:color w:val="auto"/>
        </w:rPr>
      </w:pPr>
    </w:p>
    <w:p>
      <w:pPr>
        <w:jc w:val="both"/>
        <w:ind w:firstLine="763"/>
        <w:spacing w:after="0" w:line="266" w:lineRule="auto"/>
        <w:rPr>
          <w:sz w:val="20"/>
          <w:szCs w:val="20"/>
          <w:color w:val="auto"/>
        </w:rPr>
      </w:pPr>
      <w:r>
        <w:rPr>
          <w:rFonts w:ascii="Arial" w:cs="Arial" w:eastAsia="Arial" w:hAnsi="Arial"/>
          <w:sz w:val="16"/>
          <w:szCs w:val="16"/>
          <w:b w:val="1"/>
          <w:bCs w:val="1"/>
          <w:color w:val="auto"/>
        </w:rPr>
        <w:t>11.17 Electronic Execution of Assignments and Certain Other Documents</w:t>
      </w:r>
      <w:r>
        <w:rPr>
          <w:rFonts w:ascii="Arial" w:cs="Arial" w:eastAsia="Arial" w:hAnsi="Arial"/>
          <w:sz w:val="16"/>
          <w:szCs w:val="16"/>
          <w:color w:val="auto"/>
        </w:rPr>
        <w:t>. The words “execute,” “execution,” “signed,” “signature,” and words of like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import in or related to any document to be signed in connection with this Agreement and the transactions contemplated hereby (including without limitation Assignment and Assumptions, amendments or other modifications, Committed Loan Notices, Swing Line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46" w:lineRule="exact"/>
        <w:rPr>
          <w:sz w:val="20"/>
          <w:szCs w:val="20"/>
          <w:color w:val="auto"/>
        </w:rPr>
      </w:pPr>
    </w:p>
    <w:p>
      <w:pPr>
        <w:jc w:val="both"/>
        <w:ind w:firstLine="763"/>
        <w:spacing w:after="0" w:line="250" w:lineRule="auto"/>
        <w:rPr>
          <w:sz w:val="20"/>
          <w:szCs w:val="20"/>
          <w:color w:val="auto"/>
        </w:rPr>
      </w:pPr>
      <w:r>
        <w:rPr>
          <w:rFonts w:ascii="Arial" w:cs="Arial" w:eastAsia="Arial" w:hAnsi="Arial"/>
          <w:sz w:val="17"/>
          <w:szCs w:val="17"/>
          <w:b w:val="1"/>
          <w:bCs w:val="1"/>
          <w:color w:val="auto"/>
        </w:rPr>
        <w:t>11.18 USA PATRIOT Act</w:t>
      </w:r>
      <w:r>
        <w:rPr>
          <w:rFonts w:ascii="Arial" w:cs="Arial" w:eastAsia="Arial" w:hAnsi="Arial"/>
          <w:sz w:val="17"/>
          <w:szCs w:val="17"/>
          <w:color w:val="auto"/>
        </w:rPr>
        <w:t>. Each Lender that is subject to the Act (as hereinafter defined) and the Administrative Agent (for itself and not on behalf of any</w:t>
      </w:r>
      <w:r>
        <w:rPr>
          <w:rFonts w:ascii="Arial" w:cs="Arial" w:eastAsia="Arial" w:hAnsi="Arial"/>
          <w:sz w:val="17"/>
          <w:szCs w:val="17"/>
          <w:b w:val="1"/>
          <w:bCs w:val="1"/>
          <w:color w:val="auto"/>
        </w:rPr>
        <w:t xml:space="preserve"> </w:t>
      </w:r>
      <w:r>
        <w:rPr>
          <w:rFonts w:ascii="Arial" w:cs="Arial" w:eastAsia="Arial" w:hAnsi="Arial"/>
          <w:sz w:val="17"/>
          <w:szCs w:val="17"/>
          <w:color w:val="auto"/>
        </w:rPr>
        <w:t>Lender) hereby notifies the Borrowers that pursuant to the requirements of the USA PATRIOT Act (Title III of Pub. L. 107-56 (signed into law October 26, 2001)) (the “</w:t>
      </w:r>
      <w:r>
        <w:rPr>
          <w:rFonts w:ascii="Arial" w:cs="Arial" w:eastAsia="Arial" w:hAnsi="Arial"/>
          <w:sz w:val="17"/>
          <w:szCs w:val="17"/>
          <w:u w:val="single" w:color="auto"/>
          <w:color w:val="auto"/>
        </w:rPr>
        <w:t>Act</w:t>
      </w:r>
      <w:r>
        <w:rPr>
          <w:rFonts w:ascii="Arial" w:cs="Arial" w:eastAsia="Arial" w:hAnsi="Arial"/>
          <w:sz w:val="17"/>
          <w:szCs w:val="17"/>
          <w:color w:val="auto"/>
        </w:rPr>
        <w: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Act. Each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57" w:lineRule="exact"/>
        <w:rPr>
          <w:sz w:val="20"/>
          <w:szCs w:val="20"/>
          <w:color w:val="auto"/>
        </w:rPr>
      </w:pPr>
    </w:p>
    <w:p>
      <w:pPr>
        <w:jc w:val="both"/>
        <w:ind w:firstLine="763"/>
        <w:spacing w:after="0" w:line="267" w:lineRule="auto"/>
        <w:rPr>
          <w:sz w:val="20"/>
          <w:szCs w:val="20"/>
          <w:color w:val="auto"/>
        </w:rPr>
      </w:pPr>
      <w:r>
        <w:rPr>
          <w:rFonts w:ascii="Arial" w:cs="Arial" w:eastAsia="Arial" w:hAnsi="Arial"/>
          <w:sz w:val="16"/>
          <w:szCs w:val="16"/>
          <w:b w:val="1"/>
          <w:bCs w:val="1"/>
          <w:color w:val="auto"/>
        </w:rPr>
        <w:t>11.19 Judgment Currency</w:t>
      </w:r>
      <w:r>
        <w:rPr>
          <w:rFonts w:ascii="Arial" w:cs="Arial" w:eastAsia="Arial" w:hAnsi="Arial"/>
          <w:sz w:val="16"/>
          <w:szCs w:val="16"/>
          <w:color w:val="auto"/>
        </w:rPr>
        <w:t>. If, for the purposes of obtaining judgment in any court, it is necessary to convert a sum due hereunder or any other Loan</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or any Lender hereunder or under the other Loan Documents shall, notwithstanding any judgment in a currency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 other than that in which such sum is denominated in accordance with the applicable provisions of this Agreement (the “</w:t>
      </w:r>
      <w:r>
        <w:rPr>
          <w:rFonts w:ascii="Arial" w:cs="Arial" w:eastAsia="Arial" w:hAnsi="Arial"/>
          <w:sz w:val="16"/>
          <w:szCs w:val="16"/>
          <w:u w:val="single" w:color="auto"/>
          <w:color w:val="auto"/>
        </w:rPr>
        <w:t>Agreement Currency</w:t>
      </w:r>
      <w:r>
        <w:rPr>
          <w:rFonts w:ascii="Arial" w:cs="Arial" w:eastAsia="Arial" w:hAnsi="Arial"/>
          <w:sz w:val="16"/>
          <w:szCs w:val="16"/>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440"/>
          </w:cols>
          <w:pgMar w:left="240" w:top="307" w:right="219" w:bottom="1440" w:gutter="0" w:footer="0" w:header="0"/>
        </w:sectPr>
      </w:pPr>
    </w:p>
    <w:bookmarkStart w:id="129" w:name="page130"/>
    <w:bookmarkEnd w:id="129"/>
    <w:p>
      <w:pPr>
        <w:jc w:val="both"/>
        <w:spacing w:after="0" w:line="251" w:lineRule="auto"/>
        <w:rPr>
          <w:sz w:val="20"/>
          <w:szCs w:val="20"/>
          <w:color w:val="auto"/>
        </w:rPr>
      </w:pPr>
      <w:r>
        <w:rPr>
          <w:rFonts w:ascii="Arial" w:cs="Arial" w:eastAsia="Arial" w:hAnsi="Arial"/>
          <w:sz w:val="17"/>
          <w:szCs w:val="17"/>
          <w:color w:val="auto"/>
        </w:rPr>
        <w:t>Judgment Currency. If the amount of the Agreement Currency so purchased is less than the sum originally due to the Administrative Agent or any Lender from a Borrower in the Agreement Currency, such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Borrower (or to any other Person who may be entitled thereto under applicable law).</w:t>
      </w:r>
    </w:p>
    <w:p>
      <w:pPr>
        <w:spacing w:after="0" w:line="156" w:lineRule="exact"/>
        <w:rPr>
          <w:sz w:val="20"/>
          <w:szCs w:val="20"/>
          <w:color w:val="auto"/>
        </w:rPr>
      </w:pPr>
    </w:p>
    <w:p>
      <w:pPr>
        <w:jc w:val="both"/>
        <w:ind w:right="20" w:firstLine="763"/>
        <w:spacing w:after="0" w:line="261" w:lineRule="auto"/>
        <w:rPr>
          <w:sz w:val="20"/>
          <w:szCs w:val="20"/>
          <w:color w:val="auto"/>
        </w:rPr>
      </w:pPr>
      <w:r>
        <w:rPr>
          <w:rFonts w:ascii="Arial" w:cs="Arial" w:eastAsia="Arial" w:hAnsi="Arial"/>
          <w:sz w:val="17"/>
          <w:szCs w:val="17"/>
          <w:b w:val="1"/>
          <w:bCs w:val="1"/>
          <w:color w:val="auto"/>
        </w:rPr>
        <w:t>11.20 Entire Agreement</w:t>
      </w:r>
      <w:r>
        <w:rPr>
          <w:rFonts w:ascii="Arial" w:cs="Arial" w:eastAsia="Arial" w:hAnsi="Arial"/>
          <w:sz w:val="17"/>
          <w:szCs w:val="17"/>
          <w:color w:val="auto"/>
        </w:rPr>
        <w:t>. THIS AGREEMENT AND THE OTHER LOAN DOCUMENTS REPRESENT THE FINAL AGREEMENT AMONG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AND MAY NOT BE CONTRADICTED BY EVIDENCE OF PRIOR, CONTEMPORANEOUS, OR SUBSEQUENT ORAL AGREEMENTS OF THE PARTIES. THERE ARE NO UNWRITTEN ORAL AGREEMENTS AMONG THE PARTIES.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440"/>
          </w:cols>
          <w:pgMar w:left="240" w:top="312" w:right="219" w:bottom="1440" w:gutter="0" w:footer="0" w:header="0"/>
        </w:sectPr>
      </w:pPr>
    </w:p>
    <w:bookmarkStart w:id="130" w:name="page131"/>
    <w:bookmarkEnd w:id="130"/>
    <w:p>
      <w:pPr>
        <w:spacing w:after="0"/>
        <w:rPr>
          <w:sz w:val="20"/>
          <w:szCs w:val="20"/>
          <w:color w:val="auto"/>
        </w:rPr>
      </w:pPr>
      <w:r>
        <w:rPr>
          <w:rFonts w:ascii="Arial" w:cs="Arial" w:eastAsia="Arial" w:hAnsi="Arial"/>
          <w:sz w:val="15"/>
          <w:szCs w:val="15"/>
          <w:i w:val="1"/>
          <w:iCs w:val="1"/>
          <w:color w:val="auto"/>
        </w:rPr>
        <w:t xml:space="preserve">IN WITNESS WHEREOF, </w:t>
      </w:r>
      <w:r>
        <w:rPr>
          <w:rFonts w:ascii="Arial" w:cs="Arial" w:eastAsia="Arial" w:hAnsi="Arial"/>
          <w:sz w:val="15"/>
          <w:szCs w:val="15"/>
          <w:color w:val="auto"/>
        </w:rPr>
        <w:t>the parties hereto have caused this Agreement to be duly executed as of the date first above written.</w:t>
      </w:r>
    </w:p>
    <w:p>
      <w:pPr>
        <w:sectPr>
          <w:pgSz w:w="11900" w:h="16838" w:orient="portrait"/>
          <w:cols w:equalWidth="0" w:num="1">
            <w:col w:w="9459"/>
          </w:cols>
          <w:pgMar w:left="1000" w:top="312" w:right="1440" w:bottom="1440" w:gutter="0" w:footer="0" w:header="0"/>
        </w:sectPr>
      </w:pPr>
    </w:p>
    <w:p>
      <w:pPr>
        <w:spacing w:after="0" w:line="208" w:lineRule="exact"/>
        <w:rPr>
          <w:sz w:val="20"/>
          <w:szCs w:val="20"/>
          <w:color w:val="auto"/>
        </w:rPr>
      </w:pPr>
    </w:p>
    <w:p>
      <w:pPr>
        <w:ind w:left="3800"/>
        <w:spacing w:after="0"/>
        <w:rPr>
          <w:sz w:val="20"/>
          <w:szCs w:val="20"/>
          <w:color w:val="auto"/>
        </w:rPr>
      </w:pPr>
      <w:r>
        <w:rPr>
          <w:rFonts w:ascii="Arial" w:cs="Arial" w:eastAsia="Arial" w:hAnsi="Arial"/>
          <w:sz w:val="17"/>
          <w:szCs w:val="17"/>
          <w:b w:val="1"/>
          <w:bCs w:val="1"/>
          <w:color w:val="auto"/>
        </w:rPr>
        <w:t>GENTHERM INCORPORATED</w:t>
      </w:r>
    </w:p>
    <w:p>
      <w:pPr>
        <w:spacing w:after="0" w:line="209"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By: /s/ Barry G. Steele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-10160</wp:posOffset>
            </wp:positionV>
            <wp:extent cx="83312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33120" cy="7620"/>
                    </a:xfrm>
                    <a:prstGeom prst="rect">
                      <a:avLst/>
                    </a:prstGeom>
                    <a:noFill/>
                  </pic:spPr>
                </pic:pic>
              </a:graphicData>
            </a:graphic>
          </wp:anchor>
        </w:drawing>
      </w:r>
    </w:p>
    <w:p>
      <w:pPr>
        <w:ind w:left="3800"/>
        <w:spacing w:after="0"/>
        <w:rPr>
          <w:sz w:val="20"/>
          <w:szCs w:val="20"/>
          <w:color w:val="auto"/>
        </w:rPr>
      </w:pPr>
      <w:r>
        <w:rPr>
          <w:rFonts w:ascii="Arial" w:cs="Arial" w:eastAsia="Arial" w:hAnsi="Arial"/>
          <w:sz w:val="17"/>
          <w:szCs w:val="17"/>
          <w:color w:val="auto"/>
        </w:rPr>
        <w:t>Name: Barry G. Steele</w:t>
      </w:r>
    </w:p>
    <w:p>
      <w:pPr>
        <w:spacing w:after="0" w:line="4"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Title: Chief Financial Officer</w:t>
      </w:r>
    </w:p>
    <w:p>
      <w:pPr>
        <w:spacing w:after="0" w:line="371" w:lineRule="exact"/>
        <w:rPr>
          <w:sz w:val="20"/>
          <w:szCs w:val="20"/>
          <w:color w:val="auto"/>
        </w:rPr>
      </w:pPr>
    </w:p>
    <w:p>
      <w:pPr>
        <w:ind w:left="3800"/>
        <w:spacing w:after="0"/>
        <w:rPr>
          <w:sz w:val="20"/>
          <w:szCs w:val="20"/>
          <w:color w:val="auto"/>
        </w:rPr>
      </w:pPr>
      <w:r>
        <w:rPr>
          <w:rFonts w:ascii="Arial" w:cs="Arial" w:eastAsia="Arial" w:hAnsi="Arial"/>
          <w:sz w:val="17"/>
          <w:szCs w:val="17"/>
          <w:b w:val="1"/>
          <w:bCs w:val="1"/>
          <w:color w:val="auto"/>
        </w:rPr>
        <w:t>GENTHERM (TEXAS), INC.</w:t>
      </w:r>
    </w:p>
    <w:p>
      <w:pPr>
        <w:spacing w:after="0" w:line="209"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By: /s/ Barry G. Steele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-10160</wp:posOffset>
            </wp:positionV>
            <wp:extent cx="83312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33120" cy="7620"/>
                    </a:xfrm>
                    <a:prstGeom prst="rect">
                      <a:avLst/>
                    </a:prstGeom>
                    <a:noFill/>
                  </pic:spPr>
                </pic:pic>
              </a:graphicData>
            </a:graphic>
          </wp:anchor>
        </w:drawing>
      </w:r>
    </w:p>
    <w:p>
      <w:pPr>
        <w:ind w:left="3800"/>
        <w:spacing w:after="0"/>
        <w:rPr>
          <w:sz w:val="20"/>
          <w:szCs w:val="20"/>
          <w:color w:val="auto"/>
        </w:rPr>
      </w:pPr>
      <w:r>
        <w:rPr>
          <w:rFonts w:ascii="Arial" w:cs="Arial" w:eastAsia="Arial" w:hAnsi="Arial"/>
          <w:sz w:val="17"/>
          <w:szCs w:val="17"/>
          <w:color w:val="auto"/>
        </w:rPr>
        <w:t>Name: Barry G. Steele</w:t>
      </w:r>
    </w:p>
    <w:p>
      <w:pPr>
        <w:spacing w:after="0" w:line="4"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Title: Chief Financial Officer</w:t>
      </w:r>
    </w:p>
    <w:p>
      <w:pPr>
        <w:spacing w:after="0" w:line="371"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GENTHERM GMBH</w:t>
      </w:r>
    </w:p>
    <w:p>
      <w:pPr>
        <w:spacing w:after="0" w:line="209"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By: /s/ Barry G. Steele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-10160</wp:posOffset>
            </wp:positionV>
            <wp:extent cx="83312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33120" cy="7620"/>
                    </a:xfrm>
                    <a:prstGeom prst="rect">
                      <a:avLst/>
                    </a:prstGeom>
                    <a:noFill/>
                  </pic:spPr>
                </pic:pic>
              </a:graphicData>
            </a:graphic>
          </wp:anchor>
        </w:drawing>
      </w:r>
    </w:p>
    <w:p>
      <w:pPr>
        <w:ind w:left="3800"/>
        <w:spacing w:after="0"/>
        <w:rPr>
          <w:sz w:val="20"/>
          <w:szCs w:val="20"/>
          <w:color w:val="auto"/>
        </w:rPr>
      </w:pPr>
      <w:r>
        <w:rPr>
          <w:rFonts w:ascii="Arial" w:cs="Arial" w:eastAsia="Arial" w:hAnsi="Arial"/>
          <w:sz w:val="17"/>
          <w:szCs w:val="17"/>
          <w:color w:val="auto"/>
        </w:rPr>
        <w:t>Name: Barry G. Steele</w:t>
      </w:r>
    </w:p>
    <w:p>
      <w:pPr>
        <w:spacing w:after="0" w:line="4"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Title: Managing Director</w:t>
      </w:r>
    </w:p>
    <w:p>
      <w:pPr>
        <w:spacing w:after="0" w:line="371" w:lineRule="exact"/>
        <w:rPr>
          <w:sz w:val="20"/>
          <w:szCs w:val="20"/>
          <w:color w:val="auto"/>
        </w:rPr>
      </w:pPr>
    </w:p>
    <w:p>
      <w:pPr>
        <w:ind w:left="3800"/>
        <w:spacing w:after="0"/>
        <w:rPr>
          <w:sz w:val="20"/>
          <w:szCs w:val="20"/>
          <w:color w:val="auto"/>
        </w:rPr>
      </w:pPr>
      <w:r>
        <w:rPr>
          <w:rFonts w:ascii="Arial" w:cs="Arial" w:eastAsia="Arial" w:hAnsi="Arial"/>
          <w:sz w:val="17"/>
          <w:szCs w:val="17"/>
          <w:b w:val="1"/>
          <w:bCs w:val="1"/>
          <w:color w:val="auto"/>
        </w:rPr>
        <w:t>GLOBAL THERMOELECTRIC INC.</w:t>
      </w:r>
    </w:p>
    <w:p>
      <w:pPr>
        <w:spacing w:after="0" w:line="209"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By: /s/ Barry G. Steele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-10160</wp:posOffset>
            </wp:positionV>
            <wp:extent cx="83312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33120" cy="7620"/>
                    </a:xfrm>
                    <a:prstGeom prst="rect">
                      <a:avLst/>
                    </a:prstGeom>
                    <a:noFill/>
                  </pic:spPr>
                </pic:pic>
              </a:graphicData>
            </a:graphic>
          </wp:anchor>
        </w:drawing>
      </w:r>
    </w:p>
    <w:p>
      <w:pPr>
        <w:ind w:left="3800"/>
        <w:spacing w:after="0"/>
        <w:rPr>
          <w:sz w:val="20"/>
          <w:szCs w:val="20"/>
          <w:color w:val="auto"/>
        </w:rPr>
      </w:pPr>
      <w:r>
        <w:rPr>
          <w:rFonts w:ascii="Arial" w:cs="Arial" w:eastAsia="Arial" w:hAnsi="Arial"/>
          <w:sz w:val="17"/>
          <w:szCs w:val="17"/>
          <w:color w:val="auto"/>
        </w:rPr>
        <w:t>Name: Barry G. Steele</w:t>
      </w:r>
    </w:p>
    <w:p>
      <w:pPr>
        <w:spacing w:after="0" w:line="4"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Title: Director</w:t>
      </w:r>
    </w:p>
    <w:p>
      <w:pPr>
        <w:spacing w:after="0" w:line="371" w:lineRule="exact"/>
        <w:rPr>
          <w:sz w:val="20"/>
          <w:szCs w:val="20"/>
          <w:color w:val="auto"/>
        </w:rPr>
      </w:pPr>
    </w:p>
    <w:p>
      <w:pPr>
        <w:ind w:left="3800"/>
        <w:spacing w:after="0"/>
        <w:rPr>
          <w:sz w:val="20"/>
          <w:szCs w:val="20"/>
          <w:color w:val="auto"/>
        </w:rPr>
      </w:pPr>
      <w:r>
        <w:rPr>
          <w:rFonts w:ascii="Arial" w:cs="Arial" w:eastAsia="Arial" w:hAnsi="Arial"/>
          <w:sz w:val="17"/>
          <w:szCs w:val="17"/>
          <w:b w:val="1"/>
          <w:bCs w:val="1"/>
          <w:color w:val="auto"/>
        </w:rPr>
        <w:t>GENTHERM CANADA LTD.</w:t>
      </w:r>
    </w:p>
    <w:p>
      <w:pPr>
        <w:spacing w:after="0" w:line="209"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By: /s/ Vincent Sebastiano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-10160</wp:posOffset>
            </wp:positionV>
            <wp:extent cx="99631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96315" cy="7620"/>
                    </a:xfrm>
                    <a:prstGeom prst="rect">
                      <a:avLst/>
                    </a:prstGeom>
                    <a:noFill/>
                  </pic:spPr>
                </pic:pic>
              </a:graphicData>
            </a:graphic>
          </wp:anchor>
        </w:drawing>
      </w:r>
    </w:p>
    <w:p>
      <w:pPr>
        <w:ind w:left="3800"/>
        <w:spacing w:after="0"/>
        <w:rPr>
          <w:sz w:val="20"/>
          <w:szCs w:val="20"/>
          <w:color w:val="auto"/>
        </w:rPr>
      </w:pPr>
      <w:r>
        <w:rPr>
          <w:rFonts w:ascii="Arial" w:cs="Arial" w:eastAsia="Arial" w:hAnsi="Arial"/>
          <w:sz w:val="17"/>
          <w:szCs w:val="17"/>
          <w:color w:val="auto"/>
        </w:rPr>
        <w:t>Name: Vincent Sebastiano</w:t>
      </w:r>
    </w:p>
    <w:p>
      <w:pPr>
        <w:spacing w:after="0" w:line="4"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Title: Secretary</w:t>
      </w:r>
    </w:p>
    <w:p>
      <w:pPr>
        <w:sectPr>
          <w:pgSz w:w="11900" w:h="16838" w:orient="portrait"/>
          <w:cols w:equalWidth="0" w:num="1">
            <w:col w:w="9459"/>
          </w:cols>
          <w:pgMar w:left="1000" w:top="312" w:right="1440" w:bottom="1440" w:gutter="0" w:footer="0" w:header="0"/>
          <w:type w:val="continuous"/>
        </w:sectPr>
      </w:pPr>
    </w:p>
    <w:bookmarkStart w:id="131" w:name="page132"/>
    <w:bookmarkEnd w:id="131"/>
    <w:p>
      <w:pPr>
        <w:ind w:left="3360"/>
        <w:spacing w:after="0"/>
        <w:rPr>
          <w:sz w:val="20"/>
          <w:szCs w:val="20"/>
          <w:color w:val="auto"/>
        </w:rPr>
      </w:pPr>
      <w:r>
        <w:rPr>
          <w:rFonts w:ascii="Arial" w:cs="Arial" w:eastAsia="Arial" w:hAnsi="Arial"/>
          <w:sz w:val="16"/>
          <w:szCs w:val="16"/>
          <w:b w:val="1"/>
          <w:bCs w:val="1"/>
          <w:color w:val="auto"/>
        </w:rPr>
        <w:t xml:space="preserve">BANK OF AMERICA, N.A., </w:t>
      </w:r>
      <w:r>
        <w:rPr>
          <w:rFonts w:ascii="Arial" w:cs="Arial" w:eastAsia="Arial" w:hAnsi="Arial"/>
          <w:sz w:val="16"/>
          <w:szCs w:val="16"/>
          <w:color w:val="auto"/>
        </w:rPr>
        <w:t>as</w:t>
      </w:r>
    </w:p>
    <w:p>
      <w:pPr>
        <w:spacing w:after="0" w:line="35"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Administrative Agent</w:t>
      </w:r>
    </w:p>
    <w:p>
      <w:pPr>
        <w:spacing w:after="0" w:line="189"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By: /s/ Laura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-10160</wp:posOffset>
            </wp:positionV>
            <wp:extent cx="62103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1030" cy="7620"/>
                    </a:xfrm>
                    <a:prstGeom prst="rect">
                      <a:avLst/>
                    </a:prstGeom>
                    <a:noFill/>
                  </pic:spPr>
                </pic:pic>
              </a:graphicData>
            </a:graphic>
          </wp:anchor>
        </w:drawing>
      </w:r>
    </w:p>
    <w:p>
      <w:pPr>
        <w:ind w:left="3360"/>
        <w:spacing w:after="0"/>
        <w:rPr>
          <w:sz w:val="20"/>
          <w:szCs w:val="20"/>
          <w:color w:val="auto"/>
        </w:rPr>
      </w:pPr>
      <w:r>
        <w:rPr>
          <w:rFonts w:ascii="Arial" w:cs="Arial" w:eastAsia="Arial" w:hAnsi="Arial"/>
          <w:sz w:val="17"/>
          <w:szCs w:val="17"/>
          <w:color w:val="auto"/>
        </w:rPr>
        <w:t>Name: Laura Call</w:t>
      </w:r>
    </w:p>
    <w:p>
      <w:pPr>
        <w:spacing w:after="0" w:line="4"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Title: Assistant Vice President</w:t>
      </w:r>
    </w:p>
    <w:p>
      <w:pPr>
        <w:sectPr>
          <w:pgSz w:w="11900" w:h="16838" w:orient="portrait"/>
          <w:cols w:equalWidth="0" w:num="1">
            <w:col w:w="9019"/>
          </w:cols>
          <w:pgMar w:left="1440" w:top="506" w:right="1440" w:bottom="1440" w:gutter="0" w:footer="0" w:header="0"/>
        </w:sectPr>
      </w:pPr>
    </w:p>
    <w:bookmarkStart w:id="132" w:name="page133"/>
    <w:bookmarkEnd w:id="132"/>
    <w:p>
      <w:pPr>
        <w:ind w:left="3360"/>
        <w:spacing w:after="0"/>
        <w:rPr>
          <w:sz w:val="20"/>
          <w:szCs w:val="20"/>
          <w:color w:val="auto"/>
        </w:rPr>
      </w:pPr>
      <w:r>
        <w:rPr>
          <w:rFonts w:ascii="Arial" w:cs="Arial" w:eastAsia="Arial" w:hAnsi="Arial"/>
          <w:sz w:val="16"/>
          <w:szCs w:val="16"/>
          <w:b w:val="1"/>
          <w:bCs w:val="1"/>
          <w:color w:val="auto"/>
        </w:rPr>
        <w:t>BANK OF AMERICA, N.A.</w:t>
      </w:r>
      <w:r>
        <w:rPr>
          <w:rFonts w:ascii="Arial" w:cs="Arial" w:eastAsia="Arial" w:hAnsi="Arial"/>
          <w:sz w:val="16"/>
          <w:szCs w:val="16"/>
          <w:color w:val="auto"/>
        </w:rPr>
        <w:t>, as a Lender, L/C</w:t>
      </w:r>
    </w:p>
    <w:p>
      <w:pPr>
        <w:spacing w:after="0" w:line="35"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Issuer and Swing Line Lender</w:t>
      </w:r>
    </w:p>
    <w:p>
      <w:pPr>
        <w:spacing w:after="0" w:line="189"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By: /s/ Gregory J. Bosio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-10160</wp:posOffset>
            </wp:positionV>
            <wp:extent cx="89979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99795" cy="7620"/>
                    </a:xfrm>
                    <a:prstGeom prst="rect">
                      <a:avLst/>
                    </a:prstGeom>
                    <a:noFill/>
                  </pic:spPr>
                </pic:pic>
              </a:graphicData>
            </a:graphic>
          </wp:anchor>
        </w:drawing>
      </w:r>
    </w:p>
    <w:p>
      <w:pPr>
        <w:ind w:left="3360"/>
        <w:spacing w:after="0"/>
        <w:rPr>
          <w:sz w:val="20"/>
          <w:szCs w:val="20"/>
          <w:color w:val="auto"/>
        </w:rPr>
      </w:pPr>
      <w:r>
        <w:rPr>
          <w:rFonts w:ascii="Arial" w:cs="Arial" w:eastAsia="Arial" w:hAnsi="Arial"/>
          <w:sz w:val="17"/>
          <w:szCs w:val="17"/>
          <w:color w:val="auto"/>
        </w:rPr>
        <w:t>Name: Gregory J. Bosio</w:t>
      </w:r>
    </w:p>
    <w:p>
      <w:pPr>
        <w:spacing w:after="0" w:line="4"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Title: Vice President</w:t>
      </w:r>
    </w:p>
    <w:p>
      <w:pPr>
        <w:sectPr>
          <w:pgSz w:w="11900" w:h="16838" w:orient="portrait"/>
          <w:cols w:equalWidth="0" w:num="1">
            <w:col w:w="9019"/>
          </w:cols>
          <w:pgMar w:left="1440" w:top="306" w:right="1440" w:bottom="1440" w:gutter="0" w:footer="0" w:header="0"/>
        </w:sectPr>
      </w:pPr>
    </w:p>
    <w:bookmarkStart w:id="133" w:name="page134"/>
    <w:bookmarkEnd w:id="133"/>
    <w:p>
      <w:pPr>
        <w:ind w:left="3360"/>
        <w:spacing w:after="0"/>
        <w:rPr>
          <w:sz w:val="20"/>
          <w:szCs w:val="20"/>
          <w:color w:val="auto"/>
        </w:rPr>
      </w:pPr>
      <w:r>
        <w:rPr>
          <w:rFonts w:ascii="Arial" w:cs="Arial" w:eastAsia="Arial" w:hAnsi="Arial"/>
          <w:sz w:val="16"/>
          <w:szCs w:val="16"/>
          <w:b w:val="1"/>
          <w:bCs w:val="1"/>
          <w:color w:val="auto"/>
        </w:rPr>
        <w:t>JPMORGAN CHASE BANK, N.A.</w:t>
      </w:r>
      <w:r>
        <w:rPr>
          <w:rFonts w:ascii="Arial" w:cs="Arial" w:eastAsia="Arial" w:hAnsi="Arial"/>
          <w:sz w:val="16"/>
          <w:szCs w:val="16"/>
          <w:color w:val="auto"/>
        </w:rPr>
        <w:t>,</w:t>
      </w:r>
    </w:p>
    <w:p>
      <w:pPr>
        <w:spacing w:after="0" w:line="35"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as a Lender</w:t>
      </w:r>
    </w:p>
    <w:p>
      <w:pPr>
        <w:spacing w:after="0" w:line="189"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By: /s/ Joseph Bomberski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-10160</wp:posOffset>
            </wp:positionV>
            <wp:extent cx="96075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60755" cy="7620"/>
                    </a:xfrm>
                    <a:prstGeom prst="rect">
                      <a:avLst/>
                    </a:prstGeom>
                    <a:noFill/>
                  </pic:spPr>
                </pic:pic>
              </a:graphicData>
            </a:graphic>
          </wp:anchor>
        </w:drawing>
      </w:r>
    </w:p>
    <w:p>
      <w:pPr>
        <w:ind w:left="3360"/>
        <w:spacing w:after="0"/>
        <w:rPr>
          <w:sz w:val="20"/>
          <w:szCs w:val="20"/>
          <w:color w:val="auto"/>
        </w:rPr>
      </w:pPr>
      <w:r>
        <w:rPr>
          <w:rFonts w:ascii="Arial" w:cs="Arial" w:eastAsia="Arial" w:hAnsi="Arial"/>
          <w:sz w:val="17"/>
          <w:szCs w:val="17"/>
          <w:color w:val="auto"/>
        </w:rPr>
        <w:t>Name: Joseph Bomberski</w:t>
      </w:r>
    </w:p>
    <w:p>
      <w:pPr>
        <w:spacing w:after="0" w:line="4"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Title: Vice President</w:t>
      </w:r>
    </w:p>
    <w:p>
      <w:pPr>
        <w:sectPr>
          <w:pgSz w:w="11900" w:h="16838" w:orient="portrait"/>
          <w:cols w:equalWidth="0" w:num="1">
            <w:col w:w="9019"/>
          </w:cols>
          <w:pgMar w:left="1440" w:top="306" w:right="1440" w:bottom="1440" w:gutter="0" w:footer="0" w:header="0"/>
        </w:sectPr>
      </w:pPr>
    </w:p>
    <w:bookmarkStart w:id="134" w:name="page135"/>
    <w:bookmarkEnd w:id="134"/>
    <w:p>
      <w:pPr>
        <w:ind w:left="3360"/>
        <w:spacing w:after="0"/>
        <w:rPr>
          <w:sz w:val="20"/>
          <w:szCs w:val="20"/>
          <w:color w:val="auto"/>
        </w:rPr>
      </w:pPr>
      <w:r>
        <w:rPr>
          <w:rFonts w:ascii="Arial" w:cs="Arial" w:eastAsia="Arial" w:hAnsi="Arial"/>
          <w:sz w:val="17"/>
          <w:szCs w:val="17"/>
          <w:b w:val="1"/>
          <w:bCs w:val="1"/>
          <w:color w:val="auto"/>
        </w:rPr>
        <w:t>HSBC BANK USA, NATIONAL ASSOCIATION</w:t>
      </w:r>
      <w:r>
        <w:rPr>
          <w:rFonts w:ascii="Arial" w:cs="Arial" w:eastAsia="Arial" w:hAnsi="Arial"/>
          <w:sz w:val="17"/>
          <w:szCs w:val="17"/>
          <w:color w:val="auto"/>
        </w:rPr>
        <w:t>,</w:t>
      </w:r>
    </w:p>
    <w:p>
      <w:pPr>
        <w:spacing w:after="0" w:line="24"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as a Lender</w:t>
      </w:r>
    </w:p>
    <w:p>
      <w:pPr>
        <w:spacing w:after="0" w:line="189"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By: /s/ Gregory R. Duval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-10160</wp:posOffset>
            </wp:positionV>
            <wp:extent cx="94234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42340" cy="7620"/>
                    </a:xfrm>
                    <a:prstGeom prst="rect">
                      <a:avLst/>
                    </a:prstGeom>
                    <a:noFill/>
                  </pic:spPr>
                </pic:pic>
              </a:graphicData>
            </a:graphic>
          </wp:anchor>
        </w:drawing>
      </w:r>
    </w:p>
    <w:p>
      <w:pPr>
        <w:ind w:left="3360"/>
        <w:spacing w:after="0"/>
        <w:rPr>
          <w:sz w:val="20"/>
          <w:szCs w:val="20"/>
          <w:color w:val="auto"/>
        </w:rPr>
      </w:pPr>
      <w:r>
        <w:rPr>
          <w:rFonts w:ascii="Arial" w:cs="Arial" w:eastAsia="Arial" w:hAnsi="Arial"/>
          <w:sz w:val="17"/>
          <w:szCs w:val="17"/>
          <w:color w:val="auto"/>
        </w:rPr>
        <w:t>Name: Gregory R. Duval</w:t>
      </w:r>
    </w:p>
    <w:p>
      <w:pPr>
        <w:spacing w:after="0" w:line="4"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Title: Vice President</w:t>
      </w:r>
    </w:p>
    <w:p>
      <w:pPr>
        <w:sectPr>
          <w:pgSz w:w="11900" w:h="16838" w:orient="portrait"/>
          <w:cols w:equalWidth="0" w:num="1">
            <w:col w:w="9019"/>
          </w:cols>
          <w:pgMar w:left="1440" w:top="306" w:right="1440" w:bottom="1440" w:gutter="0" w:footer="0" w:header="0"/>
        </w:sectPr>
      </w:pPr>
    </w:p>
    <w:bookmarkStart w:id="135" w:name="page136"/>
    <w:bookmarkEnd w:id="135"/>
    <w:p>
      <w:pPr>
        <w:ind w:left="3360"/>
        <w:spacing w:after="0"/>
        <w:rPr>
          <w:sz w:val="20"/>
          <w:szCs w:val="20"/>
          <w:color w:val="auto"/>
        </w:rPr>
      </w:pPr>
      <w:r>
        <w:rPr>
          <w:rFonts w:ascii="Arial" w:cs="Arial" w:eastAsia="Arial" w:hAnsi="Arial"/>
          <w:sz w:val="17"/>
          <w:szCs w:val="17"/>
          <w:b w:val="1"/>
          <w:bCs w:val="1"/>
          <w:color w:val="auto"/>
        </w:rPr>
        <w:t>COMERICA BANK</w:t>
      </w:r>
      <w:r>
        <w:rPr>
          <w:rFonts w:ascii="Arial" w:cs="Arial" w:eastAsia="Arial" w:hAnsi="Arial"/>
          <w:sz w:val="17"/>
          <w:szCs w:val="17"/>
          <w:color w:val="auto"/>
        </w:rPr>
        <w:t>,</w:t>
      </w:r>
    </w:p>
    <w:p>
      <w:pPr>
        <w:spacing w:after="0" w:line="24"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as a Lender</w:t>
      </w:r>
    </w:p>
    <w:p>
      <w:pPr>
        <w:spacing w:after="0" w:line="189"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Nicole Swigert</w:t>
      </w:r>
    </w:p>
    <w:p>
      <w:pPr>
        <w:spacing w:after="0" w:line="29"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Name: Nicole Swigert</w:t>
      </w:r>
    </w:p>
    <w:p>
      <w:pPr>
        <w:spacing w:after="0" w:line="15"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Title: Vice President</w:t>
      </w:r>
    </w:p>
    <w:p>
      <w:pPr>
        <w:sectPr>
          <w:pgSz w:w="11900" w:h="16838" w:orient="portrait"/>
          <w:cols w:equalWidth="0" w:num="1">
            <w:col w:w="9019"/>
          </w:cols>
          <w:pgMar w:left="1440" w:top="306" w:right="1440" w:bottom="1440" w:gutter="0" w:footer="0" w:header="0"/>
        </w:sectPr>
      </w:pPr>
    </w:p>
    <w:bookmarkStart w:id="136" w:name="page137"/>
    <w:bookmarkEnd w:id="136"/>
    <w:p>
      <w:pPr>
        <w:ind w:left="3360"/>
        <w:spacing w:after="0"/>
        <w:rPr>
          <w:sz w:val="20"/>
          <w:szCs w:val="20"/>
          <w:color w:val="auto"/>
        </w:rPr>
      </w:pPr>
      <w:r>
        <w:rPr>
          <w:rFonts w:ascii="Arial" w:cs="Arial" w:eastAsia="Arial" w:hAnsi="Arial"/>
          <w:sz w:val="17"/>
          <w:szCs w:val="17"/>
          <w:b w:val="1"/>
          <w:bCs w:val="1"/>
          <w:color w:val="auto"/>
        </w:rPr>
        <w:t>THE HUNTINGTON NATIONAL BANK</w:t>
      </w:r>
      <w:r>
        <w:rPr>
          <w:rFonts w:ascii="Arial" w:cs="Arial" w:eastAsia="Arial" w:hAnsi="Arial"/>
          <w:sz w:val="17"/>
          <w:szCs w:val="17"/>
          <w:color w:val="auto"/>
        </w:rPr>
        <w:t>,</w:t>
      </w:r>
    </w:p>
    <w:p>
      <w:pPr>
        <w:spacing w:after="0" w:line="24"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as a Lender</w:t>
      </w:r>
    </w:p>
    <w:p>
      <w:pPr>
        <w:spacing w:after="0" w:line="189"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By: /s/ Steven J. McCormack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-10160</wp:posOffset>
            </wp:positionV>
            <wp:extent cx="112395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23950" cy="7620"/>
                    </a:xfrm>
                    <a:prstGeom prst="rect">
                      <a:avLst/>
                    </a:prstGeom>
                    <a:noFill/>
                  </pic:spPr>
                </pic:pic>
              </a:graphicData>
            </a:graphic>
          </wp:anchor>
        </w:drawing>
      </w:r>
    </w:p>
    <w:p>
      <w:pPr>
        <w:ind w:left="3360"/>
        <w:spacing w:after="0"/>
        <w:rPr>
          <w:sz w:val="20"/>
          <w:szCs w:val="20"/>
          <w:color w:val="auto"/>
        </w:rPr>
      </w:pPr>
      <w:r>
        <w:rPr>
          <w:rFonts w:ascii="Arial" w:cs="Arial" w:eastAsia="Arial" w:hAnsi="Arial"/>
          <w:sz w:val="17"/>
          <w:szCs w:val="17"/>
          <w:color w:val="auto"/>
        </w:rPr>
        <w:t>Name: Steven J. McCormack</w:t>
      </w:r>
    </w:p>
    <w:p>
      <w:pPr>
        <w:spacing w:after="0" w:line="4"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Title: Senior Vice President</w:t>
      </w:r>
    </w:p>
    <w:p>
      <w:pPr>
        <w:sectPr>
          <w:pgSz w:w="11900" w:h="16838" w:orient="portrait"/>
          <w:cols w:equalWidth="0" w:num="1">
            <w:col w:w="9019"/>
          </w:cols>
          <w:pgMar w:left="1440" w:top="306" w:right="1440" w:bottom="1440" w:gutter="0" w:footer="0" w:header="0"/>
        </w:sectPr>
      </w:pPr>
    </w:p>
    <w:bookmarkStart w:id="137" w:name="page138"/>
    <w:bookmarkEnd w:id="137"/>
    <w:p>
      <w:pPr>
        <w:ind w:left="3360"/>
        <w:spacing w:after="0"/>
        <w:rPr>
          <w:sz w:val="20"/>
          <w:szCs w:val="20"/>
          <w:color w:val="auto"/>
        </w:rPr>
      </w:pPr>
      <w:r>
        <w:rPr>
          <w:rFonts w:ascii="Arial" w:cs="Arial" w:eastAsia="Arial" w:hAnsi="Arial"/>
          <w:sz w:val="17"/>
          <w:szCs w:val="17"/>
          <w:b w:val="1"/>
          <w:bCs w:val="1"/>
          <w:color w:val="auto"/>
        </w:rPr>
        <w:t>KEYBANK NATIONAL ASSOCIATION</w:t>
      </w:r>
      <w:r>
        <w:rPr>
          <w:rFonts w:ascii="Arial" w:cs="Arial" w:eastAsia="Arial" w:hAnsi="Arial"/>
          <w:sz w:val="17"/>
          <w:szCs w:val="17"/>
          <w:color w:val="auto"/>
        </w:rPr>
        <w:t>,</w:t>
      </w:r>
    </w:p>
    <w:p>
      <w:pPr>
        <w:spacing w:after="0" w:line="24"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as a Lender</w:t>
      </w:r>
    </w:p>
    <w:p>
      <w:pPr>
        <w:spacing w:after="0" w:line="189"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By: /s/ Brandon Welling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-10160</wp:posOffset>
            </wp:positionV>
            <wp:extent cx="90297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02970" cy="7620"/>
                    </a:xfrm>
                    <a:prstGeom prst="rect">
                      <a:avLst/>
                    </a:prstGeom>
                    <a:noFill/>
                  </pic:spPr>
                </pic:pic>
              </a:graphicData>
            </a:graphic>
          </wp:anchor>
        </w:drawing>
      </w:r>
    </w:p>
    <w:p>
      <w:pPr>
        <w:ind w:left="3360"/>
        <w:spacing w:after="0"/>
        <w:rPr>
          <w:sz w:val="20"/>
          <w:szCs w:val="20"/>
          <w:color w:val="auto"/>
        </w:rPr>
      </w:pPr>
      <w:r>
        <w:rPr>
          <w:rFonts w:ascii="Arial" w:cs="Arial" w:eastAsia="Arial" w:hAnsi="Arial"/>
          <w:sz w:val="17"/>
          <w:szCs w:val="17"/>
          <w:color w:val="auto"/>
        </w:rPr>
        <w:t>Brandon Welling</w:t>
      </w:r>
    </w:p>
    <w:p>
      <w:pPr>
        <w:spacing w:after="0" w:line="4"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Vice President</w:t>
      </w:r>
    </w:p>
    <w:p>
      <w:pPr>
        <w:sectPr>
          <w:pgSz w:w="11900" w:h="16838" w:orient="portrait"/>
          <w:cols w:equalWidth="0" w:num="1">
            <w:col w:w="9019"/>
          </w:cols>
          <w:pgMar w:left="1440" w:top="306" w:right="1440" w:bottom="1440" w:gutter="0" w:footer="0" w:header="0"/>
        </w:sectPr>
      </w:pPr>
    </w:p>
    <w:bookmarkStart w:id="138" w:name="page139"/>
    <w:bookmarkEnd w:id="138"/>
    <w:p>
      <w:pPr>
        <w:jc w:val="right"/>
        <w:spacing w:after="0"/>
        <w:rPr>
          <w:sz w:val="20"/>
          <w:szCs w:val="20"/>
          <w:color w:val="auto"/>
        </w:rPr>
      </w:pPr>
      <w:r>
        <w:rPr>
          <w:rFonts w:ascii="Arial" w:cs="Arial" w:eastAsia="Arial" w:hAnsi="Arial"/>
          <w:sz w:val="16"/>
          <w:szCs w:val="16"/>
          <w:color w:val="auto"/>
        </w:rPr>
        <w:t>Schedule 1.01(a)</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to Credit Agreement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Reorganization</w:t>
      </w:r>
    </w:p>
    <w:p>
      <w:pPr>
        <w:spacing w:after="0" w:line="179"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Gentherm Incorporated (the “Company”) is planning to reorganize its foreign legal structure in order to increase tax efficiency and facilitate possible future expansion. This reorganization will insert two Luxembourg holding companies between the Company and Gentherm GmbH. Because of Luxembourg’s participation exemption rules and membership in the European Union, it is anticipated that this structure will allow for the efficient movement of cash from the Company’s foreign subsidiaries to both the Company and its subsidiaries. The following charts illustrate the Company’s legal entity ownership structure both currently and after insertion of the Luxembourg holding companies (some legal entities and ownership information has been omitted for simplicity):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1336040</wp:posOffset>
            </wp:positionH>
            <wp:positionV relativeFrom="paragraph">
              <wp:posOffset>116205</wp:posOffset>
            </wp:positionV>
            <wp:extent cx="4585335" cy="3275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85335" cy="3275330"/>
                    </a:xfrm>
                    <a:prstGeom prst="rect">
                      <a:avLst/>
                    </a:prstGeom>
                    <a:noFill/>
                  </pic:spPr>
                </pic:pic>
              </a:graphicData>
            </a:graphic>
          </wp:anchor>
        </w:drawing>
      </w:r>
    </w:p>
    <w:p>
      <w:pPr>
        <w:sectPr>
          <w:pgSz w:w="11900" w:h="16838" w:orient="portrait"/>
          <w:cols w:equalWidth="0" w:num="1">
            <w:col w:w="11440"/>
          </w:cols>
          <w:pgMar w:left="240" w:top="315" w:right="219" w:bottom="1440" w:gutter="0" w:footer="0" w:header="0"/>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1488440</wp:posOffset>
            </wp:positionH>
            <wp:positionV relativeFrom="page">
              <wp:posOffset>327025</wp:posOffset>
            </wp:positionV>
            <wp:extent cx="4585335" cy="3706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4585335" cy="370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341" w:lineRule="auto"/>
        <w:rPr>
          <w:sz w:val="20"/>
          <w:szCs w:val="20"/>
          <w:color w:val="auto"/>
        </w:rPr>
      </w:pPr>
      <w:r>
        <w:rPr>
          <w:rFonts w:ascii="Arial" w:cs="Arial" w:eastAsia="Arial" w:hAnsi="Arial"/>
          <w:sz w:val="13"/>
          <w:szCs w:val="13"/>
          <w:color w:val="auto"/>
        </w:rPr>
        <w:t>The above changes are summarized as follows: (i) the Company contributes Gentherm GmbH and a loan receivable from Gentherm GmbH to the newly-formed Luxembourg holding companies; (ii) Gentherm GmbH distributes its 99.99% interest in Gentherm Holding (Malta) Limited to the Luxembourg holding companies; and (iii) Gentherm GmbH elects to be classified as a disregarded entity for U.S. tax purposes. As illustrated above, the Company’s overall interests in its foreign subsidiaries do not change as a result of the reorganization.</w:t>
      </w:r>
    </w:p>
    <w:p>
      <w:pPr>
        <w:sectPr>
          <w:pgSz w:w="11900" w:h="16838" w:orient="portrait"/>
          <w:cols w:equalWidth="0" w:num="1">
            <w:col w:w="11420"/>
          </w:cols>
          <w:pgMar w:left="240" w:top="1440" w:right="2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88"/>
        </w:trPr>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Schedule 1.01(b)</w:t>
            </w:r>
          </w:p>
        </w:tc>
      </w:tr>
      <w:tr>
        <w:trPr>
          <w:trHeight w:val="188"/>
        </w:trPr>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to Credit Agreement</w:t>
            </w:r>
          </w:p>
        </w:tc>
      </w:tr>
      <w:tr>
        <w:trPr>
          <w:trHeight w:val="199"/>
        </w:trPr>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w w:val="91"/>
              </w:rPr>
              <w:t>Existing Letters of Credit</w:t>
            </w:r>
          </w:p>
        </w:tc>
      </w:tr>
      <w:tr>
        <w:trPr>
          <w:trHeight w:val="376"/>
        </w:trPr>
        <w:tc>
          <w:tcPr>
            <w:tcW w:w="2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2"/>
              </w:rPr>
              <w:t>L/C Number</w:t>
            </w:r>
          </w:p>
        </w:tc>
        <w:tc>
          <w:tcPr>
            <w:tcW w:w="13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6"/>
              </w:rPr>
              <w:t>Date of Issuance</w:t>
            </w:r>
          </w:p>
        </w:tc>
        <w:tc>
          <w:tcPr>
            <w:tcW w:w="120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Arial" w:cs="Arial" w:eastAsia="Arial" w:hAnsi="Arial"/>
                <w:sz w:val="16"/>
                <w:szCs w:val="16"/>
                <w:color w:val="auto"/>
              </w:rPr>
              <w:t>Undrawn Amount</w:t>
            </w:r>
          </w:p>
        </w:tc>
        <w:tc>
          <w:tcPr>
            <w:tcW w:w="820" w:type="dxa"/>
            <w:vAlign w:val="bottom"/>
          </w:tcPr>
          <w:p>
            <w:pPr>
              <w:spacing w:after="0"/>
              <w:rPr>
                <w:sz w:val="24"/>
                <w:szCs w:val="24"/>
                <w:color w:val="auto"/>
              </w:rPr>
            </w:pPr>
          </w:p>
        </w:tc>
        <w:tc>
          <w:tcPr>
            <w:tcW w:w="1520" w:type="dxa"/>
            <w:vAlign w:val="bottom"/>
            <w:gridSpan w:val="2"/>
          </w:tcPr>
          <w:p>
            <w:pPr>
              <w:jc w:val="center"/>
              <w:ind w:right="780"/>
              <w:spacing w:after="0"/>
              <w:rPr>
                <w:sz w:val="20"/>
                <w:szCs w:val="20"/>
                <w:color w:val="auto"/>
              </w:rPr>
            </w:pPr>
            <w:r>
              <w:rPr>
                <w:rFonts w:ascii="Arial" w:cs="Arial" w:eastAsia="Arial" w:hAnsi="Arial"/>
                <w:sz w:val="16"/>
                <w:szCs w:val="16"/>
                <w:color w:val="auto"/>
                <w:w w:val="93"/>
              </w:rPr>
              <w:t>Beneficiary</w:t>
            </w:r>
          </w:p>
        </w:tc>
        <w:tc>
          <w:tcPr>
            <w:tcW w:w="2280" w:type="dxa"/>
            <w:vAlign w:val="bottom"/>
            <w:gridSpan w:val="3"/>
          </w:tcPr>
          <w:p>
            <w:pPr>
              <w:jc w:val="center"/>
              <w:ind w:right="20"/>
              <w:spacing w:after="0"/>
              <w:rPr>
                <w:sz w:val="20"/>
                <w:szCs w:val="20"/>
                <w:color w:val="auto"/>
              </w:rPr>
            </w:pPr>
            <w:r>
              <w:rPr>
                <w:rFonts w:ascii="Arial" w:cs="Arial" w:eastAsia="Arial" w:hAnsi="Arial"/>
                <w:sz w:val="16"/>
                <w:szCs w:val="16"/>
                <w:color w:val="auto"/>
                <w:w w:val="93"/>
              </w:rPr>
              <w:t>Date of Expiry</w:t>
            </w:r>
          </w:p>
        </w:tc>
      </w:tr>
      <w:tr>
        <w:trPr>
          <w:trHeight w:val="20"/>
        </w:trPr>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60"/>
        </w:trPr>
        <w:tc>
          <w:tcPr>
            <w:tcW w:w="2380" w:type="dxa"/>
            <w:vAlign w:val="bottom"/>
            <w:gridSpan w:val="3"/>
          </w:tcPr>
          <w:p>
            <w:pPr>
              <w:jc w:val="center"/>
              <w:ind w:right="1180"/>
              <w:spacing w:after="0"/>
              <w:rPr>
                <w:sz w:val="20"/>
                <w:szCs w:val="20"/>
                <w:color w:val="auto"/>
              </w:rPr>
            </w:pPr>
            <w:r>
              <w:rPr>
                <w:rFonts w:ascii="Arial" w:cs="Arial" w:eastAsia="Arial" w:hAnsi="Arial"/>
                <w:sz w:val="16"/>
                <w:szCs w:val="16"/>
                <w:color w:val="auto"/>
                <w:w w:val="89"/>
              </w:rPr>
              <w:t>T00000068103649</w:t>
            </w:r>
          </w:p>
        </w:tc>
        <w:tc>
          <w:tcPr>
            <w:tcW w:w="1040" w:type="dxa"/>
            <w:vAlign w:val="bottom"/>
          </w:tcPr>
          <w:p>
            <w:pPr>
              <w:jc w:val="center"/>
              <w:spacing w:after="0"/>
              <w:rPr>
                <w:sz w:val="20"/>
                <w:szCs w:val="20"/>
                <w:color w:val="auto"/>
              </w:rPr>
            </w:pPr>
            <w:r>
              <w:rPr>
                <w:rFonts w:ascii="Arial" w:cs="Arial" w:eastAsia="Arial" w:hAnsi="Arial"/>
                <w:sz w:val="16"/>
                <w:szCs w:val="16"/>
                <w:color w:val="auto"/>
                <w:w w:val="90"/>
              </w:rPr>
              <w:t>May 16, 2014</w:t>
            </w:r>
          </w:p>
        </w:tc>
        <w:tc>
          <w:tcPr>
            <w:tcW w:w="2320" w:type="dxa"/>
            <w:vAlign w:val="bottom"/>
            <w:gridSpan w:val="2"/>
          </w:tcPr>
          <w:p>
            <w:pPr>
              <w:jc w:val="center"/>
              <w:ind w:left="1122"/>
              <w:spacing w:after="0"/>
              <w:rPr>
                <w:sz w:val="20"/>
                <w:szCs w:val="20"/>
                <w:color w:val="auto"/>
              </w:rPr>
            </w:pPr>
            <w:r>
              <w:rPr>
                <w:rFonts w:ascii="Arial" w:cs="Arial" w:eastAsia="Arial" w:hAnsi="Arial"/>
                <w:sz w:val="16"/>
                <w:szCs w:val="16"/>
                <w:color w:val="auto"/>
                <w:w w:val="89"/>
              </w:rPr>
              <w:t>80,330.80</w:t>
            </w:r>
          </w:p>
        </w:tc>
        <w:tc>
          <w:tcPr>
            <w:tcW w:w="540" w:type="dxa"/>
            <w:vAlign w:val="bottom"/>
          </w:tcPr>
          <w:p>
            <w:pPr>
              <w:spacing w:after="0"/>
              <w:rPr>
                <w:sz w:val="22"/>
                <w:szCs w:val="22"/>
                <w:color w:val="auto"/>
              </w:rPr>
            </w:pPr>
          </w:p>
        </w:tc>
        <w:tc>
          <w:tcPr>
            <w:tcW w:w="2340" w:type="dxa"/>
            <w:vAlign w:val="bottom"/>
            <w:gridSpan w:val="3"/>
          </w:tcPr>
          <w:p>
            <w:pPr>
              <w:jc w:val="center"/>
              <w:spacing w:after="0"/>
              <w:rPr>
                <w:sz w:val="20"/>
                <w:szCs w:val="20"/>
                <w:color w:val="auto"/>
              </w:rPr>
            </w:pPr>
            <w:r>
              <w:rPr>
                <w:rFonts w:ascii="Arial" w:cs="Arial" w:eastAsia="Arial" w:hAnsi="Arial"/>
                <w:sz w:val="16"/>
                <w:szCs w:val="16"/>
                <w:color w:val="auto"/>
                <w:w w:val="89"/>
              </w:rPr>
              <w:t>Thai Nippon Steel</w:t>
            </w:r>
          </w:p>
        </w:tc>
        <w:tc>
          <w:tcPr>
            <w:tcW w:w="660" w:type="dxa"/>
            <w:vAlign w:val="bottom"/>
          </w:tcPr>
          <w:p>
            <w:pPr>
              <w:spacing w:after="0"/>
              <w:rPr>
                <w:sz w:val="22"/>
                <w:szCs w:val="22"/>
                <w:color w:val="auto"/>
              </w:rPr>
            </w:pPr>
          </w:p>
        </w:tc>
        <w:tc>
          <w:tcPr>
            <w:tcW w:w="1620" w:type="dxa"/>
            <w:vAlign w:val="bottom"/>
            <w:gridSpan w:val="2"/>
          </w:tcPr>
          <w:p>
            <w:pPr>
              <w:jc w:val="center"/>
              <w:ind w:right="680"/>
              <w:spacing w:after="0"/>
              <w:rPr>
                <w:sz w:val="20"/>
                <w:szCs w:val="20"/>
                <w:color w:val="auto"/>
              </w:rPr>
            </w:pPr>
            <w:r>
              <w:rPr>
                <w:rFonts w:ascii="Arial" w:cs="Arial" w:eastAsia="Arial" w:hAnsi="Arial"/>
                <w:sz w:val="16"/>
                <w:szCs w:val="16"/>
                <w:color w:val="auto"/>
                <w:w w:val="88"/>
              </w:rPr>
              <w:t>May 16, 2015</w:t>
            </w:r>
          </w:p>
        </w:tc>
      </w:tr>
      <w:tr>
        <w:trPr>
          <w:trHeight w:val="246"/>
        </w:trPr>
        <w:tc>
          <w:tcPr>
            <w:tcW w:w="2380" w:type="dxa"/>
            <w:vAlign w:val="bottom"/>
            <w:gridSpan w:val="3"/>
          </w:tcPr>
          <w:p>
            <w:pPr>
              <w:jc w:val="center"/>
              <w:ind w:right="1180"/>
              <w:spacing w:after="0"/>
              <w:rPr>
                <w:sz w:val="20"/>
                <w:szCs w:val="20"/>
                <w:color w:val="auto"/>
              </w:rPr>
            </w:pPr>
            <w:r>
              <w:rPr>
                <w:rFonts w:ascii="Arial" w:cs="Arial" w:eastAsia="Arial" w:hAnsi="Arial"/>
                <w:sz w:val="16"/>
                <w:szCs w:val="16"/>
                <w:color w:val="auto"/>
                <w:w w:val="89"/>
              </w:rPr>
              <w:t>T00000068102866</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March 31, 2014</w:t>
            </w:r>
          </w:p>
        </w:tc>
        <w:tc>
          <w:tcPr>
            <w:tcW w:w="2320" w:type="dxa"/>
            <w:vAlign w:val="bottom"/>
            <w:gridSpan w:val="2"/>
          </w:tcPr>
          <w:p>
            <w:pPr>
              <w:jc w:val="center"/>
              <w:ind w:left="1122"/>
              <w:spacing w:after="0"/>
              <w:rPr>
                <w:sz w:val="20"/>
                <w:szCs w:val="20"/>
                <w:color w:val="auto"/>
              </w:rPr>
            </w:pPr>
            <w:r>
              <w:rPr>
                <w:rFonts w:ascii="Arial" w:cs="Arial" w:eastAsia="Arial" w:hAnsi="Arial"/>
                <w:sz w:val="16"/>
                <w:szCs w:val="16"/>
                <w:color w:val="auto"/>
                <w:w w:val="85"/>
              </w:rPr>
              <w:t>$1,674,222.21</w:t>
            </w:r>
          </w:p>
        </w:tc>
        <w:tc>
          <w:tcPr>
            <w:tcW w:w="540" w:type="dxa"/>
            <w:vAlign w:val="bottom"/>
          </w:tcPr>
          <w:p>
            <w:pPr>
              <w:spacing w:after="0"/>
              <w:rPr>
                <w:sz w:val="21"/>
                <w:szCs w:val="21"/>
                <w:color w:val="auto"/>
              </w:rPr>
            </w:pPr>
          </w:p>
        </w:tc>
        <w:tc>
          <w:tcPr>
            <w:tcW w:w="2340" w:type="dxa"/>
            <w:vAlign w:val="bottom"/>
            <w:gridSpan w:val="3"/>
          </w:tcPr>
          <w:p>
            <w:pPr>
              <w:jc w:val="center"/>
              <w:spacing w:after="0"/>
              <w:rPr>
                <w:sz w:val="20"/>
                <w:szCs w:val="20"/>
                <w:color w:val="auto"/>
              </w:rPr>
            </w:pPr>
            <w:r>
              <w:rPr>
                <w:rFonts w:ascii="Arial" w:cs="Arial" w:eastAsia="Arial" w:hAnsi="Arial"/>
                <w:sz w:val="16"/>
                <w:szCs w:val="16"/>
                <w:color w:val="auto"/>
                <w:w w:val="89"/>
              </w:rPr>
              <w:t>Bank of Nova Scotia</w:t>
            </w:r>
          </w:p>
        </w:tc>
        <w:tc>
          <w:tcPr>
            <w:tcW w:w="2280" w:type="dxa"/>
            <w:vAlign w:val="bottom"/>
            <w:gridSpan w:val="3"/>
          </w:tcPr>
          <w:p>
            <w:pPr>
              <w:jc w:val="center"/>
              <w:ind w:right="20"/>
              <w:spacing w:after="0"/>
              <w:rPr>
                <w:sz w:val="20"/>
                <w:szCs w:val="20"/>
                <w:color w:val="auto"/>
              </w:rPr>
            </w:pPr>
            <w:r>
              <w:rPr>
                <w:rFonts w:ascii="Arial" w:cs="Arial" w:eastAsia="Arial" w:hAnsi="Arial"/>
                <w:sz w:val="16"/>
                <w:szCs w:val="16"/>
                <w:color w:val="auto"/>
                <w:w w:val="86"/>
              </w:rPr>
              <w:t>September 30, 2014</w:t>
            </w:r>
          </w:p>
        </w:tc>
      </w:tr>
      <w:tr>
        <w:trPr>
          <w:trHeight w:val="246"/>
        </w:trPr>
        <w:tc>
          <w:tcPr>
            <w:tcW w:w="2380" w:type="dxa"/>
            <w:vAlign w:val="bottom"/>
            <w:gridSpan w:val="3"/>
          </w:tcPr>
          <w:p>
            <w:pPr>
              <w:jc w:val="center"/>
              <w:ind w:right="1180"/>
              <w:spacing w:after="0"/>
              <w:rPr>
                <w:sz w:val="20"/>
                <w:szCs w:val="20"/>
                <w:color w:val="auto"/>
              </w:rPr>
            </w:pPr>
            <w:r>
              <w:rPr>
                <w:rFonts w:ascii="Arial" w:cs="Arial" w:eastAsia="Arial" w:hAnsi="Arial"/>
                <w:sz w:val="16"/>
                <w:szCs w:val="16"/>
                <w:color w:val="auto"/>
                <w:w w:val="89"/>
              </w:rPr>
              <w:t>T00000068105129</w:t>
            </w:r>
          </w:p>
        </w:tc>
        <w:tc>
          <w:tcPr>
            <w:tcW w:w="1040" w:type="dxa"/>
            <w:vAlign w:val="bottom"/>
          </w:tcPr>
          <w:p>
            <w:pPr>
              <w:jc w:val="center"/>
              <w:spacing w:after="0"/>
              <w:rPr>
                <w:sz w:val="20"/>
                <w:szCs w:val="20"/>
                <w:color w:val="auto"/>
              </w:rPr>
            </w:pPr>
            <w:r>
              <w:rPr>
                <w:rFonts w:ascii="Arial" w:cs="Arial" w:eastAsia="Arial" w:hAnsi="Arial"/>
                <w:sz w:val="16"/>
                <w:szCs w:val="16"/>
                <w:color w:val="auto"/>
                <w:w w:val="88"/>
              </w:rPr>
              <w:t>July 17, 2014</w:t>
            </w:r>
          </w:p>
        </w:tc>
        <w:tc>
          <w:tcPr>
            <w:tcW w:w="2320" w:type="dxa"/>
            <w:vAlign w:val="bottom"/>
            <w:gridSpan w:val="2"/>
          </w:tcPr>
          <w:p>
            <w:pPr>
              <w:jc w:val="center"/>
              <w:ind w:left="1122"/>
              <w:spacing w:after="0"/>
              <w:rPr>
                <w:sz w:val="20"/>
                <w:szCs w:val="20"/>
                <w:color w:val="auto"/>
              </w:rPr>
            </w:pPr>
            <w:r>
              <w:rPr>
                <w:rFonts w:ascii="Arial" w:cs="Arial" w:eastAsia="Arial" w:hAnsi="Arial"/>
                <w:sz w:val="16"/>
                <w:szCs w:val="16"/>
                <w:color w:val="auto"/>
                <w:w w:val="89"/>
              </w:rPr>
              <w:t>$10,100.00</w:t>
            </w:r>
          </w:p>
        </w:tc>
        <w:tc>
          <w:tcPr>
            <w:tcW w:w="540" w:type="dxa"/>
            <w:vAlign w:val="bottom"/>
          </w:tcPr>
          <w:p>
            <w:pPr>
              <w:spacing w:after="0"/>
              <w:rPr>
                <w:sz w:val="21"/>
                <w:szCs w:val="21"/>
                <w:color w:val="auto"/>
              </w:rPr>
            </w:pPr>
          </w:p>
        </w:tc>
        <w:tc>
          <w:tcPr>
            <w:tcW w:w="2340" w:type="dxa"/>
            <w:vAlign w:val="bottom"/>
            <w:gridSpan w:val="3"/>
          </w:tcPr>
          <w:p>
            <w:pPr>
              <w:jc w:val="center"/>
              <w:spacing w:after="0"/>
              <w:rPr>
                <w:sz w:val="20"/>
                <w:szCs w:val="20"/>
                <w:color w:val="auto"/>
              </w:rPr>
            </w:pPr>
            <w:r>
              <w:rPr>
                <w:rFonts w:ascii="Arial" w:cs="Arial" w:eastAsia="Arial" w:hAnsi="Arial"/>
                <w:sz w:val="16"/>
                <w:szCs w:val="16"/>
                <w:color w:val="auto"/>
                <w:w w:val="89"/>
              </w:rPr>
              <w:t>Prime Bank, Foreign</w:t>
            </w:r>
          </w:p>
        </w:tc>
        <w:tc>
          <w:tcPr>
            <w:tcW w:w="2280" w:type="dxa"/>
            <w:vAlign w:val="bottom"/>
            <w:gridSpan w:val="3"/>
          </w:tcPr>
          <w:p>
            <w:pPr>
              <w:jc w:val="center"/>
              <w:ind w:right="20"/>
              <w:spacing w:after="0"/>
              <w:rPr>
                <w:sz w:val="20"/>
                <w:szCs w:val="20"/>
                <w:color w:val="auto"/>
              </w:rPr>
            </w:pPr>
            <w:r>
              <w:rPr>
                <w:rFonts w:ascii="Arial" w:cs="Arial" w:eastAsia="Arial" w:hAnsi="Arial"/>
                <w:sz w:val="16"/>
                <w:szCs w:val="16"/>
                <w:color w:val="auto"/>
                <w:w w:val="87"/>
              </w:rPr>
              <w:t>February 28, 2015</w:t>
            </w:r>
          </w:p>
        </w:tc>
      </w:tr>
    </w:tbl>
    <w:p>
      <w:pPr>
        <w:sectPr>
          <w:pgSz w:w="11900" w:h="16838" w:orient="portrait"/>
          <w:cols w:equalWidth="0" w:num="1">
            <w:col w:w="10900"/>
          </w:cols>
          <w:pgMar w:left="780" w:top="315" w:right="219" w:bottom="1440" w:gutter="0" w:footer="0" w:header="0"/>
        </w:sectPr>
      </w:pPr>
    </w:p>
    <w:bookmarkStart w:id="141" w:name="page142"/>
    <w:bookmarkEnd w:id="14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18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Schedule 2.01</w:t>
            </w:r>
          </w:p>
        </w:tc>
        <w:tc>
          <w:tcPr>
            <w:tcW w:w="0" w:type="dxa"/>
            <w:vAlign w:val="bottom"/>
          </w:tcPr>
          <w:p>
            <w:pPr>
              <w:spacing w:after="0"/>
              <w:rPr>
                <w:sz w:val="1"/>
                <w:szCs w:val="1"/>
                <w:color w:val="auto"/>
              </w:rPr>
            </w:pPr>
          </w:p>
        </w:tc>
      </w:tr>
      <w:tr>
        <w:trPr>
          <w:trHeight w:val="188"/>
        </w:trPr>
        <w:tc>
          <w:tcPr>
            <w:tcW w:w="18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to Credit Agreement</w:t>
            </w:r>
          </w:p>
        </w:tc>
        <w:tc>
          <w:tcPr>
            <w:tcW w:w="0" w:type="dxa"/>
            <w:vAlign w:val="bottom"/>
          </w:tcPr>
          <w:p>
            <w:pPr>
              <w:spacing w:after="0"/>
              <w:rPr>
                <w:sz w:val="1"/>
                <w:szCs w:val="1"/>
                <w:color w:val="auto"/>
              </w:rPr>
            </w:pPr>
          </w:p>
        </w:tc>
      </w:tr>
      <w:tr>
        <w:trPr>
          <w:trHeight w:val="199"/>
        </w:trPr>
        <w:tc>
          <w:tcPr>
            <w:tcW w:w="1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360" w:type="dxa"/>
            <w:vAlign w:val="bottom"/>
            <w:gridSpan w:val="2"/>
          </w:tcPr>
          <w:p>
            <w:pPr>
              <w:jc w:val="right"/>
              <w:spacing w:after="0"/>
              <w:rPr>
                <w:sz w:val="20"/>
                <w:szCs w:val="20"/>
                <w:color w:val="auto"/>
              </w:rPr>
            </w:pPr>
            <w:r>
              <w:rPr>
                <w:rFonts w:ascii="Arial" w:cs="Arial" w:eastAsia="Arial" w:hAnsi="Arial"/>
                <w:sz w:val="16"/>
                <w:szCs w:val="16"/>
                <w:color w:val="auto"/>
              </w:rPr>
              <w:t>Commitments and Applicable Percentages</w:t>
            </w:r>
          </w:p>
        </w:tc>
        <w:tc>
          <w:tcPr>
            <w:tcW w:w="0" w:type="dxa"/>
            <w:vAlign w:val="bottom"/>
          </w:tcPr>
          <w:p>
            <w:pPr>
              <w:spacing w:after="0"/>
              <w:rPr>
                <w:sz w:val="1"/>
                <w:szCs w:val="1"/>
                <w:color w:val="auto"/>
              </w:rPr>
            </w:pPr>
          </w:p>
        </w:tc>
      </w:tr>
      <w:tr>
        <w:trPr>
          <w:trHeight w:val="228"/>
        </w:trPr>
        <w:tc>
          <w:tcPr>
            <w:tcW w:w="1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1880" w:type="dxa"/>
            <w:vAlign w:val="bottom"/>
            <w:tcBorders>
              <w:left w:val="single" w:sz="8" w:color="auto"/>
              <w:right w:val="single" w:sz="8" w:color="auto"/>
            </w:tcBorders>
            <w:shd w:val="clear" w:color="auto" w:fill="C0C0C0"/>
          </w:tcPr>
          <w:p>
            <w:pPr>
              <w:spacing w:after="0"/>
              <w:rPr>
                <w:sz w:val="24"/>
                <w:szCs w:val="24"/>
                <w:color w:val="auto"/>
              </w:rPr>
            </w:pPr>
          </w:p>
        </w:tc>
        <w:tc>
          <w:tcPr>
            <w:tcW w:w="14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2"/>
                <w:szCs w:val="12"/>
                <w:b w:val="1"/>
                <w:bCs w:val="1"/>
                <w:color w:val="auto"/>
                <w:w w:val="94"/>
              </w:rPr>
              <w:t>Revolving Credit</w:t>
            </w:r>
          </w:p>
        </w:tc>
        <w:tc>
          <w:tcPr>
            <w:tcW w:w="15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2"/>
                <w:szCs w:val="12"/>
                <w:b w:val="1"/>
                <w:bCs w:val="1"/>
                <w:color w:val="auto"/>
                <w:w w:val="93"/>
              </w:rPr>
              <w:t>Applicable Percentage of</w:t>
            </w:r>
          </w:p>
        </w:tc>
        <w:tc>
          <w:tcPr>
            <w:tcW w:w="154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2"/>
                <w:szCs w:val="12"/>
                <w:b w:val="1"/>
                <w:bCs w:val="1"/>
                <w:color w:val="auto"/>
                <w:w w:val="96"/>
              </w:rPr>
              <w:t>Company Term</w:t>
            </w:r>
          </w:p>
        </w:tc>
        <w:tc>
          <w:tcPr>
            <w:tcW w:w="170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2"/>
                <w:szCs w:val="12"/>
                <w:b w:val="1"/>
                <w:bCs w:val="1"/>
                <w:color w:val="auto"/>
                <w:w w:val="93"/>
              </w:rPr>
              <w:t>Applicable Percentage of</w:t>
            </w:r>
          </w:p>
        </w:tc>
        <w:tc>
          <w:tcPr>
            <w:tcW w:w="16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2"/>
                <w:szCs w:val="12"/>
                <w:b w:val="1"/>
                <w:bCs w:val="1"/>
                <w:color w:val="auto"/>
                <w:w w:val="96"/>
              </w:rPr>
              <w:t>Gentherm Germany Term</w:t>
            </w:r>
          </w:p>
        </w:tc>
        <w:tc>
          <w:tcPr>
            <w:tcW w:w="16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2"/>
                <w:szCs w:val="12"/>
                <w:b w:val="1"/>
                <w:bCs w:val="1"/>
                <w:color w:val="auto"/>
                <w:w w:val="92"/>
              </w:rPr>
              <w:t>Applicable Percentage of</w:t>
            </w:r>
          </w:p>
        </w:tc>
        <w:tc>
          <w:tcPr>
            <w:tcW w:w="0" w:type="dxa"/>
            <w:vAlign w:val="bottom"/>
          </w:tcPr>
          <w:p>
            <w:pPr>
              <w:spacing w:after="0"/>
              <w:rPr>
                <w:sz w:val="1"/>
                <w:szCs w:val="1"/>
                <w:color w:val="auto"/>
              </w:rPr>
            </w:pPr>
          </w:p>
        </w:tc>
      </w:tr>
      <w:tr>
        <w:trPr>
          <w:trHeight w:val="59"/>
        </w:trPr>
        <w:tc>
          <w:tcPr>
            <w:tcW w:w="1880" w:type="dxa"/>
            <w:vAlign w:val="bottom"/>
            <w:tcBorders>
              <w:left w:val="single" w:sz="8" w:color="auto"/>
              <w:right w:val="single" w:sz="8" w:color="auto"/>
            </w:tcBorders>
            <w:vMerge w:val="restart"/>
            <w:shd w:val="clear" w:color="auto" w:fill="C0C0C0"/>
          </w:tcPr>
          <w:p>
            <w:pPr>
              <w:jc w:val="center"/>
              <w:spacing w:after="0" w:line="129" w:lineRule="exact"/>
              <w:rPr>
                <w:sz w:val="20"/>
                <w:szCs w:val="20"/>
                <w:color w:val="auto"/>
              </w:rPr>
            </w:pPr>
            <w:r>
              <w:rPr>
                <w:rFonts w:ascii="Arial" w:cs="Arial" w:eastAsia="Arial" w:hAnsi="Arial"/>
                <w:sz w:val="12"/>
                <w:szCs w:val="12"/>
                <w:b w:val="1"/>
                <w:bCs w:val="1"/>
                <w:color w:val="auto"/>
                <w:w w:val="94"/>
              </w:rPr>
              <w:t>Lender</w:t>
            </w:r>
          </w:p>
        </w:tc>
        <w:tc>
          <w:tcPr>
            <w:tcW w:w="1480" w:type="dxa"/>
            <w:vAlign w:val="bottom"/>
            <w:tcBorders>
              <w:right w:val="single" w:sz="8" w:color="auto"/>
            </w:tcBorders>
            <w:vMerge w:val="continue"/>
            <w:shd w:val="clear" w:color="auto" w:fill="C0C0C0"/>
          </w:tcPr>
          <w:p>
            <w:pPr>
              <w:spacing w:after="0"/>
              <w:rPr>
                <w:sz w:val="5"/>
                <w:szCs w:val="5"/>
                <w:color w:val="auto"/>
              </w:rPr>
            </w:pPr>
          </w:p>
        </w:tc>
        <w:tc>
          <w:tcPr>
            <w:tcW w:w="1520" w:type="dxa"/>
            <w:vAlign w:val="bottom"/>
            <w:tcBorders>
              <w:right w:val="single" w:sz="8" w:color="auto"/>
            </w:tcBorders>
            <w:vMerge w:val="restart"/>
            <w:shd w:val="clear" w:color="auto" w:fill="C0C0C0"/>
          </w:tcPr>
          <w:p>
            <w:pPr>
              <w:jc w:val="center"/>
              <w:spacing w:after="0" w:line="129" w:lineRule="exact"/>
              <w:rPr>
                <w:sz w:val="20"/>
                <w:szCs w:val="20"/>
                <w:color w:val="auto"/>
              </w:rPr>
            </w:pPr>
            <w:r>
              <w:rPr>
                <w:rFonts w:ascii="Arial" w:cs="Arial" w:eastAsia="Arial" w:hAnsi="Arial"/>
                <w:sz w:val="12"/>
                <w:szCs w:val="12"/>
                <w:b w:val="1"/>
                <w:bCs w:val="1"/>
                <w:color w:val="auto"/>
                <w:w w:val="94"/>
              </w:rPr>
              <w:t>Revolving Credit</w:t>
            </w:r>
          </w:p>
        </w:tc>
        <w:tc>
          <w:tcPr>
            <w:tcW w:w="1540" w:type="dxa"/>
            <w:vAlign w:val="bottom"/>
            <w:tcBorders>
              <w:right w:val="single" w:sz="8" w:color="auto"/>
            </w:tcBorders>
            <w:vMerge w:val="continue"/>
            <w:shd w:val="clear" w:color="auto" w:fill="C0C0C0"/>
          </w:tcPr>
          <w:p>
            <w:pPr>
              <w:spacing w:after="0"/>
              <w:rPr>
                <w:sz w:val="5"/>
                <w:szCs w:val="5"/>
                <w:color w:val="auto"/>
              </w:rPr>
            </w:pPr>
          </w:p>
        </w:tc>
        <w:tc>
          <w:tcPr>
            <w:tcW w:w="1700" w:type="dxa"/>
            <w:vAlign w:val="bottom"/>
            <w:tcBorders>
              <w:right w:val="single" w:sz="8" w:color="auto"/>
            </w:tcBorders>
            <w:vMerge w:val="continue"/>
            <w:shd w:val="clear" w:color="auto" w:fill="C0C0C0"/>
          </w:tcPr>
          <w:p>
            <w:pPr>
              <w:spacing w:after="0"/>
              <w:rPr>
                <w:sz w:val="5"/>
                <w:szCs w:val="5"/>
                <w:color w:val="auto"/>
              </w:rPr>
            </w:pPr>
          </w:p>
        </w:tc>
        <w:tc>
          <w:tcPr>
            <w:tcW w:w="1680" w:type="dxa"/>
            <w:vAlign w:val="bottom"/>
            <w:tcBorders>
              <w:right w:val="single" w:sz="8" w:color="auto"/>
            </w:tcBorders>
            <w:vMerge w:val="continue"/>
            <w:shd w:val="clear" w:color="auto" w:fill="C0C0C0"/>
          </w:tcPr>
          <w:p>
            <w:pPr>
              <w:spacing w:after="0"/>
              <w:rPr>
                <w:sz w:val="5"/>
                <w:szCs w:val="5"/>
                <w:color w:val="auto"/>
              </w:rPr>
            </w:pPr>
          </w:p>
        </w:tc>
        <w:tc>
          <w:tcPr>
            <w:tcW w:w="1680" w:type="dxa"/>
            <w:vAlign w:val="bottom"/>
            <w:tcBorders>
              <w:right w:val="single" w:sz="8" w:color="auto"/>
            </w:tcBorders>
            <w:vMerge w:val="restart"/>
            <w:shd w:val="clear" w:color="auto" w:fill="C0C0C0"/>
          </w:tcPr>
          <w:p>
            <w:pPr>
              <w:jc w:val="center"/>
              <w:spacing w:after="0" w:line="129" w:lineRule="exact"/>
              <w:rPr>
                <w:sz w:val="20"/>
                <w:szCs w:val="20"/>
                <w:color w:val="auto"/>
              </w:rPr>
            </w:pPr>
            <w:r>
              <w:rPr>
                <w:rFonts w:ascii="Arial" w:cs="Arial" w:eastAsia="Arial" w:hAnsi="Arial"/>
                <w:sz w:val="12"/>
                <w:szCs w:val="12"/>
                <w:b w:val="1"/>
                <w:bCs w:val="1"/>
                <w:color w:val="auto"/>
                <w:w w:val="96"/>
              </w:rPr>
              <w:t>Gentherm Germany Term</w:t>
            </w:r>
          </w:p>
        </w:tc>
        <w:tc>
          <w:tcPr>
            <w:tcW w:w="0" w:type="dxa"/>
            <w:vAlign w:val="bottom"/>
          </w:tcPr>
          <w:p>
            <w:pPr>
              <w:spacing w:after="0"/>
              <w:rPr>
                <w:sz w:val="1"/>
                <w:szCs w:val="1"/>
                <w:color w:val="auto"/>
              </w:rPr>
            </w:pPr>
          </w:p>
        </w:tc>
      </w:tr>
      <w:tr>
        <w:trPr>
          <w:trHeight w:val="70"/>
        </w:trPr>
        <w:tc>
          <w:tcPr>
            <w:tcW w:w="1880" w:type="dxa"/>
            <w:vAlign w:val="bottom"/>
            <w:tcBorders>
              <w:left w:val="single" w:sz="8" w:color="auto"/>
              <w:right w:val="single" w:sz="8" w:color="auto"/>
            </w:tcBorders>
            <w:vMerge w:val="continue"/>
            <w:shd w:val="clear" w:color="auto" w:fill="C0C0C0"/>
          </w:tcPr>
          <w:p>
            <w:pPr>
              <w:spacing w:after="0"/>
              <w:rPr>
                <w:sz w:val="6"/>
                <w:szCs w:val="6"/>
                <w:color w:val="auto"/>
              </w:rPr>
            </w:pPr>
          </w:p>
        </w:tc>
        <w:tc>
          <w:tcPr>
            <w:tcW w:w="14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2"/>
                <w:szCs w:val="12"/>
                <w:b w:val="1"/>
                <w:bCs w:val="1"/>
                <w:color w:val="auto"/>
                <w:w w:val="95"/>
              </w:rPr>
              <w:t>Commitment</w:t>
            </w:r>
          </w:p>
        </w:tc>
        <w:tc>
          <w:tcPr>
            <w:tcW w:w="1520" w:type="dxa"/>
            <w:vAlign w:val="bottom"/>
            <w:tcBorders>
              <w:right w:val="single" w:sz="8" w:color="auto"/>
            </w:tcBorders>
            <w:vMerge w:val="continue"/>
            <w:shd w:val="clear" w:color="auto" w:fill="C0C0C0"/>
          </w:tcPr>
          <w:p>
            <w:pPr>
              <w:spacing w:after="0"/>
              <w:rPr>
                <w:sz w:val="6"/>
                <w:szCs w:val="6"/>
                <w:color w:val="auto"/>
              </w:rPr>
            </w:pPr>
          </w:p>
        </w:tc>
        <w:tc>
          <w:tcPr>
            <w:tcW w:w="154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2"/>
                <w:szCs w:val="12"/>
                <w:b w:val="1"/>
                <w:bCs w:val="1"/>
                <w:color w:val="auto"/>
                <w:w w:val="98"/>
              </w:rPr>
              <w:t>Commitment</w:t>
            </w:r>
          </w:p>
        </w:tc>
        <w:tc>
          <w:tcPr>
            <w:tcW w:w="170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2"/>
                <w:szCs w:val="12"/>
                <w:b w:val="1"/>
                <w:bCs w:val="1"/>
                <w:color w:val="auto"/>
                <w:w w:val="96"/>
              </w:rPr>
              <w:t>Company Term Commitment</w:t>
            </w:r>
          </w:p>
        </w:tc>
        <w:tc>
          <w:tcPr>
            <w:tcW w:w="16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2"/>
                <w:szCs w:val="12"/>
                <w:b w:val="1"/>
                <w:bCs w:val="1"/>
                <w:color w:val="auto"/>
                <w:w w:val="98"/>
              </w:rPr>
              <w:t>Commitment</w:t>
            </w:r>
          </w:p>
        </w:tc>
        <w:tc>
          <w:tcPr>
            <w:tcW w:w="1680" w:type="dxa"/>
            <w:vAlign w:val="bottom"/>
            <w:tcBorders>
              <w:right w:val="single" w:sz="8" w:color="auto"/>
            </w:tcBorders>
            <w:vMerge w:val="continue"/>
            <w:shd w:val="clear" w:color="auto" w:fill="C0C0C0"/>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1880" w:type="dxa"/>
            <w:vAlign w:val="bottom"/>
            <w:tcBorders>
              <w:left w:val="single" w:sz="8" w:color="auto"/>
              <w:right w:val="single" w:sz="8" w:color="auto"/>
            </w:tcBorders>
            <w:shd w:val="clear" w:color="auto" w:fill="C0C0C0"/>
          </w:tcPr>
          <w:p>
            <w:pPr>
              <w:spacing w:after="0"/>
              <w:rPr>
                <w:sz w:val="7"/>
                <w:szCs w:val="7"/>
                <w:color w:val="auto"/>
              </w:rPr>
            </w:pPr>
          </w:p>
        </w:tc>
        <w:tc>
          <w:tcPr>
            <w:tcW w:w="1480" w:type="dxa"/>
            <w:vAlign w:val="bottom"/>
            <w:tcBorders>
              <w:right w:val="single" w:sz="8" w:color="auto"/>
            </w:tcBorders>
            <w:vMerge w:val="continue"/>
            <w:shd w:val="clear" w:color="auto" w:fill="C0C0C0"/>
          </w:tcPr>
          <w:p>
            <w:pPr>
              <w:spacing w:after="0"/>
              <w:rPr>
                <w:sz w:val="7"/>
                <w:szCs w:val="7"/>
                <w:color w:val="auto"/>
              </w:rPr>
            </w:pPr>
          </w:p>
        </w:tc>
        <w:tc>
          <w:tcPr>
            <w:tcW w:w="152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2"/>
                <w:szCs w:val="12"/>
                <w:b w:val="1"/>
                <w:bCs w:val="1"/>
                <w:color w:val="auto"/>
                <w:w w:val="95"/>
              </w:rPr>
              <w:t>Commitment</w:t>
            </w:r>
          </w:p>
        </w:tc>
        <w:tc>
          <w:tcPr>
            <w:tcW w:w="1540" w:type="dxa"/>
            <w:vAlign w:val="bottom"/>
            <w:tcBorders>
              <w:right w:val="single" w:sz="8" w:color="auto"/>
            </w:tcBorders>
            <w:vMerge w:val="continue"/>
            <w:shd w:val="clear" w:color="auto" w:fill="C0C0C0"/>
          </w:tcPr>
          <w:p>
            <w:pPr>
              <w:spacing w:after="0"/>
              <w:rPr>
                <w:sz w:val="7"/>
                <w:szCs w:val="7"/>
                <w:color w:val="auto"/>
              </w:rPr>
            </w:pPr>
          </w:p>
        </w:tc>
        <w:tc>
          <w:tcPr>
            <w:tcW w:w="1700" w:type="dxa"/>
            <w:vAlign w:val="bottom"/>
            <w:tcBorders>
              <w:right w:val="single" w:sz="8" w:color="auto"/>
            </w:tcBorders>
            <w:vMerge w:val="continue"/>
            <w:shd w:val="clear" w:color="auto" w:fill="C0C0C0"/>
          </w:tcPr>
          <w:p>
            <w:pPr>
              <w:spacing w:after="0"/>
              <w:rPr>
                <w:sz w:val="7"/>
                <w:szCs w:val="7"/>
                <w:color w:val="auto"/>
              </w:rPr>
            </w:pPr>
          </w:p>
        </w:tc>
        <w:tc>
          <w:tcPr>
            <w:tcW w:w="1680" w:type="dxa"/>
            <w:vAlign w:val="bottom"/>
            <w:tcBorders>
              <w:right w:val="single" w:sz="8" w:color="auto"/>
            </w:tcBorders>
            <w:vMerge w:val="continue"/>
            <w:shd w:val="clear" w:color="auto" w:fill="C0C0C0"/>
          </w:tcPr>
          <w:p>
            <w:pPr>
              <w:spacing w:after="0"/>
              <w:rPr>
                <w:sz w:val="7"/>
                <w:szCs w:val="7"/>
                <w:color w:val="auto"/>
              </w:rPr>
            </w:pPr>
          </w:p>
        </w:tc>
        <w:tc>
          <w:tcPr>
            <w:tcW w:w="16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2"/>
                <w:szCs w:val="12"/>
                <w:b w:val="1"/>
                <w:bCs w:val="1"/>
                <w:color w:val="auto"/>
                <w:w w:val="98"/>
              </w:rPr>
              <w:t>Commitment</w:t>
            </w:r>
          </w:p>
        </w:tc>
        <w:tc>
          <w:tcPr>
            <w:tcW w:w="0" w:type="dxa"/>
            <w:vAlign w:val="bottom"/>
          </w:tcPr>
          <w:p>
            <w:pPr>
              <w:spacing w:after="0"/>
              <w:rPr>
                <w:sz w:val="1"/>
                <w:szCs w:val="1"/>
                <w:color w:val="auto"/>
              </w:rPr>
            </w:pPr>
          </w:p>
        </w:tc>
      </w:tr>
      <w:tr>
        <w:trPr>
          <w:trHeight w:val="70"/>
        </w:trPr>
        <w:tc>
          <w:tcPr>
            <w:tcW w:w="1880" w:type="dxa"/>
            <w:vAlign w:val="bottom"/>
            <w:tcBorders>
              <w:left w:val="single" w:sz="8" w:color="auto"/>
              <w:right w:val="single" w:sz="8" w:color="auto"/>
            </w:tcBorders>
            <w:shd w:val="clear" w:color="auto" w:fill="C0C0C0"/>
          </w:tcPr>
          <w:p>
            <w:pPr>
              <w:spacing w:after="0"/>
              <w:rPr>
                <w:sz w:val="6"/>
                <w:szCs w:val="6"/>
                <w:color w:val="auto"/>
              </w:rPr>
            </w:pPr>
          </w:p>
        </w:tc>
        <w:tc>
          <w:tcPr>
            <w:tcW w:w="1480" w:type="dxa"/>
            <w:vAlign w:val="bottom"/>
            <w:tcBorders>
              <w:right w:val="single" w:sz="8" w:color="auto"/>
            </w:tcBorders>
            <w:shd w:val="clear" w:color="auto" w:fill="C0C0C0"/>
          </w:tcPr>
          <w:p>
            <w:pPr>
              <w:spacing w:after="0"/>
              <w:rPr>
                <w:sz w:val="6"/>
                <w:szCs w:val="6"/>
                <w:color w:val="auto"/>
              </w:rPr>
            </w:pPr>
          </w:p>
        </w:tc>
        <w:tc>
          <w:tcPr>
            <w:tcW w:w="1520" w:type="dxa"/>
            <w:vAlign w:val="bottom"/>
            <w:tcBorders>
              <w:right w:val="single" w:sz="8" w:color="auto"/>
            </w:tcBorders>
            <w:vMerge w:val="continue"/>
            <w:shd w:val="clear" w:color="auto" w:fill="C0C0C0"/>
          </w:tcPr>
          <w:p>
            <w:pPr>
              <w:spacing w:after="0"/>
              <w:rPr>
                <w:sz w:val="6"/>
                <w:szCs w:val="6"/>
                <w:color w:val="auto"/>
              </w:rPr>
            </w:pPr>
          </w:p>
        </w:tc>
        <w:tc>
          <w:tcPr>
            <w:tcW w:w="1540" w:type="dxa"/>
            <w:vAlign w:val="bottom"/>
            <w:tcBorders>
              <w:right w:val="single" w:sz="8" w:color="auto"/>
            </w:tcBorders>
            <w:shd w:val="clear" w:color="auto" w:fill="C0C0C0"/>
          </w:tcPr>
          <w:p>
            <w:pPr>
              <w:spacing w:after="0"/>
              <w:rPr>
                <w:sz w:val="6"/>
                <w:szCs w:val="6"/>
                <w:color w:val="auto"/>
              </w:rPr>
            </w:pPr>
          </w:p>
        </w:tc>
        <w:tc>
          <w:tcPr>
            <w:tcW w:w="1700" w:type="dxa"/>
            <w:vAlign w:val="bottom"/>
            <w:tcBorders>
              <w:right w:val="single" w:sz="8" w:color="auto"/>
            </w:tcBorders>
            <w:shd w:val="clear" w:color="auto" w:fill="C0C0C0"/>
          </w:tcPr>
          <w:p>
            <w:pPr>
              <w:spacing w:after="0"/>
              <w:rPr>
                <w:sz w:val="6"/>
                <w:szCs w:val="6"/>
                <w:color w:val="auto"/>
              </w:rPr>
            </w:pPr>
          </w:p>
        </w:tc>
        <w:tc>
          <w:tcPr>
            <w:tcW w:w="1680" w:type="dxa"/>
            <w:vAlign w:val="bottom"/>
            <w:tcBorders>
              <w:right w:val="single" w:sz="8" w:color="auto"/>
            </w:tcBorders>
            <w:shd w:val="clear" w:color="auto" w:fill="C0C0C0"/>
          </w:tcPr>
          <w:p>
            <w:pPr>
              <w:spacing w:after="0"/>
              <w:rPr>
                <w:sz w:val="6"/>
                <w:szCs w:val="6"/>
                <w:color w:val="auto"/>
              </w:rPr>
            </w:pPr>
          </w:p>
        </w:tc>
        <w:tc>
          <w:tcPr>
            <w:tcW w:w="1680" w:type="dxa"/>
            <w:vAlign w:val="bottom"/>
            <w:tcBorders>
              <w:right w:val="single" w:sz="8" w:color="auto"/>
            </w:tcBorders>
            <w:vMerge w:val="continue"/>
            <w:shd w:val="clear" w:color="auto" w:fill="C0C0C0"/>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880" w:type="dxa"/>
            <w:vAlign w:val="bottom"/>
            <w:tcBorders>
              <w:left w:val="single" w:sz="8" w:color="auto"/>
              <w:bottom w:val="single" w:sz="8" w:color="auto"/>
              <w:right w:val="single" w:sz="8" w:color="auto"/>
            </w:tcBorders>
            <w:shd w:val="clear" w:color="auto" w:fill="C0C0C0"/>
          </w:tcPr>
          <w:p>
            <w:pPr>
              <w:spacing w:after="0"/>
              <w:rPr>
                <w:sz w:val="18"/>
                <w:szCs w:val="18"/>
                <w:color w:val="auto"/>
              </w:rPr>
            </w:pPr>
          </w:p>
        </w:tc>
        <w:tc>
          <w:tcPr>
            <w:tcW w:w="1480" w:type="dxa"/>
            <w:vAlign w:val="bottom"/>
            <w:tcBorders>
              <w:bottom w:val="single" w:sz="8" w:color="auto"/>
              <w:right w:val="single" w:sz="8" w:color="auto"/>
            </w:tcBorders>
            <w:shd w:val="clear" w:color="auto" w:fill="C0C0C0"/>
          </w:tcPr>
          <w:p>
            <w:pPr>
              <w:spacing w:after="0"/>
              <w:rPr>
                <w:sz w:val="18"/>
                <w:szCs w:val="18"/>
                <w:color w:val="auto"/>
              </w:rPr>
            </w:pPr>
          </w:p>
        </w:tc>
        <w:tc>
          <w:tcPr>
            <w:tcW w:w="1520" w:type="dxa"/>
            <w:vAlign w:val="bottom"/>
            <w:tcBorders>
              <w:bottom w:val="single" w:sz="8" w:color="auto"/>
              <w:right w:val="single" w:sz="8" w:color="auto"/>
            </w:tcBorders>
            <w:shd w:val="clear" w:color="auto" w:fill="C0C0C0"/>
          </w:tcPr>
          <w:p>
            <w:pPr>
              <w:spacing w:after="0"/>
              <w:rPr>
                <w:sz w:val="18"/>
                <w:szCs w:val="18"/>
                <w:color w:val="auto"/>
              </w:rPr>
            </w:pPr>
          </w:p>
        </w:tc>
        <w:tc>
          <w:tcPr>
            <w:tcW w:w="1540" w:type="dxa"/>
            <w:vAlign w:val="bottom"/>
            <w:tcBorders>
              <w:bottom w:val="single" w:sz="8" w:color="auto"/>
              <w:right w:val="single" w:sz="8" w:color="auto"/>
            </w:tcBorders>
            <w:shd w:val="clear" w:color="auto" w:fill="C0C0C0"/>
          </w:tcPr>
          <w:p>
            <w:pPr>
              <w:spacing w:after="0"/>
              <w:rPr>
                <w:sz w:val="18"/>
                <w:szCs w:val="18"/>
                <w:color w:val="auto"/>
              </w:rPr>
            </w:pPr>
          </w:p>
        </w:tc>
        <w:tc>
          <w:tcPr>
            <w:tcW w:w="1700" w:type="dxa"/>
            <w:vAlign w:val="bottom"/>
            <w:tcBorders>
              <w:bottom w:val="single" w:sz="8" w:color="auto"/>
              <w:right w:val="single" w:sz="8" w:color="auto"/>
            </w:tcBorders>
            <w:shd w:val="clear" w:color="auto" w:fill="C0C0C0"/>
          </w:tcPr>
          <w:p>
            <w:pPr>
              <w:spacing w:after="0"/>
              <w:rPr>
                <w:sz w:val="18"/>
                <w:szCs w:val="18"/>
                <w:color w:val="auto"/>
              </w:rPr>
            </w:pPr>
          </w:p>
        </w:tc>
        <w:tc>
          <w:tcPr>
            <w:tcW w:w="1680" w:type="dxa"/>
            <w:vAlign w:val="bottom"/>
            <w:tcBorders>
              <w:bottom w:val="single" w:sz="8" w:color="auto"/>
              <w:right w:val="single" w:sz="8" w:color="auto"/>
            </w:tcBorders>
            <w:shd w:val="clear" w:color="auto" w:fill="C0C0C0"/>
          </w:tcPr>
          <w:p>
            <w:pPr>
              <w:spacing w:after="0"/>
              <w:rPr>
                <w:sz w:val="18"/>
                <w:szCs w:val="18"/>
                <w:color w:val="auto"/>
              </w:rPr>
            </w:pPr>
          </w:p>
        </w:tc>
        <w:tc>
          <w:tcPr>
            <w:tcW w:w="1680" w:type="dxa"/>
            <w:vAlign w:val="bottom"/>
            <w:tcBorders>
              <w:bottom w:val="single" w:sz="8" w:color="auto"/>
              <w:right w:val="single" w:sz="8" w:color="auto"/>
            </w:tcBorders>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tcBorders>
              <w:left w:val="single" w:sz="8" w:color="auto"/>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Bank of America, N.A.</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$22,325,000.00</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22.325000000%</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$11,162,500.00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22.325000000%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5"/>
              </w:rPr>
              <w:t>€4,475,000.00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22.375000000%</w:t>
            </w:r>
          </w:p>
        </w:tc>
        <w:tc>
          <w:tcPr>
            <w:tcW w:w="0" w:type="dxa"/>
            <w:vAlign w:val="bottom"/>
          </w:tcPr>
          <w:p>
            <w:pPr>
              <w:spacing w:after="0"/>
              <w:rPr>
                <w:sz w:val="1"/>
                <w:szCs w:val="1"/>
                <w:color w:val="auto"/>
              </w:rPr>
            </w:pPr>
          </w:p>
        </w:tc>
      </w:tr>
      <w:tr>
        <w:trPr>
          <w:trHeight w:val="118"/>
        </w:trPr>
        <w:tc>
          <w:tcPr>
            <w:tcW w:w="1880" w:type="dxa"/>
            <w:vAlign w:val="bottom"/>
            <w:tcBorders>
              <w:left w:val="single" w:sz="8" w:color="auto"/>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1540" w:type="dxa"/>
            <w:vAlign w:val="bottom"/>
            <w:tcBorders>
              <w:bottom w:val="single" w:sz="8" w:color="auto"/>
              <w:right w:val="single" w:sz="8" w:color="auto"/>
            </w:tcBorders>
          </w:tcPr>
          <w:p>
            <w:pPr>
              <w:spacing w:after="0"/>
              <w:rPr>
                <w:sz w:val="10"/>
                <w:szCs w:val="10"/>
                <w:color w:val="auto"/>
              </w:rPr>
            </w:pPr>
          </w:p>
        </w:tc>
        <w:tc>
          <w:tcPr>
            <w:tcW w:w="170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80" w:type="dxa"/>
            <w:vAlign w:val="bottom"/>
            <w:tcBorders>
              <w:left w:val="single" w:sz="8" w:color="auto"/>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880" w:type="dxa"/>
            <w:vAlign w:val="bottom"/>
            <w:tcBorders>
              <w:left w:val="single" w:sz="8" w:color="auto"/>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85"/>
              </w:rPr>
              <w:t>JPMorgan Chase</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8"/>
              </w:rPr>
              <w:t>$18,350,000.00</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7"/>
              </w:rPr>
              <w:t>18.350000000%</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5"/>
              </w:rPr>
              <w:t>$9,175,000.00</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7"/>
              </w:rPr>
              <w:t>18.350000000%</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5"/>
              </w:rPr>
              <w:t>€3,675,000.00</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18.375000000%</w:t>
            </w:r>
          </w:p>
        </w:tc>
        <w:tc>
          <w:tcPr>
            <w:tcW w:w="0" w:type="dxa"/>
            <w:vAlign w:val="bottom"/>
          </w:tcPr>
          <w:p>
            <w:pPr>
              <w:spacing w:after="0"/>
              <w:rPr>
                <w:sz w:val="1"/>
                <w:szCs w:val="1"/>
                <w:color w:val="auto"/>
              </w:rPr>
            </w:pPr>
          </w:p>
        </w:tc>
      </w:tr>
      <w:tr>
        <w:trPr>
          <w:trHeight w:val="105"/>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Bank, N.A.</w:t>
            </w:r>
          </w:p>
        </w:tc>
        <w:tc>
          <w:tcPr>
            <w:tcW w:w="148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880" w:type="dxa"/>
            <w:vAlign w:val="bottom"/>
            <w:tcBorders>
              <w:left w:val="single" w:sz="8" w:color="auto"/>
              <w:right w:val="single" w:sz="8" w:color="auto"/>
            </w:tcBorders>
            <w:vMerge w:val="continue"/>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680" w:type="dxa"/>
            <w:vAlign w:val="bottom"/>
            <w:tcBorders>
              <w:right w:val="single" w:sz="8" w:color="auto"/>
            </w:tcBorders>
          </w:tcPr>
          <w:p>
            <w:pPr>
              <w:spacing w:after="0"/>
              <w:rPr>
                <w:sz w:val="8"/>
                <w:szCs w:val="8"/>
                <w:color w:val="auto"/>
              </w:rPr>
            </w:pPr>
          </w:p>
        </w:tc>
        <w:tc>
          <w:tcPr>
            <w:tcW w:w="16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80" w:type="dxa"/>
            <w:vAlign w:val="bottom"/>
            <w:tcBorders>
              <w:left w:val="single" w:sz="8" w:color="auto"/>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880" w:type="dxa"/>
            <w:vAlign w:val="bottom"/>
            <w:tcBorders>
              <w:left w:val="single" w:sz="8" w:color="auto"/>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1"/>
              </w:rPr>
              <w:t>HSBC Bank USA, National</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8"/>
              </w:rPr>
              <w:t>$16,950,000.00</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7"/>
              </w:rPr>
              <w:t>16.950000000%</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5"/>
              </w:rPr>
              <w:t>$8,475,000.00</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7"/>
              </w:rPr>
              <w:t>16.950000000%</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5"/>
              </w:rPr>
              <w:t>€3,390,000.00</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16.950000000%</w:t>
            </w:r>
          </w:p>
        </w:tc>
        <w:tc>
          <w:tcPr>
            <w:tcW w:w="0" w:type="dxa"/>
            <w:vAlign w:val="bottom"/>
          </w:tcPr>
          <w:p>
            <w:pPr>
              <w:spacing w:after="0"/>
              <w:rPr>
                <w:sz w:val="1"/>
                <w:szCs w:val="1"/>
                <w:color w:val="auto"/>
              </w:rPr>
            </w:pPr>
          </w:p>
        </w:tc>
      </w:tr>
      <w:tr>
        <w:trPr>
          <w:trHeight w:val="105"/>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0"/>
              </w:rPr>
              <w:t>Association</w:t>
            </w:r>
          </w:p>
        </w:tc>
        <w:tc>
          <w:tcPr>
            <w:tcW w:w="148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880" w:type="dxa"/>
            <w:vAlign w:val="bottom"/>
            <w:tcBorders>
              <w:left w:val="single" w:sz="8" w:color="auto"/>
              <w:right w:val="single" w:sz="8" w:color="auto"/>
            </w:tcBorders>
            <w:vMerge w:val="continue"/>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680" w:type="dxa"/>
            <w:vAlign w:val="bottom"/>
            <w:tcBorders>
              <w:right w:val="single" w:sz="8" w:color="auto"/>
            </w:tcBorders>
          </w:tcPr>
          <w:p>
            <w:pPr>
              <w:spacing w:after="0"/>
              <w:rPr>
                <w:sz w:val="8"/>
                <w:szCs w:val="8"/>
                <w:color w:val="auto"/>
              </w:rPr>
            </w:pPr>
          </w:p>
        </w:tc>
        <w:tc>
          <w:tcPr>
            <w:tcW w:w="16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80" w:type="dxa"/>
            <w:vAlign w:val="bottom"/>
            <w:tcBorders>
              <w:left w:val="single" w:sz="8" w:color="auto"/>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Comerica Bank</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$14,125,000.00</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14.125000000%</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5"/>
              </w:rPr>
              <w:t>$7,062,500.00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14.125000000%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5"/>
              </w:rPr>
              <w:t>€2,820,000.00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14.100000000%</w:t>
            </w:r>
          </w:p>
        </w:tc>
        <w:tc>
          <w:tcPr>
            <w:tcW w:w="0" w:type="dxa"/>
            <w:vAlign w:val="bottom"/>
          </w:tcPr>
          <w:p>
            <w:pPr>
              <w:spacing w:after="0"/>
              <w:rPr>
                <w:sz w:val="1"/>
                <w:szCs w:val="1"/>
                <w:color w:val="auto"/>
              </w:rPr>
            </w:pPr>
          </w:p>
        </w:tc>
      </w:tr>
      <w:tr>
        <w:trPr>
          <w:trHeight w:val="118"/>
        </w:trPr>
        <w:tc>
          <w:tcPr>
            <w:tcW w:w="1880" w:type="dxa"/>
            <w:vAlign w:val="bottom"/>
            <w:tcBorders>
              <w:left w:val="single" w:sz="8" w:color="auto"/>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1540" w:type="dxa"/>
            <w:vAlign w:val="bottom"/>
            <w:tcBorders>
              <w:bottom w:val="single" w:sz="8" w:color="auto"/>
              <w:right w:val="single" w:sz="8" w:color="auto"/>
            </w:tcBorders>
          </w:tcPr>
          <w:p>
            <w:pPr>
              <w:spacing w:after="0"/>
              <w:rPr>
                <w:sz w:val="10"/>
                <w:szCs w:val="10"/>
                <w:color w:val="auto"/>
              </w:rPr>
            </w:pPr>
          </w:p>
        </w:tc>
        <w:tc>
          <w:tcPr>
            <w:tcW w:w="170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80" w:type="dxa"/>
            <w:vAlign w:val="bottom"/>
            <w:tcBorders>
              <w:left w:val="single" w:sz="8" w:color="auto"/>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880" w:type="dxa"/>
            <w:vAlign w:val="bottom"/>
            <w:tcBorders>
              <w:left w:val="single" w:sz="8" w:color="auto"/>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1"/>
              </w:rPr>
              <w:t>The Huntington National</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8"/>
              </w:rPr>
              <w:t>$14,125,000.00</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7"/>
              </w:rPr>
              <w:t>14.125000000%</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5"/>
              </w:rPr>
              <w:t>$7,062,500.00</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7"/>
              </w:rPr>
              <w:t>14.125000000%</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5"/>
              </w:rPr>
              <w:t>€2,820,000.00</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14.100000000%</w:t>
            </w:r>
          </w:p>
        </w:tc>
        <w:tc>
          <w:tcPr>
            <w:tcW w:w="0" w:type="dxa"/>
            <w:vAlign w:val="bottom"/>
          </w:tcPr>
          <w:p>
            <w:pPr>
              <w:spacing w:after="0"/>
              <w:rPr>
                <w:sz w:val="1"/>
                <w:szCs w:val="1"/>
                <w:color w:val="auto"/>
              </w:rPr>
            </w:pPr>
          </w:p>
        </w:tc>
      </w:tr>
      <w:tr>
        <w:trPr>
          <w:trHeight w:val="105"/>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Bank</w:t>
            </w:r>
          </w:p>
        </w:tc>
        <w:tc>
          <w:tcPr>
            <w:tcW w:w="148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880" w:type="dxa"/>
            <w:vAlign w:val="bottom"/>
            <w:tcBorders>
              <w:left w:val="single" w:sz="8" w:color="auto"/>
              <w:right w:val="single" w:sz="8" w:color="auto"/>
            </w:tcBorders>
            <w:vMerge w:val="continue"/>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680" w:type="dxa"/>
            <w:vAlign w:val="bottom"/>
            <w:tcBorders>
              <w:right w:val="single" w:sz="8" w:color="auto"/>
            </w:tcBorders>
          </w:tcPr>
          <w:p>
            <w:pPr>
              <w:spacing w:after="0"/>
              <w:rPr>
                <w:sz w:val="8"/>
                <w:szCs w:val="8"/>
                <w:color w:val="auto"/>
              </w:rPr>
            </w:pPr>
          </w:p>
        </w:tc>
        <w:tc>
          <w:tcPr>
            <w:tcW w:w="16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80" w:type="dxa"/>
            <w:vAlign w:val="bottom"/>
            <w:tcBorders>
              <w:left w:val="single" w:sz="8" w:color="auto"/>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880" w:type="dxa"/>
            <w:vAlign w:val="bottom"/>
            <w:tcBorders>
              <w:left w:val="single" w:sz="8" w:color="auto"/>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2"/>
              </w:rPr>
              <w:t>KeyBank National</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8"/>
              </w:rPr>
              <w:t>$14,125,000.00</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7"/>
              </w:rPr>
              <w:t>14.125000000%</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5"/>
              </w:rPr>
              <w:t>$7,062,500.00</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7"/>
              </w:rPr>
              <w:t>14.125000000%</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5"/>
              </w:rPr>
              <w:t>€2,820,000.00</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14.100000000%</w:t>
            </w:r>
          </w:p>
        </w:tc>
        <w:tc>
          <w:tcPr>
            <w:tcW w:w="0" w:type="dxa"/>
            <w:vAlign w:val="bottom"/>
          </w:tcPr>
          <w:p>
            <w:pPr>
              <w:spacing w:after="0"/>
              <w:rPr>
                <w:sz w:val="1"/>
                <w:szCs w:val="1"/>
                <w:color w:val="auto"/>
              </w:rPr>
            </w:pPr>
          </w:p>
        </w:tc>
      </w:tr>
      <w:tr>
        <w:trPr>
          <w:trHeight w:val="105"/>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0"/>
              </w:rPr>
              <w:t>Association</w:t>
            </w:r>
          </w:p>
        </w:tc>
        <w:tc>
          <w:tcPr>
            <w:tcW w:w="148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880" w:type="dxa"/>
            <w:vAlign w:val="bottom"/>
            <w:tcBorders>
              <w:left w:val="single" w:sz="8" w:color="auto"/>
              <w:right w:val="single" w:sz="8" w:color="auto"/>
            </w:tcBorders>
            <w:vMerge w:val="continue"/>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680" w:type="dxa"/>
            <w:vAlign w:val="bottom"/>
            <w:tcBorders>
              <w:right w:val="single" w:sz="8" w:color="auto"/>
            </w:tcBorders>
          </w:tcPr>
          <w:p>
            <w:pPr>
              <w:spacing w:after="0"/>
              <w:rPr>
                <w:sz w:val="8"/>
                <w:szCs w:val="8"/>
                <w:color w:val="auto"/>
              </w:rPr>
            </w:pPr>
          </w:p>
        </w:tc>
        <w:tc>
          <w:tcPr>
            <w:tcW w:w="16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80" w:type="dxa"/>
            <w:vAlign w:val="bottom"/>
            <w:tcBorders>
              <w:left w:val="single" w:sz="8" w:color="auto"/>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TOTAL</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$100,000,000.00</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100.000000000%</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$50,000,000.00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100.000000000%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€20,000,000.00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100.000000000%</w:t>
            </w:r>
          </w:p>
        </w:tc>
        <w:tc>
          <w:tcPr>
            <w:tcW w:w="0" w:type="dxa"/>
            <w:vAlign w:val="bottom"/>
          </w:tcPr>
          <w:p>
            <w:pPr>
              <w:spacing w:after="0"/>
              <w:rPr>
                <w:sz w:val="1"/>
                <w:szCs w:val="1"/>
                <w:color w:val="auto"/>
              </w:rPr>
            </w:pPr>
          </w:p>
        </w:tc>
      </w:tr>
      <w:tr>
        <w:trPr>
          <w:trHeight w:val="118"/>
        </w:trPr>
        <w:tc>
          <w:tcPr>
            <w:tcW w:w="1880" w:type="dxa"/>
            <w:vAlign w:val="bottom"/>
            <w:tcBorders>
              <w:left w:val="single" w:sz="8" w:color="auto"/>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1540" w:type="dxa"/>
            <w:vAlign w:val="bottom"/>
            <w:tcBorders>
              <w:bottom w:val="single" w:sz="8" w:color="auto"/>
              <w:right w:val="single" w:sz="8" w:color="auto"/>
            </w:tcBorders>
          </w:tcPr>
          <w:p>
            <w:pPr>
              <w:spacing w:after="0"/>
              <w:rPr>
                <w:sz w:val="10"/>
                <w:szCs w:val="10"/>
                <w:color w:val="auto"/>
              </w:rPr>
            </w:pPr>
          </w:p>
        </w:tc>
        <w:tc>
          <w:tcPr>
            <w:tcW w:w="170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80" w:type="dxa"/>
            <w:vAlign w:val="bottom"/>
            <w:tcBorders>
              <w:left w:val="single" w:sz="8" w:color="auto"/>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80"/>
          </w:cols>
          <w:pgMar w:left="220" w:top="315" w:right="199" w:bottom="1440" w:gutter="0" w:footer="0" w:header="0"/>
        </w:sectPr>
      </w:pPr>
    </w:p>
    <w:bookmarkStart w:id="142" w:name="page143"/>
    <w:bookmarkEnd w:id="142"/>
    <w:p>
      <w:pPr>
        <w:jc w:val="right"/>
        <w:spacing w:after="0"/>
        <w:rPr>
          <w:sz w:val="20"/>
          <w:szCs w:val="20"/>
          <w:color w:val="auto"/>
        </w:rPr>
      </w:pPr>
      <w:r>
        <w:rPr>
          <w:rFonts w:ascii="Arial" w:cs="Arial" w:eastAsia="Arial" w:hAnsi="Arial"/>
          <w:sz w:val="16"/>
          <w:szCs w:val="16"/>
          <w:color w:val="auto"/>
        </w:rPr>
        <w:t>Schedule 5.13</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to Credit Agreement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Subsidiaries; Other Equity Investments</w:t>
      </w:r>
    </w:p>
    <w:tbl>
      <w:tblPr>
        <w:tblLayout w:type="fixed"/>
        <w:tblInd w:w="0" w:type="dxa"/>
        <w:tblCellMar>
          <w:top w:w="0" w:type="dxa"/>
          <w:left w:w="0" w:type="dxa"/>
          <w:bottom w:w="0" w:type="dxa"/>
          <w:right w:w="0" w:type="dxa"/>
        </w:tblCellMar>
      </w:tblPr>
      <w:tr>
        <w:trPr>
          <w:trHeight w:val="157"/>
        </w:trPr>
        <w:tc>
          <w:tcPr>
            <w:tcW w:w="46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6"/>
                <w:szCs w:val="16"/>
                <w:color w:val="auto"/>
                <w:w w:val="82"/>
              </w:rPr>
              <w:t>Part (a)</w:t>
            </w:r>
          </w:p>
        </w:tc>
        <w:tc>
          <w:tcPr>
            <w:tcW w:w="7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355"/>
        </w:trPr>
        <w:tc>
          <w:tcPr>
            <w:tcW w:w="380" w:type="dxa"/>
            <w:vAlign w:val="bottom"/>
          </w:tcPr>
          <w:p>
            <w:pPr>
              <w:spacing w:after="0"/>
              <w:rPr>
                <w:sz w:val="20"/>
                <w:szCs w:val="20"/>
                <w:color w:val="auto"/>
              </w:rPr>
            </w:pPr>
            <w:r>
              <w:rPr>
                <w:rFonts w:ascii="Arial" w:cs="Arial" w:eastAsia="Arial" w:hAnsi="Arial"/>
                <w:sz w:val="16"/>
                <w:szCs w:val="16"/>
                <w:color w:val="auto"/>
                <w:w w:val="89"/>
              </w:rPr>
              <w:t>Entity</w:t>
            </w:r>
          </w:p>
        </w:tc>
        <w:tc>
          <w:tcPr>
            <w:tcW w:w="7080" w:type="dxa"/>
            <w:vAlign w:val="bottom"/>
            <w:gridSpan w:val="2"/>
          </w:tcPr>
          <w:p>
            <w:pPr>
              <w:spacing w:after="0"/>
              <w:rPr>
                <w:sz w:val="24"/>
                <w:szCs w:val="24"/>
                <w:color w:val="auto"/>
              </w:rPr>
            </w:pPr>
          </w:p>
        </w:tc>
        <w:tc>
          <w:tcPr>
            <w:tcW w:w="2060" w:type="dxa"/>
            <w:vAlign w:val="bottom"/>
            <w:gridSpan w:val="2"/>
          </w:tcPr>
          <w:p>
            <w:pPr>
              <w:spacing w:after="0"/>
              <w:rPr>
                <w:sz w:val="20"/>
                <w:szCs w:val="20"/>
                <w:color w:val="auto"/>
              </w:rPr>
            </w:pPr>
            <w:r>
              <w:rPr>
                <w:rFonts w:ascii="Arial" w:cs="Arial" w:eastAsia="Arial" w:hAnsi="Arial"/>
                <w:sz w:val="16"/>
                <w:szCs w:val="16"/>
                <w:color w:val="auto"/>
              </w:rPr>
              <w:t>Ownership</w:t>
            </w:r>
          </w:p>
        </w:tc>
      </w:tr>
      <w:tr>
        <w:trPr>
          <w:trHeight w:val="20"/>
        </w:trPr>
        <w:tc>
          <w:tcPr>
            <w:tcW w:w="380" w:type="dxa"/>
            <w:vAlign w:val="bottom"/>
            <w:shd w:val="clear" w:color="auto" w:fill="000000"/>
          </w:tcPr>
          <w:p>
            <w:pPr>
              <w:spacing w:after="0" w:line="20" w:lineRule="exact"/>
              <w:rPr>
                <w:sz w:val="1"/>
                <w:szCs w:val="1"/>
                <w:color w:val="auto"/>
              </w:rPr>
            </w:pPr>
          </w:p>
        </w:tc>
        <w:tc>
          <w:tcPr>
            <w:tcW w:w="708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0"/>
        </w:trPr>
        <w:tc>
          <w:tcPr>
            <w:tcW w:w="7460" w:type="dxa"/>
            <w:vAlign w:val="bottom"/>
            <w:gridSpan w:val="3"/>
          </w:tcPr>
          <w:p>
            <w:pPr>
              <w:spacing w:after="0"/>
              <w:rPr>
                <w:sz w:val="20"/>
                <w:szCs w:val="20"/>
                <w:color w:val="auto"/>
              </w:rPr>
            </w:pPr>
            <w:r>
              <w:rPr>
                <w:rFonts w:ascii="Arial" w:cs="Arial" w:eastAsia="Arial" w:hAnsi="Arial"/>
                <w:sz w:val="16"/>
                <w:szCs w:val="16"/>
                <w:color w:val="auto"/>
              </w:rPr>
              <w:t>Gentherm International Holdings (Hong Kong) Limited (“HK”)</w:t>
            </w:r>
          </w:p>
        </w:tc>
        <w:tc>
          <w:tcPr>
            <w:tcW w:w="2060" w:type="dxa"/>
            <w:vAlign w:val="bottom"/>
            <w:gridSpan w:val="2"/>
          </w:tcPr>
          <w:p>
            <w:pPr>
              <w:spacing w:after="0"/>
              <w:rPr>
                <w:sz w:val="20"/>
                <w:szCs w:val="20"/>
                <w:color w:val="auto"/>
              </w:rPr>
            </w:pPr>
            <w:r>
              <w:rPr>
                <w:rFonts w:ascii="Arial" w:cs="Arial" w:eastAsia="Arial" w:hAnsi="Arial"/>
                <w:sz w:val="16"/>
                <w:szCs w:val="16"/>
                <w:color w:val="auto"/>
                <w:w w:val="87"/>
              </w:rPr>
              <w:t>100% by Gentherm Incorporated</w:t>
            </w:r>
          </w:p>
        </w:tc>
      </w:tr>
      <w:tr>
        <w:trPr>
          <w:trHeight w:val="188"/>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Arial" w:cs="Arial" w:eastAsia="Arial" w:hAnsi="Arial"/>
                <w:sz w:val="16"/>
                <w:szCs w:val="16"/>
                <w:color w:val="auto"/>
              </w:rPr>
              <w:t>(the “Company”)</w:t>
            </w:r>
          </w:p>
        </w:tc>
      </w:tr>
      <w:tr>
        <w:trPr>
          <w:trHeight w:val="188"/>
        </w:trPr>
        <w:tc>
          <w:tcPr>
            <w:tcW w:w="7460" w:type="dxa"/>
            <w:vAlign w:val="bottom"/>
            <w:gridSpan w:val="3"/>
          </w:tcPr>
          <w:p>
            <w:pPr>
              <w:spacing w:after="0"/>
              <w:rPr>
                <w:sz w:val="20"/>
                <w:szCs w:val="20"/>
                <w:color w:val="auto"/>
              </w:rPr>
            </w:pPr>
            <w:r>
              <w:rPr>
                <w:rFonts w:ascii="Arial" w:cs="Arial" w:eastAsia="Arial" w:hAnsi="Arial"/>
                <w:sz w:val="16"/>
                <w:szCs w:val="16"/>
                <w:color w:val="auto"/>
              </w:rPr>
              <w:t>Gentherm Japan Inc.</w:t>
            </w:r>
          </w:p>
        </w:tc>
        <w:tc>
          <w:tcPr>
            <w:tcW w:w="2060" w:type="dxa"/>
            <w:vAlign w:val="bottom"/>
            <w:gridSpan w:val="2"/>
          </w:tcPr>
          <w:p>
            <w:pPr>
              <w:spacing w:after="0"/>
              <w:rPr>
                <w:sz w:val="20"/>
                <w:szCs w:val="20"/>
                <w:color w:val="auto"/>
              </w:rPr>
            </w:pPr>
            <w:r>
              <w:rPr>
                <w:rFonts w:ascii="Arial" w:cs="Arial" w:eastAsia="Arial" w:hAnsi="Arial"/>
                <w:sz w:val="16"/>
                <w:szCs w:val="16"/>
                <w:color w:val="auto"/>
              </w:rPr>
              <w:t>100% by the Company</w:t>
            </w:r>
          </w:p>
        </w:tc>
      </w:tr>
      <w:tr>
        <w:trPr>
          <w:trHeight w:val="188"/>
        </w:trPr>
        <w:tc>
          <w:tcPr>
            <w:tcW w:w="7460" w:type="dxa"/>
            <w:vAlign w:val="bottom"/>
            <w:gridSpan w:val="3"/>
          </w:tcPr>
          <w:p>
            <w:pPr>
              <w:spacing w:after="0"/>
              <w:rPr>
                <w:sz w:val="20"/>
                <w:szCs w:val="20"/>
                <w:color w:val="auto"/>
              </w:rPr>
            </w:pPr>
            <w:r>
              <w:rPr>
                <w:rFonts w:ascii="Arial" w:cs="Arial" w:eastAsia="Arial" w:hAnsi="Arial"/>
                <w:sz w:val="16"/>
                <w:szCs w:val="16"/>
                <w:color w:val="auto"/>
              </w:rPr>
              <w:t>Gentherm GmbH (“Germany”)</w:t>
            </w:r>
          </w:p>
        </w:tc>
        <w:tc>
          <w:tcPr>
            <w:tcW w:w="2060" w:type="dxa"/>
            <w:vAlign w:val="bottom"/>
            <w:gridSpan w:val="2"/>
          </w:tcPr>
          <w:p>
            <w:pPr>
              <w:spacing w:after="0"/>
              <w:rPr>
                <w:sz w:val="20"/>
                <w:szCs w:val="20"/>
                <w:color w:val="auto"/>
              </w:rPr>
            </w:pPr>
            <w:r>
              <w:rPr>
                <w:rFonts w:ascii="Arial" w:cs="Arial" w:eastAsia="Arial" w:hAnsi="Arial"/>
                <w:sz w:val="16"/>
                <w:szCs w:val="16"/>
                <w:color w:val="auto"/>
              </w:rPr>
              <w:t>100% by the Company</w:t>
            </w:r>
          </w:p>
        </w:tc>
      </w:tr>
      <w:tr>
        <w:trPr>
          <w:trHeight w:val="188"/>
        </w:trPr>
        <w:tc>
          <w:tcPr>
            <w:tcW w:w="7460" w:type="dxa"/>
            <w:vAlign w:val="bottom"/>
            <w:gridSpan w:val="3"/>
          </w:tcPr>
          <w:p>
            <w:pPr>
              <w:spacing w:after="0"/>
              <w:rPr>
                <w:sz w:val="20"/>
                <w:szCs w:val="20"/>
                <w:color w:val="auto"/>
              </w:rPr>
            </w:pPr>
            <w:r>
              <w:rPr>
                <w:rFonts w:ascii="Arial" w:cs="Arial" w:eastAsia="Arial" w:hAnsi="Arial"/>
                <w:sz w:val="16"/>
                <w:szCs w:val="16"/>
                <w:color w:val="auto"/>
              </w:rPr>
              <w:t>Westridge Haggerty LLC</w:t>
            </w:r>
          </w:p>
        </w:tc>
        <w:tc>
          <w:tcPr>
            <w:tcW w:w="2060" w:type="dxa"/>
            <w:vAlign w:val="bottom"/>
            <w:gridSpan w:val="2"/>
          </w:tcPr>
          <w:p>
            <w:pPr>
              <w:spacing w:after="0"/>
              <w:rPr>
                <w:sz w:val="20"/>
                <w:szCs w:val="20"/>
                <w:color w:val="auto"/>
              </w:rPr>
            </w:pPr>
            <w:r>
              <w:rPr>
                <w:rFonts w:ascii="Arial" w:cs="Arial" w:eastAsia="Arial" w:hAnsi="Arial"/>
                <w:sz w:val="16"/>
                <w:szCs w:val="16"/>
                <w:color w:val="auto"/>
              </w:rPr>
              <w:t>100% by the Company</w:t>
            </w:r>
          </w:p>
        </w:tc>
      </w:tr>
      <w:tr>
        <w:trPr>
          <w:trHeight w:val="188"/>
        </w:trPr>
        <w:tc>
          <w:tcPr>
            <w:tcW w:w="7460" w:type="dxa"/>
            <w:vAlign w:val="bottom"/>
            <w:gridSpan w:val="3"/>
          </w:tcPr>
          <w:p>
            <w:pPr>
              <w:spacing w:after="0"/>
              <w:rPr>
                <w:sz w:val="20"/>
                <w:szCs w:val="20"/>
                <w:color w:val="auto"/>
              </w:rPr>
            </w:pPr>
            <w:r>
              <w:rPr>
                <w:rFonts w:ascii="Arial" w:cs="Arial" w:eastAsia="Arial" w:hAnsi="Arial"/>
                <w:sz w:val="16"/>
                <w:szCs w:val="16"/>
                <w:color w:val="auto"/>
              </w:rPr>
              <w:t>Global Thermoelectric Inc. (“GTE”)</w:t>
            </w:r>
          </w:p>
        </w:tc>
        <w:tc>
          <w:tcPr>
            <w:tcW w:w="2060" w:type="dxa"/>
            <w:vAlign w:val="bottom"/>
            <w:gridSpan w:val="2"/>
          </w:tcPr>
          <w:p>
            <w:pPr>
              <w:spacing w:after="0"/>
              <w:rPr>
                <w:sz w:val="20"/>
                <w:szCs w:val="20"/>
                <w:color w:val="auto"/>
              </w:rPr>
            </w:pPr>
            <w:r>
              <w:rPr>
                <w:rFonts w:ascii="Arial" w:cs="Arial" w:eastAsia="Arial" w:hAnsi="Arial"/>
                <w:sz w:val="16"/>
                <w:szCs w:val="16"/>
                <w:color w:val="auto"/>
              </w:rPr>
              <w:t>100% by the Company</w:t>
            </w:r>
          </w:p>
        </w:tc>
      </w:tr>
      <w:tr>
        <w:trPr>
          <w:trHeight w:val="188"/>
        </w:trPr>
        <w:tc>
          <w:tcPr>
            <w:tcW w:w="7460" w:type="dxa"/>
            <w:vAlign w:val="bottom"/>
            <w:gridSpan w:val="3"/>
          </w:tcPr>
          <w:p>
            <w:pPr>
              <w:spacing w:after="0"/>
              <w:rPr>
                <w:sz w:val="20"/>
                <w:szCs w:val="20"/>
                <w:color w:val="auto"/>
              </w:rPr>
            </w:pPr>
            <w:r>
              <w:rPr>
                <w:rFonts w:ascii="Arial" w:cs="Arial" w:eastAsia="Arial" w:hAnsi="Arial"/>
                <w:sz w:val="16"/>
                <w:szCs w:val="16"/>
                <w:color w:val="auto"/>
              </w:rPr>
              <w:t>Gentherm Electronics (Shenzhen) Ltd.</w:t>
            </w:r>
          </w:p>
        </w:tc>
        <w:tc>
          <w:tcPr>
            <w:tcW w:w="2060" w:type="dxa"/>
            <w:vAlign w:val="bottom"/>
            <w:gridSpan w:val="2"/>
          </w:tcPr>
          <w:p>
            <w:pPr>
              <w:spacing w:after="0"/>
              <w:rPr>
                <w:sz w:val="20"/>
                <w:szCs w:val="20"/>
                <w:color w:val="auto"/>
              </w:rPr>
            </w:pPr>
            <w:r>
              <w:rPr>
                <w:rFonts w:ascii="Arial" w:cs="Arial" w:eastAsia="Arial" w:hAnsi="Arial"/>
                <w:sz w:val="16"/>
                <w:szCs w:val="16"/>
                <w:color w:val="auto"/>
              </w:rPr>
              <w:t>100% by HK</w:t>
            </w:r>
          </w:p>
        </w:tc>
      </w:tr>
      <w:tr>
        <w:trPr>
          <w:trHeight w:val="188"/>
        </w:trPr>
        <w:tc>
          <w:tcPr>
            <w:tcW w:w="7460" w:type="dxa"/>
            <w:vAlign w:val="bottom"/>
            <w:gridSpan w:val="3"/>
          </w:tcPr>
          <w:p>
            <w:pPr>
              <w:spacing w:after="0"/>
              <w:rPr>
                <w:sz w:val="20"/>
                <w:szCs w:val="20"/>
                <w:color w:val="auto"/>
              </w:rPr>
            </w:pPr>
            <w:r>
              <w:rPr>
                <w:rFonts w:ascii="Arial" w:cs="Arial" w:eastAsia="Arial" w:hAnsi="Arial"/>
                <w:sz w:val="16"/>
                <w:szCs w:val="16"/>
                <w:color w:val="auto"/>
              </w:rPr>
              <w:t>Gentherm Vietnam Co. Ltd.</w:t>
            </w:r>
          </w:p>
        </w:tc>
        <w:tc>
          <w:tcPr>
            <w:tcW w:w="2060" w:type="dxa"/>
            <w:vAlign w:val="bottom"/>
            <w:gridSpan w:val="2"/>
          </w:tcPr>
          <w:p>
            <w:pPr>
              <w:spacing w:after="0"/>
              <w:rPr>
                <w:sz w:val="20"/>
                <w:szCs w:val="20"/>
                <w:color w:val="auto"/>
              </w:rPr>
            </w:pPr>
            <w:r>
              <w:rPr>
                <w:rFonts w:ascii="Arial" w:cs="Arial" w:eastAsia="Arial" w:hAnsi="Arial"/>
                <w:sz w:val="16"/>
                <w:szCs w:val="16"/>
                <w:color w:val="auto"/>
              </w:rPr>
              <w:t>100% by HK</w:t>
            </w:r>
          </w:p>
        </w:tc>
      </w:tr>
      <w:tr>
        <w:trPr>
          <w:trHeight w:val="188"/>
        </w:trPr>
        <w:tc>
          <w:tcPr>
            <w:tcW w:w="7460" w:type="dxa"/>
            <w:vAlign w:val="bottom"/>
            <w:gridSpan w:val="3"/>
          </w:tcPr>
          <w:p>
            <w:pPr>
              <w:spacing w:after="0"/>
              <w:rPr>
                <w:sz w:val="20"/>
                <w:szCs w:val="20"/>
                <w:color w:val="auto"/>
              </w:rPr>
            </w:pPr>
            <w:r>
              <w:rPr>
                <w:rFonts w:ascii="Arial" w:cs="Arial" w:eastAsia="Arial" w:hAnsi="Arial"/>
                <w:sz w:val="16"/>
                <w:szCs w:val="16"/>
                <w:color w:val="auto"/>
              </w:rPr>
              <w:t>W.E.T. Special Products GmbH</w:t>
            </w:r>
          </w:p>
        </w:tc>
        <w:tc>
          <w:tcPr>
            <w:tcW w:w="2060" w:type="dxa"/>
            <w:vAlign w:val="bottom"/>
            <w:gridSpan w:val="2"/>
          </w:tcPr>
          <w:p>
            <w:pPr>
              <w:spacing w:after="0"/>
              <w:rPr>
                <w:sz w:val="20"/>
                <w:szCs w:val="20"/>
                <w:color w:val="auto"/>
              </w:rPr>
            </w:pPr>
            <w:r>
              <w:rPr>
                <w:rFonts w:ascii="Arial" w:cs="Arial" w:eastAsia="Arial" w:hAnsi="Arial"/>
                <w:sz w:val="16"/>
                <w:szCs w:val="16"/>
                <w:color w:val="auto"/>
              </w:rPr>
              <w:t>100% by Germany</w:t>
            </w:r>
          </w:p>
        </w:tc>
      </w:tr>
      <w:tr>
        <w:trPr>
          <w:trHeight w:val="188"/>
        </w:trPr>
        <w:tc>
          <w:tcPr>
            <w:tcW w:w="7460" w:type="dxa"/>
            <w:vAlign w:val="bottom"/>
            <w:gridSpan w:val="3"/>
          </w:tcPr>
          <w:p>
            <w:pPr>
              <w:spacing w:after="0"/>
              <w:rPr>
                <w:sz w:val="20"/>
                <w:szCs w:val="20"/>
                <w:color w:val="auto"/>
              </w:rPr>
            </w:pPr>
            <w:r>
              <w:rPr>
                <w:rFonts w:ascii="Arial" w:cs="Arial" w:eastAsia="Arial" w:hAnsi="Arial"/>
                <w:sz w:val="16"/>
                <w:szCs w:val="16"/>
                <w:color w:val="auto"/>
              </w:rPr>
              <w:t>Motion Holdings LLC</w:t>
            </w:r>
          </w:p>
        </w:tc>
        <w:tc>
          <w:tcPr>
            <w:tcW w:w="2060" w:type="dxa"/>
            <w:vAlign w:val="bottom"/>
            <w:gridSpan w:val="2"/>
          </w:tcPr>
          <w:p>
            <w:pPr>
              <w:spacing w:after="0"/>
              <w:rPr>
                <w:sz w:val="20"/>
                <w:szCs w:val="20"/>
                <w:color w:val="auto"/>
              </w:rPr>
            </w:pPr>
            <w:r>
              <w:rPr>
                <w:rFonts w:ascii="Arial" w:cs="Arial" w:eastAsia="Arial" w:hAnsi="Arial"/>
                <w:sz w:val="16"/>
                <w:szCs w:val="16"/>
                <w:color w:val="auto"/>
              </w:rPr>
              <w:t>100% by Germany</w:t>
            </w:r>
          </w:p>
        </w:tc>
      </w:tr>
      <w:tr>
        <w:trPr>
          <w:trHeight w:val="188"/>
        </w:trPr>
        <w:tc>
          <w:tcPr>
            <w:tcW w:w="7460" w:type="dxa"/>
            <w:vAlign w:val="bottom"/>
            <w:gridSpan w:val="3"/>
          </w:tcPr>
          <w:p>
            <w:pPr>
              <w:spacing w:after="0"/>
              <w:rPr>
                <w:sz w:val="20"/>
                <w:szCs w:val="20"/>
                <w:color w:val="auto"/>
              </w:rPr>
            </w:pPr>
            <w:r>
              <w:rPr>
                <w:rFonts w:ascii="Arial" w:cs="Arial" w:eastAsia="Arial" w:hAnsi="Arial"/>
                <w:sz w:val="16"/>
                <w:szCs w:val="16"/>
                <w:color w:val="auto"/>
              </w:rPr>
              <w:t>Gentherm Canada Ltd. (“Canada”)</w:t>
            </w:r>
          </w:p>
        </w:tc>
        <w:tc>
          <w:tcPr>
            <w:tcW w:w="2060" w:type="dxa"/>
            <w:vAlign w:val="bottom"/>
            <w:gridSpan w:val="2"/>
          </w:tcPr>
          <w:p>
            <w:pPr>
              <w:spacing w:after="0"/>
              <w:rPr>
                <w:sz w:val="20"/>
                <w:szCs w:val="20"/>
                <w:color w:val="auto"/>
              </w:rPr>
            </w:pPr>
            <w:r>
              <w:rPr>
                <w:rFonts w:ascii="Arial" w:cs="Arial" w:eastAsia="Arial" w:hAnsi="Arial"/>
                <w:sz w:val="16"/>
                <w:szCs w:val="16"/>
                <w:color w:val="auto"/>
              </w:rPr>
              <w:t>100% by Germany</w:t>
            </w:r>
          </w:p>
        </w:tc>
      </w:tr>
      <w:tr>
        <w:trPr>
          <w:trHeight w:val="188"/>
        </w:trPr>
        <w:tc>
          <w:tcPr>
            <w:tcW w:w="7460" w:type="dxa"/>
            <w:vAlign w:val="bottom"/>
            <w:gridSpan w:val="3"/>
          </w:tcPr>
          <w:p>
            <w:pPr>
              <w:spacing w:after="0"/>
              <w:rPr>
                <w:sz w:val="20"/>
                <w:szCs w:val="20"/>
                <w:color w:val="auto"/>
              </w:rPr>
            </w:pPr>
            <w:r>
              <w:rPr>
                <w:rFonts w:ascii="Arial" w:cs="Arial" w:eastAsia="Arial" w:hAnsi="Arial"/>
                <w:sz w:val="16"/>
                <w:szCs w:val="16"/>
                <w:color w:val="auto"/>
              </w:rPr>
              <w:t>W.E.T. Automotive Systems (China) Limited</w:t>
            </w:r>
          </w:p>
        </w:tc>
        <w:tc>
          <w:tcPr>
            <w:tcW w:w="2060" w:type="dxa"/>
            <w:vAlign w:val="bottom"/>
            <w:gridSpan w:val="2"/>
          </w:tcPr>
          <w:p>
            <w:pPr>
              <w:spacing w:after="0"/>
              <w:rPr>
                <w:sz w:val="20"/>
                <w:szCs w:val="20"/>
                <w:color w:val="auto"/>
              </w:rPr>
            </w:pPr>
            <w:r>
              <w:rPr>
                <w:rFonts w:ascii="Arial" w:cs="Arial" w:eastAsia="Arial" w:hAnsi="Arial"/>
                <w:sz w:val="16"/>
                <w:szCs w:val="16"/>
                <w:color w:val="auto"/>
              </w:rPr>
              <w:t>100% by Germany</w:t>
            </w:r>
          </w:p>
        </w:tc>
      </w:tr>
      <w:tr>
        <w:trPr>
          <w:trHeight w:val="188"/>
        </w:trPr>
        <w:tc>
          <w:tcPr>
            <w:tcW w:w="7460" w:type="dxa"/>
            <w:vAlign w:val="bottom"/>
            <w:gridSpan w:val="3"/>
          </w:tcPr>
          <w:p>
            <w:pPr>
              <w:spacing w:after="0"/>
              <w:rPr>
                <w:sz w:val="20"/>
                <w:szCs w:val="20"/>
                <w:color w:val="auto"/>
              </w:rPr>
            </w:pPr>
            <w:r>
              <w:rPr>
                <w:rFonts w:ascii="Arial" w:cs="Arial" w:eastAsia="Arial" w:hAnsi="Arial"/>
                <w:sz w:val="16"/>
                <w:szCs w:val="16"/>
                <w:color w:val="auto"/>
              </w:rPr>
              <w:t>Gentherm Hungary Kft. (“Hungary”)</w:t>
            </w:r>
          </w:p>
        </w:tc>
        <w:tc>
          <w:tcPr>
            <w:tcW w:w="2060" w:type="dxa"/>
            <w:vAlign w:val="bottom"/>
            <w:gridSpan w:val="2"/>
          </w:tcPr>
          <w:p>
            <w:pPr>
              <w:spacing w:after="0"/>
              <w:rPr>
                <w:sz w:val="20"/>
                <w:szCs w:val="20"/>
                <w:color w:val="auto"/>
              </w:rPr>
            </w:pPr>
            <w:r>
              <w:rPr>
                <w:rFonts w:ascii="Arial" w:cs="Arial" w:eastAsia="Arial" w:hAnsi="Arial"/>
                <w:sz w:val="16"/>
                <w:szCs w:val="16"/>
                <w:color w:val="auto"/>
              </w:rPr>
              <w:t>100% by Germany</w:t>
            </w:r>
          </w:p>
        </w:tc>
      </w:tr>
      <w:tr>
        <w:trPr>
          <w:trHeight w:val="188"/>
        </w:trPr>
        <w:tc>
          <w:tcPr>
            <w:tcW w:w="7460" w:type="dxa"/>
            <w:vAlign w:val="bottom"/>
            <w:gridSpan w:val="3"/>
          </w:tcPr>
          <w:p>
            <w:pPr>
              <w:spacing w:after="0"/>
              <w:rPr>
                <w:sz w:val="20"/>
                <w:szCs w:val="20"/>
                <w:color w:val="auto"/>
              </w:rPr>
            </w:pPr>
            <w:r>
              <w:rPr>
                <w:rFonts w:ascii="Arial" w:cs="Arial" w:eastAsia="Arial" w:hAnsi="Arial"/>
                <w:sz w:val="16"/>
                <w:szCs w:val="16"/>
                <w:color w:val="auto"/>
              </w:rPr>
              <w:t>W.E.T. Automotiv Ukraine TOV</w:t>
            </w:r>
          </w:p>
        </w:tc>
        <w:tc>
          <w:tcPr>
            <w:tcW w:w="2060" w:type="dxa"/>
            <w:vAlign w:val="bottom"/>
            <w:gridSpan w:val="2"/>
          </w:tcPr>
          <w:p>
            <w:pPr>
              <w:spacing w:after="0"/>
              <w:rPr>
                <w:sz w:val="20"/>
                <w:szCs w:val="20"/>
                <w:color w:val="auto"/>
              </w:rPr>
            </w:pPr>
            <w:r>
              <w:rPr>
                <w:rFonts w:ascii="Arial" w:cs="Arial" w:eastAsia="Arial" w:hAnsi="Arial"/>
                <w:sz w:val="16"/>
                <w:szCs w:val="16"/>
                <w:color w:val="auto"/>
              </w:rPr>
              <w:t>100% by Germany</w:t>
            </w:r>
          </w:p>
        </w:tc>
      </w:tr>
      <w:tr>
        <w:trPr>
          <w:trHeight w:val="188"/>
        </w:trPr>
        <w:tc>
          <w:tcPr>
            <w:tcW w:w="7460" w:type="dxa"/>
            <w:vAlign w:val="bottom"/>
            <w:gridSpan w:val="3"/>
          </w:tcPr>
          <w:p>
            <w:pPr>
              <w:spacing w:after="0"/>
              <w:rPr>
                <w:sz w:val="20"/>
                <w:szCs w:val="20"/>
                <w:color w:val="auto"/>
              </w:rPr>
            </w:pPr>
            <w:r>
              <w:rPr>
                <w:rFonts w:ascii="Arial" w:cs="Arial" w:eastAsia="Arial" w:hAnsi="Arial"/>
                <w:sz w:val="16"/>
                <w:szCs w:val="16"/>
                <w:color w:val="auto"/>
              </w:rPr>
              <w:t>Gentherm Holding (Malta) Limited (“Malta Holding”)</w:t>
            </w:r>
          </w:p>
        </w:tc>
        <w:tc>
          <w:tcPr>
            <w:tcW w:w="2060" w:type="dxa"/>
            <w:vAlign w:val="bottom"/>
            <w:gridSpan w:val="2"/>
          </w:tcPr>
          <w:p>
            <w:pPr>
              <w:spacing w:after="0"/>
              <w:rPr>
                <w:sz w:val="20"/>
                <w:szCs w:val="20"/>
                <w:color w:val="auto"/>
              </w:rPr>
            </w:pPr>
            <w:r>
              <w:rPr>
                <w:rFonts w:ascii="Arial" w:cs="Arial" w:eastAsia="Arial" w:hAnsi="Arial"/>
                <w:sz w:val="16"/>
                <w:szCs w:val="16"/>
                <w:color w:val="auto"/>
              </w:rPr>
              <w:t>99.99% by Germany</w:t>
            </w:r>
          </w:p>
        </w:tc>
      </w:tr>
      <w:tr>
        <w:trPr>
          <w:trHeight w:val="188"/>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Arial" w:cs="Arial" w:eastAsia="Arial" w:hAnsi="Arial"/>
                <w:sz w:val="16"/>
                <w:szCs w:val="16"/>
                <w:color w:val="auto"/>
              </w:rPr>
              <w:t>0.01% by Hungary</w:t>
            </w:r>
          </w:p>
        </w:tc>
      </w:tr>
      <w:tr>
        <w:trPr>
          <w:trHeight w:val="188"/>
        </w:trPr>
        <w:tc>
          <w:tcPr>
            <w:tcW w:w="7460" w:type="dxa"/>
            <w:vAlign w:val="bottom"/>
            <w:gridSpan w:val="3"/>
          </w:tcPr>
          <w:p>
            <w:pPr>
              <w:spacing w:after="0"/>
              <w:rPr>
                <w:sz w:val="20"/>
                <w:szCs w:val="20"/>
                <w:color w:val="auto"/>
              </w:rPr>
            </w:pPr>
            <w:r>
              <w:rPr>
                <w:rFonts w:ascii="Arial" w:cs="Arial" w:eastAsia="Arial" w:hAnsi="Arial"/>
                <w:sz w:val="16"/>
                <w:szCs w:val="16"/>
                <w:color w:val="auto"/>
              </w:rPr>
              <w:t>Gentherm Automotive Systems (Malta) Limited</w:t>
            </w:r>
          </w:p>
        </w:tc>
        <w:tc>
          <w:tcPr>
            <w:tcW w:w="2060" w:type="dxa"/>
            <w:vAlign w:val="bottom"/>
            <w:gridSpan w:val="2"/>
          </w:tcPr>
          <w:p>
            <w:pPr>
              <w:spacing w:after="0"/>
              <w:rPr>
                <w:sz w:val="20"/>
                <w:szCs w:val="20"/>
                <w:color w:val="auto"/>
              </w:rPr>
            </w:pPr>
            <w:r>
              <w:rPr>
                <w:rFonts w:ascii="Arial" w:cs="Arial" w:eastAsia="Arial" w:hAnsi="Arial"/>
                <w:sz w:val="16"/>
                <w:szCs w:val="16"/>
                <w:color w:val="auto"/>
              </w:rPr>
              <w:t>99.99% by Malta Holding</w:t>
            </w:r>
          </w:p>
        </w:tc>
      </w:tr>
      <w:tr>
        <w:trPr>
          <w:trHeight w:val="188"/>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Arial" w:cs="Arial" w:eastAsia="Arial" w:hAnsi="Arial"/>
                <w:sz w:val="16"/>
                <w:szCs w:val="16"/>
                <w:color w:val="auto"/>
              </w:rPr>
              <w:t>0.01% by Hungary</w:t>
            </w:r>
          </w:p>
        </w:tc>
      </w:tr>
      <w:tr>
        <w:trPr>
          <w:trHeight w:val="188"/>
        </w:trPr>
        <w:tc>
          <w:tcPr>
            <w:tcW w:w="7460" w:type="dxa"/>
            <w:vAlign w:val="bottom"/>
            <w:gridSpan w:val="3"/>
          </w:tcPr>
          <w:p>
            <w:pPr>
              <w:spacing w:after="0"/>
              <w:rPr>
                <w:sz w:val="20"/>
                <w:szCs w:val="20"/>
                <w:color w:val="auto"/>
              </w:rPr>
            </w:pPr>
            <w:r>
              <w:rPr>
                <w:rFonts w:ascii="Arial" w:cs="Arial" w:eastAsia="Arial" w:hAnsi="Arial"/>
                <w:sz w:val="16"/>
                <w:szCs w:val="16"/>
                <w:color w:val="auto"/>
              </w:rPr>
              <w:t>Gentherm Korea Inc.</w:t>
            </w:r>
          </w:p>
        </w:tc>
        <w:tc>
          <w:tcPr>
            <w:tcW w:w="2060" w:type="dxa"/>
            <w:vAlign w:val="bottom"/>
            <w:gridSpan w:val="2"/>
          </w:tcPr>
          <w:p>
            <w:pPr>
              <w:spacing w:after="0"/>
              <w:rPr>
                <w:sz w:val="20"/>
                <w:szCs w:val="20"/>
                <w:color w:val="auto"/>
              </w:rPr>
            </w:pPr>
            <w:r>
              <w:rPr>
                <w:rFonts w:ascii="Arial" w:cs="Arial" w:eastAsia="Arial" w:hAnsi="Arial"/>
                <w:sz w:val="16"/>
                <w:szCs w:val="16"/>
                <w:color w:val="auto"/>
              </w:rPr>
              <w:t>100% by Malta Holding</w:t>
            </w:r>
          </w:p>
        </w:tc>
      </w:tr>
      <w:tr>
        <w:trPr>
          <w:trHeight w:val="188"/>
        </w:trPr>
        <w:tc>
          <w:tcPr>
            <w:tcW w:w="7460" w:type="dxa"/>
            <w:vAlign w:val="bottom"/>
            <w:gridSpan w:val="3"/>
          </w:tcPr>
          <w:p>
            <w:pPr>
              <w:spacing w:after="0"/>
              <w:rPr>
                <w:sz w:val="20"/>
                <w:szCs w:val="20"/>
                <w:color w:val="auto"/>
              </w:rPr>
            </w:pPr>
            <w:r>
              <w:rPr>
                <w:rFonts w:ascii="Arial" w:cs="Arial" w:eastAsia="Arial" w:hAnsi="Arial"/>
                <w:sz w:val="16"/>
                <w:szCs w:val="16"/>
                <w:color w:val="auto"/>
              </w:rPr>
              <w:t>Gentherm Automotive Technologies (Shanghai) Co. Ltd.</w:t>
            </w:r>
          </w:p>
        </w:tc>
        <w:tc>
          <w:tcPr>
            <w:tcW w:w="2060" w:type="dxa"/>
            <w:vAlign w:val="bottom"/>
            <w:gridSpan w:val="2"/>
          </w:tcPr>
          <w:p>
            <w:pPr>
              <w:spacing w:after="0"/>
              <w:rPr>
                <w:sz w:val="20"/>
                <w:szCs w:val="20"/>
                <w:color w:val="auto"/>
              </w:rPr>
            </w:pPr>
            <w:r>
              <w:rPr>
                <w:rFonts w:ascii="Arial" w:cs="Arial" w:eastAsia="Arial" w:hAnsi="Arial"/>
                <w:sz w:val="16"/>
                <w:szCs w:val="16"/>
                <w:color w:val="auto"/>
              </w:rPr>
              <w:t>100% by Malta Holding</w:t>
            </w:r>
          </w:p>
        </w:tc>
      </w:tr>
      <w:tr>
        <w:trPr>
          <w:trHeight w:val="188"/>
        </w:trPr>
        <w:tc>
          <w:tcPr>
            <w:tcW w:w="7460" w:type="dxa"/>
            <w:vAlign w:val="bottom"/>
            <w:gridSpan w:val="3"/>
          </w:tcPr>
          <w:p>
            <w:pPr>
              <w:spacing w:after="0"/>
              <w:rPr>
                <w:sz w:val="20"/>
                <w:szCs w:val="20"/>
                <w:color w:val="auto"/>
              </w:rPr>
            </w:pPr>
            <w:r>
              <w:rPr>
                <w:rFonts w:ascii="Arial" w:cs="Arial" w:eastAsia="Arial" w:hAnsi="Arial"/>
                <w:sz w:val="16"/>
                <w:szCs w:val="16"/>
                <w:color w:val="auto"/>
              </w:rPr>
              <w:t>Gentherm (Texas), Inc. (“Texas”)</w:t>
            </w:r>
          </w:p>
        </w:tc>
        <w:tc>
          <w:tcPr>
            <w:tcW w:w="2060" w:type="dxa"/>
            <w:vAlign w:val="bottom"/>
            <w:gridSpan w:val="2"/>
          </w:tcPr>
          <w:p>
            <w:pPr>
              <w:spacing w:after="0"/>
              <w:rPr>
                <w:sz w:val="20"/>
                <w:szCs w:val="20"/>
                <w:color w:val="auto"/>
              </w:rPr>
            </w:pPr>
            <w:r>
              <w:rPr>
                <w:rFonts w:ascii="Arial" w:cs="Arial" w:eastAsia="Arial" w:hAnsi="Arial"/>
                <w:sz w:val="16"/>
                <w:szCs w:val="16"/>
                <w:color w:val="auto"/>
              </w:rPr>
              <w:t>88.5% by Canada</w:t>
            </w:r>
          </w:p>
        </w:tc>
      </w:tr>
      <w:tr>
        <w:trPr>
          <w:trHeight w:val="188"/>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Arial" w:cs="Arial" w:eastAsia="Arial" w:hAnsi="Arial"/>
                <w:sz w:val="16"/>
                <w:szCs w:val="16"/>
                <w:color w:val="auto"/>
              </w:rPr>
              <w:t>11.5% by the Company</w:t>
            </w:r>
          </w:p>
        </w:tc>
      </w:tr>
      <w:tr>
        <w:trPr>
          <w:trHeight w:val="188"/>
        </w:trPr>
        <w:tc>
          <w:tcPr>
            <w:tcW w:w="7460" w:type="dxa"/>
            <w:vAlign w:val="bottom"/>
            <w:gridSpan w:val="3"/>
          </w:tcPr>
          <w:p>
            <w:pPr>
              <w:spacing w:after="0"/>
              <w:rPr>
                <w:sz w:val="20"/>
                <w:szCs w:val="20"/>
                <w:color w:val="auto"/>
              </w:rPr>
            </w:pPr>
            <w:r>
              <w:rPr>
                <w:rFonts w:ascii="Arial" w:cs="Arial" w:eastAsia="Arial" w:hAnsi="Arial"/>
                <w:sz w:val="16"/>
                <w:szCs w:val="16"/>
                <w:color w:val="auto"/>
              </w:rPr>
              <w:t>Gentherm de Mexico S.A. de C.V.</w:t>
            </w:r>
          </w:p>
        </w:tc>
        <w:tc>
          <w:tcPr>
            <w:tcW w:w="2060" w:type="dxa"/>
            <w:vAlign w:val="bottom"/>
            <w:gridSpan w:val="2"/>
          </w:tcPr>
          <w:p>
            <w:pPr>
              <w:spacing w:after="0"/>
              <w:rPr>
                <w:sz w:val="20"/>
                <w:szCs w:val="20"/>
                <w:color w:val="auto"/>
              </w:rPr>
            </w:pPr>
            <w:r>
              <w:rPr>
                <w:rFonts w:ascii="Arial" w:cs="Arial" w:eastAsia="Arial" w:hAnsi="Arial"/>
                <w:sz w:val="16"/>
                <w:szCs w:val="16"/>
                <w:color w:val="auto"/>
              </w:rPr>
              <w:t>99% by Texas</w:t>
            </w:r>
          </w:p>
        </w:tc>
      </w:tr>
      <w:tr>
        <w:trPr>
          <w:trHeight w:val="188"/>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Arial" w:cs="Arial" w:eastAsia="Arial" w:hAnsi="Arial"/>
                <w:sz w:val="16"/>
                <w:szCs w:val="16"/>
                <w:color w:val="auto"/>
              </w:rPr>
              <w:t>1% by Canada</w:t>
            </w:r>
          </w:p>
        </w:tc>
      </w:tr>
      <w:tr>
        <w:trPr>
          <w:trHeight w:val="185"/>
        </w:trPr>
        <w:tc>
          <w:tcPr>
            <w:tcW w:w="7460" w:type="dxa"/>
            <w:vAlign w:val="bottom"/>
            <w:gridSpan w:val="3"/>
          </w:tcPr>
          <w:p>
            <w:pPr>
              <w:spacing w:after="0"/>
              <w:rPr>
                <w:sz w:val="20"/>
                <w:szCs w:val="20"/>
                <w:color w:val="auto"/>
              </w:rPr>
            </w:pPr>
            <w:r>
              <w:rPr>
                <w:rFonts w:ascii="Arial" w:cs="Arial" w:eastAsia="Arial" w:hAnsi="Arial"/>
                <w:sz w:val="16"/>
                <w:szCs w:val="16"/>
                <w:color w:val="auto"/>
              </w:rPr>
              <w:t>Global Thermoelectric Corporation</w:t>
            </w:r>
          </w:p>
        </w:tc>
        <w:tc>
          <w:tcPr>
            <w:tcW w:w="2060" w:type="dxa"/>
            <w:vAlign w:val="bottom"/>
            <w:gridSpan w:val="2"/>
          </w:tcPr>
          <w:p>
            <w:pPr>
              <w:spacing w:after="0"/>
              <w:rPr>
                <w:sz w:val="20"/>
                <w:szCs w:val="20"/>
                <w:color w:val="auto"/>
              </w:rPr>
            </w:pPr>
            <w:r>
              <w:rPr>
                <w:rFonts w:ascii="Arial" w:cs="Arial" w:eastAsia="Arial" w:hAnsi="Arial"/>
                <w:sz w:val="16"/>
                <w:szCs w:val="16"/>
                <w:color w:val="auto"/>
              </w:rPr>
              <w:t>100% by GTE</w:t>
            </w:r>
          </w:p>
        </w:tc>
      </w:tr>
      <w:tr>
        <w:trPr>
          <w:trHeight w:val="199"/>
        </w:trPr>
        <w:tc>
          <w:tcPr>
            <w:tcW w:w="7460" w:type="dxa"/>
            <w:vAlign w:val="bottom"/>
            <w:gridSpan w:val="3"/>
          </w:tcPr>
          <w:p>
            <w:pPr>
              <w:spacing w:after="0"/>
              <w:rPr>
                <w:sz w:val="20"/>
                <w:szCs w:val="20"/>
                <w:color w:val="auto"/>
              </w:rPr>
            </w:pPr>
            <w:r>
              <w:rPr>
                <w:rFonts w:ascii="Arial" w:cs="Arial" w:eastAsia="Arial" w:hAnsi="Arial"/>
                <w:sz w:val="17"/>
                <w:szCs w:val="17"/>
                <w:color w:val="auto"/>
              </w:rPr>
              <w:t>Global Thermoelectric Technologies Inc. (“GTT”)</w:t>
            </w:r>
          </w:p>
        </w:tc>
        <w:tc>
          <w:tcPr>
            <w:tcW w:w="2060" w:type="dxa"/>
            <w:vAlign w:val="bottom"/>
            <w:gridSpan w:val="2"/>
          </w:tcPr>
          <w:p>
            <w:pPr>
              <w:spacing w:after="0"/>
              <w:rPr>
                <w:sz w:val="20"/>
                <w:szCs w:val="20"/>
                <w:color w:val="auto"/>
              </w:rPr>
            </w:pPr>
            <w:r>
              <w:rPr>
                <w:rFonts w:ascii="Arial" w:cs="Arial" w:eastAsia="Arial" w:hAnsi="Arial"/>
                <w:sz w:val="17"/>
                <w:szCs w:val="17"/>
                <w:color w:val="auto"/>
              </w:rPr>
              <w:t>100% by GTE</w:t>
            </w:r>
          </w:p>
        </w:tc>
      </w:tr>
      <w:tr>
        <w:trPr>
          <w:trHeight w:val="199"/>
        </w:trPr>
        <w:tc>
          <w:tcPr>
            <w:tcW w:w="7460" w:type="dxa"/>
            <w:vAlign w:val="bottom"/>
            <w:gridSpan w:val="3"/>
          </w:tcPr>
          <w:p>
            <w:pPr>
              <w:spacing w:after="0"/>
              <w:rPr>
                <w:sz w:val="20"/>
                <w:szCs w:val="20"/>
                <w:color w:val="auto"/>
              </w:rPr>
            </w:pPr>
            <w:r>
              <w:rPr>
                <w:rFonts w:ascii="Arial" w:cs="Arial" w:eastAsia="Arial" w:hAnsi="Arial"/>
                <w:sz w:val="17"/>
                <w:szCs w:val="17"/>
                <w:color w:val="auto"/>
              </w:rPr>
              <w:t>Global Thermoelectric*</w:t>
            </w:r>
          </w:p>
        </w:tc>
        <w:tc>
          <w:tcPr>
            <w:tcW w:w="2060" w:type="dxa"/>
            <w:vAlign w:val="bottom"/>
            <w:gridSpan w:val="2"/>
          </w:tcPr>
          <w:p>
            <w:pPr>
              <w:spacing w:after="0"/>
              <w:rPr>
                <w:sz w:val="20"/>
                <w:szCs w:val="20"/>
                <w:color w:val="auto"/>
              </w:rPr>
            </w:pPr>
            <w:r>
              <w:rPr>
                <w:rFonts w:ascii="Arial" w:cs="Arial" w:eastAsia="Arial" w:hAnsi="Arial"/>
                <w:sz w:val="17"/>
                <w:szCs w:val="17"/>
                <w:color w:val="auto"/>
              </w:rPr>
              <w:t>99.99% by GTE</w:t>
            </w:r>
          </w:p>
        </w:tc>
      </w:tr>
      <w:tr>
        <w:trPr>
          <w:trHeight w:val="217"/>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7"/>
                <w:szCs w:val="17"/>
                <w:color w:val="auto"/>
              </w:rPr>
              <w:t>0.01% by GTT</w:t>
            </w:r>
          </w:p>
        </w:tc>
      </w:tr>
      <w:tr>
        <w:trPr>
          <w:trHeight w:val="371"/>
        </w:trPr>
        <w:tc>
          <w:tcPr>
            <w:tcW w:w="7460" w:type="dxa"/>
            <w:vAlign w:val="bottom"/>
            <w:gridSpan w:val="3"/>
          </w:tcPr>
          <w:p>
            <w:pPr>
              <w:spacing w:after="0"/>
              <w:rPr>
                <w:sz w:val="20"/>
                <w:szCs w:val="20"/>
                <w:color w:val="auto"/>
              </w:rPr>
            </w:pPr>
            <w:r>
              <w:rPr>
                <w:rFonts w:ascii="Arial" w:cs="Arial" w:eastAsia="Arial" w:hAnsi="Arial"/>
                <w:sz w:val="16"/>
                <w:szCs w:val="16"/>
                <w:color w:val="auto"/>
              </w:rPr>
              <w:t>*a general partnership existing under the laws of the Province of Alberta, Canada</w:t>
            </w: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40"/>
          </w:cols>
          <w:pgMar w:left="240" w:top="315" w:right="219" w:bottom="1440" w:gutter="0" w:footer="0" w:header="0"/>
        </w:sectPr>
      </w:pPr>
    </w:p>
    <w:bookmarkStart w:id="143" w:name="page144"/>
    <w:bookmarkEnd w:id="143"/>
    <w:p>
      <w:pPr>
        <w:spacing w:after="0"/>
        <w:rPr>
          <w:sz w:val="20"/>
          <w:szCs w:val="20"/>
          <w:color w:val="auto"/>
        </w:rPr>
      </w:pPr>
      <w:r>
        <w:rPr>
          <w:rFonts w:ascii="Arial" w:cs="Arial" w:eastAsia="Arial" w:hAnsi="Arial"/>
          <w:sz w:val="16"/>
          <w:szCs w:val="16"/>
          <w:color w:val="auto"/>
        </w:rPr>
        <w:t>Part (b)</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The equity investments in the Subsidiaries set forth in Part (a) are incorporated herein by reference; the Borrowers have no other equity investments.</w:t>
      </w:r>
    </w:p>
    <w:p>
      <w:pPr>
        <w:sectPr>
          <w:pgSz w:w="11900" w:h="16838" w:orient="portrait"/>
          <w:cols w:equalWidth="0" w:num="1">
            <w:col w:w="10219"/>
          </w:cols>
          <w:pgMar w:left="240" w:top="502" w:right="1440" w:bottom="1440" w:gutter="0" w:footer="0" w:header="0"/>
        </w:sectPr>
      </w:pPr>
    </w:p>
    <w:bookmarkStart w:id="144" w:name="page145"/>
    <w:bookmarkEnd w:id="144"/>
    <w:p>
      <w:pPr>
        <w:spacing w:after="0"/>
        <w:rPr>
          <w:sz w:val="20"/>
          <w:szCs w:val="20"/>
          <w:color w:val="auto"/>
        </w:rPr>
      </w:pPr>
      <w:r>
        <w:rPr>
          <w:rFonts w:ascii="Arial" w:cs="Arial" w:eastAsia="Arial" w:hAnsi="Arial"/>
          <w:sz w:val="16"/>
          <w:szCs w:val="16"/>
          <w:u w:val="single" w:color="auto"/>
          <w:color w:val="auto"/>
        </w:rPr>
        <w:t>Part (c)</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692"/>
        </w:trPr>
        <w:tc>
          <w:tcPr>
            <w:tcW w:w="2620" w:type="dxa"/>
            <w:vAlign w:val="bottom"/>
            <w:tcBorders>
              <w:left w:val="single" w:sz="8" w:color="95B3D7"/>
            </w:tcBorders>
            <w:shd w:val="clear" w:color="auto" w:fill="4F81BD"/>
          </w:tcPr>
          <w:p>
            <w:pPr>
              <w:ind w:left="1120"/>
              <w:spacing w:after="0"/>
              <w:rPr>
                <w:sz w:val="20"/>
                <w:szCs w:val="20"/>
                <w:color w:val="auto"/>
              </w:rPr>
            </w:pPr>
            <w:r>
              <w:rPr>
                <w:rFonts w:ascii="Arial" w:cs="Arial" w:eastAsia="Arial" w:hAnsi="Arial"/>
                <w:sz w:val="16"/>
                <w:szCs w:val="16"/>
                <w:b w:val="1"/>
                <w:bCs w:val="1"/>
                <w:color w:val="FFFFFF"/>
              </w:rPr>
              <w:t>Legal Name</w:t>
            </w:r>
          </w:p>
        </w:tc>
        <w:tc>
          <w:tcPr>
            <w:tcW w:w="1880" w:type="dxa"/>
            <w:vAlign w:val="bottom"/>
            <w:shd w:val="clear" w:color="auto" w:fill="4F81BD"/>
          </w:tcPr>
          <w:p>
            <w:pPr>
              <w:ind w:left="860"/>
              <w:spacing w:after="0"/>
              <w:rPr>
                <w:sz w:val="20"/>
                <w:szCs w:val="20"/>
                <w:color w:val="auto"/>
              </w:rPr>
            </w:pPr>
            <w:r>
              <w:rPr>
                <w:rFonts w:ascii="Arial" w:cs="Arial" w:eastAsia="Arial" w:hAnsi="Arial"/>
                <w:sz w:val="16"/>
                <w:szCs w:val="16"/>
                <w:b w:val="1"/>
                <w:bCs w:val="1"/>
                <w:color w:val="FFFFFF"/>
              </w:rPr>
              <w:t>Entity Type</w:t>
            </w:r>
          </w:p>
        </w:tc>
        <w:tc>
          <w:tcPr>
            <w:tcW w:w="1260" w:type="dxa"/>
            <w:vAlign w:val="bottom"/>
            <w:shd w:val="clear" w:color="auto" w:fill="4F81BD"/>
          </w:tcPr>
          <w:p>
            <w:pPr>
              <w:ind w:left="380"/>
              <w:spacing w:after="0"/>
              <w:rPr>
                <w:sz w:val="20"/>
                <w:szCs w:val="20"/>
                <w:color w:val="auto"/>
              </w:rPr>
            </w:pPr>
            <w:r>
              <w:rPr>
                <w:rFonts w:ascii="Arial" w:cs="Arial" w:eastAsia="Arial" w:hAnsi="Arial"/>
                <w:sz w:val="16"/>
                <w:szCs w:val="16"/>
                <w:b w:val="1"/>
                <w:bCs w:val="1"/>
                <w:color w:val="FFFFFF"/>
                <w:w w:val="94"/>
              </w:rPr>
              <w:t>Jurisdiction</w:t>
            </w:r>
          </w:p>
        </w:tc>
        <w:tc>
          <w:tcPr>
            <w:tcW w:w="1260" w:type="dxa"/>
            <w:vAlign w:val="bottom"/>
            <w:shd w:val="clear" w:color="auto" w:fill="4F81BD"/>
          </w:tcPr>
          <w:p>
            <w:pPr>
              <w:ind w:left="160"/>
              <w:spacing w:after="0"/>
              <w:rPr>
                <w:sz w:val="20"/>
                <w:szCs w:val="20"/>
                <w:color w:val="auto"/>
              </w:rPr>
            </w:pPr>
            <w:r>
              <w:rPr>
                <w:rFonts w:ascii="Arial" w:cs="Arial" w:eastAsia="Arial" w:hAnsi="Arial"/>
                <w:sz w:val="16"/>
                <w:szCs w:val="16"/>
                <w:b w:val="1"/>
                <w:bCs w:val="1"/>
                <w:color w:val="FFFFFF"/>
                <w:w w:val="95"/>
              </w:rPr>
              <w:t>Tax ID Number</w:t>
            </w:r>
          </w:p>
        </w:tc>
        <w:tc>
          <w:tcPr>
            <w:tcW w:w="2340" w:type="dxa"/>
            <w:vAlign w:val="bottom"/>
            <w:shd w:val="clear" w:color="auto" w:fill="4F81BD"/>
          </w:tcPr>
          <w:p>
            <w:pPr>
              <w:ind w:left="620"/>
              <w:spacing w:after="0"/>
              <w:rPr>
                <w:sz w:val="20"/>
                <w:szCs w:val="20"/>
                <w:color w:val="auto"/>
              </w:rPr>
            </w:pPr>
            <w:r>
              <w:rPr>
                <w:rFonts w:ascii="Arial" w:cs="Arial" w:eastAsia="Arial" w:hAnsi="Arial"/>
                <w:sz w:val="16"/>
                <w:szCs w:val="16"/>
                <w:b w:val="1"/>
                <w:bCs w:val="1"/>
                <w:color w:val="FFFFFF"/>
              </w:rPr>
              <w:t>Organizational ID</w:t>
            </w:r>
          </w:p>
        </w:tc>
        <w:tc>
          <w:tcPr>
            <w:tcW w:w="2180" w:type="dxa"/>
            <w:vAlign w:val="bottom"/>
            <w:tcBorders>
              <w:right w:val="single" w:sz="8" w:color="95B3D7"/>
            </w:tcBorders>
            <w:shd w:val="clear" w:color="auto" w:fill="4F81BD"/>
          </w:tcPr>
          <w:p>
            <w:pPr>
              <w:ind w:left="80"/>
              <w:spacing w:after="0"/>
              <w:rPr>
                <w:sz w:val="20"/>
                <w:szCs w:val="20"/>
                <w:color w:val="auto"/>
              </w:rPr>
            </w:pPr>
            <w:r>
              <w:rPr>
                <w:rFonts w:ascii="Arial" w:cs="Arial" w:eastAsia="Arial" w:hAnsi="Arial"/>
                <w:sz w:val="16"/>
                <w:szCs w:val="16"/>
                <w:b w:val="1"/>
                <w:bCs w:val="1"/>
                <w:color w:val="FFFFFF"/>
                <w:w w:val="86"/>
              </w:rPr>
              <w:t>Chief Executive Office Address</w:t>
            </w:r>
          </w:p>
        </w:tc>
      </w:tr>
      <w:tr>
        <w:trPr>
          <w:trHeight w:val="175"/>
        </w:trPr>
        <w:tc>
          <w:tcPr>
            <w:tcW w:w="2620" w:type="dxa"/>
            <w:vAlign w:val="bottom"/>
            <w:tcBorders>
              <w:left w:val="single" w:sz="8" w:color="95B3D7"/>
            </w:tcBorders>
            <w:shd w:val="clear" w:color="auto" w:fill="DCE6F1"/>
          </w:tcPr>
          <w:p>
            <w:pPr>
              <w:spacing w:after="0" w:line="175" w:lineRule="exact"/>
              <w:rPr>
                <w:sz w:val="20"/>
                <w:szCs w:val="20"/>
                <w:color w:val="auto"/>
              </w:rPr>
            </w:pPr>
            <w:r>
              <w:rPr>
                <w:rFonts w:ascii="Arial" w:cs="Arial" w:eastAsia="Arial" w:hAnsi="Arial"/>
                <w:sz w:val="16"/>
                <w:szCs w:val="16"/>
                <w:color w:val="auto"/>
              </w:rPr>
              <w:t>Gentherm Incorporated</w:t>
            </w:r>
          </w:p>
        </w:tc>
        <w:tc>
          <w:tcPr>
            <w:tcW w:w="1880" w:type="dxa"/>
            <w:vAlign w:val="bottom"/>
            <w:shd w:val="clear" w:color="auto" w:fill="DCE6F1"/>
          </w:tcPr>
          <w:p>
            <w:pPr>
              <w:ind w:left="400"/>
              <w:spacing w:after="0" w:line="175" w:lineRule="exact"/>
              <w:rPr>
                <w:sz w:val="20"/>
                <w:szCs w:val="20"/>
                <w:color w:val="auto"/>
              </w:rPr>
            </w:pPr>
            <w:r>
              <w:rPr>
                <w:rFonts w:ascii="Arial" w:cs="Arial" w:eastAsia="Arial" w:hAnsi="Arial"/>
                <w:sz w:val="16"/>
                <w:szCs w:val="16"/>
                <w:color w:val="auto"/>
              </w:rPr>
              <w:t>Corporation</w:t>
            </w:r>
          </w:p>
        </w:tc>
        <w:tc>
          <w:tcPr>
            <w:tcW w:w="2520" w:type="dxa"/>
            <w:vAlign w:val="bottom"/>
            <w:gridSpan w:val="2"/>
            <w:shd w:val="clear" w:color="auto" w:fill="DCE6F1"/>
          </w:tcPr>
          <w:p>
            <w:pPr>
              <w:ind w:left="240"/>
              <w:spacing w:after="0" w:line="175" w:lineRule="exact"/>
              <w:rPr>
                <w:sz w:val="20"/>
                <w:szCs w:val="20"/>
                <w:color w:val="auto"/>
              </w:rPr>
            </w:pPr>
            <w:r>
              <w:rPr>
                <w:rFonts w:ascii="Arial" w:cs="Arial" w:eastAsia="Arial" w:hAnsi="Arial"/>
                <w:sz w:val="16"/>
                <w:szCs w:val="16"/>
                <w:color w:val="auto"/>
              </w:rPr>
              <w:t>USA (Michigan) 95-4318554</w:t>
            </w:r>
          </w:p>
        </w:tc>
        <w:tc>
          <w:tcPr>
            <w:tcW w:w="2340" w:type="dxa"/>
            <w:vAlign w:val="bottom"/>
            <w:shd w:val="clear" w:color="auto" w:fill="DCE6F1"/>
          </w:tcPr>
          <w:p>
            <w:pPr>
              <w:ind w:left="40"/>
              <w:spacing w:after="0" w:line="175" w:lineRule="exact"/>
              <w:rPr>
                <w:sz w:val="20"/>
                <w:szCs w:val="20"/>
                <w:color w:val="auto"/>
              </w:rPr>
            </w:pPr>
            <w:r>
              <w:rPr>
                <w:rFonts w:ascii="Arial" w:cs="Arial" w:eastAsia="Arial" w:hAnsi="Arial"/>
                <w:sz w:val="16"/>
                <w:szCs w:val="16"/>
                <w:color w:val="auto"/>
              </w:rPr>
              <w:t>54527C</w:t>
            </w:r>
          </w:p>
        </w:tc>
        <w:tc>
          <w:tcPr>
            <w:tcW w:w="2180" w:type="dxa"/>
            <w:vAlign w:val="bottom"/>
            <w:tcBorders>
              <w:right w:val="single" w:sz="8" w:color="95B3D7"/>
            </w:tcBorders>
            <w:shd w:val="clear" w:color="auto" w:fill="DCE6F1"/>
          </w:tcPr>
          <w:p>
            <w:pPr>
              <w:ind w:left="60"/>
              <w:spacing w:after="0" w:line="175" w:lineRule="exact"/>
              <w:rPr>
                <w:sz w:val="20"/>
                <w:szCs w:val="20"/>
                <w:color w:val="auto"/>
              </w:rPr>
            </w:pPr>
            <w:r>
              <w:rPr>
                <w:rFonts w:ascii="Arial" w:cs="Arial" w:eastAsia="Arial" w:hAnsi="Arial"/>
                <w:sz w:val="16"/>
                <w:szCs w:val="16"/>
                <w:color w:val="auto"/>
              </w:rPr>
              <w:t>21680 Haggerty Road, Suite</w:t>
            </w:r>
          </w:p>
        </w:tc>
      </w:tr>
      <w:tr>
        <w:trPr>
          <w:trHeight w:val="200"/>
        </w:trPr>
        <w:tc>
          <w:tcPr>
            <w:tcW w:w="2620" w:type="dxa"/>
            <w:vAlign w:val="bottom"/>
            <w:tcBorders>
              <w:left w:val="single" w:sz="8" w:color="95B3D7"/>
              <w:bottom w:val="single" w:sz="8" w:color="95B3D7"/>
            </w:tcBorders>
            <w:shd w:val="clear" w:color="auto" w:fill="DCE6F1"/>
          </w:tcPr>
          <w:p>
            <w:pPr>
              <w:spacing w:after="0"/>
              <w:rPr>
                <w:sz w:val="17"/>
                <w:szCs w:val="17"/>
                <w:color w:val="auto"/>
              </w:rPr>
            </w:pPr>
          </w:p>
        </w:tc>
        <w:tc>
          <w:tcPr>
            <w:tcW w:w="1880" w:type="dxa"/>
            <w:vAlign w:val="bottom"/>
            <w:tcBorders>
              <w:bottom w:val="single" w:sz="8" w:color="95B3D7"/>
            </w:tcBorders>
            <w:shd w:val="clear" w:color="auto" w:fill="DCE6F1"/>
          </w:tcPr>
          <w:p>
            <w:pPr>
              <w:spacing w:after="0"/>
              <w:rPr>
                <w:sz w:val="17"/>
                <w:szCs w:val="17"/>
                <w:color w:val="auto"/>
              </w:rPr>
            </w:pPr>
          </w:p>
        </w:tc>
        <w:tc>
          <w:tcPr>
            <w:tcW w:w="1260" w:type="dxa"/>
            <w:vAlign w:val="bottom"/>
            <w:tcBorders>
              <w:bottom w:val="single" w:sz="8" w:color="95B3D7"/>
            </w:tcBorders>
            <w:shd w:val="clear" w:color="auto" w:fill="DCE6F1"/>
          </w:tcPr>
          <w:p>
            <w:pPr>
              <w:spacing w:after="0"/>
              <w:rPr>
                <w:sz w:val="17"/>
                <w:szCs w:val="17"/>
                <w:color w:val="auto"/>
              </w:rPr>
            </w:pPr>
          </w:p>
        </w:tc>
        <w:tc>
          <w:tcPr>
            <w:tcW w:w="1260" w:type="dxa"/>
            <w:vAlign w:val="bottom"/>
            <w:tcBorders>
              <w:bottom w:val="single" w:sz="8" w:color="95B3D7"/>
            </w:tcBorders>
            <w:shd w:val="clear" w:color="auto" w:fill="DCE6F1"/>
          </w:tcPr>
          <w:p>
            <w:pPr>
              <w:spacing w:after="0"/>
              <w:rPr>
                <w:sz w:val="17"/>
                <w:szCs w:val="17"/>
                <w:color w:val="auto"/>
              </w:rPr>
            </w:pPr>
          </w:p>
        </w:tc>
        <w:tc>
          <w:tcPr>
            <w:tcW w:w="2340" w:type="dxa"/>
            <w:vAlign w:val="bottom"/>
            <w:tcBorders>
              <w:bottom w:val="single" w:sz="8" w:color="95B3D7"/>
            </w:tcBorders>
            <w:shd w:val="clear" w:color="auto" w:fill="DCE6F1"/>
          </w:tcPr>
          <w:p>
            <w:pPr>
              <w:spacing w:after="0"/>
              <w:rPr>
                <w:sz w:val="17"/>
                <w:szCs w:val="17"/>
                <w:color w:val="auto"/>
              </w:rPr>
            </w:pPr>
          </w:p>
        </w:tc>
        <w:tc>
          <w:tcPr>
            <w:tcW w:w="2180" w:type="dxa"/>
            <w:vAlign w:val="bottom"/>
            <w:tcBorders>
              <w:bottom w:val="single" w:sz="8" w:color="95B3D7"/>
              <w:right w:val="single" w:sz="8" w:color="95B3D7"/>
            </w:tcBorders>
            <w:shd w:val="clear" w:color="auto" w:fill="DCE6F1"/>
          </w:tcPr>
          <w:p>
            <w:pPr>
              <w:ind w:left="60"/>
              <w:spacing w:after="0"/>
              <w:rPr>
                <w:sz w:val="20"/>
                <w:szCs w:val="20"/>
                <w:color w:val="auto"/>
              </w:rPr>
            </w:pPr>
            <w:r>
              <w:rPr>
                <w:rFonts w:ascii="Arial" w:cs="Arial" w:eastAsia="Arial" w:hAnsi="Arial"/>
                <w:sz w:val="16"/>
                <w:szCs w:val="16"/>
                <w:color w:val="auto"/>
                <w:w w:val="94"/>
              </w:rPr>
              <w:t>101, Northville, MI 48167, USA</w:t>
            </w:r>
          </w:p>
        </w:tc>
      </w:tr>
      <w:tr>
        <w:trPr>
          <w:trHeight w:val="167"/>
        </w:trPr>
        <w:tc>
          <w:tcPr>
            <w:tcW w:w="2620" w:type="dxa"/>
            <w:vAlign w:val="bottom"/>
            <w:tcBorders>
              <w:left w:val="single" w:sz="8" w:color="95B3D7"/>
            </w:tcBorders>
          </w:tcPr>
          <w:p>
            <w:pPr>
              <w:spacing w:after="0" w:line="168" w:lineRule="exact"/>
              <w:rPr>
                <w:sz w:val="20"/>
                <w:szCs w:val="20"/>
                <w:color w:val="auto"/>
              </w:rPr>
            </w:pPr>
            <w:r>
              <w:rPr>
                <w:rFonts w:ascii="Arial" w:cs="Arial" w:eastAsia="Arial" w:hAnsi="Arial"/>
                <w:sz w:val="16"/>
                <w:szCs w:val="16"/>
                <w:color w:val="auto"/>
              </w:rPr>
              <w:t>Gentherm (Texas), Inc.</w:t>
            </w:r>
          </w:p>
        </w:tc>
        <w:tc>
          <w:tcPr>
            <w:tcW w:w="1880" w:type="dxa"/>
            <w:vAlign w:val="bottom"/>
          </w:tcPr>
          <w:p>
            <w:pPr>
              <w:ind w:left="400"/>
              <w:spacing w:after="0" w:line="168" w:lineRule="exact"/>
              <w:rPr>
                <w:sz w:val="20"/>
                <w:szCs w:val="20"/>
                <w:color w:val="auto"/>
              </w:rPr>
            </w:pPr>
            <w:r>
              <w:rPr>
                <w:rFonts w:ascii="Arial" w:cs="Arial" w:eastAsia="Arial" w:hAnsi="Arial"/>
                <w:sz w:val="16"/>
                <w:szCs w:val="16"/>
                <w:color w:val="auto"/>
              </w:rPr>
              <w:t>Corporation</w:t>
            </w:r>
          </w:p>
        </w:tc>
        <w:tc>
          <w:tcPr>
            <w:tcW w:w="1260" w:type="dxa"/>
            <w:vAlign w:val="bottom"/>
          </w:tcPr>
          <w:p>
            <w:pPr>
              <w:ind w:left="240"/>
              <w:spacing w:after="0" w:line="168" w:lineRule="exact"/>
              <w:rPr>
                <w:sz w:val="20"/>
                <w:szCs w:val="20"/>
                <w:color w:val="auto"/>
              </w:rPr>
            </w:pPr>
            <w:r>
              <w:rPr>
                <w:rFonts w:ascii="Arial" w:cs="Arial" w:eastAsia="Arial" w:hAnsi="Arial"/>
                <w:sz w:val="16"/>
                <w:szCs w:val="16"/>
                <w:color w:val="auto"/>
              </w:rPr>
              <w:t>USA (Texas)</w:t>
            </w:r>
          </w:p>
        </w:tc>
        <w:tc>
          <w:tcPr>
            <w:tcW w:w="1260" w:type="dxa"/>
            <w:vAlign w:val="bottom"/>
          </w:tcPr>
          <w:p>
            <w:pPr>
              <w:ind w:left="80"/>
              <w:spacing w:after="0" w:line="168" w:lineRule="exact"/>
              <w:rPr>
                <w:sz w:val="20"/>
                <w:szCs w:val="20"/>
                <w:color w:val="auto"/>
              </w:rPr>
            </w:pPr>
            <w:r>
              <w:rPr>
                <w:rFonts w:ascii="Arial" w:cs="Arial" w:eastAsia="Arial" w:hAnsi="Arial"/>
                <w:sz w:val="16"/>
                <w:szCs w:val="16"/>
                <w:color w:val="auto"/>
              </w:rPr>
              <w:t>74-2756104</w:t>
            </w:r>
          </w:p>
        </w:tc>
        <w:tc>
          <w:tcPr>
            <w:tcW w:w="2340" w:type="dxa"/>
            <w:vAlign w:val="bottom"/>
          </w:tcPr>
          <w:p>
            <w:pPr>
              <w:ind w:left="40"/>
              <w:spacing w:after="0" w:line="168" w:lineRule="exact"/>
              <w:rPr>
                <w:sz w:val="20"/>
                <w:szCs w:val="20"/>
                <w:color w:val="auto"/>
              </w:rPr>
            </w:pPr>
            <w:r>
              <w:rPr>
                <w:rFonts w:ascii="Arial" w:cs="Arial" w:eastAsia="Arial" w:hAnsi="Arial"/>
                <w:sz w:val="16"/>
                <w:szCs w:val="16"/>
                <w:color w:val="auto"/>
              </w:rPr>
              <w:t>136333500</w:t>
            </w:r>
          </w:p>
        </w:tc>
        <w:tc>
          <w:tcPr>
            <w:tcW w:w="2180" w:type="dxa"/>
            <w:vAlign w:val="bottom"/>
            <w:tcBorders>
              <w:right w:val="single" w:sz="8" w:color="95B3D7"/>
            </w:tcBorders>
          </w:tcPr>
          <w:p>
            <w:pPr>
              <w:ind w:left="60"/>
              <w:spacing w:after="0" w:line="168" w:lineRule="exact"/>
              <w:rPr>
                <w:sz w:val="20"/>
                <w:szCs w:val="20"/>
                <w:color w:val="auto"/>
              </w:rPr>
            </w:pPr>
            <w:r>
              <w:rPr>
                <w:rFonts w:ascii="Arial" w:cs="Arial" w:eastAsia="Arial" w:hAnsi="Arial"/>
                <w:sz w:val="16"/>
                <w:szCs w:val="16"/>
                <w:color w:val="auto"/>
                <w:w w:val="92"/>
              </w:rPr>
              <w:t>2121-B Frontera Road, Del Rio,</w:t>
            </w:r>
          </w:p>
        </w:tc>
      </w:tr>
      <w:tr>
        <w:trPr>
          <w:trHeight w:val="200"/>
        </w:trPr>
        <w:tc>
          <w:tcPr>
            <w:tcW w:w="2620" w:type="dxa"/>
            <w:vAlign w:val="bottom"/>
            <w:tcBorders>
              <w:left w:val="single" w:sz="8" w:color="95B3D7"/>
              <w:bottom w:val="single" w:sz="8" w:color="95B3D7"/>
            </w:tcBorders>
          </w:tcPr>
          <w:p>
            <w:pPr>
              <w:spacing w:after="0"/>
              <w:rPr>
                <w:sz w:val="17"/>
                <w:szCs w:val="17"/>
                <w:color w:val="auto"/>
              </w:rPr>
            </w:pPr>
          </w:p>
        </w:tc>
        <w:tc>
          <w:tcPr>
            <w:tcW w:w="1880" w:type="dxa"/>
            <w:vAlign w:val="bottom"/>
            <w:tcBorders>
              <w:bottom w:val="single" w:sz="8" w:color="95B3D7"/>
            </w:tcBorders>
          </w:tcPr>
          <w:p>
            <w:pPr>
              <w:spacing w:after="0"/>
              <w:rPr>
                <w:sz w:val="17"/>
                <w:szCs w:val="17"/>
                <w:color w:val="auto"/>
              </w:rPr>
            </w:pPr>
          </w:p>
        </w:tc>
        <w:tc>
          <w:tcPr>
            <w:tcW w:w="1260" w:type="dxa"/>
            <w:vAlign w:val="bottom"/>
            <w:tcBorders>
              <w:bottom w:val="single" w:sz="8" w:color="95B3D7"/>
            </w:tcBorders>
          </w:tcPr>
          <w:p>
            <w:pPr>
              <w:spacing w:after="0"/>
              <w:rPr>
                <w:sz w:val="17"/>
                <w:szCs w:val="17"/>
                <w:color w:val="auto"/>
              </w:rPr>
            </w:pPr>
          </w:p>
        </w:tc>
        <w:tc>
          <w:tcPr>
            <w:tcW w:w="1260" w:type="dxa"/>
            <w:vAlign w:val="bottom"/>
            <w:tcBorders>
              <w:bottom w:val="single" w:sz="8" w:color="95B3D7"/>
            </w:tcBorders>
          </w:tcPr>
          <w:p>
            <w:pPr>
              <w:spacing w:after="0"/>
              <w:rPr>
                <w:sz w:val="17"/>
                <w:szCs w:val="17"/>
                <w:color w:val="auto"/>
              </w:rPr>
            </w:pPr>
          </w:p>
        </w:tc>
        <w:tc>
          <w:tcPr>
            <w:tcW w:w="2340" w:type="dxa"/>
            <w:vAlign w:val="bottom"/>
            <w:tcBorders>
              <w:bottom w:val="single" w:sz="8" w:color="95B3D7"/>
            </w:tcBorders>
          </w:tcPr>
          <w:p>
            <w:pPr>
              <w:spacing w:after="0"/>
              <w:rPr>
                <w:sz w:val="17"/>
                <w:szCs w:val="17"/>
                <w:color w:val="auto"/>
              </w:rPr>
            </w:pPr>
          </w:p>
        </w:tc>
        <w:tc>
          <w:tcPr>
            <w:tcW w:w="2180" w:type="dxa"/>
            <w:vAlign w:val="bottom"/>
            <w:tcBorders>
              <w:bottom w:val="single" w:sz="8" w:color="95B3D7"/>
              <w:right w:val="single" w:sz="8" w:color="95B3D7"/>
            </w:tcBorders>
          </w:tcPr>
          <w:p>
            <w:pPr>
              <w:ind w:left="60"/>
              <w:spacing w:after="0"/>
              <w:rPr>
                <w:sz w:val="20"/>
                <w:szCs w:val="20"/>
                <w:color w:val="auto"/>
              </w:rPr>
            </w:pPr>
            <w:r>
              <w:rPr>
                <w:rFonts w:ascii="Arial" w:cs="Arial" w:eastAsia="Arial" w:hAnsi="Arial"/>
                <w:sz w:val="16"/>
                <w:szCs w:val="16"/>
                <w:color w:val="auto"/>
              </w:rPr>
              <w:t>Texas 78840, USA</w:t>
            </w:r>
          </w:p>
        </w:tc>
      </w:tr>
      <w:tr>
        <w:trPr>
          <w:trHeight w:val="167"/>
        </w:trPr>
        <w:tc>
          <w:tcPr>
            <w:tcW w:w="2620" w:type="dxa"/>
            <w:vAlign w:val="bottom"/>
            <w:tcBorders>
              <w:left w:val="single" w:sz="8" w:color="95B3D7"/>
            </w:tcBorders>
            <w:shd w:val="clear" w:color="auto" w:fill="DCE6F1"/>
          </w:tcPr>
          <w:p>
            <w:pPr>
              <w:spacing w:after="0" w:line="168" w:lineRule="exact"/>
              <w:rPr>
                <w:sz w:val="20"/>
                <w:szCs w:val="20"/>
                <w:color w:val="auto"/>
              </w:rPr>
            </w:pPr>
            <w:r>
              <w:rPr>
                <w:rFonts w:ascii="Arial" w:cs="Arial" w:eastAsia="Arial" w:hAnsi="Arial"/>
                <w:sz w:val="16"/>
                <w:szCs w:val="16"/>
                <w:color w:val="auto"/>
              </w:rPr>
              <w:t>Gentherm Canada Ltd.</w:t>
            </w:r>
          </w:p>
        </w:tc>
        <w:tc>
          <w:tcPr>
            <w:tcW w:w="1880" w:type="dxa"/>
            <w:vAlign w:val="bottom"/>
            <w:shd w:val="clear" w:color="auto" w:fill="DCE6F1"/>
          </w:tcPr>
          <w:p>
            <w:pPr>
              <w:ind w:left="400"/>
              <w:spacing w:after="0" w:line="168" w:lineRule="exact"/>
              <w:rPr>
                <w:sz w:val="20"/>
                <w:szCs w:val="20"/>
                <w:color w:val="auto"/>
              </w:rPr>
            </w:pPr>
            <w:r>
              <w:rPr>
                <w:rFonts w:ascii="Arial" w:cs="Arial" w:eastAsia="Arial" w:hAnsi="Arial"/>
                <w:sz w:val="16"/>
                <w:szCs w:val="16"/>
                <w:color w:val="auto"/>
              </w:rPr>
              <w:t>Corporation</w:t>
            </w:r>
          </w:p>
        </w:tc>
        <w:tc>
          <w:tcPr>
            <w:tcW w:w="4860" w:type="dxa"/>
            <w:vAlign w:val="bottom"/>
            <w:gridSpan w:val="3"/>
            <w:shd w:val="clear" w:color="auto" w:fill="DCE6F1"/>
          </w:tcPr>
          <w:p>
            <w:pPr>
              <w:ind w:left="240"/>
              <w:spacing w:after="0" w:line="168" w:lineRule="exact"/>
              <w:rPr>
                <w:sz w:val="20"/>
                <w:szCs w:val="20"/>
                <w:color w:val="auto"/>
              </w:rPr>
            </w:pPr>
            <w:r>
              <w:rPr>
                <w:rFonts w:ascii="Arial" w:cs="Arial" w:eastAsia="Arial" w:hAnsi="Arial"/>
                <w:sz w:val="16"/>
                <w:szCs w:val="16"/>
                <w:color w:val="auto"/>
                <w:w w:val="92"/>
              </w:rPr>
              <w:t>Canada (Ontario)105658413RC0003Ontario Corporation No: 1832352</w:t>
            </w:r>
          </w:p>
        </w:tc>
        <w:tc>
          <w:tcPr>
            <w:tcW w:w="2180" w:type="dxa"/>
            <w:vAlign w:val="bottom"/>
            <w:tcBorders>
              <w:right w:val="single" w:sz="8" w:color="95B3D7"/>
            </w:tcBorders>
            <w:shd w:val="clear" w:color="auto" w:fill="DCE6F1"/>
          </w:tcPr>
          <w:p>
            <w:pPr>
              <w:ind w:left="60"/>
              <w:spacing w:after="0" w:line="168" w:lineRule="exact"/>
              <w:rPr>
                <w:sz w:val="20"/>
                <w:szCs w:val="20"/>
                <w:color w:val="auto"/>
              </w:rPr>
            </w:pPr>
            <w:r>
              <w:rPr>
                <w:rFonts w:ascii="Arial" w:cs="Arial" w:eastAsia="Arial" w:hAnsi="Arial"/>
                <w:sz w:val="16"/>
                <w:szCs w:val="16"/>
                <w:color w:val="auto"/>
                <w:w w:val="93"/>
              </w:rPr>
              <w:t>3445 Wheelton Drive, Windsor,</w:t>
            </w:r>
          </w:p>
        </w:tc>
      </w:tr>
      <w:tr>
        <w:trPr>
          <w:trHeight w:val="200"/>
        </w:trPr>
        <w:tc>
          <w:tcPr>
            <w:tcW w:w="2620" w:type="dxa"/>
            <w:vAlign w:val="bottom"/>
            <w:tcBorders>
              <w:left w:val="single" w:sz="8" w:color="95B3D7"/>
              <w:bottom w:val="single" w:sz="8" w:color="95B3D7"/>
            </w:tcBorders>
            <w:shd w:val="clear" w:color="auto" w:fill="DCE6F1"/>
          </w:tcPr>
          <w:p>
            <w:pPr>
              <w:spacing w:after="0"/>
              <w:rPr>
                <w:sz w:val="17"/>
                <w:szCs w:val="17"/>
                <w:color w:val="auto"/>
              </w:rPr>
            </w:pPr>
          </w:p>
        </w:tc>
        <w:tc>
          <w:tcPr>
            <w:tcW w:w="1880" w:type="dxa"/>
            <w:vAlign w:val="bottom"/>
            <w:tcBorders>
              <w:bottom w:val="single" w:sz="8" w:color="95B3D7"/>
            </w:tcBorders>
            <w:shd w:val="clear" w:color="auto" w:fill="DCE6F1"/>
          </w:tcPr>
          <w:p>
            <w:pPr>
              <w:spacing w:after="0"/>
              <w:rPr>
                <w:sz w:val="17"/>
                <w:szCs w:val="17"/>
                <w:color w:val="auto"/>
              </w:rPr>
            </w:pPr>
          </w:p>
        </w:tc>
        <w:tc>
          <w:tcPr>
            <w:tcW w:w="1260" w:type="dxa"/>
            <w:vAlign w:val="bottom"/>
            <w:tcBorders>
              <w:bottom w:val="single" w:sz="8" w:color="95B3D7"/>
            </w:tcBorders>
            <w:shd w:val="clear" w:color="auto" w:fill="DCE6F1"/>
          </w:tcPr>
          <w:p>
            <w:pPr>
              <w:spacing w:after="0"/>
              <w:rPr>
                <w:sz w:val="17"/>
                <w:szCs w:val="17"/>
                <w:color w:val="auto"/>
              </w:rPr>
            </w:pPr>
          </w:p>
        </w:tc>
        <w:tc>
          <w:tcPr>
            <w:tcW w:w="1260" w:type="dxa"/>
            <w:vAlign w:val="bottom"/>
            <w:tcBorders>
              <w:bottom w:val="single" w:sz="8" w:color="95B3D7"/>
            </w:tcBorders>
            <w:shd w:val="clear" w:color="auto" w:fill="DCE6F1"/>
          </w:tcPr>
          <w:p>
            <w:pPr>
              <w:spacing w:after="0"/>
              <w:rPr>
                <w:sz w:val="17"/>
                <w:szCs w:val="17"/>
                <w:color w:val="auto"/>
              </w:rPr>
            </w:pPr>
          </w:p>
        </w:tc>
        <w:tc>
          <w:tcPr>
            <w:tcW w:w="2340" w:type="dxa"/>
            <w:vAlign w:val="bottom"/>
            <w:tcBorders>
              <w:bottom w:val="single" w:sz="8" w:color="95B3D7"/>
            </w:tcBorders>
            <w:shd w:val="clear" w:color="auto" w:fill="DCE6F1"/>
          </w:tcPr>
          <w:p>
            <w:pPr>
              <w:spacing w:after="0"/>
              <w:rPr>
                <w:sz w:val="17"/>
                <w:szCs w:val="17"/>
                <w:color w:val="auto"/>
              </w:rPr>
            </w:pPr>
          </w:p>
        </w:tc>
        <w:tc>
          <w:tcPr>
            <w:tcW w:w="2180" w:type="dxa"/>
            <w:vAlign w:val="bottom"/>
            <w:tcBorders>
              <w:bottom w:val="single" w:sz="8" w:color="95B3D7"/>
              <w:right w:val="single" w:sz="8" w:color="95B3D7"/>
            </w:tcBorders>
            <w:shd w:val="clear" w:color="auto" w:fill="DCE6F1"/>
          </w:tcPr>
          <w:p>
            <w:pPr>
              <w:ind w:left="60"/>
              <w:spacing w:after="0"/>
              <w:rPr>
                <w:sz w:val="20"/>
                <w:szCs w:val="20"/>
                <w:color w:val="auto"/>
              </w:rPr>
            </w:pPr>
            <w:r>
              <w:rPr>
                <w:rFonts w:ascii="Arial" w:cs="Arial" w:eastAsia="Arial" w:hAnsi="Arial"/>
                <w:sz w:val="16"/>
                <w:szCs w:val="16"/>
                <w:color w:val="auto"/>
              </w:rPr>
              <w:t>Ontario, N8W 5A6, Canada</w:t>
            </w:r>
          </w:p>
        </w:tc>
      </w:tr>
      <w:tr>
        <w:trPr>
          <w:trHeight w:val="167"/>
        </w:trPr>
        <w:tc>
          <w:tcPr>
            <w:tcW w:w="2620" w:type="dxa"/>
            <w:vAlign w:val="bottom"/>
            <w:tcBorders>
              <w:left w:val="single" w:sz="8" w:color="95B3D7"/>
            </w:tcBorders>
          </w:tcPr>
          <w:p>
            <w:pPr>
              <w:spacing w:after="0" w:line="168" w:lineRule="exact"/>
              <w:rPr>
                <w:sz w:val="20"/>
                <w:szCs w:val="20"/>
                <w:color w:val="auto"/>
              </w:rPr>
            </w:pPr>
            <w:r>
              <w:rPr>
                <w:rFonts w:ascii="Arial" w:cs="Arial" w:eastAsia="Arial" w:hAnsi="Arial"/>
                <w:sz w:val="16"/>
                <w:szCs w:val="16"/>
                <w:color w:val="auto"/>
              </w:rPr>
              <w:t>Global Thermoelectric Inc.</w:t>
            </w:r>
          </w:p>
        </w:tc>
        <w:tc>
          <w:tcPr>
            <w:tcW w:w="1880" w:type="dxa"/>
            <w:vAlign w:val="bottom"/>
          </w:tcPr>
          <w:p>
            <w:pPr>
              <w:ind w:left="400"/>
              <w:spacing w:after="0" w:line="168" w:lineRule="exact"/>
              <w:rPr>
                <w:sz w:val="20"/>
                <w:szCs w:val="20"/>
                <w:color w:val="auto"/>
              </w:rPr>
            </w:pPr>
            <w:r>
              <w:rPr>
                <w:rFonts w:ascii="Arial" w:cs="Arial" w:eastAsia="Arial" w:hAnsi="Arial"/>
                <w:sz w:val="16"/>
                <w:szCs w:val="16"/>
                <w:color w:val="auto"/>
              </w:rPr>
              <w:t>Corporation</w:t>
            </w:r>
          </w:p>
        </w:tc>
        <w:tc>
          <w:tcPr>
            <w:tcW w:w="2520" w:type="dxa"/>
            <w:vAlign w:val="bottom"/>
            <w:gridSpan w:val="2"/>
          </w:tcPr>
          <w:p>
            <w:pPr>
              <w:ind w:left="240"/>
              <w:spacing w:after="0" w:line="168" w:lineRule="exact"/>
              <w:rPr>
                <w:sz w:val="20"/>
                <w:szCs w:val="20"/>
                <w:color w:val="auto"/>
              </w:rPr>
            </w:pPr>
            <w:r>
              <w:rPr>
                <w:rFonts w:ascii="Arial" w:cs="Arial" w:eastAsia="Arial" w:hAnsi="Arial"/>
                <w:sz w:val="16"/>
                <w:szCs w:val="16"/>
                <w:color w:val="auto"/>
              </w:rPr>
              <w:t>Canada (Alberta)2011104920</w:t>
            </w:r>
          </w:p>
        </w:tc>
        <w:tc>
          <w:tcPr>
            <w:tcW w:w="4520" w:type="dxa"/>
            <w:vAlign w:val="bottom"/>
            <w:tcBorders>
              <w:right w:val="single" w:sz="8" w:color="95B3D7"/>
            </w:tcBorders>
            <w:gridSpan w:val="2"/>
          </w:tcPr>
          <w:p>
            <w:pPr>
              <w:ind w:left="40"/>
              <w:spacing w:after="0" w:line="168" w:lineRule="exact"/>
              <w:rPr>
                <w:sz w:val="20"/>
                <w:szCs w:val="20"/>
                <w:color w:val="auto"/>
              </w:rPr>
            </w:pPr>
            <w:r>
              <w:rPr>
                <w:rFonts w:ascii="Arial" w:cs="Arial" w:eastAsia="Arial" w:hAnsi="Arial"/>
                <w:sz w:val="16"/>
                <w:szCs w:val="16"/>
                <w:color w:val="auto"/>
                <w:w w:val="96"/>
              </w:rPr>
              <w:t>Alberta Corporation No: 2018125290#9, 3700 - 78th Avenue SE,</w:t>
            </w:r>
          </w:p>
        </w:tc>
      </w:tr>
      <w:tr>
        <w:trPr>
          <w:trHeight w:val="188"/>
        </w:trPr>
        <w:tc>
          <w:tcPr>
            <w:tcW w:w="2620" w:type="dxa"/>
            <w:vAlign w:val="bottom"/>
            <w:tcBorders>
              <w:left w:val="single" w:sz="8" w:color="95B3D7"/>
            </w:tcBorders>
          </w:tcPr>
          <w:p>
            <w:pPr>
              <w:spacing w:after="0"/>
              <w:rPr>
                <w:sz w:val="16"/>
                <w:szCs w:val="16"/>
                <w:color w:val="auto"/>
              </w:rPr>
            </w:pPr>
          </w:p>
        </w:tc>
        <w:tc>
          <w:tcPr>
            <w:tcW w:w="1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180" w:type="dxa"/>
            <w:vAlign w:val="bottom"/>
            <w:tcBorders>
              <w:right w:val="single" w:sz="8" w:color="95B3D7"/>
            </w:tcBorders>
          </w:tcPr>
          <w:p>
            <w:pPr>
              <w:ind w:left="60"/>
              <w:spacing w:after="0"/>
              <w:rPr>
                <w:sz w:val="20"/>
                <w:szCs w:val="20"/>
                <w:color w:val="auto"/>
              </w:rPr>
            </w:pPr>
            <w:r>
              <w:rPr>
                <w:rFonts w:ascii="Arial" w:cs="Arial" w:eastAsia="Arial" w:hAnsi="Arial"/>
                <w:sz w:val="16"/>
                <w:szCs w:val="16"/>
                <w:color w:val="auto"/>
              </w:rPr>
              <w:t>Calgary, Alberta T2C 2L8</w:t>
            </w:r>
          </w:p>
        </w:tc>
      </w:tr>
      <w:tr>
        <w:trPr>
          <w:trHeight w:val="200"/>
        </w:trPr>
        <w:tc>
          <w:tcPr>
            <w:tcW w:w="2620" w:type="dxa"/>
            <w:vAlign w:val="bottom"/>
            <w:tcBorders>
              <w:left w:val="single" w:sz="8" w:color="95B3D7"/>
              <w:bottom w:val="single" w:sz="8" w:color="95B3D7"/>
            </w:tcBorders>
          </w:tcPr>
          <w:p>
            <w:pPr>
              <w:spacing w:after="0"/>
              <w:rPr>
                <w:sz w:val="17"/>
                <w:szCs w:val="17"/>
                <w:color w:val="auto"/>
              </w:rPr>
            </w:pPr>
          </w:p>
        </w:tc>
        <w:tc>
          <w:tcPr>
            <w:tcW w:w="1880" w:type="dxa"/>
            <w:vAlign w:val="bottom"/>
            <w:tcBorders>
              <w:bottom w:val="single" w:sz="8" w:color="95B3D7"/>
            </w:tcBorders>
          </w:tcPr>
          <w:p>
            <w:pPr>
              <w:spacing w:after="0"/>
              <w:rPr>
                <w:sz w:val="17"/>
                <w:szCs w:val="17"/>
                <w:color w:val="auto"/>
              </w:rPr>
            </w:pPr>
          </w:p>
        </w:tc>
        <w:tc>
          <w:tcPr>
            <w:tcW w:w="1260" w:type="dxa"/>
            <w:vAlign w:val="bottom"/>
            <w:tcBorders>
              <w:bottom w:val="single" w:sz="8" w:color="95B3D7"/>
            </w:tcBorders>
          </w:tcPr>
          <w:p>
            <w:pPr>
              <w:spacing w:after="0"/>
              <w:rPr>
                <w:sz w:val="17"/>
                <w:szCs w:val="17"/>
                <w:color w:val="auto"/>
              </w:rPr>
            </w:pPr>
          </w:p>
        </w:tc>
        <w:tc>
          <w:tcPr>
            <w:tcW w:w="1260" w:type="dxa"/>
            <w:vAlign w:val="bottom"/>
            <w:tcBorders>
              <w:bottom w:val="single" w:sz="8" w:color="95B3D7"/>
            </w:tcBorders>
          </w:tcPr>
          <w:p>
            <w:pPr>
              <w:spacing w:after="0"/>
              <w:rPr>
                <w:sz w:val="17"/>
                <w:szCs w:val="17"/>
                <w:color w:val="auto"/>
              </w:rPr>
            </w:pPr>
          </w:p>
        </w:tc>
        <w:tc>
          <w:tcPr>
            <w:tcW w:w="2340" w:type="dxa"/>
            <w:vAlign w:val="bottom"/>
            <w:tcBorders>
              <w:bottom w:val="single" w:sz="8" w:color="95B3D7"/>
            </w:tcBorders>
          </w:tcPr>
          <w:p>
            <w:pPr>
              <w:spacing w:after="0"/>
              <w:rPr>
                <w:sz w:val="17"/>
                <w:szCs w:val="17"/>
                <w:color w:val="auto"/>
              </w:rPr>
            </w:pPr>
          </w:p>
        </w:tc>
        <w:tc>
          <w:tcPr>
            <w:tcW w:w="2180" w:type="dxa"/>
            <w:vAlign w:val="bottom"/>
            <w:tcBorders>
              <w:bottom w:val="single" w:sz="8" w:color="95B3D7"/>
              <w:right w:val="single" w:sz="8" w:color="95B3D7"/>
            </w:tcBorders>
          </w:tcPr>
          <w:p>
            <w:pPr>
              <w:ind w:left="60"/>
              <w:spacing w:after="0"/>
              <w:rPr>
                <w:sz w:val="20"/>
                <w:szCs w:val="20"/>
                <w:color w:val="auto"/>
              </w:rPr>
            </w:pPr>
            <w:r>
              <w:rPr>
                <w:rFonts w:ascii="Arial" w:cs="Arial" w:eastAsia="Arial" w:hAnsi="Arial"/>
                <w:sz w:val="16"/>
                <w:szCs w:val="16"/>
                <w:color w:val="auto"/>
              </w:rPr>
              <w:t>Canada</w:t>
            </w:r>
          </w:p>
        </w:tc>
      </w:tr>
      <w:tr>
        <w:trPr>
          <w:trHeight w:val="167"/>
        </w:trPr>
        <w:tc>
          <w:tcPr>
            <w:tcW w:w="2620" w:type="dxa"/>
            <w:vAlign w:val="bottom"/>
            <w:tcBorders>
              <w:left w:val="single" w:sz="8" w:color="95B3D7"/>
            </w:tcBorders>
            <w:shd w:val="clear" w:color="auto" w:fill="DCE6F1"/>
          </w:tcPr>
          <w:p>
            <w:pPr>
              <w:spacing w:after="0" w:line="168" w:lineRule="exact"/>
              <w:rPr>
                <w:sz w:val="20"/>
                <w:szCs w:val="20"/>
                <w:color w:val="auto"/>
              </w:rPr>
            </w:pPr>
            <w:r>
              <w:rPr>
                <w:rFonts w:ascii="Arial" w:cs="Arial" w:eastAsia="Arial" w:hAnsi="Arial"/>
                <w:sz w:val="16"/>
                <w:szCs w:val="16"/>
                <w:color w:val="auto"/>
              </w:rPr>
              <w:t>Gentherm GmbH</w:t>
            </w:r>
          </w:p>
        </w:tc>
        <w:tc>
          <w:tcPr>
            <w:tcW w:w="3140" w:type="dxa"/>
            <w:vAlign w:val="bottom"/>
            <w:gridSpan w:val="2"/>
            <w:shd w:val="clear" w:color="auto" w:fill="DCE6F1"/>
          </w:tcPr>
          <w:p>
            <w:pPr>
              <w:ind w:left="400"/>
              <w:spacing w:after="0" w:line="168" w:lineRule="exact"/>
              <w:rPr>
                <w:sz w:val="20"/>
                <w:szCs w:val="20"/>
                <w:color w:val="auto"/>
              </w:rPr>
            </w:pPr>
            <w:r>
              <w:rPr>
                <w:rFonts w:ascii="Arial" w:cs="Arial" w:eastAsia="Arial" w:hAnsi="Arial"/>
                <w:sz w:val="16"/>
                <w:szCs w:val="16"/>
                <w:color w:val="auto"/>
              </w:rPr>
              <w:t>Limited Liability CompanyGermany</w:t>
            </w:r>
          </w:p>
        </w:tc>
        <w:tc>
          <w:tcPr>
            <w:tcW w:w="1260" w:type="dxa"/>
            <w:vAlign w:val="bottom"/>
            <w:shd w:val="clear" w:color="auto" w:fill="DCE6F1"/>
          </w:tcPr>
          <w:p>
            <w:pPr>
              <w:ind w:left="80"/>
              <w:spacing w:after="0" w:line="168" w:lineRule="exact"/>
              <w:rPr>
                <w:sz w:val="20"/>
                <w:szCs w:val="20"/>
                <w:color w:val="auto"/>
              </w:rPr>
            </w:pPr>
            <w:r>
              <w:rPr>
                <w:rFonts w:ascii="Arial" w:cs="Arial" w:eastAsia="Arial" w:hAnsi="Arial"/>
                <w:sz w:val="16"/>
                <w:szCs w:val="16"/>
                <w:color w:val="auto"/>
              </w:rPr>
              <w:t>DE274149382</w:t>
            </w:r>
          </w:p>
        </w:tc>
        <w:tc>
          <w:tcPr>
            <w:tcW w:w="2340" w:type="dxa"/>
            <w:vAlign w:val="bottom"/>
            <w:shd w:val="clear" w:color="auto" w:fill="DCE6F1"/>
          </w:tcPr>
          <w:p>
            <w:pPr>
              <w:ind w:left="40"/>
              <w:spacing w:after="0" w:line="168" w:lineRule="exact"/>
              <w:rPr>
                <w:sz w:val="20"/>
                <w:szCs w:val="20"/>
                <w:color w:val="auto"/>
              </w:rPr>
            </w:pPr>
            <w:r>
              <w:rPr>
                <w:rFonts w:ascii="Arial" w:cs="Arial" w:eastAsia="Arial" w:hAnsi="Arial"/>
                <w:sz w:val="16"/>
                <w:szCs w:val="16"/>
                <w:color w:val="auto"/>
                <w:w w:val="99"/>
              </w:rPr>
              <w:t>Commercial Register of Court of</w:t>
            </w:r>
          </w:p>
        </w:tc>
        <w:tc>
          <w:tcPr>
            <w:tcW w:w="2180" w:type="dxa"/>
            <w:vAlign w:val="bottom"/>
            <w:tcBorders>
              <w:right w:val="single" w:sz="8" w:color="95B3D7"/>
            </w:tcBorders>
            <w:shd w:val="clear" w:color="auto" w:fill="DCE6F1"/>
          </w:tcPr>
          <w:p>
            <w:pPr>
              <w:ind w:left="60"/>
              <w:spacing w:after="0" w:line="168" w:lineRule="exact"/>
              <w:rPr>
                <w:sz w:val="20"/>
                <w:szCs w:val="20"/>
                <w:color w:val="auto"/>
              </w:rPr>
            </w:pPr>
            <w:r>
              <w:rPr>
                <w:rFonts w:ascii="Arial" w:cs="Arial" w:eastAsia="Arial" w:hAnsi="Arial"/>
                <w:sz w:val="16"/>
                <w:szCs w:val="16"/>
                <w:color w:val="auto"/>
              </w:rPr>
              <w:t>Rudolf-Diesel-Str. 12, 85235</w:t>
            </w:r>
          </w:p>
        </w:tc>
      </w:tr>
      <w:tr>
        <w:trPr>
          <w:trHeight w:val="199"/>
        </w:trPr>
        <w:tc>
          <w:tcPr>
            <w:tcW w:w="2620" w:type="dxa"/>
            <w:vAlign w:val="bottom"/>
            <w:tcBorders>
              <w:left w:val="single" w:sz="8" w:color="95B3D7"/>
            </w:tcBorders>
            <w:shd w:val="clear" w:color="auto" w:fill="DCE6F1"/>
          </w:tcPr>
          <w:p>
            <w:pPr>
              <w:spacing w:after="0"/>
              <w:rPr>
                <w:sz w:val="17"/>
                <w:szCs w:val="17"/>
                <w:color w:val="auto"/>
              </w:rPr>
            </w:pPr>
          </w:p>
        </w:tc>
        <w:tc>
          <w:tcPr>
            <w:tcW w:w="1880" w:type="dxa"/>
            <w:vAlign w:val="bottom"/>
            <w:shd w:val="clear" w:color="auto" w:fill="DCE6F1"/>
          </w:tcPr>
          <w:p>
            <w:pPr>
              <w:spacing w:after="0"/>
              <w:rPr>
                <w:sz w:val="17"/>
                <w:szCs w:val="17"/>
                <w:color w:val="auto"/>
              </w:rPr>
            </w:pPr>
          </w:p>
        </w:tc>
        <w:tc>
          <w:tcPr>
            <w:tcW w:w="1260" w:type="dxa"/>
            <w:vAlign w:val="bottom"/>
            <w:shd w:val="clear" w:color="auto" w:fill="DCE6F1"/>
          </w:tcPr>
          <w:p>
            <w:pPr>
              <w:spacing w:after="0"/>
              <w:rPr>
                <w:sz w:val="17"/>
                <w:szCs w:val="17"/>
                <w:color w:val="auto"/>
              </w:rPr>
            </w:pPr>
          </w:p>
        </w:tc>
        <w:tc>
          <w:tcPr>
            <w:tcW w:w="1260" w:type="dxa"/>
            <w:vAlign w:val="bottom"/>
            <w:shd w:val="clear" w:color="auto" w:fill="DCE6F1"/>
          </w:tcPr>
          <w:p>
            <w:pPr>
              <w:spacing w:after="0"/>
              <w:rPr>
                <w:sz w:val="17"/>
                <w:szCs w:val="17"/>
                <w:color w:val="auto"/>
              </w:rPr>
            </w:pPr>
          </w:p>
        </w:tc>
        <w:tc>
          <w:tcPr>
            <w:tcW w:w="2340" w:type="dxa"/>
            <w:vAlign w:val="bottom"/>
            <w:shd w:val="clear" w:color="auto" w:fill="DCE6F1"/>
          </w:tcPr>
          <w:p>
            <w:pPr>
              <w:ind w:left="40"/>
              <w:spacing w:after="0"/>
              <w:rPr>
                <w:sz w:val="20"/>
                <w:szCs w:val="20"/>
                <w:color w:val="auto"/>
              </w:rPr>
            </w:pPr>
            <w:r>
              <w:rPr>
                <w:rFonts w:ascii="Arial" w:cs="Arial" w:eastAsia="Arial" w:hAnsi="Arial"/>
                <w:sz w:val="16"/>
                <w:szCs w:val="16"/>
                <w:color w:val="auto"/>
              </w:rPr>
              <w:t>Munich: HRB 208876</w:t>
            </w:r>
          </w:p>
        </w:tc>
        <w:tc>
          <w:tcPr>
            <w:tcW w:w="2180" w:type="dxa"/>
            <w:vAlign w:val="bottom"/>
            <w:tcBorders>
              <w:right w:val="single" w:sz="8" w:color="95B3D7"/>
            </w:tcBorders>
            <w:shd w:val="clear" w:color="auto" w:fill="DCE6F1"/>
          </w:tcPr>
          <w:p>
            <w:pPr>
              <w:ind w:left="60"/>
              <w:spacing w:after="0"/>
              <w:rPr>
                <w:sz w:val="20"/>
                <w:szCs w:val="20"/>
                <w:color w:val="auto"/>
              </w:rPr>
            </w:pPr>
            <w:r>
              <w:rPr>
                <w:rFonts w:ascii="Arial" w:cs="Arial" w:eastAsia="Arial" w:hAnsi="Arial"/>
                <w:sz w:val="16"/>
                <w:szCs w:val="16"/>
                <w:color w:val="auto"/>
              </w:rPr>
              <w:t>Odelzhausen, Germany</w:t>
            </w:r>
          </w:p>
        </w:tc>
      </w:tr>
      <w:tr>
        <w:trPr>
          <w:trHeight w:val="83"/>
        </w:trPr>
        <w:tc>
          <w:tcPr>
            <w:tcW w:w="2620" w:type="dxa"/>
            <w:vAlign w:val="bottom"/>
            <w:tcBorders>
              <w:left w:val="single" w:sz="8" w:color="95B3D7"/>
              <w:bottom w:val="single" w:sz="8" w:color="95B3D7"/>
            </w:tcBorders>
            <w:shd w:val="clear" w:color="auto" w:fill="DCE6F1"/>
          </w:tcPr>
          <w:p>
            <w:pPr>
              <w:spacing w:after="0"/>
              <w:rPr>
                <w:sz w:val="7"/>
                <w:szCs w:val="7"/>
                <w:color w:val="auto"/>
              </w:rPr>
            </w:pPr>
          </w:p>
        </w:tc>
        <w:tc>
          <w:tcPr>
            <w:tcW w:w="3140" w:type="dxa"/>
            <w:vAlign w:val="bottom"/>
            <w:tcBorders>
              <w:bottom w:val="single" w:sz="8" w:color="95B3D7"/>
            </w:tcBorders>
            <w:gridSpan w:val="2"/>
            <w:shd w:val="clear" w:color="auto" w:fill="DCE6F1"/>
          </w:tcPr>
          <w:p>
            <w:pPr>
              <w:spacing w:after="0"/>
              <w:rPr>
                <w:sz w:val="7"/>
                <w:szCs w:val="7"/>
                <w:color w:val="auto"/>
              </w:rPr>
            </w:pPr>
          </w:p>
        </w:tc>
        <w:tc>
          <w:tcPr>
            <w:tcW w:w="1260" w:type="dxa"/>
            <w:vAlign w:val="bottom"/>
            <w:tcBorders>
              <w:bottom w:val="single" w:sz="8" w:color="95B3D7"/>
            </w:tcBorders>
            <w:shd w:val="clear" w:color="auto" w:fill="DCE6F1"/>
          </w:tcPr>
          <w:p>
            <w:pPr>
              <w:spacing w:after="0"/>
              <w:rPr>
                <w:sz w:val="7"/>
                <w:szCs w:val="7"/>
                <w:color w:val="auto"/>
              </w:rPr>
            </w:pPr>
          </w:p>
        </w:tc>
        <w:tc>
          <w:tcPr>
            <w:tcW w:w="2340" w:type="dxa"/>
            <w:vAlign w:val="bottom"/>
            <w:tcBorders>
              <w:bottom w:val="single" w:sz="8" w:color="95B3D7"/>
            </w:tcBorders>
            <w:shd w:val="clear" w:color="auto" w:fill="DCE6F1"/>
          </w:tcPr>
          <w:p>
            <w:pPr>
              <w:spacing w:after="0"/>
              <w:rPr>
                <w:sz w:val="7"/>
                <w:szCs w:val="7"/>
                <w:color w:val="auto"/>
              </w:rPr>
            </w:pPr>
          </w:p>
        </w:tc>
        <w:tc>
          <w:tcPr>
            <w:tcW w:w="2180" w:type="dxa"/>
            <w:vAlign w:val="bottom"/>
            <w:tcBorders>
              <w:bottom w:val="single" w:sz="8" w:color="95B3D7"/>
              <w:right w:val="single" w:sz="8" w:color="95B3D7"/>
            </w:tcBorders>
            <w:shd w:val="clear" w:color="auto" w:fill="DCE6F1"/>
          </w:tcPr>
          <w:p>
            <w:pPr>
              <w:spacing w:after="0"/>
              <w:rPr>
                <w:sz w:val="7"/>
                <w:szCs w:val="7"/>
                <w:color w:val="auto"/>
              </w:rPr>
            </w:pPr>
          </w:p>
        </w:tc>
      </w:tr>
      <w:tr>
        <w:trPr>
          <w:trHeight w:val="167"/>
        </w:trPr>
        <w:tc>
          <w:tcPr>
            <w:tcW w:w="2620" w:type="dxa"/>
            <w:vAlign w:val="bottom"/>
            <w:tcBorders>
              <w:left w:val="single" w:sz="8" w:color="95B3D7"/>
            </w:tcBorders>
          </w:tcPr>
          <w:p>
            <w:pPr>
              <w:spacing w:after="0" w:line="167" w:lineRule="exact"/>
              <w:rPr>
                <w:sz w:val="20"/>
                <w:szCs w:val="20"/>
                <w:color w:val="auto"/>
              </w:rPr>
            </w:pPr>
            <w:r>
              <w:rPr>
                <w:rFonts w:ascii="Arial" w:cs="Arial" w:eastAsia="Arial" w:hAnsi="Arial"/>
                <w:sz w:val="16"/>
                <w:szCs w:val="16"/>
                <w:color w:val="auto"/>
              </w:rPr>
              <w:t>Gentherm Hungary Kft.</w:t>
            </w:r>
          </w:p>
        </w:tc>
        <w:tc>
          <w:tcPr>
            <w:tcW w:w="3140" w:type="dxa"/>
            <w:vAlign w:val="bottom"/>
            <w:gridSpan w:val="2"/>
          </w:tcPr>
          <w:p>
            <w:pPr>
              <w:ind w:left="400"/>
              <w:spacing w:after="0" w:line="167" w:lineRule="exact"/>
              <w:rPr>
                <w:sz w:val="20"/>
                <w:szCs w:val="20"/>
                <w:color w:val="auto"/>
              </w:rPr>
            </w:pPr>
            <w:r>
              <w:rPr>
                <w:rFonts w:ascii="Arial" w:cs="Arial" w:eastAsia="Arial" w:hAnsi="Arial"/>
                <w:sz w:val="16"/>
                <w:szCs w:val="16"/>
                <w:color w:val="auto"/>
              </w:rPr>
              <w:t>Limited Liability CompanyHungary</w:t>
            </w:r>
          </w:p>
        </w:tc>
        <w:tc>
          <w:tcPr>
            <w:tcW w:w="1260" w:type="dxa"/>
            <w:vAlign w:val="bottom"/>
          </w:tcPr>
          <w:p>
            <w:pPr>
              <w:ind w:left="80"/>
              <w:spacing w:after="0" w:line="167" w:lineRule="exact"/>
              <w:rPr>
                <w:sz w:val="20"/>
                <w:szCs w:val="20"/>
                <w:color w:val="auto"/>
              </w:rPr>
            </w:pPr>
            <w:r>
              <w:rPr>
                <w:rFonts w:ascii="Arial" w:cs="Arial" w:eastAsia="Arial" w:hAnsi="Arial"/>
                <w:sz w:val="16"/>
                <w:szCs w:val="16"/>
                <w:color w:val="auto"/>
              </w:rPr>
              <w:t>10485745-2-44</w:t>
            </w:r>
          </w:p>
        </w:tc>
        <w:tc>
          <w:tcPr>
            <w:tcW w:w="2340" w:type="dxa"/>
            <w:vAlign w:val="bottom"/>
          </w:tcPr>
          <w:p>
            <w:pPr>
              <w:ind w:left="40"/>
              <w:spacing w:after="0" w:line="167" w:lineRule="exact"/>
              <w:rPr>
                <w:sz w:val="20"/>
                <w:szCs w:val="20"/>
                <w:color w:val="auto"/>
              </w:rPr>
            </w:pPr>
            <w:r>
              <w:rPr>
                <w:rFonts w:ascii="Arial" w:cs="Arial" w:eastAsia="Arial" w:hAnsi="Arial"/>
                <w:sz w:val="16"/>
                <w:szCs w:val="16"/>
                <w:color w:val="auto"/>
                <w:w w:val="91"/>
              </w:rPr>
              <w:t>Registration No: Cg. 13-09-080441</w:t>
            </w:r>
          </w:p>
        </w:tc>
        <w:tc>
          <w:tcPr>
            <w:tcW w:w="2180" w:type="dxa"/>
            <w:vAlign w:val="bottom"/>
            <w:tcBorders>
              <w:right w:val="single" w:sz="8" w:color="95B3D7"/>
            </w:tcBorders>
          </w:tcPr>
          <w:p>
            <w:pPr>
              <w:ind w:left="60"/>
              <w:spacing w:after="0" w:line="167" w:lineRule="exact"/>
              <w:rPr>
                <w:sz w:val="20"/>
                <w:szCs w:val="20"/>
                <w:color w:val="auto"/>
              </w:rPr>
            </w:pPr>
            <w:r>
              <w:rPr>
                <w:rFonts w:ascii="Arial" w:cs="Arial" w:eastAsia="Arial" w:hAnsi="Arial"/>
                <w:sz w:val="16"/>
                <w:szCs w:val="16"/>
                <w:color w:val="auto"/>
              </w:rPr>
              <w:t>Bányatelep 14, 2084</w:t>
            </w:r>
          </w:p>
        </w:tc>
      </w:tr>
      <w:tr>
        <w:trPr>
          <w:trHeight w:val="200"/>
        </w:trPr>
        <w:tc>
          <w:tcPr>
            <w:tcW w:w="2620" w:type="dxa"/>
            <w:vAlign w:val="bottom"/>
            <w:tcBorders>
              <w:left w:val="single" w:sz="8" w:color="95B3D7"/>
              <w:bottom w:val="single" w:sz="8" w:color="95B3D7"/>
            </w:tcBorders>
          </w:tcPr>
          <w:p>
            <w:pPr>
              <w:spacing w:after="0"/>
              <w:rPr>
                <w:sz w:val="17"/>
                <w:szCs w:val="17"/>
                <w:color w:val="auto"/>
              </w:rPr>
            </w:pPr>
          </w:p>
        </w:tc>
        <w:tc>
          <w:tcPr>
            <w:tcW w:w="1880" w:type="dxa"/>
            <w:vAlign w:val="bottom"/>
            <w:tcBorders>
              <w:bottom w:val="single" w:sz="8" w:color="95B3D7"/>
            </w:tcBorders>
          </w:tcPr>
          <w:p>
            <w:pPr>
              <w:spacing w:after="0"/>
              <w:rPr>
                <w:sz w:val="17"/>
                <w:szCs w:val="17"/>
                <w:color w:val="auto"/>
              </w:rPr>
            </w:pPr>
          </w:p>
        </w:tc>
        <w:tc>
          <w:tcPr>
            <w:tcW w:w="1260" w:type="dxa"/>
            <w:vAlign w:val="bottom"/>
            <w:tcBorders>
              <w:bottom w:val="single" w:sz="8" w:color="95B3D7"/>
            </w:tcBorders>
          </w:tcPr>
          <w:p>
            <w:pPr>
              <w:spacing w:after="0"/>
              <w:rPr>
                <w:sz w:val="17"/>
                <w:szCs w:val="17"/>
                <w:color w:val="auto"/>
              </w:rPr>
            </w:pPr>
          </w:p>
        </w:tc>
        <w:tc>
          <w:tcPr>
            <w:tcW w:w="1260" w:type="dxa"/>
            <w:vAlign w:val="bottom"/>
            <w:tcBorders>
              <w:bottom w:val="single" w:sz="8" w:color="95B3D7"/>
            </w:tcBorders>
          </w:tcPr>
          <w:p>
            <w:pPr>
              <w:spacing w:after="0"/>
              <w:rPr>
                <w:sz w:val="17"/>
                <w:szCs w:val="17"/>
                <w:color w:val="auto"/>
              </w:rPr>
            </w:pPr>
          </w:p>
        </w:tc>
        <w:tc>
          <w:tcPr>
            <w:tcW w:w="2340" w:type="dxa"/>
            <w:vAlign w:val="bottom"/>
            <w:tcBorders>
              <w:bottom w:val="single" w:sz="8" w:color="95B3D7"/>
            </w:tcBorders>
          </w:tcPr>
          <w:p>
            <w:pPr>
              <w:spacing w:after="0"/>
              <w:rPr>
                <w:sz w:val="17"/>
                <w:szCs w:val="17"/>
                <w:color w:val="auto"/>
              </w:rPr>
            </w:pPr>
          </w:p>
        </w:tc>
        <w:tc>
          <w:tcPr>
            <w:tcW w:w="2180" w:type="dxa"/>
            <w:vAlign w:val="bottom"/>
            <w:tcBorders>
              <w:bottom w:val="single" w:sz="8" w:color="95B3D7"/>
              <w:right w:val="single" w:sz="8" w:color="95B3D7"/>
            </w:tcBorders>
          </w:tcPr>
          <w:p>
            <w:pPr>
              <w:ind w:left="60"/>
              <w:spacing w:after="0"/>
              <w:rPr>
                <w:sz w:val="20"/>
                <w:szCs w:val="20"/>
                <w:color w:val="auto"/>
              </w:rPr>
            </w:pPr>
            <w:r>
              <w:rPr>
                <w:rFonts w:ascii="Arial" w:cs="Arial" w:eastAsia="Arial" w:hAnsi="Arial"/>
                <w:sz w:val="16"/>
                <w:szCs w:val="16"/>
                <w:color w:val="auto"/>
              </w:rPr>
              <w:t>Pilisszentivan, Hungary</w:t>
            </w:r>
          </w:p>
        </w:tc>
      </w:tr>
      <w:tr>
        <w:trPr>
          <w:trHeight w:val="167"/>
        </w:trPr>
        <w:tc>
          <w:tcPr>
            <w:tcW w:w="2620" w:type="dxa"/>
            <w:vAlign w:val="bottom"/>
            <w:tcBorders>
              <w:left w:val="single" w:sz="8" w:color="95B3D7"/>
            </w:tcBorders>
            <w:shd w:val="clear" w:color="auto" w:fill="DCE6F1"/>
          </w:tcPr>
          <w:p>
            <w:pPr>
              <w:spacing w:after="0" w:line="168" w:lineRule="exact"/>
              <w:rPr>
                <w:sz w:val="20"/>
                <w:szCs w:val="20"/>
                <w:color w:val="auto"/>
              </w:rPr>
            </w:pPr>
            <w:r>
              <w:rPr>
                <w:rFonts w:ascii="Arial" w:cs="Arial" w:eastAsia="Arial" w:hAnsi="Arial"/>
                <w:sz w:val="16"/>
                <w:szCs w:val="16"/>
                <w:color w:val="auto"/>
              </w:rPr>
              <w:t>Gentherm Holding (Malta) Limited</w:t>
            </w:r>
          </w:p>
        </w:tc>
        <w:tc>
          <w:tcPr>
            <w:tcW w:w="1880" w:type="dxa"/>
            <w:vAlign w:val="bottom"/>
            <w:shd w:val="clear" w:color="auto" w:fill="DCE6F1"/>
          </w:tcPr>
          <w:p>
            <w:pPr>
              <w:ind w:left="400"/>
              <w:spacing w:after="0" w:line="168" w:lineRule="exact"/>
              <w:rPr>
                <w:sz w:val="20"/>
                <w:szCs w:val="20"/>
                <w:color w:val="auto"/>
              </w:rPr>
            </w:pPr>
            <w:r>
              <w:rPr>
                <w:rFonts w:ascii="Arial" w:cs="Arial" w:eastAsia="Arial" w:hAnsi="Arial"/>
                <w:sz w:val="16"/>
                <w:szCs w:val="16"/>
                <w:color w:val="auto"/>
              </w:rPr>
              <w:t>Limited Company</w:t>
            </w:r>
          </w:p>
        </w:tc>
        <w:tc>
          <w:tcPr>
            <w:tcW w:w="1260" w:type="dxa"/>
            <w:vAlign w:val="bottom"/>
            <w:shd w:val="clear" w:color="auto" w:fill="DCE6F1"/>
          </w:tcPr>
          <w:p>
            <w:pPr>
              <w:ind w:left="240"/>
              <w:spacing w:after="0" w:line="168" w:lineRule="exact"/>
              <w:rPr>
                <w:sz w:val="20"/>
                <w:szCs w:val="20"/>
                <w:color w:val="auto"/>
              </w:rPr>
            </w:pPr>
            <w:r>
              <w:rPr>
                <w:rFonts w:ascii="Arial" w:cs="Arial" w:eastAsia="Arial" w:hAnsi="Arial"/>
                <w:sz w:val="16"/>
                <w:szCs w:val="16"/>
                <w:color w:val="auto"/>
              </w:rPr>
              <w:t>Malta</w:t>
            </w:r>
          </w:p>
        </w:tc>
        <w:tc>
          <w:tcPr>
            <w:tcW w:w="1260" w:type="dxa"/>
            <w:vAlign w:val="bottom"/>
            <w:shd w:val="clear" w:color="auto" w:fill="DCE6F1"/>
          </w:tcPr>
          <w:p>
            <w:pPr>
              <w:ind w:left="80"/>
              <w:spacing w:after="0" w:line="168" w:lineRule="exact"/>
              <w:rPr>
                <w:sz w:val="20"/>
                <w:szCs w:val="20"/>
                <w:color w:val="auto"/>
              </w:rPr>
            </w:pPr>
            <w:r>
              <w:rPr>
                <w:rFonts w:ascii="Arial" w:cs="Arial" w:eastAsia="Arial" w:hAnsi="Arial"/>
                <w:sz w:val="16"/>
                <w:szCs w:val="16"/>
                <w:color w:val="auto"/>
              </w:rPr>
              <w:t>993164109</w:t>
            </w:r>
          </w:p>
        </w:tc>
        <w:tc>
          <w:tcPr>
            <w:tcW w:w="2340" w:type="dxa"/>
            <w:vAlign w:val="bottom"/>
            <w:shd w:val="clear" w:color="auto" w:fill="DCE6F1"/>
          </w:tcPr>
          <w:p>
            <w:pPr>
              <w:ind w:left="40"/>
              <w:spacing w:after="0" w:line="168" w:lineRule="exact"/>
              <w:rPr>
                <w:sz w:val="20"/>
                <w:szCs w:val="20"/>
                <w:color w:val="auto"/>
              </w:rPr>
            </w:pPr>
            <w:r>
              <w:rPr>
                <w:rFonts w:ascii="Arial" w:cs="Arial" w:eastAsia="Arial" w:hAnsi="Arial"/>
                <w:sz w:val="16"/>
                <w:szCs w:val="16"/>
                <w:color w:val="auto"/>
              </w:rPr>
              <w:t>Registration No: C 30684</w:t>
            </w:r>
          </w:p>
        </w:tc>
        <w:tc>
          <w:tcPr>
            <w:tcW w:w="2180" w:type="dxa"/>
            <w:vAlign w:val="bottom"/>
            <w:tcBorders>
              <w:right w:val="single" w:sz="8" w:color="95B3D7"/>
            </w:tcBorders>
            <w:shd w:val="clear" w:color="auto" w:fill="DCE6F1"/>
          </w:tcPr>
          <w:p>
            <w:pPr>
              <w:ind w:left="60"/>
              <w:spacing w:after="0" w:line="168" w:lineRule="exact"/>
              <w:rPr>
                <w:sz w:val="20"/>
                <w:szCs w:val="20"/>
                <w:color w:val="auto"/>
              </w:rPr>
            </w:pPr>
            <w:r>
              <w:rPr>
                <w:rFonts w:ascii="Arial" w:cs="Arial" w:eastAsia="Arial" w:hAnsi="Arial"/>
                <w:sz w:val="16"/>
                <w:szCs w:val="16"/>
                <w:color w:val="auto"/>
                <w:w w:val="94"/>
              </w:rPr>
              <w:t>Suite 6, Paolo Court, Giuseppe</w:t>
            </w:r>
          </w:p>
        </w:tc>
      </w:tr>
      <w:tr>
        <w:trPr>
          <w:trHeight w:val="188"/>
        </w:trPr>
        <w:tc>
          <w:tcPr>
            <w:tcW w:w="2620" w:type="dxa"/>
            <w:vAlign w:val="bottom"/>
            <w:tcBorders>
              <w:left w:val="single" w:sz="8" w:color="95B3D7"/>
            </w:tcBorders>
            <w:shd w:val="clear" w:color="auto" w:fill="DCE6F1"/>
          </w:tcPr>
          <w:p>
            <w:pPr>
              <w:spacing w:after="0"/>
              <w:rPr>
                <w:sz w:val="16"/>
                <w:szCs w:val="16"/>
                <w:color w:val="auto"/>
              </w:rPr>
            </w:pPr>
          </w:p>
        </w:tc>
        <w:tc>
          <w:tcPr>
            <w:tcW w:w="1880" w:type="dxa"/>
            <w:vAlign w:val="bottom"/>
            <w:shd w:val="clear" w:color="auto" w:fill="DCE6F1"/>
          </w:tcPr>
          <w:p>
            <w:pPr>
              <w:spacing w:after="0"/>
              <w:rPr>
                <w:sz w:val="16"/>
                <w:szCs w:val="16"/>
                <w:color w:val="auto"/>
              </w:rPr>
            </w:pPr>
          </w:p>
        </w:tc>
        <w:tc>
          <w:tcPr>
            <w:tcW w:w="1260" w:type="dxa"/>
            <w:vAlign w:val="bottom"/>
            <w:shd w:val="clear" w:color="auto" w:fill="DCE6F1"/>
          </w:tcPr>
          <w:p>
            <w:pPr>
              <w:spacing w:after="0"/>
              <w:rPr>
                <w:sz w:val="16"/>
                <w:szCs w:val="16"/>
                <w:color w:val="auto"/>
              </w:rPr>
            </w:pPr>
          </w:p>
        </w:tc>
        <w:tc>
          <w:tcPr>
            <w:tcW w:w="1260" w:type="dxa"/>
            <w:vAlign w:val="bottom"/>
            <w:shd w:val="clear" w:color="auto" w:fill="DCE6F1"/>
          </w:tcPr>
          <w:p>
            <w:pPr>
              <w:spacing w:after="0"/>
              <w:rPr>
                <w:sz w:val="16"/>
                <w:szCs w:val="16"/>
                <w:color w:val="auto"/>
              </w:rPr>
            </w:pPr>
          </w:p>
        </w:tc>
        <w:tc>
          <w:tcPr>
            <w:tcW w:w="2340" w:type="dxa"/>
            <w:vAlign w:val="bottom"/>
            <w:shd w:val="clear" w:color="auto" w:fill="DCE6F1"/>
          </w:tcPr>
          <w:p>
            <w:pPr>
              <w:spacing w:after="0"/>
              <w:rPr>
                <w:sz w:val="16"/>
                <w:szCs w:val="16"/>
                <w:color w:val="auto"/>
              </w:rPr>
            </w:pPr>
          </w:p>
        </w:tc>
        <w:tc>
          <w:tcPr>
            <w:tcW w:w="2180" w:type="dxa"/>
            <w:vAlign w:val="bottom"/>
            <w:tcBorders>
              <w:right w:val="single" w:sz="8" w:color="95B3D7"/>
            </w:tcBorders>
            <w:shd w:val="clear" w:color="auto" w:fill="DCE6F1"/>
          </w:tcPr>
          <w:p>
            <w:pPr>
              <w:ind w:left="60"/>
              <w:spacing w:after="0"/>
              <w:rPr>
                <w:sz w:val="20"/>
                <w:szCs w:val="20"/>
                <w:color w:val="auto"/>
              </w:rPr>
            </w:pPr>
            <w:r>
              <w:rPr>
                <w:rFonts w:ascii="Arial" w:cs="Arial" w:eastAsia="Arial" w:hAnsi="Arial"/>
                <w:sz w:val="16"/>
                <w:szCs w:val="16"/>
                <w:color w:val="auto"/>
              </w:rPr>
              <w:t>Cali' Street, Ta' Xbiex, XBX</w:t>
            </w:r>
          </w:p>
        </w:tc>
      </w:tr>
      <w:tr>
        <w:trPr>
          <w:trHeight w:val="200"/>
        </w:trPr>
        <w:tc>
          <w:tcPr>
            <w:tcW w:w="2620" w:type="dxa"/>
            <w:vAlign w:val="bottom"/>
            <w:tcBorders>
              <w:left w:val="single" w:sz="8" w:color="95B3D7"/>
              <w:bottom w:val="single" w:sz="8" w:color="95B3D7"/>
            </w:tcBorders>
            <w:shd w:val="clear" w:color="auto" w:fill="DCE6F1"/>
          </w:tcPr>
          <w:p>
            <w:pPr>
              <w:spacing w:after="0"/>
              <w:rPr>
                <w:sz w:val="17"/>
                <w:szCs w:val="17"/>
                <w:color w:val="auto"/>
              </w:rPr>
            </w:pPr>
          </w:p>
        </w:tc>
        <w:tc>
          <w:tcPr>
            <w:tcW w:w="1880" w:type="dxa"/>
            <w:vAlign w:val="bottom"/>
            <w:tcBorders>
              <w:bottom w:val="single" w:sz="8" w:color="95B3D7"/>
            </w:tcBorders>
            <w:shd w:val="clear" w:color="auto" w:fill="DCE6F1"/>
          </w:tcPr>
          <w:p>
            <w:pPr>
              <w:spacing w:after="0"/>
              <w:rPr>
                <w:sz w:val="17"/>
                <w:szCs w:val="17"/>
                <w:color w:val="auto"/>
              </w:rPr>
            </w:pPr>
          </w:p>
        </w:tc>
        <w:tc>
          <w:tcPr>
            <w:tcW w:w="1260" w:type="dxa"/>
            <w:vAlign w:val="bottom"/>
            <w:tcBorders>
              <w:bottom w:val="single" w:sz="8" w:color="95B3D7"/>
            </w:tcBorders>
            <w:shd w:val="clear" w:color="auto" w:fill="DCE6F1"/>
          </w:tcPr>
          <w:p>
            <w:pPr>
              <w:spacing w:after="0"/>
              <w:rPr>
                <w:sz w:val="17"/>
                <w:szCs w:val="17"/>
                <w:color w:val="auto"/>
              </w:rPr>
            </w:pPr>
          </w:p>
        </w:tc>
        <w:tc>
          <w:tcPr>
            <w:tcW w:w="1260" w:type="dxa"/>
            <w:vAlign w:val="bottom"/>
            <w:tcBorders>
              <w:bottom w:val="single" w:sz="8" w:color="95B3D7"/>
            </w:tcBorders>
            <w:shd w:val="clear" w:color="auto" w:fill="DCE6F1"/>
          </w:tcPr>
          <w:p>
            <w:pPr>
              <w:spacing w:after="0"/>
              <w:rPr>
                <w:sz w:val="17"/>
                <w:szCs w:val="17"/>
                <w:color w:val="auto"/>
              </w:rPr>
            </w:pPr>
          </w:p>
        </w:tc>
        <w:tc>
          <w:tcPr>
            <w:tcW w:w="2340" w:type="dxa"/>
            <w:vAlign w:val="bottom"/>
            <w:tcBorders>
              <w:bottom w:val="single" w:sz="8" w:color="95B3D7"/>
            </w:tcBorders>
            <w:shd w:val="clear" w:color="auto" w:fill="DCE6F1"/>
          </w:tcPr>
          <w:p>
            <w:pPr>
              <w:spacing w:after="0"/>
              <w:rPr>
                <w:sz w:val="17"/>
                <w:szCs w:val="17"/>
                <w:color w:val="auto"/>
              </w:rPr>
            </w:pPr>
          </w:p>
        </w:tc>
        <w:tc>
          <w:tcPr>
            <w:tcW w:w="2180" w:type="dxa"/>
            <w:vAlign w:val="bottom"/>
            <w:tcBorders>
              <w:bottom w:val="single" w:sz="8" w:color="95B3D7"/>
              <w:right w:val="single" w:sz="8" w:color="95B3D7"/>
            </w:tcBorders>
            <w:shd w:val="clear" w:color="auto" w:fill="DCE6F1"/>
          </w:tcPr>
          <w:p>
            <w:pPr>
              <w:ind w:left="60"/>
              <w:spacing w:after="0"/>
              <w:rPr>
                <w:sz w:val="20"/>
                <w:szCs w:val="20"/>
                <w:color w:val="auto"/>
              </w:rPr>
            </w:pPr>
            <w:r>
              <w:rPr>
                <w:rFonts w:ascii="Arial" w:cs="Arial" w:eastAsia="Arial" w:hAnsi="Arial"/>
                <w:sz w:val="16"/>
                <w:szCs w:val="16"/>
                <w:color w:val="auto"/>
              </w:rPr>
              <w:t>1423, Malta</w:t>
            </w:r>
          </w:p>
        </w:tc>
      </w:tr>
      <w:tr>
        <w:trPr>
          <w:trHeight w:val="167"/>
        </w:trPr>
        <w:tc>
          <w:tcPr>
            <w:tcW w:w="4500" w:type="dxa"/>
            <w:vAlign w:val="bottom"/>
            <w:tcBorders>
              <w:left w:val="single" w:sz="8" w:color="95B3D7"/>
            </w:tcBorders>
            <w:gridSpan w:val="2"/>
          </w:tcPr>
          <w:p>
            <w:pPr>
              <w:spacing w:after="0" w:line="168" w:lineRule="exact"/>
              <w:rPr>
                <w:sz w:val="20"/>
                <w:szCs w:val="20"/>
                <w:color w:val="auto"/>
              </w:rPr>
            </w:pPr>
            <w:r>
              <w:rPr>
                <w:rFonts w:ascii="Arial" w:cs="Arial" w:eastAsia="Arial" w:hAnsi="Arial"/>
                <w:sz w:val="16"/>
                <w:szCs w:val="16"/>
                <w:color w:val="auto"/>
                <w:w w:val="98"/>
              </w:rPr>
              <w:t>Gentherm Automotive Systems (Malta) LimitedLimited Company</w:t>
            </w:r>
          </w:p>
        </w:tc>
        <w:tc>
          <w:tcPr>
            <w:tcW w:w="1260" w:type="dxa"/>
            <w:vAlign w:val="bottom"/>
          </w:tcPr>
          <w:p>
            <w:pPr>
              <w:ind w:left="240"/>
              <w:spacing w:after="0" w:line="168" w:lineRule="exact"/>
              <w:rPr>
                <w:sz w:val="20"/>
                <w:szCs w:val="20"/>
                <w:color w:val="auto"/>
              </w:rPr>
            </w:pPr>
            <w:r>
              <w:rPr>
                <w:rFonts w:ascii="Arial" w:cs="Arial" w:eastAsia="Arial" w:hAnsi="Arial"/>
                <w:sz w:val="16"/>
                <w:szCs w:val="16"/>
                <w:color w:val="auto"/>
              </w:rPr>
              <w:t>Malta</w:t>
            </w:r>
          </w:p>
        </w:tc>
        <w:tc>
          <w:tcPr>
            <w:tcW w:w="1260" w:type="dxa"/>
            <w:vAlign w:val="bottom"/>
          </w:tcPr>
          <w:p>
            <w:pPr>
              <w:ind w:left="80"/>
              <w:spacing w:after="0" w:line="168" w:lineRule="exact"/>
              <w:rPr>
                <w:sz w:val="20"/>
                <w:szCs w:val="20"/>
                <w:color w:val="auto"/>
              </w:rPr>
            </w:pPr>
            <w:r>
              <w:rPr>
                <w:rFonts w:ascii="Arial" w:cs="Arial" w:eastAsia="Arial" w:hAnsi="Arial"/>
                <w:sz w:val="16"/>
                <w:szCs w:val="16"/>
                <w:color w:val="auto"/>
              </w:rPr>
              <w:t>993165701</w:t>
            </w:r>
          </w:p>
        </w:tc>
        <w:tc>
          <w:tcPr>
            <w:tcW w:w="2340" w:type="dxa"/>
            <w:vAlign w:val="bottom"/>
          </w:tcPr>
          <w:p>
            <w:pPr>
              <w:ind w:left="40"/>
              <w:spacing w:after="0" w:line="168" w:lineRule="exact"/>
              <w:rPr>
                <w:sz w:val="20"/>
                <w:szCs w:val="20"/>
                <w:color w:val="auto"/>
              </w:rPr>
            </w:pPr>
            <w:r>
              <w:rPr>
                <w:rFonts w:ascii="Arial" w:cs="Arial" w:eastAsia="Arial" w:hAnsi="Arial"/>
                <w:sz w:val="16"/>
                <w:szCs w:val="16"/>
                <w:color w:val="auto"/>
              </w:rPr>
              <w:t>Registration No: C. 30702</w:t>
            </w:r>
          </w:p>
        </w:tc>
        <w:tc>
          <w:tcPr>
            <w:tcW w:w="2180" w:type="dxa"/>
            <w:vAlign w:val="bottom"/>
            <w:tcBorders>
              <w:right w:val="single" w:sz="8" w:color="95B3D7"/>
            </w:tcBorders>
          </w:tcPr>
          <w:p>
            <w:pPr>
              <w:ind w:left="60"/>
              <w:spacing w:after="0" w:line="168" w:lineRule="exact"/>
              <w:rPr>
                <w:sz w:val="20"/>
                <w:szCs w:val="20"/>
                <w:color w:val="auto"/>
              </w:rPr>
            </w:pPr>
            <w:r>
              <w:rPr>
                <w:rFonts w:ascii="Arial" w:cs="Arial" w:eastAsia="Arial" w:hAnsi="Arial"/>
                <w:sz w:val="16"/>
                <w:szCs w:val="16"/>
                <w:color w:val="auto"/>
                <w:w w:val="94"/>
              </w:rPr>
              <w:t>Suite 6, Paolo Court, Giuseppe</w:t>
            </w:r>
          </w:p>
        </w:tc>
      </w:tr>
      <w:tr>
        <w:trPr>
          <w:trHeight w:val="188"/>
        </w:trPr>
        <w:tc>
          <w:tcPr>
            <w:tcW w:w="2620" w:type="dxa"/>
            <w:vAlign w:val="bottom"/>
            <w:tcBorders>
              <w:left w:val="single" w:sz="8" w:color="95B3D7"/>
            </w:tcBorders>
          </w:tcPr>
          <w:p>
            <w:pPr>
              <w:spacing w:after="0"/>
              <w:rPr>
                <w:sz w:val="16"/>
                <w:szCs w:val="16"/>
                <w:color w:val="auto"/>
              </w:rPr>
            </w:pPr>
          </w:p>
        </w:tc>
        <w:tc>
          <w:tcPr>
            <w:tcW w:w="1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180" w:type="dxa"/>
            <w:vAlign w:val="bottom"/>
            <w:tcBorders>
              <w:right w:val="single" w:sz="8" w:color="95B3D7"/>
            </w:tcBorders>
          </w:tcPr>
          <w:p>
            <w:pPr>
              <w:ind w:left="60"/>
              <w:spacing w:after="0"/>
              <w:rPr>
                <w:sz w:val="20"/>
                <w:szCs w:val="20"/>
                <w:color w:val="auto"/>
              </w:rPr>
            </w:pPr>
            <w:r>
              <w:rPr>
                <w:rFonts w:ascii="Arial" w:cs="Arial" w:eastAsia="Arial" w:hAnsi="Arial"/>
                <w:sz w:val="16"/>
                <w:szCs w:val="16"/>
                <w:color w:val="auto"/>
              </w:rPr>
              <w:t>Cali' Street, Ta' Xbiex, XBX</w:t>
            </w:r>
          </w:p>
        </w:tc>
      </w:tr>
      <w:tr>
        <w:trPr>
          <w:trHeight w:val="200"/>
        </w:trPr>
        <w:tc>
          <w:tcPr>
            <w:tcW w:w="2620" w:type="dxa"/>
            <w:vAlign w:val="bottom"/>
            <w:tcBorders>
              <w:left w:val="single" w:sz="8" w:color="95B3D7"/>
              <w:bottom w:val="single" w:sz="8" w:color="95B3D7"/>
            </w:tcBorders>
          </w:tcPr>
          <w:p>
            <w:pPr>
              <w:spacing w:after="0"/>
              <w:rPr>
                <w:sz w:val="17"/>
                <w:szCs w:val="17"/>
                <w:color w:val="auto"/>
              </w:rPr>
            </w:pPr>
          </w:p>
        </w:tc>
        <w:tc>
          <w:tcPr>
            <w:tcW w:w="1880" w:type="dxa"/>
            <w:vAlign w:val="bottom"/>
            <w:tcBorders>
              <w:bottom w:val="single" w:sz="8" w:color="95B3D7"/>
            </w:tcBorders>
          </w:tcPr>
          <w:p>
            <w:pPr>
              <w:spacing w:after="0"/>
              <w:rPr>
                <w:sz w:val="17"/>
                <w:szCs w:val="17"/>
                <w:color w:val="auto"/>
              </w:rPr>
            </w:pPr>
          </w:p>
        </w:tc>
        <w:tc>
          <w:tcPr>
            <w:tcW w:w="1260" w:type="dxa"/>
            <w:vAlign w:val="bottom"/>
            <w:tcBorders>
              <w:bottom w:val="single" w:sz="8" w:color="95B3D7"/>
            </w:tcBorders>
          </w:tcPr>
          <w:p>
            <w:pPr>
              <w:spacing w:after="0"/>
              <w:rPr>
                <w:sz w:val="17"/>
                <w:szCs w:val="17"/>
                <w:color w:val="auto"/>
              </w:rPr>
            </w:pPr>
          </w:p>
        </w:tc>
        <w:tc>
          <w:tcPr>
            <w:tcW w:w="1260" w:type="dxa"/>
            <w:vAlign w:val="bottom"/>
            <w:tcBorders>
              <w:bottom w:val="single" w:sz="8" w:color="95B3D7"/>
            </w:tcBorders>
          </w:tcPr>
          <w:p>
            <w:pPr>
              <w:spacing w:after="0"/>
              <w:rPr>
                <w:sz w:val="17"/>
                <w:szCs w:val="17"/>
                <w:color w:val="auto"/>
              </w:rPr>
            </w:pPr>
          </w:p>
        </w:tc>
        <w:tc>
          <w:tcPr>
            <w:tcW w:w="2340" w:type="dxa"/>
            <w:vAlign w:val="bottom"/>
            <w:tcBorders>
              <w:bottom w:val="single" w:sz="8" w:color="95B3D7"/>
            </w:tcBorders>
          </w:tcPr>
          <w:p>
            <w:pPr>
              <w:spacing w:after="0"/>
              <w:rPr>
                <w:sz w:val="17"/>
                <w:szCs w:val="17"/>
                <w:color w:val="auto"/>
              </w:rPr>
            </w:pPr>
          </w:p>
        </w:tc>
        <w:tc>
          <w:tcPr>
            <w:tcW w:w="2180" w:type="dxa"/>
            <w:vAlign w:val="bottom"/>
            <w:tcBorders>
              <w:bottom w:val="single" w:sz="8" w:color="95B3D7"/>
              <w:right w:val="single" w:sz="8" w:color="95B3D7"/>
            </w:tcBorders>
          </w:tcPr>
          <w:p>
            <w:pPr>
              <w:ind w:left="60"/>
              <w:spacing w:after="0"/>
              <w:rPr>
                <w:sz w:val="20"/>
                <w:szCs w:val="20"/>
                <w:color w:val="auto"/>
              </w:rPr>
            </w:pPr>
            <w:r>
              <w:rPr>
                <w:rFonts w:ascii="Arial" w:cs="Arial" w:eastAsia="Arial" w:hAnsi="Arial"/>
                <w:sz w:val="16"/>
                <w:szCs w:val="16"/>
                <w:color w:val="auto"/>
              </w:rPr>
              <w:t>1423, Malta</w:t>
            </w:r>
          </w:p>
        </w:tc>
      </w:tr>
      <w:tr>
        <w:trPr>
          <w:trHeight w:val="167"/>
        </w:trPr>
        <w:tc>
          <w:tcPr>
            <w:tcW w:w="2620" w:type="dxa"/>
            <w:vAlign w:val="bottom"/>
            <w:tcBorders>
              <w:left w:val="single" w:sz="8" w:color="95B3D7"/>
            </w:tcBorders>
          </w:tcPr>
          <w:p>
            <w:pPr>
              <w:spacing w:after="0" w:line="168" w:lineRule="exact"/>
              <w:rPr>
                <w:sz w:val="20"/>
                <w:szCs w:val="20"/>
                <w:color w:val="auto"/>
              </w:rPr>
            </w:pPr>
            <w:r>
              <w:rPr>
                <w:rFonts w:ascii="Arial" w:cs="Arial" w:eastAsia="Arial" w:hAnsi="Arial"/>
                <w:sz w:val="16"/>
                <w:szCs w:val="16"/>
                <w:color w:val="auto"/>
              </w:rPr>
              <w:t>Westridge Haggerty LLC</w:t>
            </w:r>
          </w:p>
        </w:tc>
        <w:tc>
          <w:tcPr>
            <w:tcW w:w="4400" w:type="dxa"/>
            <w:vAlign w:val="bottom"/>
            <w:gridSpan w:val="3"/>
          </w:tcPr>
          <w:p>
            <w:pPr>
              <w:ind w:left="400"/>
              <w:spacing w:after="0" w:line="168" w:lineRule="exact"/>
              <w:rPr>
                <w:sz w:val="20"/>
                <w:szCs w:val="20"/>
                <w:color w:val="auto"/>
              </w:rPr>
            </w:pPr>
            <w:r>
              <w:rPr>
                <w:rFonts w:ascii="Arial" w:cs="Arial" w:eastAsia="Arial" w:hAnsi="Arial"/>
                <w:sz w:val="16"/>
                <w:szCs w:val="16"/>
                <w:color w:val="auto"/>
                <w:w w:val="99"/>
              </w:rPr>
              <w:t>Limited Liability CompanyUSA (Michigan) Not applicable</w:t>
            </w:r>
          </w:p>
        </w:tc>
        <w:tc>
          <w:tcPr>
            <w:tcW w:w="2340" w:type="dxa"/>
            <w:vAlign w:val="bottom"/>
          </w:tcPr>
          <w:p>
            <w:pPr>
              <w:ind w:left="40"/>
              <w:spacing w:after="0" w:line="168" w:lineRule="exact"/>
              <w:rPr>
                <w:sz w:val="20"/>
                <w:szCs w:val="20"/>
                <w:color w:val="auto"/>
              </w:rPr>
            </w:pPr>
            <w:r>
              <w:rPr>
                <w:rFonts w:ascii="Arial" w:cs="Arial" w:eastAsia="Arial" w:hAnsi="Arial"/>
                <w:sz w:val="16"/>
                <w:szCs w:val="16"/>
                <w:color w:val="auto"/>
              </w:rPr>
              <w:t>E2240M</w:t>
            </w:r>
          </w:p>
        </w:tc>
        <w:tc>
          <w:tcPr>
            <w:tcW w:w="2180" w:type="dxa"/>
            <w:vAlign w:val="bottom"/>
            <w:tcBorders>
              <w:right w:val="single" w:sz="8" w:color="95B3D7"/>
            </w:tcBorders>
          </w:tcPr>
          <w:p>
            <w:pPr>
              <w:ind w:left="60"/>
              <w:spacing w:after="0" w:line="168" w:lineRule="exact"/>
              <w:rPr>
                <w:sz w:val="20"/>
                <w:szCs w:val="20"/>
                <w:color w:val="auto"/>
              </w:rPr>
            </w:pPr>
            <w:r>
              <w:rPr>
                <w:rFonts w:ascii="Arial" w:cs="Arial" w:eastAsia="Arial" w:hAnsi="Arial"/>
                <w:sz w:val="16"/>
                <w:szCs w:val="16"/>
                <w:color w:val="auto"/>
              </w:rPr>
              <w:t>21680 Haggerty Road, Suite</w:t>
            </w:r>
          </w:p>
        </w:tc>
      </w:tr>
      <w:tr>
        <w:trPr>
          <w:trHeight w:val="200"/>
        </w:trPr>
        <w:tc>
          <w:tcPr>
            <w:tcW w:w="2620" w:type="dxa"/>
            <w:vAlign w:val="bottom"/>
            <w:tcBorders>
              <w:left w:val="single" w:sz="8" w:color="95B3D7"/>
              <w:bottom w:val="single" w:sz="8" w:color="95B3D7"/>
            </w:tcBorders>
          </w:tcPr>
          <w:p>
            <w:pPr>
              <w:spacing w:after="0"/>
              <w:rPr>
                <w:sz w:val="17"/>
                <w:szCs w:val="17"/>
                <w:color w:val="auto"/>
              </w:rPr>
            </w:pPr>
          </w:p>
        </w:tc>
        <w:tc>
          <w:tcPr>
            <w:tcW w:w="1880" w:type="dxa"/>
            <w:vAlign w:val="bottom"/>
            <w:tcBorders>
              <w:bottom w:val="single" w:sz="8" w:color="95B3D7"/>
            </w:tcBorders>
          </w:tcPr>
          <w:p>
            <w:pPr>
              <w:spacing w:after="0"/>
              <w:rPr>
                <w:sz w:val="17"/>
                <w:szCs w:val="17"/>
                <w:color w:val="auto"/>
              </w:rPr>
            </w:pPr>
          </w:p>
        </w:tc>
        <w:tc>
          <w:tcPr>
            <w:tcW w:w="1260" w:type="dxa"/>
            <w:vAlign w:val="bottom"/>
            <w:tcBorders>
              <w:bottom w:val="single" w:sz="8" w:color="95B3D7"/>
            </w:tcBorders>
          </w:tcPr>
          <w:p>
            <w:pPr>
              <w:spacing w:after="0"/>
              <w:rPr>
                <w:sz w:val="17"/>
                <w:szCs w:val="17"/>
                <w:color w:val="auto"/>
              </w:rPr>
            </w:pPr>
          </w:p>
        </w:tc>
        <w:tc>
          <w:tcPr>
            <w:tcW w:w="1260" w:type="dxa"/>
            <w:vAlign w:val="bottom"/>
            <w:tcBorders>
              <w:bottom w:val="single" w:sz="8" w:color="95B3D7"/>
            </w:tcBorders>
          </w:tcPr>
          <w:p>
            <w:pPr>
              <w:spacing w:after="0"/>
              <w:rPr>
                <w:sz w:val="17"/>
                <w:szCs w:val="17"/>
                <w:color w:val="auto"/>
              </w:rPr>
            </w:pPr>
          </w:p>
        </w:tc>
        <w:tc>
          <w:tcPr>
            <w:tcW w:w="2340" w:type="dxa"/>
            <w:vAlign w:val="bottom"/>
            <w:tcBorders>
              <w:bottom w:val="single" w:sz="8" w:color="95B3D7"/>
            </w:tcBorders>
          </w:tcPr>
          <w:p>
            <w:pPr>
              <w:spacing w:after="0"/>
              <w:rPr>
                <w:sz w:val="17"/>
                <w:szCs w:val="17"/>
                <w:color w:val="auto"/>
              </w:rPr>
            </w:pPr>
          </w:p>
        </w:tc>
        <w:tc>
          <w:tcPr>
            <w:tcW w:w="2180" w:type="dxa"/>
            <w:vAlign w:val="bottom"/>
            <w:tcBorders>
              <w:bottom w:val="single" w:sz="8" w:color="95B3D7"/>
              <w:right w:val="single" w:sz="8" w:color="95B3D7"/>
            </w:tcBorders>
          </w:tcPr>
          <w:p>
            <w:pPr>
              <w:ind w:left="60"/>
              <w:spacing w:after="0"/>
              <w:rPr>
                <w:sz w:val="20"/>
                <w:szCs w:val="20"/>
                <w:color w:val="auto"/>
              </w:rPr>
            </w:pPr>
            <w:r>
              <w:rPr>
                <w:rFonts w:ascii="Arial" w:cs="Arial" w:eastAsia="Arial" w:hAnsi="Arial"/>
                <w:sz w:val="16"/>
                <w:szCs w:val="16"/>
                <w:color w:val="auto"/>
                <w:w w:val="94"/>
              </w:rPr>
              <w:t>101, Northville, MI 48167, USA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704850</wp:posOffset>
            </wp:positionH>
            <wp:positionV relativeFrom="paragraph">
              <wp:posOffset>-2649220</wp:posOffset>
            </wp:positionV>
            <wp:extent cx="50990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9905" cy="7620"/>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-2649220</wp:posOffset>
            </wp:positionV>
            <wp:extent cx="49720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7205" cy="7620"/>
                    </a:xfrm>
                    <a:prstGeom prst="rect">
                      <a:avLst/>
                    </a:prstGeom>
                    <a:noFill/>
                  </pic:spPr>
                </pic:pic>
              </a:graphicData>
            </a:graphic>
          </wp:anchor>
        </w:drawing>
        <w:drawing>
          <wp:anchor simplePos="0" relativeHeight="251657728" behindDoc="1" locked="0" layoutInCell="0" allowOverlap="1">
            <wp:simplePos x="0" y="0"/>
            <wp:positionH relativeFrom="column">
              <wp:posOffset>3103245</wp:posOffset>
            </wp:positionH>
            <wp:positionV relativeFrom="paragraph">
              <wp:posOffset>-2649220</wp:posOffset>
            </wp:positionV>
            <wp:extent cx="420878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08780" cy="7620"/>
                    </a:xfrm>
                    <a:prstGeom prst="rect">
                      <a:avLst/>
                    </a:prstGeom>
                    <a:noFill/>
                  </pic:spPr>
                </pic:pic>
              </a:graphicData>
            </a:graphic>
          </wp:anchor>
        </w:drawing>
      </w:r>
    </w:p>
    <w:p>
      <w:pPr>
        <w:sectPr>
          <w:pgSz w:w="11900" w:h="16838" w:orient="portrait"/>
          <w:cols w:equalWidth="0" w:num="1">
            <w:col w:w="11520"/>
          </w:cols>
          <w:pgMar w:left="240" w:top="315" w:right="1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6"/>
          <w:szCs w:val="16"/>
          <w:color w:val="auto"/>
        </w:rPr>
        <w:t>Schedule 7.01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to Credit Agreement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Existing Liens</w:t>
      </w:r>
    </w:p>
    <w:p>
      <w:pPr>
        <w:spacing w:after="0" w:line="179" w:lineRule="exact"/>
        <w:rPr>
          <w:sz w:val="20"/>
          <w:szCs w:val="20"/>
          <w:color w:val="auto"/>
        </w:rPr>
      </w:pPr>
    </w:p>
    <w:p>
      <w:pPr>
        <w:ind w:left="526" w:right="200" w:hanging="526"/>
        <w:spacing w:after="0" w:line="376" w:lineRule="auto"/>
        <w:tabs>
          <w:tab w:leader="none" w:pos="526" w:val="left"/>
        </w:tabs>
        <w:numPr>
          <w:ilvl w:val="0"/>
          <w:numId w:val="166"/>
        </w:numPr>
        <w:rPr>
          <w:rFonts w:ascii="Arial" w:cs="Arial" w:eastAsia="Arial" w:hAnsi="Arial"/>
          <w:sz w:val="13"/>
          <w:szCs w:val="13"/>
          <w:color w:val="auto"/>
        </w:rPr>
      </w:pPr>
      <w:r>
        <w:rPr>
          <w:rFonts w:ascii="Arial" w:cs="Arial" w:eastAsia="Arial" w:hAnsi="Arial"/>
          <w:sz w:val="13"/>
          <w:szCs w:val="13"/>
          <w:color w:val="auto"/>
        </w:rPr>
        <w:t>The Company has entered into a capital lease agreement for an enterprise resource planning system (the “Resource Planning Capitalized Lease”). Ownership of the system will be transferred to the Company at the end of the agreement; however, during the term of the lease, the leasing company has a lien on the underlying software.</w:t>
      </w:r>
    </w:p>
    <w:p>
      <w:pPr>
        <w:ind w:left="526" w:right="80" w:hanging="526"/>
        <w:spacing w:after="0" w:line="254" w:lineRule="auto"/>
        <w:tabs>
          <w:tab w:leader="none" w:pos="526" w:val="left"/>
        </w:tabs>
        <w:numPr>
          <w:ilvl w:val="0"/>
          <w:numId w:val="166"/>
        </w:numPr>
        <w:rPr>
          <w:rFonts w:ascii="Arial" w:cs="Arial" w:eastAsia="Arial" w:hAnsi="Arial"/>
          <w:sz w:val="16"/>
          <w:szCs w:val="16"/>
          <w:color w:val="auto"/>
        </w:rPr>
      </w:pPr>
      <w:r>
        <w:rPr>
          <w:rFonts w:ascii="Arial" w:cs="Arial" w:eastAsia="Arial" w:hAnsi="Arial"/>
          <w:sz w:val="16"/>
          <w:szCs w:val="16"/>
          <w:color w:val="auto"/>
        </w:rPr>
        <w:t>Liens on all assets of W.E.T. Automotive Systems (China) Limited in favor of German Investment Corporation, a subsidiary of KfW banking group, a German government-owned development bank (“DEG”), securing obligations under a loan from DEG having an unpaid principal amount of approximately $5,500,000 as of the Closing Date (the “DEG Loan”).</w:t>
      </w:r>
    </w:p>
    <w:p>
      <w:pPr>
        <w:sectPr>
          <w:pgSz w:w="11900" w:h="16838" w:orient="portrait"/>
          <w:cols w:equalWidth="0" w:num="1">
            <w:col w:w="11446"/>
          </w:cols>
          <w:pgMar w:left="234" w:top="315" w:right="219" w:bottom="1440" w:gutter="0" w:footer="0" w:header="0"/>
        </w:sectPr>
      </w:pPr>
    </w:p>
    <w:bookmarkStart w:id="146" w:name="page147"/>
    <w:bookmarkEnd w:id="146"/>
    <w:p>
      <w:pPr>
        <w:ind w:left="10500"/>
        <w:spacing w:after="0"/>
        <w:rPr>
          <w:sz w:val="20"/>
          <w:szCs w:val="20"/>
          <w:color w:val="auto"/>
        </w:rPr>
      </w:pPr>
      <w:r>
        <w:rPr>
          <w:rFonts w:ascii="Arial" w:cs="Arial" w:eastAsia="Arial" w:hAnsi="Arial"/>
          <w:sz w:val="13"/>
          <w:szCs w:val="13"/>
          <w:color w:val="auto"/>
        </w:rPr>
        <w:t>Schedule 7.02</w:t>
      </w:r>
    </w:p>
    <w:p>
      <w:pPr>
        <w:spacing w:after="0" w:line="50" w:lineRule="exact"/>
        <w:rPr>
          <w:sz w:val="20"/>
          <w:szCs w:val="20"/>
          <w:color w:val="auto"/>
        </w:rPr>
      </w:pPr>
    </w:p>
    <w:p>
      <w:pPr>
        <w:ind w:left="10120"/>
        <w:spacing w:after="0"/>
        <w:rPr>
          <w:sz w:val="20"/>
          <w:szCs w:val="20"/>
          <w:color w:val="auto"/>
        </w:rPr>
      </w:pPr>
      <w:r>
        <w:rPr>
          <w:rFonts w:ascii="Arial" w:cs="Arial" w:eastAsia="Arial" w:hAnsi="Arial"/>
          <w:sz w:val="13"/>
          <w:szCs w:val="13"/>
          <w:color w:val="auto"/>
        </w:rPr>
        <w:t>to Credit Agreement</w:t>
      </w:r>
    </w:p>
    <w:p>
      <w:pPr>
        <w:spacing w:after="0" w:line="38" w:lineRule="exact"/>
        <w:rPr>
          <w:sz w:val="20"/>
          <w:szCs w:val="20"/>
          <w:color w:val="auto"/>
        </w:rPr>
      </w:pPr>
    </w:p>
    <w:p>
      <w:pPr>
        <w:ind w:left="10080"/>
        <w:spacing w:after="0"/>
        <w:rPr>
          <w:sz w:val="20"/>
          <w:szCs w:val="20"/>
          <w:color w:val="auto"/>
        </w:rPr>
      </w:pPr>
      <w:r>
        <w:rPr>
          <w:rFonts w:ascii="Arial" w:cs="Arial" w:eastAsia="Arial" w:hAnsi="Arial"/>
          <w:sz w:val="13"/>
          <w:szCs w:val="13"/>
          <w:color w:val="auto"/>
        </w:rPr>
        <w:t>Existing Investments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Investments existing as of the Closing Date in Subsidiaries as reflected on Part (a) of Schedule 5.13.</w:t>
      </w:r>
    </w:p>
    <w:p>
      <w:pPr>
        <w:sectPr>
          <w:pgSz w:w="11900" w:h="16838" w:orient="portrait"/>
          <w:cols w:equalWidth="0" w:num="1">
            <w:col w:w="11400"/>
          </w:cols>
          <w:pgMar w:left="280" w:top="315" w:right="219" w:bottom="1440" w:gutter="0" w:footer="0" w:header="0"/>
        </w:sectPr>
      </w:pPr>
    </w:p>
    <w:bookmarkStart w:id="147" w:name="page148"/>
    <w:bookmarkEnd w:id="147"/>
    <w:p>
      <w:pPr>
        <w:jc w:val="right"/>
        <w:spacing w:after="0"/>
        <w:rPr>
          <w:sz w:val="20"/>
          <w:szCs w:val="20"/>
          <w:color w:val="auto"/>
        </w:rPr>
      </w:pPr>
      <w:r>
        <w:rPr>
          <w:rFonts w:ascii="Arial" w:cs="Arial" w:eastAsia="Arial" w:hAnsi="Arial"/>
          <w:sz w:val="16"/>
          <w:szCs w:val="16"/>
          <w:color w:val="auto"/>
        </w:rPr>
        <w:t>Schedule 7.03</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to Credit Agreement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Existing Indebtedness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Resource Planning Capitalized Lease and the DEG Loan set forth on Schedule 7.01 are incorporated herein by reference.</w:t>
      </w:r>
    </w:p>
    <w:p>
      <w:pPr>
        <w:sectPr>
          <w:pgSz w:w="11900" w:h="16838" w:orient="portrait"/>
          <w:cols w:equalWidth="0" w:num="1">
            <w:col w:w="11440"/>
          </w:cols>
          <w:pgMar w:left="240" w:top="315" w:right="219" w:bottom="1440" w:gutter="0" w:footer="0" w:header="0"/>
        </w:sectPr>
      </w:pPr>
    </w:p>
    <w:bookmarkStart w:id="148" w:name="page149"/>
    <w:bookmarkEnd w:id="148"/>
    <w:p>
      <w:pPr>
        <w:jc w:val="right"/>
        <w:spacing w:after="0"/>
        <w:rPr>
          <w:sz w:val="20"/>
          <w:szCs w:val="20"/>
          <w:color w:val="auto"/>
        </w:rPr>
      </w:pPr>
      <w:r>
        <w:rPr>
          <w:rFonts w:ascii="Arial" w:cs="Arial" w:eastAsia="Arial" w:hAnsi="Arial"/>
          <w:sz w:val="16"/>
          <w:szCs w:val="16"/>
          <w:color w:val="auto"/>
        </w:rPr>
        <w:t>Schedule 11.02</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to Credit Agreement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Administrative Agent’s Office; Certain Addresses for Notice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BORROWERS</w:t>
      </w:r>
      <w:r>
        <w:rPr>
          <w:rFonts w:ascii="Arial" w:cs="Arial" w:eastAsia="Arial" w:hAnsi="Arial"/>
          <w:sz w:val="16"/>
          <w:szCs w:val="16"/>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c/o Gentherm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21680 Haggerty Road, Suite 101</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Northville, Michigan 48167</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Attention: Barry Steele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Telephone: (248) 504-0485</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Facsimile: (248) 348-9734</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Electronic Mail: Barry.Steele@Gentherm.com</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Website Address: www.gentherm.com</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ADMINISTRATIVE AGENT</w:t>
      </w:r>
      <w:r>
        <w:rPr>
          <w:rFonts w:ascii="Arial" w:cs="Arial" w:eastAsia="Arial" w:hAnsi="Arial"/>
          <w:sz w:val="16"/>
          <w:szCs w:val="16"/>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Administrative Agent’s Office</w:t>
      </w:r>
      <w:r>
        <w:rPr>
          <w:rFonts w:ascii="Arial" w:cs="Arial" w:eastAsia="Arial" w:hAnsi="Arial"/>
          <w:sz w:val="16"/>
          <w:szCs w:val="16"/>
          <w:i w:val="1"/>
          <w:iCs w:val="1"/>
          <w:color w:val="auto"/>
        </w:rPr>
        <w:t>:</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(daily borrowing/repaying activity, billing, fee activity, payments and requests for credit extensions):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Jacqueline Jones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Bank of America, N.A.</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901 Main Street</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Mail Code: TX1-492-14-11</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Dallas, TX 75202</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Attention: Credit Services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Telephone: 972-338-3765</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Facsimile: 214/290-9439</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Electronic Mail: jacqueline.r.jones@baml.com</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Account No. (for Dollars): 1292000883</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Ref: Gentherm, Attn: Credit Services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ABA# 026009593</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Bank of America London</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Swift BOFAGB22</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Acct#: 65280019</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IBAN #: GB80BOFA16505065280019</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Attn: Credit Services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Ref: Gentherm</w:t>
      </w:r>
    </w:p>
    <w:p>
      <w:pPr>
        <w:sectPr>
          <w:pgSz w:w="11900" w:h="16838" w:orient="portrait"/>
          <w:cols w:equalWidth="0" w:num="1">
            <w:col w:w="11440"/>
          </w:cols>
          <w:pgMar w:left="240" w:top="315" w:right="219" w:bottom="1440" w:gutter="0" w:footer="0" w:header="0"/>
        </w:sectPr>
      </w:pPr>
    </w:p>
    <w:bookmarkStart w:id="149" w:name="page150"/>
    <w:bookmarkEnd w:id="149"/>
    <w:p>
      <w:pPr>
        <w:spacing w:after="0"/>
        <w:rPr>
          <w:sz w:val="20"/>
          <w:szCs w:val="20"/>
          <w:color w:val="auto"/>
        </w:rPr>
      </w:pPr>
      <w:r>
        <w:rPr>
          <w:rFonts w:ascii="Arial" w:cs="Arial" w:eastAsia="Arial" w:hAnsi="Arial"/>
          <w:sz w:val="16"/>
          <w:szCs w:val="16"/>
          <w:i w:val="1"/>
          <w:iCs w:val="1"/>
          <w:u w:val="single" w:color="auto"/>
          <w:color w:val="auto"/>
        </w:rPr>
        <w:t>Other Notices as Administrative Agent</w:t>
      </w:r>
      <w:r>
        <w:rPr>
          <w:rFonts w:ascii="Arial" w:cs="Arial" w:eastAsia="Arial" w:hAnsi="Arial"/>
          <w:sz w:val="16"/>
          <w:szCs w:val="16"/>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(agency related questions, financial reporting requirements, bank group related issues, etc.)</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Felicia Brinson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Bank of America, N.A.</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Agency Management</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135 S. LaSalle Street</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Mail Code: IL4-135-09-61</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Chicago, IL 60603</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Telephone: 312.828.7299</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Facsimile: 877.216-2432</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Electronic Mail: felicia.brinson@baml.com</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L/C ISSUER</w:t>
      </w:r>
      <w:r>
        <w:rPr>
          <w:rFonts w:ascii="Arial" w:cs="Arial" w:eastAsia="Arial" w:hAnsi="Arial"/>
          <w:sz w:val="16"/>
          <w:szCs w:val="16"/>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Alphonse Malave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Bank of America, N.A.</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Trade Operations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1 Fleet Way</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Mail Code: PA6-580-02-30</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Scranton, PA 18507</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Telephone: 570.330.4212</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Facsimile: 570.330.4186</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Electronic Mail: alphonse.malave@baml.com</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SWING LINE LENDER</w:t>
      </w:r>
      <w:r>
        <w:rPr>
          <w:rFonts w:ascii="Arial" w:cs="Arial" w:eastAsia="Arial" w:hAnsi="Arial"/>
          <w:sz w:val="16"/>
          <w:szCs w:val="16"/>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Jacqueline Jones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Bank of America, N.A.</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901 Main Street</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Mail Code: TX1-492-14-11</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Dallas, TX 75202</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Attention: Credit Services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Telephone: 972-338-3765</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Facsimile: 214-209-9439</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Electronic Mail: jacqueline.r.jones@baml.com</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Account No.: 1292000883</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Ref: Gentherm</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ABA# 026009593</w:t>
      </w:r>
    </w:p>
    <w:p>
      <w:pPr>
        <w:sectPr>
          <w:pgSz w:w="11900" w:h="16838" w:orient="portrait"/>
          <w:cols w:equalWidth="0" w:num="1">
            <w:col w:w="10219"/>
          </w:cols>
          <w:pgMar w:left="240" w:top="315" w:right="1440" w:bottom="1440" w:gutter="0" w:footer="0" w:header="0"/>
        </w:sectPr>
      </w:pPr>
    </w:p>
    <w:bookmarkStart w:id="150" w:name="page151"/>
    <w:bookmarkEnd w:id="150"/>
    <w:p>
      <w:pPr>
        <w:jc w:val="right"/>
        <w:spacing w:after="0"/>
        <w:rPr>
          <w:sz w:val="20"/>
          <w:szCs w:val="20"/>
          <w:color w:val="auto"/>
        </w:rPr>
      </w:pPr>
      <w:r>
        <w:rPr>
          <w:rFonts w:ascii="Arial" w:cs="Arial" w:eastAsia="Arial" w:hAnsi="Arial"/>
          <w:sz w:val="17"/>
          <w:szCs w:val="17"/>
          <w:b w:val="1"/>
          <w:bCs w:val="1"/>
          <w:i w:val="1"/>
          <w:iCs w:val="1"/>
          <w:color w:val="auto"/>
        </w:rPr>
        <w:t>EXHIBIT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COMMITTED LOAN NOTICE</w:t>
      </w:r>
    </w:p>
    <w:p>
      <w:pPr>
        <w:spacing w:after="0" w:line="197" w:lineRule="exact"/>
        <w:rPr>
          <w:sz w:val="20"/>
          <w:szCs w:val="20"/>
          <w:color w:val="auto"/>
        </w:rPr>
      </w:pPr>
    </w:p>
    <w:p>
      <w:pPr>
        <w:ind w:left="6860"/>
        <w:spacing w:after="0"/>
        <w:tabs>
          <w:tab w:leader="none" w:pos="78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 20__</w:t>
      </w:r>
    </w:p>
    <w:p>
      <w:pPr>
        <w:spacing w:after="0" w:line="191"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7"/>
          <w:szCs w:val="17"/>
          <w:color w:val="auto"/>
        </w:rPr>
        <w:t>Bank of America, N.A., as Administrative Agent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194" w:lineRule="exact"/>
        <w:rPr>
          <w:sz w:val="20"/>
          <w:szCs w:val="20"/>
          <w:color w:val="auto"/>
        </w:rPr>
      </w:pPr>
    </w:p>
    <w:p>
      <w:pPr>
        <w:ind w:right="40" w:firstLine="763"/>
        <w:spacing w:after="0" w:line="248" w:lineRule="auto"/>
        <w:rPr>
          <w:sz w:val="20"/>
          <w:szCs w:val="20"/>
          <w:color w:val="auto"/>
        </w:rPr>
      </w:pPr>
      <w:r>
        <w:rPr>
          <w:rFonts w:ascii="Arial" w:cs="Arial" w:eastAsia="Arial" w:hAnsi="Arial"/>
          <w:sz w:val="16"/>
          <w:szCs w:val="16"/>
          <w:color w:val="auto"/>
        </w:rPr>
        <w:t>Reference is made to that certain Credit Agreement, dated as of August 7, 2014 (the “</w:t>
      </w:r>
      <w:r>
        <w:rPr>
          <w:rFonts w:ascii="Arial" w:cs="Arial" w:eastAsia="Arial" w:hAnsi="Arial"/>
          <w:sz w:val="16"/>
          <w:szCs w:val="16"/>
          <w:u w:val="single" w:color="auto"/>
          <w:color w:val="auto"/>
        </w:rPr>
        <w:t>Agreement</w:t>
      </w:r>
      <w:r>
        <w:rPr>
          <w:rFonts w:ascii="Arial" w:cs="Arial" w:eastAsia="Arial" w:hAnsi="Arial"/>
          <w:sz w:val="16"/>
          <w:szCs w:val="16"/>
          <w:color w:val="auto"/>
        </w:rPr>
        <w:t>;” the terms defined therein being used herein as therein defined), among Gentherm Incorporated, a Michigan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Gentherm GmbH, a German limited liability company (“</w:t>
      </w:r>
      <w:r>
        <w:rPr>
          <w:rFonts w:ascii="Arial" w:cs="Arial" w:eastAsia="Arial" w:hAnsi="Arial"/>
          <w:sz w:val="16"/>
          <w:szCs w:val="16"/>
          <w:u w:val="single" w:color="auto"/>
          <w:color w:val="auto"/>
        </w:rPr>
        <w:t>Gentherm Germany</w:t>
      </w:r>
      <w:r>
        <w:rPr>
          <w:rFonts w:ascii="Arial" w:cs="Arial" w:eastAsia="Arial" w:hAnsi="Arial"/>
          <w:sz w:val="16"/>
          <w:szCs w:val="16"/>
          <w:color w:val="auto"/>
        </w:rPr>
        <w:t>”), Gentherm (Texas), Inc., a Texas corporation (“</w:t>
      </w:r>
      <w:r>
        <w:rPr>
          <w:rFonts w:ascii="Arial" w:cs="Arial" w:eastAsia="Arial" w:hAnsi="Arial"/>
          <w:sz w:val="16"/>
          <w:szCs w:val="16"/>
          <w:u w:val="single" w:color="auto"/>
          <w:color w:val="auto"/>
        </w:rPr>
        <w:t>Gentherm Texas</w:t>
      </w:r>
      <w:r>
        <w:rPr>
          <w:rFonts w:ascii="Arial" w:cs="Arial" w:eastAsia="Arial" w:hAnsi="Arial"/>
          <w:sz w:val="16"/>
          <w:szCs w:val="16"/>
          <w:color w:val="auto"/>
        </w:rPr>
        <w:t>” and, together with the Company, the “</w:t>
      </w:r>
      <w:r>
        <w:rPr>
          <w:rFonts w:ascii="Arial" w:cs="Arial" w:eastAsia="Arial" w:hAnsi="Arial"/>
          <w:sz w:val="16"/>
          <w:szCs w:val="16"/>
          <w:u w:val="single" w:color="auto"/>
          <w:color w:val="auto"/>
        </w:rPr>
        <w:t>U.S. Borrowers</w:t>
      </w:r>
      <w:r>
        <w:rPr>
          <w:rFonts w:ascii="Arial" w:cs="Arial" w:eastAsia="Arial" w:hAnsi="Arial"/>
          <w:sz w:val="16"/>
          <w:szCs w:val="16"/>
          <w:color w:val="auto"/>
        </w:rPr>
        <w:t>”), Gentherm Canada Ltd., an Ontario corporation (“</w:t>
      </w:r>
      <w:r>
        <w:rPr>
          <w:rFonts w:ascii="Arial" w:cs="Arial" w:eastAsia="Arial" w:hAnsi="Arial"/>
          <w:sz w:val="16"/>
          <w:szCs w:val="16"/>
          <w:u w:val="single" w:color="auto"/>
          <w:color w:val="auto"/>
        </w:rPr>
        <w:t>Gentherm Canada</w:t>
      </w:r>
      <w:r>
        <w:rPr>
          <w:rFonts w:ascii="Arial" w:cs="Arial" w:eastAsia="Arial" w:hAnsi="Arial"/>
          <w:sz w:val="16"/>
          <w:szCs w:val="16"/>
          <w:color w:val="auto"/>
        </w:rPr>
        <w:t>”), Global Thermoelectric Inc., an Alberta corporation (“</w:t>
      </w:r>
      <w:r>
        <w:rPr>
          <w:rFonts w:ascii="Arial" w:cs="Arial" w:eastAsia="Arial" w:hAnsi="Arial"/>
          <w:sz w:val="16"/>
          <w:szCs w:val="16"/>
          <w:u w:val="single" w:color="auto"/>
          <w:color w:val="auto"/>
        </w:rPr>
        <w:t>Global</w:t>
      </w:r>
      <w:r>
        <w:rPr>
          <w:rFonts w:ascii="Arial" w:cs="Arial" w:eastAsia="Arial" w:hAnsi="Arial"/>
          <w:sz w:val="16"/>
          <w:szCs w:val="16"/>
          <w:color w:val="auto"/>
        </w:rPr>
        <w:t>” and, together with Gentherm Canada, the “</w:t>
      </w:r>
      <w:r>
        <w:rPr>
          <w:rFonts w:ascii="Arial" w:cs="Arial" w:eastAsia="Arial" w:hAnsi="Arial"/>
          <w:sz w:val="16"/>
          <w:szCs w:val="16"/>
          <w:u w:val="single" w:color="auto"/>
          <w:color w:val="auto"/>
        </w:rPr>
        <w:t>Canadian Borrowers</w:t>
      </w:r>
      <w:r>
        <w:rPr>
          <w:rFonts w:ascii="Arial" w:cs="Arial" w:eastAsia="Arial" w:hAnsi="Arial"/>
          <w:sz w:val="16"/>
          <w:szCs w:val="16"/>
          <w:color w:val="auto"/>
        </w:rPr>
        <w:t>” and, together with Gentherm Canada, the U.S. Borrowers and Gentherm Germany, the “</w:t>
      </w:r>
      <w:r>
        <w:rPr>
          <w:rFonts w:ascii="Arial" w:cs="Arial" w:eastAsia="Arial" w:hAnsi="Arial"/>
          <w:sz w:val="16"/>
          <w:szCs w:val="16"/>
          <w:u w:val="single" w:color="auto"/>
          <w:color w:val="auto"/>
        </w:rPr>
        <w:t>Borrowers</w:t>
      </w:r>
      <w:r>
        <w:rPr>
          <w:rFonts w:ascii="Arial" w:cs="Arial" w:eastAsia="Arial" w:hAnsi="Arial"/>
          <w:sz w:val="16"/>
          <w:szCs w:val="16"/>
          <w:color w:val="auto"/>
        </w:rPr>
        <w:t>” and each, a “</w:t>
      </w:r>
      <w:r>
        <w:rPr>
          <w:rFonts w:ascii="Arial" w:cs="Arial" w:eastAsia="Arial" w:hAnsi="Arial"/>
          <w:sz w:val="16"/>
          <w:szCs w:val="16"/>
          <w:u w:val="single" w:color="auto"/>
          <w:color w:val="auto"/>
        </w:rPr>
        <w:t>Borrower</w:t>
      </w:r>
      <w:r>
        <w:rPr>
          <w:rFonts w:ascii="Arial" w:cs="Arial" w:eastAsia="Arial" w:hAnsi="Arial"/>
          <w:sz w:val="16"/>
          <w:szCs w:val="16"/>
          <w:color w:val="auto"/>
        </w:rPr>
        <w:t>”), each lender from time to time party thereto and Bank of America, N.A., as Administrative Agent, Swing Line Lender and L/C Issuer.</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undersigned Borrower hereby requests (select one):</w:t>
      </w:r>
    </w:p>
    <w:p>
      <w:pPr>
        <w:spacing w:after="0" w:line="191" w:lineRule="exact"/>
        <w:rPr>
          <w:sz w:val="20"/>
          <w:szCs w:val="20"/>
          <w:color w:val="auto"/>
        </w:rPr>
      </w:pPr>
    </w:p>
    <w:p>
      <w:pPr>
        <w:ind w:left="1480" w:hanging="723"/>
        <w:spacing w:after="0"/>
        <w:tabs>
          <w:tab w:leader="none" w:pos="1480" w:val="left"/>
        </w:tabs>
        <w:numPr>
          <w:ilvl w:val="0"/>
          <w:numId w:val="167"/>
        </w:numPr>
        <w:rPr>
          <w:rFonts w:ascii="MS PGothic" w:cs="MS PGothic" w:eastAsia="MS PGothic" w:hAnsi="MS PGothic"/>
          <w:sz w:val="16"/>
          <w:szCs w:val="16"/>
          <w:color w:val="auto"/>
        </w:rPr>
      </w:pPr>
      <w:r>
        <w:rPr>
          <w:rFonts w:ascii="Arial" w:cs="Arial" w:eastAsia="Arial" w:hAnsi="Arial"/>
          <w:sz w:val="16"/>
          <w:szCs w:val="16"/>
          <w:color w:val="auto"/>
        </w:rPr>
        <w:t>A Borrowing of [a Revolving Credit Loan][the Company Term Loan][the Gentherm Germany Term Loan]</w:t>
      </w:r>
    </w:p>
    <w:p>
      <w:pPr>
        <w:spacing w:after="0" w:line="191" w:lineRule="exact"/>
        <w:rPr>
          <w:rFonts w:ascii="MS PGothic" w:cs="MS PGothic" w:eastAsia="MS PGothic" w:hAnsi="MS PGothic"/>
          <w:sz w:val="16"/>
          <w:szCs w:val="16"/>
          <w:color w:val="auto"/>
        </w:rPr>
      </w:pPr>
    </w:p>
    <w:p>
      <w:pPr>
        <w:ind w:left="1480" w:right="260" w:hanging="723"/>
        <w:spacing w:after="0" w:line="264" w:lineRule="auto"/>
        <w:tabs>
          <w:tab w:leader="none" w:pos="1480" w:val="left"/>
        </w:tabs>
        <w:numPr>
          <w:ilvl w:val="0"/>
          <w:numId w:val="167"/>
        </w:numPr>
        <w:rPr>
          <w:rFonts w:ascii="MS PGothic" w:cs="MS PGothic" w:eastAsia="MS PGothic" w:hAnsi="MS PGothic"/>
          <w:sz w:val="16"/>
          <w:szCs w:val="16"/>
          <w:color w:val="auto"/>
        </w:rPr>
      </w:pPr>
      <w:r>
        <w:rPr>
          <w:rFonts w:ascii="Arial" w:cs="Arial" w:eastAsia="Arial" w:hAnsi="Arial"/>
          <w:sz w:val="16"/>
          <w:szCs w:val="16"/>
          <w:color w:val="auto"/>
        </w:rPr>
        <w:t>A conversion of [a Revolving Credit Loan][the Company Term Loan][the Gentherm Germany Term Loan] from a [insert Type of Loan] to a [insert Type of Loan]</w:t>
      </w:r>
    </w:p>
    <w:p>
      <w:pPr>
        <w:spacing w:after="0" w:line="157" w:lineRule="exact"/>
        <w:rPr>
          <w:rFonts w:ascii="MS PGothic" w:cs="MS PGothic" w:eastAsia="MS PGothic" w:hAnsi="MS PGothic"/>
          <w:sz w:val="16"/>
          <w:szCs w:val="16"/>
          <w:color w:val="auto"/>
        </w:rPr>
      </w:pPr>
    </w:p>
    <w:p>
      <w:pPr>
        <w:ind w:left="1480" w:hanging="723"/>
        <w:spacing w:after="0"/>
        <w:tabs>
          <w:tab w:leader="none" w:pos="1480" w:val="left"/>
        </w:tabs>
        <w:numPr>
          <w:ilvl w:val="0"/>
          <w:numId w:val="167"/>
        </w:numPr>
        <w:rPr>
          <w:rFonts w:ascii="MS PGothic" w:cs="MS PGothic" w:eastAsia="MS PGothic" w:hAnsi="MS PGothic"/>
          <w:sz w:val="13"/>
          <w:szCs w:val="13"/>
          <w:color w:val="auto"/>
        </w:rPr>
      </w:pPr>
      <w:r>
        <w:rPr>
          <w:rFonts w:ascii="Arial" w:cs="Arial" w:eastAsia="Arial" w:hAnsi="Arial"/>
          <w:sz w:val="13"/>
          <w:szCs w:val="13"/>
          <w:color w:val="auto"/>
        </w:rPr>
        <w:t>A continuation of [a Revolving Credit Loan][the Company Term Loan][the Gentherm Germany Term Loan] for the additional Interest Period set forth below</w:t>
      </w:r>
    </w:p>
    <w:p>
      <w:pPr>
        <w:spacing w:after="0" w:line="223" w:lineRule="exact"/>
        <w:rPr>
          <w:sz w:val="20"/>
          <w:szCs w:val="20"/>
          <w:color w:val="auto"/>
        </w:rPr>
      </w:pPr>
    </w:p>
    <w:p>
      <w:pPr>
        <w:ind w:left="760"/>
        <w:spacing w:after="0"/>
        <w:tabs>
          <w:tab w:leader="none" w:pos="1460" w:val="left"/>
          <w:tab w:leader="none" w:pos="432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7"/>
          <w:szCs w:val="17"/>
          <w:color w:val="auto"/>
        </w:rPr>
        <w:t>On</w:t>
      </w:r>
      <w:r>
        <w:rPr>
          <w:sz w:val="20"/>
          <w:szCs w:val="20"/>
          <w:color w:val="auto"/>
        </w:rPr>
        <w:tab/>
      </w:r>
      <w:r>
        <w:rPr>
          <w:rFonts w:ascii="Arial" w:cs="Arial" w:eastAsia="Arial" w:hAnsi="Arial"/>
          <w:sz w:val="15"/>
          <w:szCs w:val="15"/>
          <w:color w:val="auto"/>
        </w:rPr>
        <w:t>(a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-10160</wp:posOffset>
            </wp:positionV>
            <wp:extent cx="163639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36395" cy="7620"/>
                    </a:xfrm>
                    <a:prstGeom prst="rect">
                      <a:avLst/>
                    </a:prstGeom>
                    <a:noFill/>
                  </pic:spPr>
                </pic:pic>
              </a:graphicData>
            </a:graphic>
          </wp:anchor>
        </w:drawing>
      </w:r>
    </w:p>
    <w:p>
      <w:pPr>
        <w:spacing w:after="0" w:line="171" w:lineRule="exact"/>
        <w:rPr>
          <w:sz w:val="20"/>
          <w:szCs w:val="20"/>
          <w:color w:val="auto"/>
        </w:rPr>
      </w:pPr>
    </w:p>
    <w:p>
      <w:pPr>
        <w:ind w:left="1480" w:hanging="723"/>
        <w:spacing w:after="0"/>
        <w:tabs>
          <w:tab w:leader="none" w:pos="148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In the principal amount of</w:t>
      </w:r>
    </w:p>
    <w:p>
      <w:pPr>
        <w:spacing w:after="0" w:line="191" w:lineRule="exact"/>
        <w:rPr>
          <w:rFonts w:ascii="Arial" w:cs="Arial" w:eastAsia="Arial" w:hAnsi="Arial"/>
          <w:sz w:val="17"/>
          <w:szCs w:val="17"/>
          <w:color w:val="auto"/>
        </w:rPr>
      </w:pPr>
    </w:p>
    <w:p>
      <w:pPr>
        <w:ind w:left="1480" w:hanging="723"/>
        <w:spacing w:after="0"/>
        <w:tabs>
          <w:tab w:leader="none" w:pos="148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Comprised of</w:t>
      </w:r>
    </w:p>
    <w:p>
      <w:pPr>
        <w:spacing w:after="0" w:line="17" w:lineRule="exact"/>
        <w:rPr>
          <w:rFonts w:ascii="Arial" w:cs="Arial" w:eastAsia="Arial" w:hAnsi="Arial"/>
          <w:sz w:val="17"/>
          <w:szCs w:val="17"/>
          <w:color w:val="auto"/>
        </w:rPr>
      </w:pPr>
    </w:p>
    <w:p>
      <w:pPr>
        <w:ind w:left="1480"/>
        <w:spacing w:after="0"/>
        <w:rPr>
          <w:rFonts w:ascii="Arial" w:cs="Arial" w:eastAsia="Arial" w:hAnsi="Arial"/>
          <w:sz w:val="17"/>
          <w:szCs w:val="17"/>
          <w:color w:val="auto"/>
        </w:rPr>
      </w:pPr>
      <w:r>
        <w:rPr>
          <w:rFonts w:ascii="Arial" w:cs="Arial" w:eastAsia="Arial" w:hAnsi="Arial"/>
          <w:sz w:val="17"/>
          <w:szCs w:val="17"/>
          <w:color w:val="auto"/>
        </w:rPr>
        <w:t>[Type of Loan requested]</w:t>
      </w:r>
    </w:p>
    <w:p>
      <w:pPr>
        <w:spacing w:after="0" w:line="177" w:lineRule="exact"/>
        <w:rPr>
          <w:rFonts w:ascii="Arial" w:cs="Arial" w:eastAsia="Arial" w:hAnsi="Arial"/>
          <w:sz w:val="17"/>
          <w:szCs w:val="17"/>
          <w:color w:val="auto"/>
        </w:rPr>
      </w:pPr>
    </w:p>
    <w:p>
      <w:pPr>
        <w:ind w:left="1480" w:hanging="723"/>
        <w:spacing w:after="0"/>
        <w:tabs>
          <w:tab w:leader="none" w:pos="148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In the following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2100580</wp:posOffset>
            </wp:positionH>
            <wp:positionV relativeFrom="paragraph">
              <wp:posOffset>-628015</wp:posOffset>
            </wp:positionV>
            <wp:extent cx="155448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54480" cy="7620"/>
                    </a:xfrm>
                    <a:prstGeom prst="rect">
                      <a:avLst/>
                    </a:prstGeom>
                    <a:noFill/>
                  </pic:spPr>
                </pic:pic>
              </a:graphicData>
            </a:graphic>
          </wp:anchor>
        </w:drawing>
        <w:drawing>
          <wp:anchor simplePos="0" relativeHeight="251657728" behindDoc="1" locked="0" layoutInCell="0" allowOverlap="1">
            <wp:simplePos x="0" y="0"/>
            <wp:positionH relativeFrom="column">
              <wp:posOffset>1558925</wp:posOffset>
            </wp:positionH>
            <wp:positionV relativeFrom="paragraph">
              <wp:posOffset>-382270</wp:posOffset>
            </wp:positionV>
            <wp:extent cx="155448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54480" cy="7620"/>
                    </a:xfrm>
                    <a:prstGeom prst="rect">
                      <a:avLst/>
                    </a:prstGeom>
                    <a:noFill/>
                  </pic:spPr>
                </pic:pic>
              </a:graphicData>
            </a:graphic>
          </wp:anchor>
        </w:drawing>
        <w:drawing>
          <wp:anchor simplePos="0" relativeHeight="251657728" behindDoc="1" locked="0" layoutInCell="0" allowOverlap="1">
            <wp:simplePos x="0" y="0"/>
            <wp:positionH relativeFrom="column">
              <wp:posOffset>2103755</wp:posOffset>
            </wp:positionH>
            <wp:positionV relativeFrom="paragraph">
              <wp:posOffset>-10160</wp:posOffset>
            </wp:positionV>
            <wp:extent cx="155448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54480" cy="7620"/>
                    </a:xfrm>
                    <a:prstGeom prst="rect">
                      <a:avLst/>
                    </a:prstGeom>
                    <a:noFill/>
                  </pic:spPr>
                </pic:pic>
              </a:graphicData>
            </a:graphic>
          </wp:anchor>
        </w:drawing>
      </w:r>
    </w:p>
    <w:p>
      <w:pPr>
        <w:spacing w:after="0" w:line="171" w:lineRule="exact"/>
        <w:rPr>
          <w:sz w:val="20"/>
          <w:szCs w:val="20"/>
          <w:color w:val="auto"/>
        </w:rPr>
      </w:pPr>
    </w:p>
    <w:p>
      <w:pPr>
        <w:ind w:left="760"/>
        <w:spacing w:after="0"/>
        <w:tabs>
          <w:tab w:leader="none" w:pos="1460" w:val="left"/>
          <w:tab w:leader="none" w:pos="588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For Eurocurrency Rate Loans: with an Interest Period of</w:t>
      </w:r>
      <w:r>
        <w:rPr>
          <w:sz w:val="20"/>
          <w:szCs w:val="20"/>
          <w:color w:val="auto"/>
        </w:rPr>
        <w:tab/>
      </w:r>
      <w:r>
        <w:rPr>
          <w:rFonts w:ascii="Arial" w:cs="Arial" w:eastAsia="Arial" w:hAnsi="Arial"/>
          <w:sz w:val="15"/>
          <w:szCs w:val="15"/>
          <w:color w:val="auto"/>
        </w:rPr>
        <w:t>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-10160</wp:posOffset>
            </wp:positionV>
            <wp:extent cx="27241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2415" cy="7620"/>
                    </a:xfrm>
                    <a:prstGeom prst="rect">
                      <a:avLst/>
                    </a:prstGeom>
                    <a:noFill/>
                  </pic:spPr>
                </pic:pic>
              </a:graphicData>
            </a:graphic>
          </wp:anchor>
        </w:drawing>
      </w:r>
    </w:p>
    <w:p>
      <w:pPr>
        <w:spacing w:after="0" w:line="174" w:lineRule="exact"/>
        <w:rPr>
          <w:sz w:val="20"/>
          <w:szCs w:val="20"/>
          <w:color w:val="auto"/>
        </w:rPr>
      </w:pPr>
    </w:p>
    <w:p>
      <w:pPr>
        <w:ind w:right="160" w:firstLine="763"/>
        <w:spacing w:after="0" w:line="254" w:lineRule="auto"/>
        <w:rPr>
          <w:sz w:val="20"/>
          <w:szCs w:val="20"/>
          <w:color w:val="auto"/>
        </w:rPr>
      </w:pPr>
      <w:r>
        <w:rPr>
          <w:rFonts w:ascii="Arial" w:cs="Arial" w:eastAsia="Arial" w:hAnsi="Arial"/>
          <w:sz w:val="16"/>
          <w:szCs w:val="16"/>
          <w:color w:val="auto"/>
        </w:rPr>
        <w:t xml:space="preserve">[With respect to the Revolving Credit Borrowing requested herein, the undersigned hereby represents and warrants that (a) such request complies with the proviso to the first sentence of </w:t>
      </w:r>
      <w:r>
        <w:rPr>
          <w:rFonts w:ascii="Arial" w:cs="Arial" w:eastAsia="Arial" w:hAnsi="Arial"/>
          <w:sz w:val="16"/>
          <w:szCs w:val="16"/>
          <w:u w:val="single" w:color="auto"/>
          <w:color w:val="auto"/>
        </w:rPr>
        <w:t>Section 2.01(c)</w:t>
      </w:r>
      <w:r>
        <w:rPr>
          <w:rFonts w:ascii="Arial" w:cs="Arial" w:eastAsia="Arial" w:hAnsi="Arial"/>
          <w:sz w:val="16"/>
          <w:szCs w:val="16"/>
          <w:color w:val="auto"/>
        </w:rPr>
        <w:t xml:space="preserve"> of the Agreement and (b) each of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of the Agreement have been satisfied on and as of the date of such Borrowing.]</w:t>
      </w:r>
    </w:p>
    <w:p>
      <w:pPr>
        <w:spacing w:after="0" w:line="158" w:lineRule="exact"/>
        <w:rPr>
          <w:sz w:val="20"/>
          <w:szCs w:val="20"/>
          <w:color w:val="auto"/>
        </w:rPr>
      </w:pPr>
    </w:p>
    <w:p>
      <w:pPr>
        <w:ind w:left="4560"/>
        <w:spacing w:after="0"/>
        <w:rPr>
          <w:sz w:val="20"/>
          <w:szCs w:val="20"/>
          <w:color w:val="auto"/>
        </w:rPr>
      </w:pPr>
      <w:r>
        <w:rPr>
          <w:rFonts w:ascii="Arial" w:cs="Arial" w:eastAsia="Arial" w:hAnsi="Arial"/>
          <w:sz w:val="17"/>
          <w:szCs w:val="17"/>
          <w:b w:val="1"/>
          <w:bCs w:val="1"/>
          <w:color w:val="auto"/>
        </w:rPr>
        <w:t>[INSERT APPLICABLE BORROWER]</w:t>
      </w:r>
    </w:p>
    <w:p>
      <w:pPr>
        <w:spacing w:after="0" w:line="197"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3086735</wp:posOffset>
            </wp:positionH>
            <wp:positionV relativeFrom="paragraph">
              <wp:posOffset>-10160</wp:posOffset>
            </wp:positionV>
            <wp:extent cx="188150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81505" cy="7620"/>
                    </a:xfrm>
                    <a:prstGeom prst="rect">
                      <a:avLst/>
                    </a:prstGeom>
                    <a:noFill/>
                  </pic:spPr>
                </pic:pic>
              </a:graphicData>
            </a:graphic>
          </wp:anchor>
        </w:drawing>
      </w:r>
    </w:p>
    <w:p>
      <w:pPr>
        <w:sectPr>
          <w:pgSz w:w="11900" w:h="16838" w:orient="portrait"/>
          <w:cols w:equalWidth="0" w:num="1">
            <w:col w:w="11440"/>
          </w:cols>
          <w:pgMar w:left="240" w:top="313" w:right="219" w:bottom="1440" w:gutter="0" w:footer="0" w:header="0"/>
        </w:sectPr>
      </w:pPr>
    </w:p>
    <w:p>
      <w:pPr>
        <w:spacing w:after="0" w:line="22" w:lineRule="exact"/>
        <w:rPr>
          <w:sz w:val="20"/>
          <w:szCs w:val="20"/>
          <w:color w:val="auto"/>
        </w:rPr>
      </w:pPr>
    </w:p>
    <w:p>
      <w:pPr>
        <w:ind w:left="4560"/>
        <w:spacing w:after="0"/>
        <w:rPr>
          <w:sz w:val="20"/>
          <w:szCs w:val="20"/>
          <w:color w:val="auto"/>
        </w:rPr>
      </w:pPr>
      <w:r>
        <w:rPr>
          <w:rFonts w:ascii="Arial" w:cs="Arial" w:eastAsia="Arial" w:hAnsi="Arial"/>
          <w:sz w:val="15"/>
          <w:szCs w:val="15"/>
          <w:color w:val="auto"/>
        </w:rPr>
        <w:t>Name:</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100"/>
        <w:spacing w:after="0"/>
        <w:rPr>
          <w:sz w:val="20"/>
          <w:szCs w:val="20"/>
          <w:color w:val="auto"/>
        </w:rPr>
      </w:pPr>
      <w:r>
        <w:rPr>
          <w:rFonts w:ascii="Arial" w:cs="Arial" w:eastAsia="Arial" w:hAnsi="Arial"/>
          <w:sz w:val="15"/>
          <w:szCs w:val="15"/>
          <w:color w:val="auto"/>
        </w:rPr>
        <w:t>[Insert Name of Responsible Officer]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[Insert Title of Responsible Officer]</w:t>
      </w:r>
    </w:p>
    <w:p>
      <w:pPr>
        <w:sectPr>
          <w:pgSz w:w="11900" w:h="16838" w:orient="portrait"/>
          <w:cols w:equalWidth="0" w:num="2">
            <w:col w:w="5020" w:space="480"/>
            <w:col w:w="5940"/>
          </w:cols>
          <w:pgMar w:left="240" w:top="313" w:right="219" w:bottom="1440" w:gutter="0" w:footer="0" w:header="0"/>
          <w:type w:val="continuous"/>
        </w:sectPr>
      </w:pPr>
    </w:p>
    <w:bookmarkStart w:id="151" w:name="page152"/>
    <w:bookmarkEnd w:id="151"/>
    <w:p>
      <w:pPr>
        <w:jc w:val="right"/>
        <w:spacing w:after="0"/>
        <w:rPr>
          <w:sz w:val="20"/>
          <w:szCs w:val="20"/>
          <w:color w:val="auto"/>
        </w:rPr>
      </w:pPr>
      <w:r>
        <w:rPr>
          <w:rFonts w:ascii="Arial" w:cs="Arial" w:eastAsia="Arial" w:hAnsi="Arial"/>
          <w:sz w:val="17"/>
          <w:szCs w:val="17"/>
          <w:b w:val="1"/>
          <w:bCs w:val="1"/>
          <w:i w:val="1"/>
          <w:iCs w:val="1"/>
          <w:color w:val="auto"/>
        </w:rPr>
        <w:t>EXHIBIT B</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SWING LINE LOAN NOTICE</w:t>
      </w:r>
    </w:p>
    <w:p>
      <w:pPr>
        <w:spacing w:after="0" w:line="197" w:lineRule="exact"/>
        <w:rPr>
          <w:sz w:val="20"/>
          <w:szCs w:val="20"/>
          <w:color w:val="auto"/>
        </w:rPr>
      </w:pPr>
    </w:p>
    <w:p>
      <w:pPr>
        <w:ind w:left="9520"/>
        <w:spacing w:after="0"/>
        <w:tabs>
          <w:tab w:leader="none" w:pos="10980" w:val="left"/>
        </w:tabs>
        <w:rPr>
          <w:sz w:val="20"/>
          <w:szCs w:val="20"/>
          <w:color w:val="auto"/>
        </w:rPr>
      </w:pPr>
      <w:r>
        <w:rPr>
          <w:rFonts w:ascii="Arial" w:cs="Arial" w:eastAsia="Arial" w:hAnsi="Arial"/>
          <w:sz w:val="15"/>
          <w:szCs w:val="15"/>
          <w:color w:val="auto"/>
        </w:rPr>
        <w:t>Date:</w:t>
      </w:r>
      <w:r>
        <w:rPr>
          <w:sz w:val="20"/>
          <w:szCs w:val="20"/>
          <w:color w:val="auto"/>
        </w:rPr>
        <w:tab/>
      </w:r>
      <w:r>
        <w:rPr>
          <w:rFonts w:ascii="Arial" w:cs="Arial" w:eastAsia="Arial" w:hAnsi="Arial"/>
          <w:sz w:val="15"/>
          <w:szCs w:val="15"/>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6306185</wp:posOffset>
            </wp:positionH>
            <wp:positionV relativeFrom="paragraph">
              <wp:posOffset>3810</wp:posOffset>
            </wp:positionV>
            <wp:extent cx="68199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1990" cy="7620"/>
                    </a:xfrm>
                    <a:prstGeom prst="rect">
                      <a:avLst/>
                    </a:prstGeom>
                    <a:noFill/>
                  </pic:spPr>
                </pic:pic>
              </a:graphicData>
            </a:graphic>
          </wp:anchor>
        </w:drawing>
      </w:r>
    </w:p>
    <w:p>
      <w:pPr>
        <w:sectPr>
          <w:pgSz w:w="11900" w:h="16838" w:orient="portrait"/>
          <w:cols w:equalWidth="0" w:num="1">
            <w:col w:w="11440"/>
          </w:cols>
          <w:pgMar w:left="240" w:top="312" w:right="21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To:</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Bank of America, N.A., as Swing Line Lender</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Bank of America, N.A., as Administrative Agent</w:t>
      </w:r>
    </w:p>
    <w:p>
      <w:pPr>
        <w:spacing w:after="0" w:line="189" w:lineRule="exact"/>
        <w:rPr>
          <w:sz w:val="20"/>
          <w:szCs w:val="20"/>
          <w:color w:val="auto"/>
        </w:rPr>
      </w:pPr>
    </w:p>
    <w:p>
      <w:pPr>
        <w:sectPr>
          <w:pgSz w:w="11900" w:h="16838" w:orient="portrait"/>
          <w:cols w:equalWidth="0" w:num="2">
            <w:col w:w="220" w:space="320"/>
            <w:col w:w="10900"/>
          </w:cols>
          <w:pgMar w:left="240" w:top="312" w:right="219" w:bottom="1440" w:gutter="0" w:footer="0" w:header="0"/>
          <w:type w:val="continuous"/>
        </w:sectPr>
      </w:pPr>
    </w:p>
    <w:p>
      <w:pPr>
        <w:spacing w:after="0"/>
        <w:rPr>
          <w:sz w:val="20"/>
          <w:szCs w:val="20"/>
          <w:color w:val="auto"/>
        </w:rPr>
      </w:pPr>
      <w:r>
        <w:rPr>
          <w:rFonts w:ascii="Arial" w:cs="Arial" w:eastAsia="Arial" w:hAnsi="Arial"/>
          <w:sz w:val="17"/>
          <w:szCs w:val="17"/>
          <w:color w:val="auto"/>
        </w:rPr>
        <w:t>Ladies and Gentlemen:</w:t>
      </w:r>
    </w:p>
    <w:p>
      <w:pPr>
        <w:spacing w:after="0" w:line="194" w:lineRule="exact"/>
        <w:rPr>
          <w:sz w:val="20"/>
          <w:szCs w:val="20"/>
          <w:color w:val="auto"/>
        </w:rPr>
      </w:pPr>
    </w:p>
    <w:p>
      <w:pPr>
        <w:ind w:right="40" w:firstLine="763"/>
        <w:spacing w:after="0" w:line="248" w:lineRule="auto"/>
        <w:rPr>
          <w:sz w:val="20"/>
          <w:szCs w:val="20"/>
          <w:color w:val="auto"/>
        </w:rPr>
      </w:pPr>
      <w:r>
        <w:rPr>
          <w:rFonts w:ascii="Arial" w:cs="Arial" w:eastAsia="Arial" w:hAnsi="Arial"/>
          <w:sz w:val="16"/>
          <w:szCs w:val="16"/>
          <w:color w:val="auto"/>
        </w:rPr>
        <w:t>Reference is made to that certain Credit Agreement, dated as of August 7, 2014 (the “</w:t>
      </w:r>
      <w:r>
        <w:rPr>
          <w:rFonts w:ascii="Arial" w:cs="Arial" w:eastAsia="Arial" w:hAnsi="Arial"/>
          <w:sz w:val="16"/>
          <w:szCs w:val="16"/>
          <w:u w:val="single" w:color="auto"/>
          <w:color w:val="auto"/>
        </w:rPr>
        <w:t>Agreement</w:t>
      </w:r>
      <w:r>
        <w:rPr>
          <w:rFonts w:ascii="Arial" w:cs="Arial" w:eastAsia="Arial" w:hAnsi="Arial"/>
          <w:sz w:val="16"/>
          <w:szCs w:val="16"/>
          <w:color w:val="auto"/>
        </w:rPr>
        <w:t>;” the terms defined therein being used herein as therein defined), among Gentherm Incorporated, a Michigan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Gentherm GmbH, a German limited liability company (“</w:t>
      </w:r>
      <w:r>
        <w:rPr>
          <w:rFonts w:ascii="Arial" w:cs="Arial" w:eastAsia="Arial" w:hAnsi="Arial"/>
          <w:sz w:val="16"/>
          <w:szCs w:val="16"/>
          <w:u w:val="single" w:color="auto"/>
          <w:color w:val="auto"/>
        </w:rPr>
        <w:t>Gentherm Germany</w:t>
      </w:r>
      <w:r>
        <w:rPr>
          <w:rFonts w:ascii="Arial" w:cs="Arial" w:eastAsia="Arial" w:hAnsi="Arial"/>
          <w:sz w:val="16"/>
          <w:szCs w:val="16"/>
          <w:color w:val="auto"/>
        </w:rPr>
        <w:t>”), Gentherm (Texas), Inc., a Texas corporation (“</w:t>
      </w:r>
      <w:r>
        <w:rPr>
          <w:rFonts w:ascii="Arial" w:cs="Arial" w:eastAsia="Arial" w:hAnsi="Arial"/>
          <w:sz w:val="16"/>
          <w:szCs w:val="16"/>
          <w:u w:val="single" w:color="auto"/>
          <w:color w:val="auto"/>
        </w:rPr>
        <w:t>Gentherm Texas</w:t>
      </w:r>
      <w:r>
        <w:rPr>
          <w:rFonts w:ascii="Arial" w:cs="Arial" w:eastAsia="Arial" w:hAnsi="Arial"/>
          <w:sz w:val="16"/>
          <w:szCs w:val="16"/>
          <w:color w:val="auto"/>
        </w:rPr>
        <w:t>” and, together with the Company, the “</w:t>
      </w:r>
      <w:r>
        <w:rPr>
          <w:rFonts w:ascii="Arial" w:cs="Arial" w:eastAsia="Arial" w:hAnsi="Arial"/>
          <w:sz w:val="16"/>
          <w:szCs w:val="16"/>
          <w:u w:val="single" w:color="auto"/>
          <w:color w:val="auto"/>
        </w:rPr>
        <w:t>U.S. Borrowers</w:t>
      </w:r>
      <w:r>
        <w:rPr>
          <w:rFonts w:ascii="Arial" w:cs="Arial" w:eastAsia="Arial" w:hAnsi="Arial"/>
          <w:sz w:val="16"/>
          <w:szCs w:val="16"/>
          <w:color w:val="auto"/>
        </w:rPr>
        <w:t>”), Gentherm Canada Ltd., an Ontario corporation (“</w:t>
      </w:r>
      <w:r>
        <w:rPr>
          <w:rFonts w:ascii="Arial" w:cs="Arial" w:eastAsia="Arial" w:hAnsi="Arial"/>
          <w:sz w:val="16"/>
          <w:szCs w:val="16"/>
          <w:u w:val="single" w:color="auto"/>
          <w:color w:val="auto"/>
        </w:rPr>
        <w:t>Gentherm Canada</w:t>
      </w:r>
      <w:r>
        <w:rPr>
          <w:rFonts w:ascii="Arial" w:cs="Arial" w:eastAsia="Arial" w:hAnsi="Arial"/>
          <w:sz w:val="16"/>
          <w:szCs w:val="16"/>
          <w:color w:val="auto"/>
        </w:rPr>
        <w:t>”), Global Thermoelectric Inc., an Alberta corporation (“</w:t>
      </w:r>
      <w:r>
        <w:rPr>
          <w:rFonts w:ascii="Arial" w:cs="Arial" w:eastAsia="Arial" w:hAnsi="Arial"/>
          <w:sz w:val="16"/>
          <w:szCs w:val="16"/>
          <w:u w:val="single" w:color="auto"/>
          <w:color w:val="auto"/>
        </w:rPr>
        <w:t>Global</w:t>
      </w:r>
      <w:r>
        <w:rPr>
          <w:rFonts w:ascii="Arial" w:cs="Arial" w:eastAsia="Arial" w:hAnsi="Arial"/>
          <w:sz w:val="16"/>
          <w:szCs w:val="16"/>
          <w:color w:val="auto"/>
        </w:rPr>
        <w:t>” and, together with Gentherm Canada, the “</w:t>
      </w:r>
      <w:r>
        <w:rPr>
          <w:rFonts w:ascii="Arial" w:cs="Arial" w:eastAsia="Arial" w:hAnsi="Arial"/>
          <w:sz w:val="16"/>
          <w:szCs w:val="16"/>
          <w:u w:val="single" w:color="auto"/>
          <w:color w:val="auto"/>
        </w:rPr>
        <w:t>Canadian Borrowers</w:t>
      </w:r>
      <w:r>
        <w:rPr>
          <w:rFonts w:ascii="Arial" w:cs="Arial" w:eastAsia="Arial" w:hAnsi="Arial"/>
          <w:sz w:val="16"/>
          <w:szCs w:val="16"/>
          <w:color w:val="auto"/>
        </w:rPr>
        <w:t>” and, together with Gentherm Canada, the U.S. Borrowers and Gentherm Germany, the “</w:t>
      </w:r>
      <w:r>
        <w:rPr>
          <w:rFonts w:ascii="Arial" w:cs="Arial" w:eastAsia="Arial" w:hAnsi="Arial"/>
          <w:sz w:val="16"/>
          <w:szCs w:val="16"/>
          <w:u w:val="single" w:color="auto"/>
          <w:color w:val="auto"/>
        </w:rPr>
        <w:t>Borrowers</w:t>
      </w:r>
      <w:r>
        <w:rPr>
          <w:rFonts w:ascii="Arial" w:cs="Arial" w:eastAsia="Arial" w:hAnsi="Arial"/>
          <w:sz w:val="16"/>
          <w:szCs w:val="16"/>
          <w:color w:val="auto"/>
        </w:rPr>
        <w:t>” and each, a “</w:t>
      </w:r>
      <w:r>
        <w:rPr>
          <w:rFonts w:ascii="Arial" w:cs="Arial" w:eastAsia="Arial" w:hAnsi="Arial"/>
          <w:sz w:val="16"/>
          <w:szCs w:val="16"/>
          <w:u w:val="single" w:color="auto"/>
          <w:color w:val="auto"/>
        </w:rPr>
        <w:t>Borrower</w:t>
      </w:r>
      <w:r>
        <w:rPr>
          <w:rFonts w:ascii="Arial" w:cs="Arial" w:eastAsia="Arial" w:hAnsi="Arial"/>
          <w:sz w:val="16"/>
          <w:szCs w:val="16"/>
          <w:color w:val="auto"/>
        </w:rPr>
        <w:t>”), each lender from time to time party thereto and Bank of America, N.A., as Administrative Agent, Swing Line Lender and L/C Issuer.</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undersigned hereby requests a Swing Line Loan:</w:t>
      </w:r>
    </w:p>
    <w:p>
      <w:pPr>
        <w:spacing w:after="0" w:line="175" w:lineRule="exact"/>
        <w:rPr>
          <w:sz w:val="20"/>
          <w:szCs w:val="20"/>
          <w:color w:val="auto"/>
        </w:rPr>
      </w:pPr>
    </w:p>
    <w:tbl>
      <w:tblPr>
        <w:tblLayout w:type="fixed"/>
        <w:tblInd w:w="760" w:type="dxa"/>
        <w:tblCellMar>
          <w:top w:w="0" w:type="dxa"/>
          <w:left w:w="0" w:type="dxa"/>
          <w:bottom w:w="0" w:type="dxa"/>
          <w:right w:w="0" w:type="dxa"/>
        </w:tblCellMar>
      </w:tblPr>
      <w:tr>
        <w:trPr>
          <w:trHeight w:val="195"/>
        </w:trPr>
        <w:tc>
          <w:tcPr>
            <w:tcW w:w="420" w:type="dxa"/>
            <w:vAlign w:val="bottom"/>
          </w:tcPr>
          <w:p>
            <w:pPr>
              <w:jc w:val="right"/>
              <w:ind w:right="214"/>
              <w:spacing w:after="0"/>
              <w:rPr>
                <w:sz w:val="20"/>
                <w:szCs w:val="20"/>
                <w:color w:val="auto"/>
              </w:rPr>
            </w:pPr>
            <w:r>
              <w:rPr>
                <w:rFonts w:ascii="Arial" w:cs="Arial" w:eastAsia="Arial" w:hAnsi="Arial"/>
                <w:sz w:val="17"/>
                <w:szCs w:val="17"/>
                <w:color w:val="auto"/>
                <w:w w:val="70"/>
              </w:rPr>
              <w:t>1.</w:t>
            </w:r>
          </w:p>
        </w:tc>
        <w:tc>
          <w:tcPr>
            <w:tcW w:w="540" w:type="dxa"/>
            <w:vAlign w:val="bottom"/>
          </w:tcPr>
          <w:p>
            <w:pPr>
              <w:ind w:left="300"/>
              <w:spacing w:after="0"/>
              <w:rPr>
                <w:sz w:val="20"/>
                <w:szCs w:val="20"/>
                <w:color w:val="auto"/>
              </w:rPr>
            </w:pPr>
            <w:r>
              <w:rPr>
                <w:rFonts w:ascii="Arial" w:cs="Arial" w:eastAsia="Arial" w:hAnsi="Arial"/>
                <w:sz w:val="17"/>
                <w:szCs w:val="17"/>
                <w:color w:val="auto"/>
                <w:w w:val="96"/>
              </w:rPr>
              <w:t>On</w:t>
            </w:r>
          </w:p>
        </w:tc>
        <w:tc>
          <w:tcPr>
            <w:tcW w:w="2160" w:type="dxa"/>
            <w:vAlign w:val="bottom"/>
            <w:tcBorders>
              <w:bottom w:val="single" w:sz="8" w:color="auto"/>
            </w:tcBorders>
            <w:gridSpan w:val="2"/>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w w:val="92"/>
              </w:rPr>
              <w:t>(a Business Day).</w:t>
            </w:r>
          </w:p>
        </w:tc>
      </w:tr>
      <w:tr>
        <w:trPr>
          <w:trHeight w:val="367"/>
        </w:trPr>
        <w:tc>
          <w:tcPr>
            <w:tcW w:w="420" w:type="dxa"/>
            <w:vAlign w:val="bottom"/>
          </w:tcPr>
          <w:p>
            <w:pPr>
              <w:jc w:val="right"/>
              <w:ind w:right="214"/>
              <w:spacing w:after="0"/>
              <w:rPr>
                <w:sz w:val="20"/>
                <w:szCs w:val="20"/>
                <w:color w:val="auto"/>
              </w:rPr>
            </w:pPr>
            <w:r>
              <w:rPr>
                <w:rFonts w:ascii="Arial" w:cs="Arial" w:eastAsia="Arial" w:hAnsi="Arial"/>
                <w:sz w:val="17"/>
                <w:szCs w:val="17"/>
                <w:color w:val="auto"/>
                <w:w w:val="70"/>
              </w:rPr>
              <w:t>2.</w:t>
            </w:r>
          </w:p>
        </w:tc>
        <w:tc>
          <w:tcPr>
            <w:tcW w:w="2700" w:type="dxa"/>
            <w:vAlign w:val="bottom"/>
            <w:gridSpan w:val="3"/>
          </w:tcPr>
          <w:p>
            <w:pPr>
              <w:ind w:left="300"/>
              <w:spacing w:after="0"/>
              <w:rPr>
                <w:sz w:val="20"/>
                <w:szCs w:val="20"/>
                <w:color w:val="auto"/>
              </w:rPr>
            </w:pPr>
            <w:r>
              <w:rPr>
                <w:rFonts w:ascii="Arial" w:cs="Arial" w:eastAsia="Arial" w:hAnsi="Arial"/>
                <w:sz w:val="17"/>
                <w:szCs w:val="17"/>
                <w:color w:val="auto"/>
              </w:rPr>
              <w:t>In the amount of $</w:t>
            </w:r>
          </w:p>
        </w:tc>
        <w:tc>
          <w:tcPr>
            <w:tcW w:w="126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r>
      <w:tr>
        <w:trPr>
          <w:trHeight w:val="20"/>
        </w:trPr>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40" w:firstLine="763"/>
        <w:spacing w:after="0" w:line="254" w:lineRule="auto"/>
        <w:rPr>
          <w:sz w:val="20"/>
          <w:szCs w:val="20"/>
          <w:color w:val="auto"/>
        </w:rPr>
      </w:pPr>
      <w:r>
        <w:rPr>
          <w:rFonts w:ascii="Arial" w:cs="Arial" w:eastAsia="Arial" w:hAnsi="Arial"/>
          <w:sz w:val="16"/>
          <w:szCs w:val="16"/>
          <w:color w:val="auto"/>
        </w:rPr>
        <w:t xml:space="preserve">With respect to the Swing Line Borrowing requested herein, the undersigned hereby represents and warrants that (a) such request complies with the requirements of the proviso to the first sentence of </w:t>
      </w:r>
      <w:r>
        <w:rPr>
          <w:rFonts w:ascii="Arial" w:cs="Arial" w:eastAsia="Arial" w:hAnsi="Arial"/>
          <w:sz w:val="16"/>
          <w:szCs w:val="16"/>
          <w:u w:val="single" w:color="auto"/>
          <w:color w:val="auto"/>
        </w:rPr>
        <w:t>Section 2.04(a)</w:t>
      </w:r>
      <w:r>
        <w:rPr>
          <w:rFonts w:ascii="Arial" w:cs="Arial" w:eastAsia="Arial" w:hAnsi="Arial"/>
          <w:sz w:val="16"/>
          <w:szCs w:val="16"/>
          <w:color w:val="auto"/>
        </w:rPr>
        <w:t xml:space="preserve"> of the Agreement and (b) each of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of the Agreement have been satisfied on and as of the date of such Borrowing.</w:t>
      </w:r>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GENTHERM INCORPORATED</w:t>
      </w:r>
    </w:p>
    <w:p>
      <w:pPr>
        <w:spacing w:after="0" w:line="385"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3086735</wp:posOffset>
            </wp:positionH>
            <wp:positionV relativeFrom="paragraph">
              <wp:posOffset>-10160</wp:posOffset>
            </wp:positionV>
            <wp:extent cx="117284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72845" cy="7620"/>
                    </a:xfrm>
                    <a:prstGeom prst="rect">
                      <a:avLst/>
                    </a:prstGeom>
                    <a:noFill/>
                  </pic:spPr>
                </pic:pic>
              </a:graphicData>
            </a:graphic>
          </wp:anchor>
        </w:drawing>
      </w:r>
    </w:p>
    <w:p>
      <w:pPr>
        <w:sectPr>
          <w:pgSz w:w="11900" w:h="16838" w:orient="portrait"/>
          <w:cols w:equalWidth="0" w:num="1">
            <w:col w:w="11440"/>
          </w:cols>
          <w:pgMar w:left="240" w:top="312" w:right="219" w:bottom="1440" w:gutter="0" w:footer="0" w:header="0"/>
          <w:type w:val="continuous"/>
        </w:sectPr>
      </w:pPr>
    </w:p>
    <w:p>
      <w:pPr>
        <w:spacing w:after="0" w:line="22" w:lineRule="exact"/>
        <w:rPr>
          <w:sz w:val="20"/>
          <w:szCs w:val="20"/>
          <w:color w:val="auto"/>
        </w:rPr>
      </w:pPr>
    </w:p>
    <w:p>
      <w:pPr>
        <w:ind w:left="456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[Insert Name of Responsible Officer]</w:t>
      </w:r>
    </w:p>
    <w:p>
      <w:pPr>
        <w:spacing w:after="0" w:line="196" w:lineRule="exact"/>
        <w:rPr>
          <w:sz w:val="20"/>
          <w:szCs w:val="20"/>
          <w:color w:val="auto"/>
        </w:rPr>
      </w:pPr>
    </w:p>
    <w:p>
      <w:pPr>
        <w:sectPr>
          <w:pgSz w:w="11900" w:h="16838" w:orient="portrait"/>
          <w:cols w:equalWidth="0" w:num="2">
            <w:col w:w="5020" w:space="580"/>
            <w:col w:w="5840"/>
          </w:cols>
          <w:pgMar w:left="240" w:top="312" w:right="219" w:bottom="1440" w:gutter="0" w:footer="0" w:header="0"/>
          <w:type w:val="continuous"/>
        </w:sectPr>
      </w:pPr>
    </w:p>
    <w:p>
      <w:pPr>
        <w:ind w:left="45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[Insert Title of Responsible Officer]</w:t>
      </w:r>
    </w:p>
    <w:p>
      <w:pPr>
        <w:sectPr>
          <w:pgSz w:w="11900" w:h="16838" w:orient="portrait"/>
          <w:cols w:equalWidth="0" w:num="2">
            <w:col w:w="4940" w:space="560"/>
            <w:col w:w="5940"/>
          </w:cols>
          <w:pgMar w:left="240" w:top="312" w:right="219" w:bottom="1440" w:gutter="0" w:footer="0" w:header="0"/>
          <w:type w:val="continuous"/>
        </w:sectPr>
      </w:pPr>
    </w:p>
    <w:bookmarkStart w:id="152" w:name="page153"/>
    <w:bookmarkEnd w:id="152"/>
    <w:tbl>
      <w:tblPr>
        <w:tblLayout w:type="fixed"/>
        <w:tblInd w:w="760" w:type="dxa"/>
        <w:tblCellMar>
          <w:top w:w="0" w:type="dxa"/>
          <w:left w:w="0" w:type="dxa"/>
          <w:bottom w:w="0" w:type="dxa"/>
          <w:right w:w="0" w:type="dxa"/>
        </w:tblCellMar>
      </w:tblPr>
      <w:tr>
        <w:trPr>
          <w:trHeight w:val="217"/>
        </w:trPr>
        <w:tc>
          <w:tcPr>
            <w:tcW w:w="3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center"/>
              <w:ind w:left="194"/>
              <w:spacing w:after="0"/>
              <w:rPr>
                <w:sz w:val="20"/>
                <w:szCs w:val="20"/>
                <w:color w:val="auto"/>
              </w:rPr>
            </w:pPr>
            <w:r>
              <w:rPr>
                <w:rFonts w:ascii="Arial" w:cs="Arial" w:eastAsia="Arial" w:hAnsi="Arial"/>
                <w:sz w:val="17"/>
                <w:szCs w:val="17"/>
                <w:b w:val="1"/>
                <w:bCs w:val="1"/>
                <w:i w:val="1"/>
                <w:iCs w:val="1"/>
                <w:color w:val="auto"/>
              </w:rPr>
              <w:t>EXHIBIT C</w:t>
            </w:r>
          </w:p>
        </w:tc>
      </w:tr>
      <w:tr>
        <w:trPr>
          <w:trHeight w:val="387"/>
        </w:trPr>
        <w:tc>
          <w:tcPr>
            <w:tcW w:w="3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60" w:type="dxa"/>
            <w:vAlign w:val="bottom"/>
            <w:gridSpan w:val="2"/>
          </w:tcPr>
          <w:p>
            <w:pPr>
              <w:ind w:left="560"/>
              <w:spacing w:after="0"/>
              <w:rPr>
                <w:sz w:val="20"/>
                <w:szCs w:val="20"/>
                <w:color w:val="auto"/>
              </w:rPr>
            </w:pPr>
            <w:r>
              <w:rPr>
                <w:rFonts w:ascii="Arial" w:cs="Arial" w:eastAsia="Arial" w:hAnsi="Arial"/>
                <w:sz w:val="17"/>
                <w:szCs w:val="17"/>
                <w:b w:val="1"/>
                <w:bCs w:val="1"/>
                <w:color w:val="auto"/>
              </w:rPr>
              <w:t>FORM OF NOTE</w:t>
            </w: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49"/>
        </w:trPr>
        <w:tc>
          <w:tcPr>
            <w:tcW w:w="3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0" w:type="dxa"/>
            <w:vAlign w:val="bottom"/>
            <w:gridSpan w:val="2"/>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 20</w:t>
            </w:r>
          </w:p>
        </w:tc>
        <w:tc>
          <w:tcPr>
            <w:tcW w:w="300" w:type="dxa"/>
            <w:vAlign w:val="bottom"/>
          </w:tcPr>
          <w:p>
            <w:pPr>
              <w:spacing w:after="0"/>
              <w:rPr>
                <w:sz w:val="24"/>
                <w:szCs w:val="24"/>
                <w:color w:val="auto"/>
              </w:rPr>
            </w:pPr>
          </w:p>
        </w:tc>
      </w:tr>
      <w:tr>
        <w:trPr>
          <w:trHeight w:val="20"/>
        </w:trPr>
        <w:tc>
          <w:tcPr>
            <w:tcW w:w="3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367"/>
        </w:trPr>
        <w:tc>
          <w:tcPr>
            <w:tcW w:w="7380" w:type="dxa"/>
            <w:vAlign w:val="bottom"/>
            <w:gridSpan w:val="4"/>
          </w:tcPr>
          <w:p>
            <w:pPr>
              <w:spacing w:after="0"/>
              <w:rPr>
                <w:sz w:val="20"/>
                <w:szCs w:val="20"/>
                <w:color w:val="auto"/>
              </w:rPr>
            </w:pPr>
            <w:r>
              <w:rPr>
                <w:rFonts w:ascii="Arial" w:cs="Arial" w:eastAsia="Arial" w:hAnsi="Arial"/>
                <w:sz w:val="16"/>
                <w:szCs w:val="16"/>
                <w:color w:val="auto"/>
              </w:rPr>
              <w:t>FOR VALUE RECEIVED, the undersigned (the “Borrower”) hereby promises to pay to</w:t>
            </w:r>
          </w:p>
        </w:tc>
        <w:tc>
          <w:tcPr>
            <w:tcW w:w="3300" w:type="dxa"/>
            <w:vAlign w:val="bottom"/>
            <w:gridSpan w:val="6"/>
          </w:tcPr>
          <w:p>
            <w:pPr>
              <w:ind w:left="40"/>
              <w:spacing w:after="0"/>
              <w:rPr>
                <w:sz w:val="20"/>
                <w:szCs w:val="20"/>
                <w:color w:val="auto"/>
              </w:rPr>
            </w:pPr>
            <w:r>
              <w:rPr>
                <w:rFonts w:ascii="Arial" w:cs="Arial" w:eastAsia="Arial" w:hAnsi="Arial"/>
                <w:sz w:val="16"/>
                <w:szCs w:val="16"/>
                <w:color w:val="auto"/>
                <w:w w:val="90"/>
              </w:rPr>
              <w:t>or registered assigns (the “Lender”), in accordance</w:t>
            </w:r>
          </w:p>
        </w:tc>
      </w:tr>
      <w:tr>
        <w:trPr>
          <w:trHeight w:val="20"/>
        </w:trPr>
        <w:tc>
          <w:tcPr>
            <w:tcW w:w="3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1" w:lineRule="exact"/>
        <w:rPr>
          <w:sz w:val="20"/>
          <w:szCs w:val="20"/>
          <w:color w:val="auto"/>
        </w:rPr>
      </w:pPr>
    </w:p>
    <w:p>
      <w:pPr>
        <w:ind w:right="40"/>
        <w:spacing w:after="0" w:line="317" w:lineRule="auto"/>
        <w:rPr>
          <w:sz w:val="20"/>
          <w:szCs w:val="20"/>
          <w:color w:val="auto"/>
        </w:rPr>
      </w:pPr>
      <w:r>
        <w:rPr>
          <w:rFonts w:ascii="Arial" w:cs="Arial" w:eastAsia="Arial" w:hAnsi="Arial"/>
          <w:sz w:val="13"/>
          <w:szCs w:val="13"/>
          <w:color w:val="auto"/>
        </w:rPr>
        <w:t>with the provisions of the Agreement (as hereinafter defined), the principal amount of each Loan from time to time made by the Lender to the Borrower under that certain Credit Agreement, dated as of August 7, 2014 (the “</w:t>
      </w:r>
      <w:r>
        <w:rPr>
          <w:rFonts w:ascii="Arial" w:cs="Arial" w:eastAsia="Arial" w:hAnsi="Arial"/>
          <w:sz w:val="13"/>
          <w:szCs w:val="13"/>
          <w:u w:val="single" w:color="auto"/>
          <w:color w:val="auto"/>
        </w:rPr>
        <w:t>Agreement</w:t>
      </w:r>
      <w:r>
        <w:rPr>
          <w:rFonts w:ascii="Arial" w:cs="Arial" w:eastAsia="Arial" w:hAnsi="Arial"/>
          <w:sz w:val="13"/>
          <w:szCs w:val="13"/>
          <w:color w:val="auto"/>
        </w:rPr>
        <w:t>;” the terms defined therein being used herein as therein defined), among Gentherm Incorporated, a Michigan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Gentherm GmbH, a German limited liability company (“</w:t>
      </w:r>
      <w:r>
        <w:rPr>
          <w:rFonts w:ascii="Arial" w:cs="Arial" w:eastAsia="Arial" w:hAnsi="Arial"/>
          <w:sz w:val="13"/>
          <w:szCs w:val="13"/>
          <w:u w:val="single" w:color="auto"/>
          <w:color w:val="auto"/>
        </w:rPr>
        <w:t>Gentherm Germany</w:t>
      </w:r>
      <w:r>
        <w:rPr>
          <w:rFonts w:ascii="Arial" w:cs="Arial" w:eastAsia="Arial" w:hAnsi="Arial"/>
          <w:sz w:val="13"/>
          <w:szCs w:val="13"/>
          <w:color w:val="auto"/>
        </w:rPr>
        <w:t>”), Gentherm (Texas), Inc., a Texas corporation (“</w:t>
      </w:r>
      <w:r>
        <w:rPr>
          <w:rFonts w:ascii="Arial" w:cs="Arial" w:eastAsia="Arial" w:hAnsi="Arial"/>
          <w:sz w:val="13"/>
          <w:szCs w:val="13"/>
          <w:u w:val="single" w:color="auto"/>
          <w:color w:val="auto"/>
        </w:rPr>
        <w:t>Gentherm Texas</w:t>
      </w:r>
      <w:r>
        <w:rPr>
          <w:rFonts w:ascii="Arial" w:cs="Arial" w:eastAsia="Arial" w:hAnsi="Arial"/>
          <w:sz w:val="13"/>
          <w:szCs w:val="13"/>
          <w:color w:val="auto"/>
        </w:rPr>
        <w:t>” and, together with the Company, the “</w:t>
      </w:r>
      <w:r>
        <w:rPr>
          <w:rFonts w:ascii="Arial" w:cs="Arial" w:eastAsia="Arial" w:hAnsi="Arial"/>
          <w:sz w:val="13"/>
          <w:szCs w:val="13"/>
          <w:u w:val="single" w:color="auto"/>
          <w:color w:val="auto"/>
        </w:rPr>
        <w:t>U.S. Borrowers</w:t>
      </w:r>
      <w:r>
        <w:rPr>
          <w:rFonts w:ascii="Arial" w:cs="Arial" w:eastAsia="Arial" w:hAnsi="Arial"/>
          <w:sz w:val="13"/>
          <w:szCs w:val="13"/>
          <w:color w:val="auto"/>
        </w:rPr>
        <w:t>”), Gentherm Canada Ltd., an Ontario corporation (“</w:t>
      </w:r>
      <w:r>
        <w:rPr>
          <w:rFonts w:ascii="Arial" w:cs="Arial" w:eastAsia="Arial" w:hAnsi="Arial"/>
          <w:sz w:val="13"/>
          <w:szCs w:val="13"/>
          <w:u w:val="single" w:color="auto"/>
          <w:color w:val="auto"/>
        </w:rPr>
        <w:t>Gentherm Canada</w:t>
      </w:r>
      <w:r>
        <w:rPr>
          <w:rFonts w:ascii="Arial" w:cs="Arial" w:eastAsia="Arial" w:hAnsi="Arial"/>
          <w:sz w:val="13"/>
          <w:szCs w:val="13"/>
          <w:color w:val="auto"/>
        </w:rPr>
        <w:t>”), Global Thermoelectric Inc., an Alberta corporation (“</w:t>
      </w:r>
      <w:r>
        <w:rPr>
          <w:rFonts w:ascii="Arial" w:cs="Arial" w:eastAsia="Arial" w:hAnsi="Arial"/>
          <w:sz w:val="13"/>
          <w:szCs w:val="13"/>
          <w:u w:val="single" w:color="auto"/>
          <w:color w:val="auto"/>
        </w:rPr>
        <w:t>Global</w:t>
      </w:r>
      <w:r>
        <w:rPr>
          <w:rFonts w:ascii="Arial" w:cs="Arial" w:eastAsia="Arial" w:hAnsi="Arial"/>
          <w:sz w:val="13"/>
          <w:szCs w:val="13"/>
          <w:color w:val="auto"/>
        </w:rPr>
        <w:t>” and, together with Gentherm Canada, the “</w:t>
      </w:r>
      <w:r>
        <w:rPr>
          <w:rFonts w:ascii="Arial" w:cs="Arial" w:eastAsia="Arial" w:hAnsi="Arial"/>
          <w:sz w:val="13"/>
          <w:szCs w:val="13"/>
          <w:u w:val="single" w:color="auto"/>
          <w:color w:val="auto"/>
        </w:rPr>
        <w:t>Canadian Borrowers</w:t>
      </w:r>
      <w:r>
        <w:rPr>
          <w:rFonts w:ascii="Arial" w:cs="Arial" w:eastAsia="Arial" w:hAnsi="Arial"/>
          <w:sz w:val="13"/>
          <w:szCs w:val="13"/>
          <w:color w:val="auto"/>
        </w:rPr>
        <w:t>” and, together with Gentherm Canada, the U.S. Borrowers and Gentherm Germany, the “</w:t>
      </w:r>
      <w:r>
        <w:rPr>
          <w:rFonts w:ascii="Arial" w:cs="Arial" w:eastAsia="Arial" w:hAnsi="Arial"/>
          <w:sz w:val="13"/>
          <w:szCs w:val="13"/>
          <w:u w:val="single" w:color="auto"/>
          <w:color w:val="auto"/>
        </w:rPr>
        <w:t>Borrowers</w:t>
      </w:r>
      <w:r>
        <w:rPr>
          <w:rFonts w:ascii="Arial" w:cs="Arial" w:eastAsia="Arial" w:hAnsi="Arial"/>
          <w:sz w:val="13"/>
          <w:szCs w:val="13"/>
          <w:color w:val="auto"/>
        </w:rPr>
        <w:t>” and each, a “</w:t>
      </w:r>
      <w:r>
        <w:rPr>
          <w:rFonts w:ascii="Arial" w:cs="Arial" w:eastAsia="Arial" w:hAnsi="Arial"/>
          <w:sz w:val="13"/>
          <w:szCs w:val="13"/>
          <w:u w:val="single" w:color="auto"/>
          <w:color w:val="auto"/>
        </w:rPr>
        <w:t>Borrower</w:t>
      </w:r>
      <w:r>
        <w:rPr>
          <w:rFonts w:ascii="Arial" w:cs="Arial" w:eastAsia="Arial" w:hAnsi="Arial"/>
          <w:sz w:val="13"/>
          <w:szCs w:val="13"/>
          <w:color w:val="auto"/>
        </w:rPr>
        <w:t>”), each lender from time to time party thereto and Bank of America, N.A., as Administrative Agent, Swing Line Lender and L/C Issuer.</w:t>
      </w:r>
    </w:p>
    <w:p>
      <w:pPr>
        <w:spacing w:after="0" w:line="128" w:lineRule="exact"/>
        <w:rPr>
          <w:sz w:val="20"/>
          <w:szCs w:val="20"/>
          <w:color w:val="auto"/>
        </w:rPr>
      </w:pPr>
    </w:p>
    <w:p>
      <w:pPr>
        <w:ind w:right="60" w:firstLine="763"/>
        <w:spacing w:after="0" w:line="321" w:lineRule="auto"/>
        <w:rPr>
          <w:sz w:val="20"/>
          <w:szCs w:val="20"/>
          <w:color w:val="auto"/>
        </w:rPr>
      </w:pPr>
      <w:r>
        <w:rPr>
          <w:rFonts w:ascii="Arial" w:cs="Arial" w:eastAsia="Arial" w:hAnsi="Arial"/>
          <w:sz w:val="13"/>
          <w:szCs w:val="13"/>
          <w:color w:val="auto"/>
        </w:rPr>
        <w:t xml:space="preserve">The Borrower promises to pay interest on the unpaid principal amount of each Loan from the date of such Loan until such principal amount is paid in full, at such interest rates and at such times as provided in the Agreement. Except as otherwise provided in </w:t>
      </w:r>
      <w:r>
        <w:rPr>
          <w:rFonts w:ascii="Arial" w:cs="Arial" w:eastAsia="Arial" w:hAnsi="Arial"/>
          <w:sz w:val="13"/>
          <w:szCs w:val="13"/>
          <w:u w:val="single" w:color="auto"/>
          <w:color w:val="auto"/>
        </w:rPr>
        <w:t>Section 2.04(f)</w:t>
      </w:r>
      <w:r>
        <w:rPr>
          <w:rFonts w:ascii="Arial" w:cs="Arial" w:eastAsia="Arial" w:hAnsi="Arial"/>
          <w:sz w:val="13"/>
          <w:szCs w:val="13"/>
          <w:color w:val="auto"/>
        </w:rPr>
        <w:t xml:space="preserve"> of the Agreement with respect to Swing Line Loans, all payments of principal and interest shall be made to the Administrative Agent for the account of the Lender in the currency in which such Loan was denominated and in Same Day Funds at the Administrative Agent’s Office for such currency. If any amount is not paid in full when due hereunder, such unpaid amount shall bear interest, to be paid upon demand, from the due date thereof until the date of actual payment (and before as well as after judgment) computed at the per annum rate set forth in the Agreement.</w:t>
      </w:r>
    </w:p>
    <w:p>
      <w:pPr>
        <w:spacing w:after="0" w:line="126" w:lineRule="exact"/>
        <w:rPr>
          <w:sz w:val="20"/>
          <w:szCs w:val="20"/>
          <w:color w:val="auto"/>
        </w:rPr>
      </w:pPr>
    </w:p>
    <w:p>
      <w:pPr>
        <w:ind w:right="20" w:firstLine="763"/>
        <w:spacing w:after="0" w:line="270" w:lineRule="auto"/>
        <w:rPr>
          <w:sz w:val="20"/>
          <w:szCs w:val="20"/>
          <w:color w:val="auto"/>
        </w:rPr>
      </w:pPr>
      <w:r>
        <w:rPr>
          <w:rFonts w:ascii="Arial" w:cs="Arial" w:eastAsia="Arial" w:hAnsi="Arial"/>
          <w:sz w:val="15"/>
          <w:szCs w:val="15"/>
          <w:color w:val="auto"/>
        </w:rPr>
        <w:t>This Note is one of the Notes referred to in the Agreement, is entitled to the benefits thereof and may be prepaid in whole or in part subject to the terms and conditions provided therein. This Note is also entitled to the benefits of the Collateral and each Guaranty. Upon the occurrence and continuation of one or more of the Events of Default specified in the Agreement, all amounts then remaining unpaid on this Note shall become, or may be declared to be, immediately due and payable all as provided in the Agreement. Loans made by the Lender shall be evidenced by one or more loan accounts or records maintained by the Lender in the ordinary course of business. The Lender may also attach schedules to this Note and endorse thereon the date, amount, currency and maturity of its Loans and payments with respect thereto.</w:t>
      </w:r>
    </w:p>
    <w:p>
      <w:pPr>
        <w:spacing w:after="0" w:line="155" w:lineRule="exact"/>
        <w:rPr>
          <w:sz w:val="20"/>
          <w:szCs w:val="20"/>
          <w:color w:val="auto"/>
        </w:rPr>
      </w:pPr>
    </w:p>
    <w:p>
      <w:pPr>
        <w:ind w:right="140" w:firstLine="763"/>
        <w:spacing w:after="0" w:line="264" w:lineRule="auto"/>
        <w:rPr>
          <w:sz w:val="20"/>
          <w:szCs w:val="20"/>
          <w:color w:val="auto"/>
        </w:rPr>
      </w:pPr>
      <w:r>
        <w:rPr>
          <w:rFonts w:ascii="Arial" w:cs="Arial" w:eastAsia="Arial" w:hAnsi="Arial"/>
          <w:sz w:val="16"/>
          <w:szCs w:val="16"/>
          <w:color w:val="auto"/>
        </w:rPr>
        <w:t>The Borrower, for itself, its successors and assigns, hereby waives diligence, presentment, protest and demand and notice of protest, demand, dishonor and non-payment of this Note.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follows</w:t>
      </w:r>
      <w:r>
        <w:rPr>
          <w:rFonts w:ascii="Arial" w:cs="Arial" w:eastAsia="Arial" w:hAnsi="Arial"/>
          <w:sz w:val="16"/>
          <w:szCs w:val="16"/>
          <w:color w:val="auto"/>
        </w:rPr>
        <w:t>]</w:t>
      </w:r>
    </w:p>
    <w:p>
      <w:pPr>
        <w:sectPr>
          <w:pgSz w:w="11900" w:h="16838" w:orient="portrait"/>
          <w:cols w:equalWidth="0" w:num="1">
            <w:col w:w="11440"/>
          </w:cols>
          <w:pgMar w:left="240" w:top="313" w:right="219" w:bottom="1440" w:gutter="0" w:footer="0" w:header="0"/>
        </w:sectPr>
      </w:pPr>
    </w:p>
    <w:bookmarkStart w:id="153" w:name="page154"/>
    <w:bookmarkEnd w:id="153"/>
    <w:p>
      <w:pPr>
        <w:spacing w:after="0"/>
        <w:rPr>
          <w:sz w:val="20"/>
          <w:szCs w:val="20"/>
          <w:color w:val="auto"/>
        </w:rPr>
      </w:pPr>
      <w:r>
        <w:rPr>
          <w:rFonts w:ascii="Arial" w:cs="Arial" w:eastAsia="Arial" w:hAnsi="Arial"/>
          <w:sz w:val="15"/>
          <w:szCs w:val="15"/>
          <w:color w:val="auto"/>
        </w:rPr>
        <w:t>THIS NOTE SHALL BE GOVERNED BY AND CONSTRUED IN ACCORDANCE WITH THE LAWS OF THE STATE OF NEW YORK.</w:t>
      </w:r>
    </w:p>
    <w:p>
      <w:pPr>
        <w:sectPr>
          <w:pgSz w:w="11900" w:h="16838" w:orient="portrait"/>
          <w:cols w:equalWidth="0" w:num="1">
            <w:col w:w="9459"/>
          </w:cols>
          <w:pgMar w:left="1000" w:top="315" w:right="1440" w:bottom="1440" w:gutter="0" w:footer="0" w:header="0"/>
        </w:sectPr>
      </w:pPr>
    </w:p>
    <w:p>
      <w:pPr>
        <w:spacing w:after="0" w:line="382" w:lineRule="exact"/>
        <w:rPr>
          <w:sz w:val="20"/>
          <w:szCs w:val="20"/>
          <w:color w:val="auto"/>
        </w:rPr>
      </w:pPr>
    </w:p>
    <w:p>
      <w:pPr>
        <w:ind w:left="3800"/>
        <w:spacing w:after="0"/>
        <w:rPr>
          <w:sz w:val="20"/>
          <w:szCs w:val="20"/>
          <w:color w:val="auto"/>
        </w:rPr>
      </w:pPr>
      <w:r>
        <w:rPr>
          <w:rFonts w:ascii="Arial" w:cs="Arial" w:eastAsia="Arial" w:hAnsi="Arial"/>
          <w:sz w:val="17"/>
          <w:szCs w:val="17"/>
          <w:b w:val="1"/>
          <w:bCs w:val="1"/>
          <w:color w:val="auto"/>
        </w:rPr>
        <w:t>[INSERT APPLICABLE BORROWER]</w:t>
      </w:r>
    </w:p>
    <w:p>
      <w:pPr>
        <w:spacing w:after="0" w:line="385"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2604135</wp:posOffset>
            </wp:positionH>
            <wp:positionV relativeFrom="paragraph">
              <wp:posOffset>-10160</wp:posOffset>
            </wp:positionV>
            <wp:extent cx="174561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45615" cy="7620"/>
                    </a:xfrm>
                    <a:prstGeom prst="rect">
                      <a:avLst/>
                    </a:prstGeom>
                    <a:noFill/>
                  </pic:spPr>
                </pic:pic>
              </a:graphicData>
            </a:graphic>
          </wp:anchor>
        </w:drawing>
      </w:r>
    </w:p>
    <w:p>
      <w:pPr>
        <w:ind w:left="3800"/>
        <w:spacing w:after="0"/>
        <w:tabs>
          <w:tab w:leader="none" w:pos="4820" w:val="left"/>
        </w:tabs>
        <w:rPr>
          <w:sz w:val="20"/>
          <w:szCs w:val="20"/>
          <w:color w:val="auto"/>
        </w:rPr>
      </w:pPr>
      <w:r>
        <w:rPr>
          <w:rFonts w:ascii="Arial" w:cs="Arial" w:eastAsia="Arial" w:hAnsi="Arial"/>
          <w:sz w:val="15"/>
          <w:szCs w:val="15"/>
          <w:color w:val="auto"/>
        </w:rPr>
        <w:t>Name:</w:t>
      </w:r>
      <w:r>
        <w:rPr>
          <w:sz w:val="20"/>
          <w:szCs w:val="20"/>
          <w:color w:val="auto"/>
        </w:rPr>
        <w:tab/>
      </w:r>
      <w:r>
        <w:rPr>
          <w:rFonts w:ascii="Arial" w:cs="Arial" w:eastAsia="Arial" w:hAnsi="Arial"/>
          <w:sz w:val="15"/>
          <w:szCs w:val="15"/>
          <w:color w:val="auto"/>
        </w:rPr>
        <w:t>[Insert Name of Responsible Officer]</w:t>
      </w:r>
    </w:p>
    <w:p>
      <w:pPr>
        <w:spacing w:after="0" w:line="27" w:lineRule="exact"/>
        <w:rPr>
          <w:sz w:val="20"/>
          <w:szCs w:val="20"/>
          <w:color w:val="auto"/>
        </w:rPr>
      </w:pPr>
    </w:p>
    <w:p>
      <w:pPr>
        <w:ind w:left="3800"/>
        <w:spacing w:after="0"/>
        <w:tabs>
          <w:tab w:leader="none" w:pos="47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[Insert Title of Responsible Officer]</w:t>
      </w:r>
    </w:p>
    <w:p>
      <w:pPr>
        <w:sectPr>
          <w:pgSz w:w="11900" w:h="16838" w:orient="portrait"/>
          <w:cols w:equalWidth="0" w:num="1">
            <w:col w:w="9459"/>
          </w:cols>
          <w:pgMar w:left="1000" w:top="315" w:right="1440" w:bottom="1440" w:gutter="0" w:footer="0" w:header="0"/>
          <w:type w:val="continuous"/>
        </w:sectPr>
      </w:pPr>
    </w:p>
    <w:bookmarkStart w:id="154" w:name="page155"/>
    <w:bookmarkEnd w:id="154"/>
    <w:tbl>
      <w:tblPr>
        <w:tblLayout w:type="fixed"/>
        <w:tblInd w:w="0" w:type="dxa"/>
        <w:tblCellMar>
          <w:top w:w="0" w:type="dxa"/>
          <w:left w:w="0" w:type="dxa"/>
          <w:bottom w:w="0" w:type="dxa"/>
          <w:right w:w="0" w:type="dxa"/>
        </w:tblCellMar>
      </w:tblPr>
      <w:tr>
        <w:trPr>
          <w:trHeight w:val="223"/>
        </w:trPr>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20" w:type="dxa"/>
            <w:vAlign w:val="bottom"/>
            <w:gridSpan w:val="6"/>
          </w:tcPr>
          <w:p>
            <w:pPr>
              <w:ind w:left="740"/>
              <w:spacing w:after="0"/>
              <w:rPr>
                <w:sz w:val="20"/>
                <w:szCs w:val="20"/>
                <w:color w:val="auto"/>
              </w:rPr>
            </w:pPr>
            <w:r>
              <w:rPr>
                <w:rFonts w:ascii="Arial" w:cs="Arial" w:eastAsia="Arial" w:hAnsi="Arial"/>
                <w:sz w:val="17"/>
                <w:szCs w:val="17"/>
                <w:b w:val="1"/>
                <w:bCs w:val="1"/>
                <w:color w:val="auto"/>
              </w:rPr>
              <w:t>LOANS AND PAYMENTS WITH RESPECT THERETO</w:t>
            </w: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75"/>
        </w:trPr>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3"/>
              </w:rPr>
              <w:t>Currency and</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2"/>
              </w:rPr>
              <w:t>Amount of Principal</w:t>
            </w:r>
          </w:p>
        </w:tc>
        <w:tc>
          <w:tcPr>
            <w:tcW w:w="200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91"/>
              </w:rPr>
              <w:t>Outstanding</w:t>
            </w:r>
          </w:p>
        </w:tc>
        <w:tc>
          <w:tcPr>
            <w:tcW w:w="1360" w:type="dxa"/>
            <w:vAlign w:val="bottom"/>
          </w:tcPr>
          <w:p>
            <w:pPr>
              <w:spacing w:after="0"/>
              <w:rPr>
                <w:sz w:val="24"/>
                <w:szCs w:val="24"/>
                <w:color w:val="auto"/>
              </w:rPr>
            </w:pPr>
          </w:p>
        </w:tc>
      </w:tr>
      <w:tr>
        <w:trPr>
          <w:trHeight w:val="199"/>
        </w:trPr>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2"/>
              </w:rPr>
              <w:t>Type of Loan</w:t>
            </w:r>
          </w:p>
        </w:tc>
        <w:tc>
          <w:tcPr>
            <w:tcW w:w="17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3"/>
              </w:rPr>
              <w:t>Amount of Loan</w:t>
            </w:r>
          </w:p>
        </w:tc>
        <w:tc>
          <w:tcPr>
            <w:tcW w:w="14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2"/>
              </w:rPr>
              <w:t>End of Interest</w:t>
            </w:r>
          </w:p>
        </w:tc>
        <w:tc>
          <w:tcPr>
            <w:tcW w:w="204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92"/>
              </w:rPr>
              <w:t>or Interest Paid This</w:t>
            </w:r>
          </w:p>
        </w:tc>
        <w:tc>
          <w:tcPr>
            <w:tcW w:w="200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1"/>
              </w:rPr>
              <w:t>Principal Balance</w:t>
            </w:r>
          </w:p>
        </w:tc>
        <w:tc>
          <w:tcPr>
            <w:tcW w:w="1360" w:type="dxa"/>
            <w:vAlign w:val="bottom"/>
          </w:tcPr>
          <w:p>
            <w:pPr>
              <w:spacing w:after="0"/>
              <w:rPr>
                <w:sz w:val="17"/>
                <w:szCs w:val="17"/>
                <w:color w:val="auto"/>
              </w:rPr>
            </w:pPr>
          </w:p>
        </w:tc>
      </w:tr>
      <w:tr>
        <w:trPr>
          <w:trHeight w:val="223"/>
        </w:trPr>
        <w:tc>
          <w:tcPr>
            <w:tcW w:w="1320" w:type="dxa"/>
            <w:vAlign w:val="bottom"/>
            <w:gridSpan w:val="2"/>
          </w:tcPr>
          <w:p>
            <w:pPr>
              <w:ind w:left="320"/>
              <w:spacing w:after="0"/>
              <w:rPr>
                <w:sz w:val="20"/>
                <w:szCs w:val="20"/>
                <w:color w:val="auto"/>
              </w:rPr>
            </w:pPr>
            <w:r>
              <w:rPr>
                <w:rFonts w:ascii="Arial" w:cs="Arial" w:eastAsia="Arial" w:hAnsi="Arial"/>
                <w:sz w:val="17"/>
                <w:szCs w:val="17"/>
                <w:b w:val="1"/>
                <w:bCs w:val="1"/>
                <w:color w:val="auto"/>
              </w:rPr>
              <w:t>Date</w:t>
            </w:r>
          </w:p>
        </w:tc>
        <w:tc>
          <w:tcPr>
            <w:tcW w:w="15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6"/>
              </w:rPr>
              <w:t>Made</w:t>
            </w:r>
          </w:p>
        </w:tc>
        <w:tc>
          <w:tcPr>
            <w:tcW w:w="17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6"/>
              </w:rPr>
              <w:t>Made</w:t>
            </w:r>
          </w:p>
        </w:tc>
        <w:tc>
          <w:tcPr>
            <w:tcW w:w="14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4"/>
              </w:rPr>
              <w:t>Period</w:t>
            </w:r>
          </w:p>
        </w:tc>
        <w:tc>
          <w:tcPr>
            <w:tcW w:w="204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2"/>
              </w:rPr>
              <w:t>Date</w:t>
            </w:r>
          </w:p>
        </w:tc>
        <w:tc>
          <w:tcPr>
            <w:tcW w:w="200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1"/>
              </w:rPr>
              <w:t>This Date</w:t>
            </w:r>
          </w:p>
        </w:tc>
        <w:tc>
          <w:tcPr>
            <w:tcW w:w="1360" w:type="dxa"/>
            <w:vAlign w:val="bottom"/>
          </w:tcPr>
          <w:p>
            <w:pPr>
              <w:ind w:left="20"/>
              <w:spacing w:after="0"/>
              <w:rPr>
                <w:sz w:val="20"/>
                <w:szCs w:val="20"/>
                <w:color w:val="auto"/>
              </w:rPr>
            </w:pPr>
            <w:r>
              <w:rPr>
                <w:rFonts w:ascii="Arial" w:cs="Arial" w:eastAsia="Arial" w:hAnsi="Arial"/>
                <w:sz w:val="17"/>
                <w:szCs w:val="17"/>
                <w:b w:val="1"/>
                <w:bCs w:val="1"/>
                <w:color w:val="auto"/>
                <w:w w:val="93"/>
              </w:rPr>
              <w:t>Notation Made by</w:t>
            </w:r>
          </w:p>
        </w:tc>
      </w:tr>
      <w:tr>
        <w:trPr>
          <w:trHeight w:val="196"/>
        </w:trPr>
        <w:tc>
          <w:tcPr>
            <w:tcW w:w="10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r>
      <w:tr>
        <w:trPr>
          <w:trHeight w:val="191"/>
        </w:trPr>
        <w:tc>
          <w:tcPr>
            <w:tcW w:w="10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91"/>
        </w:trPr>
        <w:tc>
          <w:tcPr>
            <w:tcW w:w="10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91"/>
        </w:trPr>
        <w:tc>
          <w:tcPr>
            <w:tcW w:w="10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91"/>
        </w:trPr>
        <w:tc>
          <w:tcPr>
            <w:tcW w:w="10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91"/>
        </w:trPr>
        <w:tc>
          <w:tcPr>
            <w:tcW w:w="10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91"/>
        </w:trPr>
        <w:tc>
          <w:tcPr>
            <w:tcW w:w="10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91"/>
        </w:trPr>
        <w:tc>
          <w:tcPr>
            <w:tcW w:w="10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91"/>
        </w:trPr>
        <w:tc>
          <w:tcPr>
            <w:tcW w:w="10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91"/>
        </w:trPr>
        <w:tc>
          <w:tcPr>
            <w:tcW w:w="10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91"/>
        </w:trPr>
        <w:tc>
          <w:tcPr>
            <w:tcW w:w="10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91"/>
        </w:trPr>
        <w:tc>
          <w:tcPr>
            <w:tcW w:w="10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91"/>
        </w:trPr>
        <w:tc>
          <w:tcPr>
            <w:tcW w:w="10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91"/>
        </w:trPr>
        <w:tc>
          <w:tcPr>
            <w:tcW w:w="10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91"/>
        </w:trPr>
        <w:tc>
          <w:tcPr>
            <w:tcW w:w="10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91"/>
        </w:trPr>
        <w:tc>
          <w:tcPr>
            <w:tcW w:w="10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91"/>
        </w:trPr>
        <w:tc>
          <w:tcPr>
            <w:tcW w:w="10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91"/>
        </w:trPr>
        <w:tc>
          <w:tcPr>
            <w:tcW w:w="10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bl>
    <w:p>
      <w:pPr>
        <w:sectPr>
          <w:pgSz w:w="11900" w:h="16838" w:orient="portrait"/>
          <w:cols w:equalWidth="0" w:num="1">
            <w:col w:w="11440"/>
          </w:cols>
          <w:pgMar w:left="240" w:top="307" w:right="219" w:bottom="1440" w:gutter="0" w:footer="0" w:header="0"/>
        </w:sectPr>
      </w:pPr>
    </w:p>
    <w:bookmarkStart w:id="155" w:name="page156"/>
    <w:bookmarkEnd w:id="155"/>
    <w:p>
      <w:pPr>
        <w:jc w:val="right"/>
        <w:spacing w:after="0"/>
        <w:rPr>
          <w:sz w:val="20"/>
          <w:szCs w:val="20"/>
          <w:color w:val="auto"/>
        </w:rPr>
      </w:pPr>
      <w:r>
        <w:rPr>
          <w:rFonts w:ascii="Arial" w:cs="Arial" w:eastAsia="Arial" w:hAnsi="Arial"/>
          <w:sz w:val="17"/>
          <w:szCs w:val="17"/>
          <w:b w:val="1"/>
          <w:bCs w:val="1"/>
          <w:i w:val="1"/>
          <w:iCs w:val="1"/>
          <w:color w:val="auto"/>
        </w:rPr>
        <w:t>EXHIBIT 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COMPLIANCE CERTIFICATE</w:t>
      </w:r>
    </w:p>
    <w:p>
      <w:pPr>
        <w:spacing w:after="0" w:line="181" w:lineRule="exact"/>
        <w:rPr>
          <w:sz w:val="20"/>
          <w:szCs w:val="20"/>
          <w:color w:val="auto"/>
        </w:rPr>
      </w:pPr>
    </w:p>
    <w:tbl>
      <w:tblPr>
        <w:tblLayout w:type="fixed"/>
        <w:tblInd w:w="7940" w:type="dxa"/>
        <w:tblCellMar>
          <w:top w:w="0" w:type="dxa"/>
          <w:left w:w="0" w:type="dxa"/>
          <w:bottom w:w="0" w:type="dxa"/>
          <w:right w:w="0" w:type="dxa"/>
        </w:tblCellMar>
      </w:tblPr>
      <w:tr>
        <w:trPr>
          <w:trHeight w:val="195"/>
        </w:trPr>
        <w:tc>
          <w:tcPr>
            <w:tcW w:w="1820" w:type="dxa"/>
            <w:vAlign w:val="bottom"/>
          </w:tcPr>
          <w:p>
            <w:pPr>
              <w:spacing w:after="0"/>
              <w:rPr>
                <w:sz w:val="20"/>
                <w:szCs w:val="20"/>
                <w:color w:val="auto"/>
              </w:rPr>
            </w:pPr>
            <w:r>
              <w:rPr>
                <w:rFonts w:ascii="Arial" w:cs="Arial" w:eastAsia="Arial" w:hAnsi="Arial"/>
                <w:sz w:val="17"/>
                <w:szCs w:val="17"/>
                <w:color w:val="auto"/>
                <w:w w:val="92"/>
              </w:rPr>
              <w:t>Financial Statement Date:</w:t>
            </w:r>
          </w:p>
        </w:tc>
        <w:tc>
          <w:tcPr>
            <w:tcW w:w="1240" w:type="dxa"/>
            <w:vAlign w:val="bottom"/>
            <w:tcBorders>
              <w:bottom w:val="single" w:sz="8" w:color="auto"/>
            </w:tcBorders>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8"/>
              </w:rPr>
              <w:t>, 20__</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To: Bank of America, N.A., as Administrative Agent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194" w:lineRule="exact"/>
        <w:rPr>
          <w:sz w:val="20"/>
          <w:szCs w:val="20"/>
          <w:color w:val="auto"/>
        </w:rPr>
      </w:pPr>
    </w:p>
    <w:p>
      <w:pPr>
        <w:ind w:right="40" w:firstLine="763"/>
        <w:spacing w:after="0" w:line="248" w:lineRule="auto"/>
        <w:rPr>
          <w:sz w:val="20"/>
          <w:szCs w:val="20"/>
          <w:color w:val="auto"/>
        </w:rPr>
      </w:pPr>
      <w:r>
        <w:rPr>
          <w:rFonts w:ascii="Arial" w:cs="Arial" w:eastAsia="Arial" w:hAnsi="Arial"/>
          <w:sz w:val="16"/>
          <w:szCs w:val="16"/>
          <w:color w:val="auto"/>
        </w:rPr>
        <w:t>Reference is made to that certain Credit Agreement, dated as of August 7, 2014 (the “</w:t>
      </w:r>
      <w:r>
        <w:rPr>
          <w:rFonts w:ascii="Arial" w:cs="Arial" w:eastAsia="Arial" w:hAnsi="Arial"/>
          <w:sz w:val="16"/>
          <w:szCs w:val="16"/>
          <w:u w:val="single" w:color="auto"/>
          <w:color w:val="auto"/>
        </w:rPr>
        <w:t>Agreement</w:t>
      </w:r>
      <w:r>
        <w:rPr>
          <w:rFonts w:ascii="Arial" w:cs="Arial" w:eastAsia="Arial" w:hAnsi="Arial"/>
          <w:sz w:val="16"/>
          <w:szCs w:val="16"/>
          <w:color w:val="auto"/>
        </w:rPr>
        <w:t>;” the terms defined therein being used herein as therein defined), among Gentherm Incorporated, a Michigan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Gentherm GmbH, a German limited liability company (“</w:t>
      </w:r>
      <w:r>
        <w:rPr>
          <w:rFonts w:ascii="Arial" w:cs="Arial" w:eastAsia="Arial" w:hAnsi="Arial"/>
          <w:sz w:val="16"/>
          <w:szCs w:val="16"/>
          <w:u w:val="single" w:color="auto"/>
          <w:color w:val="auto"/>
        </w:rPr>
        <w:t>Gentherm Germany</w:t>
      </w:r>
      <w:r>
        <w:rPr>
          <w:rFonts w:ascii="Arial" w:cs="Arial" w:eastAsia="Arial" w:hAnsi="Arial"/>
          <w:sz w:val="16"/>
          <w:szCs w:val="16"/>
          <w:color w:val="auto"/>
        </w:rPr>
        <w:t>”), Gentherm (Texas), Inc., a Texas corporation (“</w:t>
      </w:r>
      <w:r>
        <w:rPr>
          <w:rFonts w:ascii="Arial" w:cs="Arial" w:eastAsia="Arial" w:hAnsi="Arial"/>
          <w:sz w:val="16"/>
          <w:szCs w:val="16"/>
          <w:u w:val="single" w:color="auto"/>
          <w:color w:val="auto"/>
        </w:rPr>
        <w:t>Gentherm Texas</w:t>
      </w:r>
      <w:r>
        <w:rPr>
          <w:rFonts w:ascii="Arial" w:cs="Arial" w:eastAsia="Arial" w:hAnsi="Arial"/>
          <w:sz w:val="16"/>
          <w:szCs w:val="16"/>
          <w:color w:val="auto"/>
        </w:rPr>
        <w:t>” and, together with the Company, the “</w:t>
      </w:r>
      <w:r>
        <w:rPr>
          <w:rFonts w:ascii="Arial" w:cs="Arial" w:eastAsia="Arial" w:hAnsi="Arial"/>
          <w:sz w:val="16"/>
          <w:szCs w:val="16"/>
          <w:u w:val="single" w:color="auto"/>
          <w:color w:val="auto"/>
        </w:rPr>
        <w:t>U.S. Borrowers</w:t>
      </w:r>
      <w:r>
        <w:rPr>
          <w:rFonts w:ascii="Arial" w:cs="Arial" w:eastAsia="Arial" w:hAnsi="Arial"/>
          <w:sz w:val="16"/>
          <w:szCs w:val="16"/>
          <w:color w:val="auto"/>
        </w:rPr>
        <w:t>”), Gentherm Canada Ltd., an Ontario corporation (“</w:t>
      </w:r>
      <w:r>
        <w:rPr>
          <w:rFonts w:ascii="Arial" w:cs="Arial" w:eastAsia="Arial" w:hAnsi="Arial"/>
          <w:sz w:val="16"/>
          <w:szCs w:val="16"/>
          <w:u w:val="single" w:color="auto"/>
          <w:color w:val="auto"/>
        </w:rPr>
        <w:t>Gentherm Canada</w:t>
      </w:r>
      <w:r>
        <w:rPr>
          <w:rFonts w:ascii="Arial" w:cs="Arial" w:eastAsia="Arial" w:hAnsi="Arial"/>
          <w:sz w:val="16"/>
          <w:szCs w:val="16"/>
          <w:color w:val="auto"/>
        </w:rPr>
        <w:t>”), Global Thermoelectric Inc., an Alberta corporation (“</w:t>
      </w:r>
      <w:r>
        <w:rPr>
          <w:rFonts w:ascii="Arial" w:cs="Arial" w:eastAsia="Arial" w:hAnsi="Arial"/>
          <w:sz w:val="16"/>
          <w:szCs w:val="16"/>
          <w:u w:val="single" w:color="auto"/>
          <w:color w:val="auto"/>
        </w:rPr>
        <w:t>Global</w:t>
      </w:r>
      <w:r>
        <w:rPr>
          <w:rFonts w:ascii="Arial" w:cs="Arial" w:eastAsia="Arial" w:hAnsi="Arial"/>
          <w:sz w:val="16"/>
          <w:szCs w:val="16"/>
          <w:color w:val="auto"/>
        </w:rPr>
        <w:t>” and, together with Gentherm Canada, the “</w:t>
      </w:r>
      <w:r>
        <w:rPr>
          <w:rFonts w:ascii="Arial" w:cs="Arial" w:eastAsia="Arial" w:hAnsi="Arial"/>
          <w:sz w:val="16"/>
          <w:szCs w:val="16"/>
          <w:u w:val="single" w:color="auto"/>
          <w:color w:val="auto"/>
        </w:rPr>
        <w:t>Canadian Borrowers</w:t>
      </w:r>
      <w:r>
        <w:rPr>
          <w:rFonts w:ascii="Arial" w:cs="Arial" w:eastAsia="Arial" w:hAnsi="Arial"/>
          <w:sz w:val="16"/>
          <w:szCs w:val="16"/>
          <w:color w:val="auto"/>
        </w:rPr>
        <w:t>” and, together with Gentherm Canada, the U.S. Borrowers and Gentherm Germany, the “</w:t>
      </w:r>
      <w:r>
        <w:rPr>
          <w:rFonts w:ascii="Arial" w:cs="Arial" w:eastAsia="Arial" w:hAnsi="Arial"/>
          <w:sz w:val="16"/>
          <w:szCs w:val="16"/>
          <w:u w:val="single" w:color="auto"/>
          <w:color w:val="auto"/>
        </w:rPr>
        <w:t>Borrowers</w:t>
      </w:r>
      <w:r>
        <w:rPr>
          <w:rFonts w:ascii="Arial" w:cs="Arial" w:eastAsia="Arial" w:hAnsi="Arial"/>
          <w:sz w:val="16"/>
          <w:szCs w:val="16"/>
          <w:color w:val="auto"/>
        </w:rPr>
        <w:t>” and each, a “</w:t>
      </w:r>
      <w:r>
        <w:rPr>
          <w:rFonts w:ascii="Arial" w:cs="Arial" w:eastAsia="Arial" w:hAnsi="Arial"/>
          <w:sz w:val="16"/>
          <w:szCs w:val="16"/>
          <w:u w:val="single" w:color="auto"/>
          <w:color w:val="auto"/>
        </w:rPr>
        <w:t>Borrower</w:t>
      </w:r>
      <w:r>
        <w:rPr>
          <w:rFonts w:ascii="Arial" w:cs="Arial" w:eastAsia="Arial" w:hAnsi="Arial"/>
          <w:sz w:val="16"/>
          <w:szCs w:val="16"/>
          <w:color w:val="auto"/>
        </w:rPr>
        <w:t>”), each lender from time to time party thereto and Bank of America, N.A., as Administrative Agent, Swing Line Lender and L/C Issuer.</w:t>
      </w:r>
    </w:p>
    <w:p>
      <w:pPr>
        <w:spacing w:after="0" w:line="170" w:lineRule="exact"/>
        <w:rPr>
          <w:sz w:val="20"/>
          <w:szCs w:val="20"/>
          <w:color w:val="auto"/>
        </w:rPr>
      </w:pPr>
    </w:p>
    <w:p>
      <w:pPr>
        <w:jc w:val="both"/>
        <w:ind w:firstLine="763"/>
        <w:spacing w:after="0" w:line="257" w:lineRule="auto"/>
        <w:rPr>
          <w:sz w:val="20"/>
          <w:szCs w:val="20"/>
          <w:color w:val="auto"/>
        </w:rPr>
      </w:pPr>
      <w:r>
        <w:rPr>
          <w:rFonts w:ascii="Arial" w:cs="Arial" w:eastAsia="Arial" w:hAnsi="Arial"/>
          <w:sz w:val="17"/>
          <w:szCs w:val="17"/>
          <w:color w:val="auto"/>
        </w:rPr>
        <w:t>The undersigned Responsible Officer, solely in such capacity and not individually, hereby certifies as of the date hereof that he/she is the [Insert Title] of the Company, and that, as such, he/she is authorized to execute and deliver this Compliance Certificate to the Administrative Agent on behalf of the Company, and that: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 xml:space="preserve">[Use following paragraph 1 for fiscal </w:t>
      </w:r>
      <w:r>
        <w:rPr>
          <w:rFonts w:ascii="Arial" w:cs="Arial" w:eastAsia="Arial" w:hAnsi="Arial"/>
          <w:sz w:val="17"/>
          <w:szCs w:val="17"/>
          <w:b w:val="1"/>
          <w:bCs w:val="1"/>
          <w:i w:val="1"/>
          <w:iCs w:val="1"/>
          <w:color w:val="auto"/>
        </w:rPr>
        <w:t>year-end</w:t>
      </w:r>
      <w:r>
        <w:rPr>
          <w:rFonts w:ascii="Arial" w:cs="Arial" w:eastAsia="Arial" w:hAnsi="Arial"/>
          <w:sz w:val="17"/>
          <w:szCs w:val="17"/>
          <w:i w:val="1"/>
          <w:iCs w:val="1"/>
          <w:color w:val="auto"/>
        </w:rPr>
        <w:t xml:space="preserve"> financial statements]</w:t>
      </w:r>
    </w:p>
    <w:p>
      <w:pPr>
        <w:spacing w:after="0" w:line="191" w:lineRule="exact"/>
        <w:rPr>
          <w:sz w:val="20"/>
          <w:szCs w:val="20"/>
          <w:color w:val="auto"/>
        </w:rPr>
      </w:pPr>
    </w:p>
    <w:p>
      <w:pPr>
        <w:ind w:firstLine="757"/>
        <w:spacing w:after="0" w:line="271" w:lineRule="auto"/>
        <w:tabs>
          <w:tab w:leader="none" w:pos="941"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The Company has delivered the year-end audited financial statements required by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of the Agreement for the fiscal year of the Company ended as of the above date, together with the report and opinion of an independent certified public accountant required by such section.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 xml:space="preserve">[Use following paragraph 1 for fiscal </w:t>
      </w:r>
      <w:r>
        <w:rPr>
          <w:rFonts w:ascii="Arial" w:cs="Arial" w:eastAsia="Arial" w:hAnsi="Arial"/>
          <w:sz w:val="17"/>
          <w:szCs w:val="17"/>
          <w:b w:val="1"/>
          <w:bCs w:val="1"/>
          <w:i w:val="1"/>
          <w:iCs w:val="1"/>
          <w:color w:val="auto"/>
        </w:rPr>
        <w:t>quarter-end</w:t>
      </w:r>
      <w:r>
        <w:rPr>
          <w:rFonts w:ascii="Arial" w:cs="Arial" w:eastAsia="Arial" w:hAnsi="Arial"/>
          <w:sz w:val="17"/>
          <w:szCs w:val="17"/>
          <w:i w:val="1"/>
          <w:iCs w:val="1"/>
          <w:color w:val="auto"/>
        </w:rPr>
        <w:t xml:space="preserve"> financial statements]</w:t>
      </w:r>
    </w:p>
    <w:p>
      <w:pPr>
        <w:spacing w:after="0" w:line="191" w:lineRule="exact"/>
        <w:rPr>
          <w:sz w:val="20"/>
          <w:szCs w:val="20"/>
          <w:color w:val="auto"/>
        </w:rPr>
      </w:pPr>
    </w:p>
    <w:p>
      <w:pPr>
        <w:jc w:val="both"/>
        <w:ind w:firstLine="757"/>
        <w:spacing w:after="0" w:line="281" w:lineRule="auto"/>
        <w:tabs>
          <w:tab w:leader="none" w:pos="953"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The Company has delivered the unaudited financial statements required by </w:t>
      </w:r>
      <w:r>
        <w:rPr>
          <w:rFonts w:ascii="Arial" w:cs="Arial" w:eastAsia="Arial" w:hAnsi="Arial"/>
          <w:sz w:val="16"/>
          <w:szCs w:val="16"/>
          <w:u w:val="single" w:color="auto"/>
          <w:color w:val="auto"/>
        </w:rPr>
        <w:t>Section 6.01(b)</w:t>
      </w:r>
      <w:r>
        <w:rPr>
          <w:rFonts w:ascii="Arial" w:cs="Arial" w:eastAsia="Arial" w:hAnsi="Arial"/>
          <w:sz w:val="16"/>
          <w:szCs w:val="16"/>
          <w:color w:val="auto"/>
        </w:rPr>
        <w:t xml:space="preserve"> of the Agreement for the fiscal quarter of the Company ended as of the above date. Such financial statements fairly present the financial condition, results of operations and cash flows of the Company and its Subsidiaries in accordance with GAAP as at such date and for such period, subject only to normal year-end audit adjustments and the absence of footnotes.</w:t>
      </w:r>
    </w:p>
    <w:p>
      <w:pPr>
        <w:spacing w:after="0" w:line="139" w:lineRule="exact"/>
        <w:rPr>
          <w:rFonts w:ascii="Arial" w:cs="Arial" w:eastAsia="Arial" w:hAnsi="Arial"/>
          <w:sz w:val="16"/>
          <w:szCs w:val="16"/>
          <w:color w:val="auto"/>
        </w:rPr>
      </w:pPr>
    </w:p>
    <w:p>
      <w:pPr>
        <w:jc w:val="both"/>
        <w:ind w:firstLine="757"/>
        <w:spacing w:after="0" w:line="257" w:lineRule="auto"/>
        <w:tabs>
          <w:tab w:leader="none" w:pos="949"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undersigned has reviewed and is familiar with the terms of the Agreement and has made, or has caused to be made under his/her supervision, a detailed review of the transactions and condition (financial or otherwise) of the Company and its Material Subsidiaries during the accounting period covered by such financial statements.</w:t>
      </w:r>
    </w:p>
    <w:p>
      <w:pPr>
        <w:spacing w:after="0" w:line="157" w:lineRule="exact"/>
        <w:rPr>
          <w:rFonts w:ascii="Arial" w:cs="Arial" w:eastAsia="Arial" w:hAnsi="Arial"/>
          <w:sz w:val="17"/>
          <w:szCs w:val="17"/>
          <w:color w:val="auto"/>
        </w:rPr>
      </w:pPr>
    </w:p>
    <w:p>
      <w:pPr>
        <w:jc w:val="both"/>
        <w:ind w:right="20" w:firstLine="757"/>
        <w:spacing w:after="0" w:line="257" w:lineRule="auto"/>
        <w:tabs>
          <w:tab w:leader="none" w:pos="97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 review of the activities of the Company and its Material Subsidiaries during such fiscal period has been made under the supervision of the undersigned with a view to determining whether during such fiscal period each Loan Party performed and observed all its Obligations under the Loan Documents, and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[select one:]</w:t>
      </w:r>
    </w:p>
    <w:p>
      <w:pPr>
        <w:spacing w:after="0" w:line="185" w:lineRule="exact"/>
        <w:rPr>
          <w:sz w:val="20"/>
          <w:szCs w:val="20"/>
          <w:color w:val="auto"/>
        </w:rPr>
      </w:pPr>
    </w:p>
    <w:p>
      <w:pPr>
        <w:ind w:right="20" w:firstLine="763"/>
        <w:spacing w:after="0" w:line="278" w:lineRule="auto"/>
        <w:rPr>
          <w:sz w:val="20"/>
          <w:szCs w:val="20"/>
          <w:color w:val="auto"/>
        </w:rPr>
      </w:pPr>
      <w:r>
        <w:rPr>
          <w:rFonts w:ascii="Arial" w:cs="Arial" w:eastAsia="Arial" w:hAnsi="Arial"/>
          <w:sz w:val="17"/>
          <w:szCs w:val="17"/>
          <w:b w:val="1"/>
          <w:bCs w:val="1"/>
          <w:color w:val="auto"/>
        </w:rPr>
        <w:t>[to the best knowledge of the undersigned, during such fiscal period each Loan Party performed and observed each covenant and condition of the Loan Documents applicable to it, and no Default has occurred and is continuing.]</w:t>
      </w:r>
    </w:p>
    <w:p>
      <w:pPr>
        <w:spacing w:after="0" w:line="133" w:lineRule="exact"/>
        <w:rPr>
          <w:sz w:val="20"/>
          <w:szCs w:val="20"/>
          <w:color w:val="auto"/>
        </w:rPr>
      </w:pPr>
    </w:p>
    <w:p>
      <w:pPr>
        <w:ind w:left="5920"/>
        <w:spacing w:after="0"/>
        <w:rPr>
          <w:sz w:val="20"/>
          <w:szCs w:val="20"/>
          <w:color w:val="auto"/>
        </w:rPr>
      </w:pPr>
      <w:r>
        <w:rPr>
          <w:rFonts w:ascii="Arial" w:cs="Arial" w:eastAsia="Arial" w:hAnsi="Arial"/>
          <w:sz w:val="17"/>
          <w:szCs w:val="17"/>
          <w:b w:val="1"/>
          <w:bCs w:val="1"/>
          <w:color w:val="auto"/>
        </w:rPr>
        <w:t>- or -</w:t>
      </w:r>
    </w:p>
    <w:p>
      <w:pPr>
        <w:sectPr>
          <w:pgSz w:w="11900" w:h="16838" w:orient="portrait"/>
          <w:cols w:equalWidth="0" w:num="1">
            <w:col w:w="11440"/>
          </w:cols>
          <w:pgMar w:left="240" w:top="312" w:right="219" w:bottom="1440" w:gutter="0" w:footer="0" w:header="0"/>
        </w:sectPr>
      </w:pPr>
    </w:p>
    <w:bookmarkStart w:id="156" w:name="page157"/>
    <w:bookmarkEnd w:id="156"/>
    <w:p>
      <w:pPr>
        <w:ind w:firstLine="763"/>
        <w:spacing w:after="0" w:line="278" w:lineRule="auto"/>
        <w:rPr>
          <w:sz w:val="20"/>
          <w:szCs w:val="20"/>
          <w:color w:val="auto"/>
        </w:rPr>
      </w:pPr>
      <w:r>
        <w:rPr>
          <w:rFonts w:ascii="Arial" w:cs="Arial" w:eastAsia="Arial" w:hAnsi="Arial"/>
          <w:sz w:val="17"/>
          <w:szCs w:val="17"/>
          <w:b w:val="1"/>
          <w:bCs w:val="1"/>
          <w:color w:val="auto"/>
        </w:rPr>
        <w:t>[to the best knowledge of the undersigned, during such fiscal period the following covenants or conditions have not been performed or observed and the following is a list of each such Default and its nature and status:]</w:t>
      </w:r>
    </w:p>
    <w:p>
      <w:pPr>
        <w:spacing w:after="0" w:line="139" w:lineRule="exact"/>
        <w:rPr>
          <w:sz w:val="20"/>
          <w:szCs w:val="20"/>
          <w:color w:val="auto"/>
        </w:rPr>
      </w:pPr>
    </w:p>
    <w:p>
      <w:pPr>
        <w:jc w:val="both"/>
        <w:ind w:firstLine="757"/>
        <w:spacing w:after="0" w:line="287" w:lineRule="auto"/>
        <w:tabs>
          <w:tab w:leader="none" w:pos="940" w:val="left"/>
        </w:tabs>
        <w:numPr>
          <w:ilvl w:val="0"/>
          <w:numId w:val="171"/>
        </w:numPr>
        <w:rPr>
          <w:rFonts w:ascii="Arial" w:cs="Arial" w:eastAsia="Arial" w:hAnsi="Arial"/>
          <w:sz w:val="15"/>
          <w:szCs w:val="15"/>
          <w:color w:val="auto"/>
        </w:rPr>
      </w:pPr>
      <w:r>
        <w:rPr>
          <w:rFonts w:ascii="Arial" w:cs="Arial" w:eastAsia="Arial" w:hAnsi="Arial"/>
          <w:sz w:val="15"/>
          <w:szCs w:val="15"/>
          <w:color w:val="auto"/>
        </w:rPr>
        <w:t xml:space="preserve">The representations and warranties of (i) the Borrowers contained in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of the Agreement and (ii) each Loan Party contained in each other Loan Document to which it is a party or in any document furnished by any such Person at any time under or in connection with the Loan Documents, are true and correct in all material respects (and in all respects if any such representation or warranty is already qualified by materiality) on and as of the date hereof, except to the extent that such representations and warranties specifically refer to an earlier date, in which case they are true and correct in all material respects (and in all respects if any such representation or warranty is already qualified by materiality) as of such earlier date, and except that for purposes of this Compliance Certificate, the representations and warranties contained in of </w:t>
      </w:r>
      <w:r>
        <w:rPr>
          <w:rFonts w:ascii="Arial" w:cs="Arial" w:eastAsia="Arial" w:hAnsi="Arial"/>
          <w:sz w:val="15"/>
          <w:szCs w:val="15"/>
          <w:u w:val="single" w:color="auto"/>
          <w:color w:val="auto"/>
        </w:rPr>
        <w:t>Sections 5.05(a)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xml:space="preserve"> of the Agreement shall be deemed to refer to the most recent statements furnished pursuant to clauses (a) and (b), respectively, of </w:t>
      </w:r>
      <w:r>
        <w:rPr>
          <w:rFonts w:ascii="Arial" w:cs="Arial" w:eastAsia="Arial" w:hAnsi="Arial"/>
          <w:sz w:val="15"/>
          <w:szCs w:val="15"/>
          <w:u w:val="single" w:color="auto"/>
          <w:color w:val="auto"/>
        </w:rPr>
        <w:t>Section 6.01</w:t>
      </w:r>
      <w:r>
        <w:rPr>
          <w:rFonts w:ascii="Arial" w:cs="Arial" w:eastAsia="Arial" w:hAnsi="Arial"/>
          <w:sz w:val="15"/>
          <w:szCs w:val="15"/>
          <w:color w:val="auto"/>
        </w:rPr>
        <w:t xml:space="preserve"> of the Agreement, including the statements in connection with which this Compliance Certificate is delivered.</w:t>
      </w:r>
    </w:p>
    <w:p>
      <w:pPr>
        <w:spacing w:after="0" w:line="138" w:lineRule="exact"/>
        <w:rPr>
          <w:rFonts w:ascii="Arial" w:cs="Arial" w:eastAsia="Arial" w:hAnsi="Arial"/>
          <w:sz w:val="15"/>
          <w:szCs w:val="15"/>
          <w:color w:val="auto"/>
        </w:rPr>
      </w:pPr>
    </w:p>
    <w:p>
      <w:pPr>
        <w:ind w:left="940" w:hanging="183"/>
        <w:spacing w:after="0"/>
        <w:tabs>
          <w:tab w:leader="none" w:pos="940" w:val="left"/>
        </w:tabs>
        <w:numPr>
          <w:ilvl w:val="0"/>
          <w:numId w:val="171"/>
        </w:numPr>
        <w:rPr>
          <w:rFonts w:ascii="Arial" w:cs="Arial" w:eastAsia="Arial" w:hAnsi="Arial"/>
          <w:sz w:val="15"/>
          <w:szCs w:val="15"/>
          <w:color w:val="auto"/>
        </w:rPr>
      </w:pPr>
      <w:r>
        <w:rPr>
          <w:rFonts w:ascii="Arial" w:cs="Arial" w:eastAsia="Arial" w:hAnsi="Arial"/>
          <w:sz w:val="15"/>
          <w:szCs w:val="15"/>
          <w:color w:val="auto"/>
        </w:rPr>
        <w:t xml:space="preserve">The financial covenant analyses and information set forth on </w:t>
      </w:r>
      <w:r>
        <w:rPr>
          <w:rFonts w:ascii="Arial" w:cs="Arial" w:eastAsia="Arial" w:hAnsi="Arial"/>
          <w:sz w:val="15"/>
          <w:szCs w:val="15"/>
          <w:u w:val="single" w:color="auto"/>
          <w:color w:val="auto"/>
        </w:rPr>
        <w:t>Schedule 1</w:t>
      </w:r>
      <w:r>
        <w:rPr>
          <w:rFonts w:ascii="Arial" w:cs="Arial" w:eastAsia="Arial" w:hAnsi="Arial"/>
          <w:sz w:val="15"/>
          <w:szCs w:val="15"/>
          <w:color w:val="auto"/>
        </w:rPr>
        <w:t xml:space="preserve"> attached hereto are true and accurate on and as of the date of this Compliance</w:t>
      </w:r>
    </w:p>
    <w:p>
      <w:pPr>
        <w:spacing w:after="0" w:line="4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Certificate.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ectPr>
          <w:pgSz w:w="11900" w:h="16838" w:orient="portrait"/>
          <w:cols w:equalWidth="0" w:num="1">
            <w:col w:w="11440"/>
          </w:cols>
          <w:pgMar w:left="240" w:top="306" w:right="219" w:bottom="1440" w:gutter="0" w:footer="0" w:header="0"/>
        </w:sectPr>
      </w:pPr>
    </w:p>
    <w:bookmarkStart w:id="157" w:name="page158"/>
    <w:bookmarkEnd w:id="157"/>
    <w:p>
      <w:pPr>
        <w:spacing w:after="0"/>
        <w:rPr>
          <w:sz w:val="20"/>
          <w:szCs w:val="20"/>
          <w:color w:val="auto"/>
        </w:rPr>
      </w:pPr>
      <w:r>
        <w:rPr>
          <w:rFonts w:ascii="Arial" w:cs="Arial" w:eastAsia="Arial" w:hAnsi="Arial"/>
          <w:sz w:val="15"/>
          <w:szCs w:val="15"/>
          <w:i w:val="1"/>
          <w:iCs w:val="1"/>
          <w:color w:val="auto"/>
        </w:rPr>
        <w:t xml:space="preserve">IN WITNESS WHEREOF, </w:t>
      </w:r>
      <w:r>
        <w:rPr>
          <w:rFonts w:ascii="Arial" w:cs="Arial" w:eastAsia="Arial" w:hAnsi="Arial"/>
          <w:sz w:val="15"/>
          <w:szCs w:val="15"/>
          <w:color w:val="auto"/>
        </w:rPr>
        <w:t>the undersigned has executed this Compliance Certificate as of the ___ day of __________, 20__.</w:t>
      </w:r>
    </w:p>
    <w:p>
      <w:pPr>
        <w:sectPr>
          <w:pgSz w:w="11900" w:h="16838" w:orient="portrait"/>
          <w:cols w:equalWidth="0" w:num="1">
            <w:col w:w="9459"/>
          </w:cols>
          <w:pgMar w:left="1000" w:top="313" w:right="1440" w:bottom="1440" w:gutter="0" w:footer="0" w:header="0"/>
        </w:sectPr>
      </w:pPr>
    </w:p>
    <w:p>
      <w:pPr>
        <w:spacing w:after="0" w:line="396" w:lineRule="exact"/>
        <w:rPr>
          <w:sz w:val="20"/>
          <w:szCs w:val="20"/>
          <w:color w:val="auto"/>
        </w:rPr>
      </w:pPr>
    </w:p>
    <w:p>
      <w:pPr>
        <w:ind w:left="3800"/>
        <w:spacing w:after="0"/>
        <w:rPr>
          <w:sz w:val="20"/>
          <w:szCs w:val="20"/>
          <w:color w:val="auto"/>
        </w:rPr>
      </w:pPr>
      <w:r>
        <w:rPr>
          <w:rFonts w:ascii="Arial" w:cs="Arial" w:eastAsia="Arial" w:hAnsi="Arial"/>
          <w:sz w:val="17"/>
          <w:szCs w:val="17"/>
          <w:b w:val="1"/>
          <w:bCs w:val="1"/>
          <w:color w:val="auto"/>
        </w:rPr>
        <w:t>GENTHERM INCORPORATED</w:t>
      </w:r>
    </w:p>
    <w:p>
      <w:pPr>
        <w:spacing w:after="0" w:line="385"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By:</w:t>
      </w:r>
    </w:p>
    <w:p>
      <w:pPr>
        <w:spacing w:after="0" w:line="18"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Name:</w:t>
      </w:r>
    </w:p>
    <w:p>
      <w:pPr>
        <w:spacing w:after="0" w:line="4" w:lineRule="exact"/>
        <w:rPr>
          <w:sz w:val="20"/>
          <w:szCs w:val="20"/>
          <w:color w:val="auto"/>
        </w:rPr>
      </w:pPr>
    </w:p>
    <w:p>
      <w:pPr>
        <w:ind w:left="3800"/>
        <w:spacing w:after="0"/>
        <w:tabs>
          <w:tab w:leader="none" w:pos="47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[Insert Title]</w:t>
      </w:r>
    </w:p>
    <w:p>
      <w:pPr>
        <w:sectPr>
          <w:pgSz w:w="11900" w:h="16838" w:orient="portrait"/>
          <w:cols w:equalWidth="0" w:num="1">
            <w:col w:w="9459"/>
          </w:cols>
          <w:pgMar w:left="1000" w:top="313" w:right="1440" w:bottom="1440" w:gutter="0" w:footer="0" w:header="0"/>
          <w:type w:val="continuous"/>
        </w:sectPr>
      </w:pPr>
    </w:p>
    <w:bookmarkStart w:id="158" w:name="page159"/>
    <w:bookmarkEnd w:id="158"/>
    <w:p>
      <w:pPr>
        <w:ind w:left="3246"/>
        <w:spacing w:after="0"/>
        <w:tabs>
          <w:tab w:leader="none" w:pos="6386" w:val="left"/>
        </w:tabs>
        <w:rPr>
          <w:sz w:val="20"/>
          <w:szCs w:val="20"/>
          <w:color w:val="auto"/>
        </w:rPr>
      </w:pPr>
      <w:r>
        <w:rPr>
          <w:rFonts w:ascii="Arial" w:cs="Arial" w:eastAsia="Arial" w:hAnsi="Arial"/>
          <w:sz w:val="17"/>
          <w:szCs w:val="17"/>
          <w:color w:val="auto"/>
        </w:rPr>
        <w:t>For the Quarter/Year ended</w:t>
      </w:r>
      <w:r>
        <w:rPr>
          <w:sz w:val="20"/>
          <w:szCs w:val="20"/>
          <w:color w:val="auto"/>
        </w:rPr>
        <w:tab/>
      </w:r>
      <w:r>
        <w:rPr>
          <w:rFonts w:ascii="Arial" w:cs="Arial" w:eastAsia="Arial" w:hAnsi="Arial"/>
          <w:sz w:val="15"/>
          <w:szCs w:val="15"/>
          <w:color w:val="auto"/>
        </w:rPr>
        <w:t>, 20__ (“</w:t>
      </w:r>
      <w:r>
        <w:rPr>
          <w:rFonts w:ascii="Arial" w:cs="Arial" w:eastAsia="Arial" w:hAnsi="Arial"/>
          <w:sz w:val="15"/>
          <w:szCs w:val="15"/>
          <w:u w:val="single" w:color="auto"/>
          <w:color w:val="auto"/>
        </w:rPr>
        <w:t>Statement Date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-10160</wp:posOffset>
            </wp:positionV>
            <wp:extent cx="43624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6245" cy="7620"/>
                    </a:xfrm>
                    <a:prstGeom prst="rect">
                      <a:avLst/>
                    </a:prstGeom>
                    <a:noFill/>
                  </pic:spPr>
                </pic:pic>
              </a:graphicData>
            </a:graphic>
          </wp:anchor>
        </w:drawing>
      </w:r>
    </w:p>
    <w:p>
      <w:pPr>
        <w:spacing w:after="0" w:line="154" w:lineRule="exact"/>
        <w:rPr>
          <w:sz w:val="20"/>
          <w:szCs w:val="20"/>
          <w:color w:val="auto"/>
        </w:rPr>
      </w:pPr>
    </w:p>
    <w:p>
      <w:pPr>
        <w:jc w:val="center"/>
        <w:ind w:right="-565"/>
        <w:spacing w:after="0"/>
        <w:rPr>
          <w:sz w:val="20"/>
          <w:szCs w:val="20"/>
          <w:color w:val="auto"/>
        </w:rPr>
      </w:pPr>
      <w:r>
        <w:rPr>
          <w:rFonts w:ascii="Arial" w:cs="Arial" w:eastAsia="Arial" w:hAnsi="Arial"/>
          <w:sz w:val="17"/>
          <w:szCs w:val="17"/>
          <w:b w:val="1"/>
          <w:bCs w:val="1"/>
          <w:color w:val="auto"/>
        </w:rPr>
        <w:t>SCHEDULE 1</w:t>
      </w:r>
    </w:p>
    <w:p>
      <w:pPr>
        <w:spacing w:after="0" w:line="24" w:lineRule="exact"/>
        <w:rPr>
          <w:sz w:val="20"/>
          <w:szCs w:val="20"/>
          <w:color w:val="auto"/>
        </w:rPr>
      </w:pPr>
    </w:p>
    <w:p>
      <w:pPr>
        <w:jc w:val="center"/>
        <w:ind w:right="-565"/>
        <w:spacing w:after="0"/>
        <w:rPr>
          <w:sz w:val="20"/>
          <w:szCs w:val="20"/>
          <w:color w:val="auto"/>
        </w:rPr>
      </w:pPr>
      <w:r>
        <w:rPr>
          <w:rFonts w:ascii="Arial" w:cs="Arial" w:eastAsia="Arial" w:hAnsi="Arial"/>
          <w:sz w:val="17"/>
          <w:szCs w:val="17"/>
          <w:color w:val="auto"/>
        </w:rPr>
        <w:t>to the Compliance Certificate</w:t>
      </w:r>
    </w:p>
    <w:p>
      <w:pPr>
        <w:spacing w:after="0" w:line="4" w:lineRule="exact"/>
        <w:rPr>
          <w:sz w:val="20"/>
          <w:szCs w:val="20"/>
          <w:color w:val="auto"/>
        </w:rPr>
      </w:pPr>
    </w:p>
    <w:p>
      <w:pPr>
        <w:jc w:val="center"/>
        <w:ind w:right="-565"/>
        <w:spacing w:after="0"/>
        <w:rPr>
          <w:sz w:val="20"/>
          <w:szCs w:val="20"/>
          <w:color w:val="auto"/>
        </w:rPr>
      </w:pPr>
      <w:r>
        <w:rPr>
          <w:rFonts w:ascii="Arial" w:cs="Arial" w:eastAsia="Arial" w:hAnsi="Arial"/>
          <w:sz w:val="17"/>
          <w:szCs w:val="17"/>
          <w:color w:val="auto"/>
        </w:rPr>
        <w:t>($ in 000’s)</w:t>
      </w:r>
    </w:p>
    <w:p>
      <w:pPr>
        <w:spacing w:after="0" w:line="171" w:lineRule="exact"/>
        <w:rPr>
          <w:sz w:val="20"/>
          <w:szCs w:val="20"/>
          <w:color w:val="auto"/>
        </w:rPr>
      </w:pPr>
    </w:p>
    <w:p>
      <w:pPr>
        <w:ind w:left="506" w:hanging="506"/>
        <w:spacing w:after="0"/>
        <w:tabs>
          <w:tab w:leader="none" w:pos="506" w:val="left"/>
        </w:tabs>
        <w:numPr>
          <w:ilvl w:val="0"/>
          <w:numId w:val="172"/>
        </w:numPr>
        <w:rPr>
          <w:rFonts w:ascii="Arial" w:cs="Arial" w:eastAsia="Arial" w:hAnsi="Arial"/>
          <w:sz w:val="17"/>
          <w:szCs w:val="17"/>
          <w:b w:val="1"/>
          <w:bCs w:val="1"/>
          <w:color w:val="auto"/>
        </w:rPr>
      </w:pPr>
      <w:r>
        <w:rPr>
          <w:rFonts w:ascii="Arial" w:cs="Arial" w:eastAsia="Arial" w:hAnsi="Arial"/>
          <w:sz w:val="17"/>
          <w:szCs w:val="17"/>
          <w:b w:val="1"/>
          <w:bCs w:val="1"/>
          <w:color w:val="auto"/>
        </w:rPr>
        <w:t>Section 7.11 (a) – Consolidated Fixed Charge Coverage Ratio</w:t>
      </w:r>
    </w:p>
    <w:p>
      <w:pPr>
        <w:spacing w:after="0" w:line="23" w:lineRule="exact"/>
        <w:rPr>
          <w:rFonts w:ascii="Arial" w:cs="Arial" w:eastAsia="Arial" w:hAnsi="Arial"/>
          <w:sz w:val="17"/>
          <w:szCs w:val="17"/>
          <w:b w:val="1"/>
          <w:bCs w:val="1"/>
          <w:color w:val="auto"/>
        </w:rPr>
      </w:pPr>
    </w:p>
    <w:p>
      <w:pPr>
        <w:ind w:left="566"/>
        <w:spacing w:after="0"/>
        <w:rPr>
          <w:rFonts w:ascii="Arial" w:cs="Arial" w:eastAsia="Arial" w:hAnsi="Arial"/>
          <w:sz w:val="17"/>
          <w:szCs w:val="17"/>
          <w:b w:val="1"/>
          <w:bCs w:val="1"/>
          <w:color w:val="auto"/>
        </w:rPr>
      </w:pPr>
      <w:r>
        <w:rPr>
          <w:rFonts w:ascii="Arial" w:cs="Arial" w:eastAsia="Arial" w:hAnsi="Arial"/>
          <w:sz w:val="17"/>
          <w:szCs w:val="17"/>
          <w:color w:val="auto"/>
        </w:rPr>
        <w:t>A.</w:t>
      </w:r>
      <w:r>
        <w:rPr>
          <w:rFonts w:ascii="Arial" w:cs="Arial" w:eastAsia="Arial" w:hAnsi="Arial"/>
          <w:sz w:val="15"/>
          <w:szCs w:val="15"/>
          <w:color w:val="auto"/>
        </w:rPr>
        <w:t>Consolidated EBITDA for the most recently completed four consecutive fiscal quarters ending on above date (“</w:t>
      </w:r>
      <w:r>
        <w:rPr>
          <w:rFonts w:ascii="Arial" w:cs="Arial" w:eastAsia="Arial" w:hAnsi="Arial"/>
          <w:sz w:val="15"/>
          <w:szCs w:val="15"/>
          <w:u w:val="single" w:color="auto"/>
          <w:color w:val="auto"/>
        </w:rPr>
        <w:t>Subject Period</w:t>
      </w:r>
      <w:r>
        <w:rPr>
          <w:rFonts w:ascii="Arial" w:cs="Arial" w:eastAsia="Arial" w:hAnsi="Arial"/>
          <w:sz w:val="15"/>
          <w:szCs w:val="15"/>
          <w:color w:val="auto"/>
        </w:rPr>
        <w:t>”):</w:t>
      </w:r>
    </w:p>
    <w:tbl>
      <w:tblPr>
        <w:tblLayout w:type="fixed"/>
        <w:tblInd w:w="1126" w:type="dxa"/>
        <w:tblCellMar>
          <w:top w:w="0" w:type="dxa"/>
          <w:left w:w="0" w:type="dxa"/>
          <w:bottom w:w="0" w:type="dxa"/>
          <w:right w:w="0" w:type="dxa"/>
        </w:tblCellMar>
      </w:tblPr>
      <w:tr>
        <w:trPr>
          <w:trHeight w:val="189"/>
        </w:trPr>
        <w:tc>
          <w:tcPr>
            <w:tcW w:w="240" w:type="dxa"/>
            <w:vAlign w:val="bottom"/>
          </w:tcPr>
          <w:p>
            <w:pPr>
              <w:jc w:val="right"/>
              <w:ind w:right="34"/>
              <w:spacing w:after="0" w:line="189" w:lineRule="exact"/>
              <w:rPr>
                <w:sz w:val="20"/>
                <w:szCs w:val="20"/>
                <w:color w:val="auto"/>
              </w:rPr>
            </w:pPr>
            <w:r>
              <w:rPr>
                <w:rFonts w:ascii="Arial" w:cs="Arial" w:eastAsia="Arial" w:hAnsi="Arial"/>
                <w:sz w:val="17"/>
                <w:szCs w:val="17"/>
                <w:color w:val="auto"/>
                <w:w w:val="70"/>
              </w:rPr>
              <w:t>1.</w:t>
            </w:r>
          </w:p>
        </w:tc>
        <w:tc>
          <w:tcPr>
            <w:tcW w:w="7440" w:type="dxa"/>
            <w:vAlign w:val="bottom"/>
          </w:tcPr>
          <w:p>
            <w:pPr>
              <w:ind w:left="100"/>
              <w:spacing w:after="0" w:line="189" w:lineRule="exact"/>
              <w:rPr>
                <w:sz w:val="20"/>
                <w:szCs w:val="20"/>
                <w:color w:val="auto"/>
              </w:rPr>
            </w:pPr>
            <w:r>
              <w:rPr>
                <w:rFonts w:ascii="Arial" w:cs="Arial" w:eastAsia="Arial" w:hAnsi="Arial"/>
                <w:sz w:val="17"/>
                <w:szCs w:val="17"/>
                <w:color w:val="auto"/>
              </w:rPr>
              <w:t>Consolidated Net Income for Subject Period:</w:t>
            </w:r>
          </w:p>
        </w:tc>
        <w:tc>
          <w:tcPr>
            <w:tcW w:w="2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40" w:type="dxa"/>
            <w:vAlign w:val="bottom"/>
          </w:tcPr>
          <w:p>
            <w:pPr>
              <w:jc w:val="right"/>
              <w:ind w:right="34"/>
              <w:spacing w:after="0"/>
              <w:rPr>
                <w:sz w:val="20"/>
                <w:szCs w:val="20"/>
                <w:color w:val="auto"/>
              </w:rPr>
            </w:pPr>
            <w:r>
              <w:rPr>
                <w:rFonts w:ascii="Arial" w:cs="Arial" w:eastAsia="Arial" w:hAnsi="Arial"/>
                <w:sz w:val="17"/>
                <w:szCs w:val="17"/>
                <w:color w:val="auto"/>
                <w:w w:val="70"/>
              </w:rPr>
              <w:t>2.</w:t>
            </w:r>
          </w:p>
        </w:tc>
        <w:tc>
          <w:tcPr>
            <w:tcW w:w="7440" w:type="dxa"/>
            <w:vAlign w:val="bottom"/>
          </w:tcPr>
          <w:p>
            <w:pPr>
              <w:ind w:left="100"/>
              <w:spacing w:after="0"/>
              <w:rPr>
                <w:sz w:val="20"/>
                <w:szCs w:val="20"/>
                <w:color w:val="auto"/>
              </w:rPr>
            </w:pPr>
            <w:r>
              <w:rPr>
                <w:rFonts w:ascii="Arial" w:cs="Arial" w:eastAsia="Arial" w:hAnsi="Arial"/>
                <w:sz w:val="17"/>
                <w:szCs w:val="17"/>
                <w:color w:val="auto"/>
              </w:rPr>
              <w:t>Consolidated Interest Charges for Subject Period:</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40" w:type="dxa"/>
            <w:vAlign w:val="bottom"/>
          </w:tcPr>
          <w:p>
            <w:pPr>
              <w:jc w:val="right"/>
              <w:ind w:right="34"/>
              <w:spacing w:after="0"/>
              <w:rPr>
                <w:sz w:val="20"/>
                <w:szCs w:val="20"/>
                <w:color w:val="auto"/>
              </w:rPr>
            </w:pPr>
            <w:r>
              <w:rPr>
                <w:rFonts w:ascii="Arial" w:cs="Arial" w:eastAsia="Arial" w:hAnsi="Arial"/>
                <w:sz w:val="17"/>
                <w:szCs w:val="17"/>
                <w:color w:val="auto"/>
                <w:w w:val="70"/>
              </w:rPr>
              <w:t>3.</w:t>
            </w:r>
          </w:p>
        </w:tc>
        <w:tc>
          <w:tcPr>
            <w:tcW w:w="7440" w:type="dxa"/>
            <w:vAlign w:val="bottom"/>
          </w:tcPr>
          <w:p>
            <w:pPr>
              <w:ind w:left="100"/>
              <w:spacing w:after="0"/>
              <w:rPr>
                <w:sz w:val="20"/>
                <w:szCs w:val="20"/>
                <w:color w:val="auto"/>
              </w:rPr>
            </w:pPr>
            <w:r>
              <w:rPr>
                <w:rFonts w:ascii="Arial" w:cs="Arial" w:eastAsia="Arial" w:hAnsi="Arial"/>
                <w:sz w:val="17"/>
                <w:szCs w:val="17"/>
                <w:color w:val="auto"/>
                <w:w w:val="98"/>
              </w:rPr>
              <w:t>Provision for federal, state, provincial, territorial, local and foreign income taxes payable for Subject</w:t>
            </w:r>
          </w:p>
        </w:tc>
        <w:tc>
          <w:tcPr>
            <w:tcW w:w="2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2"/>
        </w:trPr>
        <w:tc>
          <w:tcPr>
            <w:tcW w:w="240" w:type="dxa"/>
            <w:vAlign w:val="bottom"/>
          </w:tcPr>
          <w:p>
            <w:pPr>
              <w:spacing w:after="0"/>
              <w:rPr>
                <w:sz w:val="9"/>
                <w:szCs w:val="9"/>
                <w:color w:val="auto"/>
              </w:rPr>
            </w:pPr>
          </w:p>
        </w:tc>
        <w:tc>
          <w:tcPr>
            <w:tcW w:w="7440" w:type="dxa"/>
            <w:vAlign w:val="bottom"/>
            <w:vMerge w:val="restart"/>
          </w:tcPr>
          <w:p>
            <w:pPr>
              <w:ind w:left="140"/>
              <w:spacing w:after="0"/>
              <w:rPr>
                <w:sz w:val="20"/>
                <w:szCs w:val="20"/>
                <w:color w:val="auto"/>
              </w:rPr>
            </w:pPr>
            <w:r>
              <w:rPr>
                <w:rFonts w:ascii="Arial" w:cs="Arial" w:eastAsia="Arial" w:hAnsi="Arial"/>
                <w:sz w:val="17"/>
                <w:szCs w:val="17"/>
                <w:color w:val="auto"/>
              </w:rPr>
              <w:t>Period:</w:t>
            </w: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40" w:type="dxa"/>
            <w:vAlign w:val="bottom"/>
          </w:tcPr>
          <w:p>
            <w:pPr>
              <w:spacing w:after="0"/>
              <w:rPr>
                <w:sz w:val="7"/>
                <w:szCs w:val="7"/>
                <w:color w:val="auto"/>
              </w:rPr>
            </w:pPr>
          </w:p>
        </w:tc>
        <w:tc>
          <w:tcPr>
            <w:tcW w:w="74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40" w:type="dxa"/>
            <w:vAlign w:val="bottom"/>
          </w:tcPr>
          <w:p>
            <w:pPr>
              <w:jc w:val="right"/>
              <w:ind w:right="34"/>
              <w:spacing w:after="0"/>
              <w:rPr>
                <w:sz w:val="20"/>
                <w:szCs w:val="20"/>
                <w:color w:val="auto"/>
              </w:rPr>
            </w:pPr>
            <w:r>
              <w:rPr>
                <w:rFonts w:ascii="Arial" w:cs="Arial" w:eastAsia="Arial" w:hAnsi="Arial"/>
                <w:sz w:val="17"/>
                <w:szCs w:val="17"/>
                <w:color w:val="auto"/>
                <w:w w:val="70"/>
              </w:rPr>
              <w:t>4.</w:t>
            </w:r>
          </w:p>
        </w:tc>
        <w:tc>
          <w:tcPr>
            <w:tcW w:w="7440" w:type="dxa"/>
            <w:vAlign w:val="bottom"/>
          </w:tcPr>
          <w:p>
            <w:pPr>
              <w:ind w:left="100"/>
              <w:spacing w:after="0"/>
              <w:rPr>
                <w:sz w:val="20"/>
                <w:szCs w:val="20"/>
                <w:color w:val="auto"/>
              </w:rPr>
            </w:pPr>
            <w:r>
              <w:rPr>
                <w:rFonts w:ascii="Arial" w:cs="Arial" w:eastAsia="Arial" w:hAnsi="Arial"/>
                <w:sz w:val="17"/>
                <w:szCs w:val="17"/>
                <w:color w:val="auto"/>
              </w:rPr>
              <w:t>Depreciation and amortization expense for Subject Period:</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40" w:type="dxa"/>
            <w:vAlign w:val="bottom"/>
          </w:tcPr>
          <w:p>
            <w:pPr>
              <w:jc w:val="right"/>
              <w:ind w:right="34"/>
              <w:spacing w:after="0"/>
              <w:rPr>
                <w:sz w:val="20"/>
                <w:szCs w:val="20"/>
                <w:color w:val="auto"/>
              </w:rPr>
            </w:pPr>
            <w:r>
              <w:rPr>
                <w:rFonts w:ascii="Arial" w:cs="Arial" w:eastAsia="Arial" w:hAnsi="Arial"/>
                <w:sz w:val="17"/>
                <w:szCs w:val="17"/>
                <w:color w:val="auto"/>
                <w:w w:val="70"/>
              </w:rPr>
              <w:t>5.</w:t>
            </w:r>
          </w:p>
        </w:tc>
        <w:tc>
          <w:tcPr>
            <w:tcW w:w="7440" w:type="dxa"/>
            <w:vAlign w:val="bottom"/>
          </w:tcPr>
          <w:p>
            <w:pPr>
              <w:ind w:left="100"/>
              <w:spacing w:after="0"/>
              <w:rPr>
                <w:sz w:val="20"/>
                <w:szCs w:val="20"/>
                <w:color w:val="auto"/>
              </w:rPr>
            </w:pPr>
            <w:r>
              <w:rPr>
                <w:rFonts w:ascii="Arial" w:cs="Arial" w:eastAsia="Arial" w:hAnsi="Arial"/>
                <w:sz w:val="17"/>
                <w:szCs w:val="17"/>
                <w:color w:val="auto"/>
              </w:rPr>
              <w:t>Non-cash unrealized losses on Swap Contracts for Subject Period:</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40" w:type="dxa"/>
            <w:vAlign w:val="bottom"/>
          </w:tcPr>
          <w:p>
            <w:pPr>
              <w:jc w:val="right"/>
              <w:ind w:right="34"/>
              <w:spacing w:after="0"/>
              <w:rPr>
                <w:sz w:val="20"/>
                <w:szCs w:val="20"/>
                <w:color w:val="auto"/>
              </w:rPr>
            </w:pPr>
            <w:r>
              <w:rPr>
                <w:rFonts w:ascii="Arial" w:cs="Arial" w:eastAsia="Arial" w:hAnsi="Arial"/>
                <w:sz w:val="17"/>
                <w:szCs w:val="17"/>
                <w:color w:val="auto"/>
                <w:w w:val="70"/>
              </w:rPr>
              <w:t>6.</w:t>
            </w:r>
          </w:p>
        </w:tc>
        <w:tc>
          <w:tcPr>
            <w:tcW w:w="7440" w:type="dxa"/>
            <w:vAlign w:val="bottom"/>
          </w:tcPr>
          <w:p>
            <w:pPr>
              <w:ind w:left="100"/>
              <w:spacing w:after="0"/>
              <w:rPr>
                <w:sz w:val="20"/>
                <w:szCs w:val="20"/>
                <w:color w:val="auto"/>
              </w:rPr>
            </w:pPr>
            <w:r>
              <w:rPr>
                <w:rFonts w:ascii="Arial" w:cs="Arial" w:eastAsia="Arial" w:hAnsi="Arial"/>
                <w:sz w:val="17"/>
                <w:szCs w:val="17"/>
                <w:color w:val="auto"/>
              </w:rPr>
              <w:t>Non-cash unrealized losses attributable to foreign currency transactions for Subject Period:</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40" w:type="dxa"/>
            <w:vAlign w:val="bottom"/>
          </w:tcPr>
          <w:p>
            <w:pPr>
              <w:jc w:val="right"/>
              <w:ind w:right="34"/>
              <w:spacing w:after="0"/>
              <w:rPr>
                <w:sz w:val="20"/>
                <w:szCs w:val="20"/>
                <w:color w:val="auto"/>
              </w:rPr>
            </w:pPr>
            <w:r>
              <w:rPr>
                <w:rFonts w:ascii="Arial" w:cs="Arial" w:eastAsia="Arial" w:hAnsi="Arial"/>
                <w:sz w:val="17"/>
                <w:szCs w:val="17"/>
                <w:color w:val="auto"/>
                <w:w w:val="70"/>
              </w:rPr>
              <w:t>7.</w:t>
            </w:r>
          </w:p>
        </w:tc>
        <w:tc>
          <w:tcPr>
            <w:tcW w:w="7440" w:type="dxa"/>
            <w:vAlign w:val="bottom"/>
          </w:tcPr>
          <w:p>
            <w:pPr>
              <w:ind w:left="100"/>
              <w:spacing w:after="0"/>
              <w:rPr>
                <w:sz w:val="20"/>
                <w:szCs w:val="20"/>
                <w:color w:val="auto"/>
              </w:rPr>
            </w:pPr>
            <w:r>
              <w:rPr>
                <w:rFonts w:ascii="Arial" w:cs="Arial" w:eastAsia="Arial" w:hAnsi="Arial"/>
                <w:sz w:val="17"/>
                <w:szCs w:val="17"/>
                <w:color w:val="auto"/>
              </w:rPr>
              <w:t>Non-cash stock based compensation expense for Subject Period:</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40" w:type="dxa"/>
            <w:vAlign w:val="bottom"/>
          </w:tcPr>
          <w:p>
            <w:pPr>
              <w:jc w:val="right"/>
              <w:ind w:right="34"/>
              <w:spacing w:after="0"/>
              <w:rPr>
                <w:sz w:val="20"/>
                <w:szCs w:val="20"/>
                <w:color w:val="auto"/>
              </w:rPr>
            </w:pPr>
            <w:r>
              <w:rPr>
                <w:rFonts w:ascii="Arial" w:cs="Arial" w:eastAsia="Arial" w:hAnsi="Arial"/>
                <w:sz w:val="17"/>
                <w:szCs w:val="17"/>
                <w:color w:val="auto"/>
                <w:w w:val="70"/>
              </w:rPr>
              <w:t>8.</w:t>
            </w:r>
          </w:p>
        </w:tc>
        <w:tc>
          <w:tcPr>
            <w:tcW w:w="7440" w:type="dxa"/>
            <w:vAlign w:val="bottom"/>
          </w:tcPr>
          <w:p>
            <w:pPr>
              <w:ind w:left="100"/>
              <w:spacing w:after="0"/>
              <w:rPr>
                <w:sz w:val="20"/>
                <w:szCs w:val="20"/>
                <w:color w:val="auto"/>
              </w:rPr>
            </w:pPr>
            <w:r>
              <w:rPr>
                <w:rFonts w:ascii="Arial" w:cs="Arial" w:eastAsia="Arial" w:hAnsi="Arial"/>
                <w:sz w:val="17"/>
                <w:szCs w:val="17"/>
                <w:color w:val="auto"/>
                <w:w w:val="93"/>
              </w:rPr>
              <w:t>Transaction fees and expenses in connection with Permitted Acquisitions, in an aggregate amount not to</w:t>
            </w:r>
          </w:p>
        </w:tc>
        <w:tc>
          <w:tcPr>
            <w:tcW w:w="2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2"/>
        </w:trPr>
        <w:tc>
          <w:tcPr>
            <w:tcW w:w="240" w:type="dxa"/>
            <w:vAlign w:val="bottom"/>
          </w:tcPr>
          <w:p>
            <w:pPr>
              <w:spacing w:after="0"/>
              <w:rPr>
                <w:sz w:val="9"/>
                <w:szCs w:val="9"/>
                <w:color w:val="auto"/>
              </w:rPr>
            </w:pPr>
          </w:p>
        </w:tc>
        <w:tc>
          <w:tcPr>
            <w:tcW w:w="7440" w:type="dxa"/>
            <w:vAlign w:val="bottom"/>
            <w:vMerge w:val="restart"/>
          </w:tcPr>
          <w:p>
            <w:pPr>
              <w:ind w:left="140"/>
              <w:spacing w:after="0"/>
              <w:rPr>
                <w:sz w:val="20"/>
                <w:szCs w:val="20"/>
                <w:color w:val="auto"/>
              </w:rPr>
            </w:pPr>
            <w:r>
              <w:rPr>
                <w:rFonts w:ascii="Arial" w:cs="Arial" w:eastAsia="Arial" w:hAnsi="Arial"/>
                <w:sz w:val="17"/>
                <w:szCs w:val="17"/>
                <w:color w:val="auto"/>
              </w:rPr>
              <w:t>exceed $3,000,000 for any Subject Period:</w:t>
            </w: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74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1466" w:hanging="341"/>
        <w:spacing w:after="0"/>
        <w:tabs>
          <w:tab w:leader="none" w:pos="1466" w:val="left"/>
        </w:tabs>
        <w:numPr>
          <w:ilvl w:val="0"/>
          <w:numId w:val="173"/>
        </w:numPr>
        <w:rPr>
          <w:rFonts w:ascii="Arial" w:cs="Arial" w:eastAsia="Arial" w:hAnsi="Arial"/>
          <w:sz w:val="17"/>
          <w:szCs w:val="17"/>
          <w:color w:val="auto"/>
        </w:rPr>
      </w:pPr>
      <w:r>
        <w:rPr>
          <w:rFonts w:ascii="Arial" w:cs="Arial" w:eastAsia="Arial" w:hAnsi="Arial"/>
          <w:sz w:val="17"/>
          <w:szCs w:val="17"/>
          <w:color w:val="auto"/>
        </w:rPr>
        <w:t>Other non-recurring expenses, as approved by the Administrative Agent in its reasonable discretion,</w:t>
      </w:r>
    </w:p>
    <w:tbl>
      <w:tblPr>
        <w:tblLayout w:type="fixed"/>
        <w:tblInd w:w="566" w:type="dxa"/>
        <w:tblCellMar>
          <w:top w:w="0" w:type="dxa"/>
          <w:left w:w="0" w:type="dxa"/>
          <w:bottom w:w="0" w:type="dxa"/>
          <w:right w:w="0" w:type="dxa"/>
        </w:tblCellMar>
      </w:tblPr>
      <w:tr>
        <w:trPr>
          <w:trHeight w:val="189"/>
        </w:trPr>
        <w:tc>
          <w:tcPr>
            <w:tcW w:w="280" w:type="dxa"/>
            <w:vAlign w:val="bottom"/>
          </w:tcPr>
          <w:p>
            <w:pPr>
              <w:spacing w:after="0"/>
              <w:rPr>
                <w:sz w:val="16"/>
                <w:szCs w:val="16"/>
                <w:color w:val="auto"/>
              </w:rPr>
            </w:pPr>
          </w:p>
        </w:tc>
        <w:tc>
          <w:tcPr>
            <w:tcW w:w="8000" w:type="dxa"/>
            <w:vAlign w:val="bottom"/>
          </w:tcPr>
          <w:p>
            <w:pPr>
              <w:ind w:left="660"/>
              <w:spacing w:after="0" w:line="189" w:lineRule="exact"/>
              <w:rPr>
                <w:sz w:val="20"/>
                <w:szCs w:val="20"/>
                <w:color w:val="auto"/>
              </w:rPr>
            </w:pPr>
            <w:r>
              <w:rPr>
                <w:rFonts w:ascii="Arial" w:cs="Arial" w:eastAsia="Arial" w:hAnsi="Arial"/>
                <w:sz w:val="17"/>
                <w:szCs w:val="17"/>
                <w:color w:val="auto"/>
                <w:w w:val="96"/>
              </w:rPr>
              <w:t>reducing such Consolidated Net Income which do not represent a cash item for Subject Period or any</w:t>
            </w:r>
          </w:p>
        </w:tc>
        <w:tc>
          <w:tcPr>
            <w:tcW w:w="1800" w:type="dxa"/>
            <w:vAlign w:val="bottom"/>
            <w:vMerge w:val="restart"/>
          </w:tcPr>
          <w:p>
            <w:pPr>
              <w:jc w:val="right"/>
              <w:ind w:right="14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2"/>
        </w:trPr>
        <w:tc>
          <w:tcPr>
            <w:tcW w:w="280" w:type="dxa"/>
            <w:vAlign w:val="bottom"/>
          </w:tcPr>
          <w:p>
            <w:pPr>
              <w:spacing w:after="0"/>
              <w:rPr>
                <w:sz w:val="9"/>
                <w:szCs w:val="9"/>
                <w:color w:val="auto"/>
              </w:rPr>
            </w:pPr>
          </w:p>
        </w:tc>
        <w:tc>
          <w:tcPr>
            <w:tcW w:w="8000" w:type="dxa"/>
            <w:vAlign w:val="bottom"/>
            <w:vMerge w:val="restart"/>
          </w:tcPr>
          <w:p>
            <w:pPr>
              <w:ind w:left="660"/>
              <w:spacing w:after="0"/>
              <w:rPr>
                <w:sz w:val="20"/>
                <w:szCs w:val="20"/>
                <w:color w:val="auto"/>
              </w:rPr>
            </w:pPr>
            <w:r>
              <w:rPr>
                <w:rFonts w:ascii="Arial" w:cs="Arial" w:eastAsia="Arial" w:hAnsi="Arial"/>
                <w:sz w:val="17"/>
                <w:szCs w:val="17"/>
                <w:color w:val="auto"/>
                <w:w w:val="94"/>
              </w:rPr>
              <w:t>future period (in each as of or by the Company and its Subsidiaries on a consolidated basis for Subject</w:t>
            </w: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80" w:type="dxa"/>
            <w:vAlign w:val="bottom"/>
          </w:tcPr>
          <w:p>
            <w:pPr>
              <w:spacing w:after="0"/>
              <w:rPr>
                <w:sz w:val="7"/>
                <w:szCs w:val="7"/>
                <w:color w:val="auto"/>
              </w:rPr>
            </w:pPr>
          </w:p>
        </w:tc>
        <w:tc>
          <w:tcPr>
            <w:tcW w:w="800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8000" w:type="dxa"/>
            <w:vAlign w:val="bottom"/>
          </w:tcPr>
          <w:p>
            <w:pPr>
              <w:ind w:left="660"/>
              <w:spacing w:after="0"/>
              <w:rPr>
                <w:sz w:val="20"/>
                <w:szCs w:val="20"/>
                <w:color w:val="auto"/>
              </w:rPr>
            </w:pPr>
            <w:r>
              <w:rPr>
                <w:rFonts w:ascii="Arial" w:cs="Arial" w:eastAsia="Arial" w:hAnsi="Arial"/>
                <w:sz w:val="17"/>
                <w:szCs w:val="17"/>
                <w:color w:val="auto"/>
              </w:rPr>
              <w:t>Period):</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8000" w:type="dxa"/>
            <w:vAlign w:val="bottom"/>
          </w:tcPr>
          <w:p>
            <w:pPr>
              <w:ind w:left="280"/>
              <w:spacing w:after="0"/>
              <w:rPr>
                <w:sz w:val="20"/>
                <w:szCs w:val="20"/>
                <w:color w:val="auto"/>
              </w:rPr>
            </w:pPr>
            <w:r>
              <w:rPr>
                <w:rFonts w:ascii="Arial" w:cs="Arial" w:eastAsia="Arial" w:hAnsi="Arial"/>
                <w:sz w:val="17"/>
                <w:szCs w:val="17"/>
                <w:color w:val="auto"/>
              </w:rPr>
              <w:t>10.  Federal, state, provincial, territorial, local and foreign income tax credits for Subject Period:</w:t>
            </w:r>
          </w:p>
        </w:tc>
        <w:tc>
          <w:tcPr>
            <w:tcW w:w="1800" w:type="dxa"/>
            <w:vAlign w:val="bottom"/>
          </w:tcPr>
          <w:p>
            <w:pPr>
              <w:jc w:val="right"/>
              <w:ind w:right="14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8000" w:type="dxa"/>
            <w:vAlign w:val="bottom"/>
          </w:tcPr>
          <w:p>
            <w:pPr>
              <w:ind w:left="280"/>
              <w:spacing w:after="0"/>
              <w:rPr>
                <w:sz w:val="20"/>
                <w:szCs w:val="20"/>
                <w:color w:val="auto"/>
              </w:rPr>
            </w:pPr>
            <w:r>
              <w:rPr>
                <w:rFonts w:ascii="Arial" w:cs="Arial" w:eastAsia="Arial" w:hAnsi="Arial"/>
                <w:sz w:val="17"/>
                <w:szCs w:val="17"/>
                <w:color w:val="auto"/>
              </w:rPr>
              <w:t>11.  Non-cash unrealized gains on Swap Contracts for Subject Period:</w:t>
            </w:r>
          </w:p>
        </w:tc>
        <w:tc>
          <w:tcPr>
            <w:tcW w:w="1800" w:type="dxa"/>
            <w:vAlign w:val="bottom"/>
          </w:tcPr>
          <w:p>
            <w:pPr>
              <w:jc w:val="right"/>
              <w:ind w:right="14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8000" w:type="dxa"/>
            <w:vAlign w:val="bottom"/>
          </w:tcPr>
          <w:p>
            <w:pPr>
              <w:ind w:left="280"/>
              <w:spacing w:after="0"/>
              <w:rPr>
                <w:sz w:val="20"/>
                <w:szCs w:val="20"/>
                <w:color w:val="auto"/>
              </w:rPr>
            </w:pPr>
            <w:r>
              <w:rPr>
                <w:rFonts w:ascii="Arial" w:cs="Arial" w:eastAsia="Arial" w:hAnsi="Arial"/>
                <w:sz w:val="17"/>
                <w:szCs w:val="17"/>
                <w:color w:val="auto"/>
              </w:rPr>
              <w:t>12.  Non-cash unrealized gains attributable to foreign currency transactions for Subject Period:</w:t>
            </w:r>
          </w:p>
        </w:tc>
        <w:tc>
          <w:tcPr>
            <w:tcW w:w="1800" w:type="dxa"/>
            <w:vAlign w:val="bottom"/>
          </w:tcPr>
          <w:p>
            <w:pPr>
              <w:jc w:val="right"/>
              <w:ind w:right="14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8000" w:type="dxa"/>
            <w:vAlign w:val="bottom"/>
          </w:tcPr>
          <w:p>
            <w:pPr>
              <w:ind w:left="280"/>
              <w:spacing w:after="0"/>
              <w:rPr>
                <w:sz w:val="20"/>
                <w:szCs w:val="20"/>
                <w:color w:val="auto"/>
              </w:rPr>
            </w:pPr>
            <w:r>
              <w:rPr>
                <w:rFonts w:ascii="Arial" w:cs="Arial" w:eastAsia="Arial" w:hAnsi="Arial"/>
                <w:sz w:val="17"/>
                <w:szCs w:val="17"/>
                <w:color w:val="auto"/>
                <w:w w:val="94"/>
              </w:rPr>
              <w:t>13.  All non-recurring, non-cash items increasing Consolidated Net Income for Subject Period (in each case,</w:t>
            </w:r>
          </w:p>
        </w:tc>
        <w:tc>
          <w:tcPr>
            <w:tcW w:w="1800" w:type="dxa"/>
            <w:vAlign w:val="bottom"/>
            <w:vMerge w:val="restart"/>
          </w:tcPr>
          <w:p>
            <w:pPr>
              <w:jc w:val="right"/>
              <w:ind w:right="14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2"/>
        </w:trPr>
        <w:tc>
          <w:tcPr>
            <w:tcW w:w="280" w:type="dxa"/>
            <w:vAlign w:val="bottom"/>
          </w:tcPr>
          <w:p>
            <w:pPr>
              <w:spacing w:after="0"/>
              <w:rPr>
                <w:sz w:val="9"/>
                <w:szCs w:val="9"/>
                <w:color w:val="auto"/>
              </w:rPr>
            </w:pPr>
          </w:p>
        </w:tc>
        <w:tc>
          <w:tcPr>
            <w:tcW w:w="8000" w:type="dxa"/>
            <w:vAlign w:val="bottom"/>
            <w:vMerge w:val="restart"/>
          </w:tcPr>
          <w:p>
            <w:pPr>
              <w:ind w:left="660"/>
              <w:spacing w:after="0"/>
              <w:rPr>
                <w:sz w:val="20"/>
                <w:szCs w:val="20"/>
                <w:color w:val="auto"/>
              </w:rPr>
            </w:pPr>
            <w:r>
              <w:rPr>
                <w:rFonts w:ascii="Arial" w:cs="Arial" w:eastAsia="Arial" w:hAnsi="Arial"/>
                <w:sz w:val="17"/>
                <w:szCs w:val="17"/>
                <w:color w:val="auto"/>
              </w:rPr>
              <w:t>of or by the Company and its Subsidiaries for Subject Period):</w:t>
            </w: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80" w:type="dxa"/>
            <w:vAlign w:val="bottom"/>
          </w:tcPr>
          <w:p>
            <w:pPr>
              <w:spacing w:after="0"/>
              <w:rPr>
                <w:sz w:val="7"/>
                <w:szCs w:val="7"/>
                <w:color w:val="auto"/>
              </w:rPr>
            </w:pPr>
          </w:p>
        </w:tc>
        <w:tc>
          <w:tcPr>
            <w:tcW w:w="800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8000" w:type="dxa"/>
            <w:vAlign w:val="bottom"/>
          </w:tcPr>
          <w:p>
            <w:pPr>
              <w:ind w:left="280"/>
              <w:spacing w:after="0"/>
              <w:rPr>
                <w:sz w:val="20"/>
                <w:szCs w:val="20"/>
                <w:color w:val="auto"/>
              </w:rPr>
            </w:pPr>
            <w:r>
              <w:rPr>
                <w:rFonts w:ascii="Arial" w:cs="Arial" w:eastAsia="Arial" w:hAnsi="Arial"/>
                <w:sz w:val="17"/>
                <w:szCs w:val="17"/>
                <w:color w:val="auto"/>
              </w:rPr>
              <w:t>14.  Consolidated EBITDA (Lines I.A.1 + 2 + 3 + 4 + 5 + 6 +7 + 8 +9 – 10 – 11 – 12 – 13):</w:t>
            </w:r>
          </w:p>
        </w:tc>
        <w:tc>
          <w:tcPr>
            <w:tcW w:w="1800" w:type="dxa"/>
            <w:vAlign w:val="bottom"/>
          </w:tcPr>
          <w:p>
            <w:pPr>
              <w:jc w:val="right"/>
              <w:ind w:right="14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80" w:type="dxa"/>
            <w:vAlign w:val="bottom"/>
          </w:tcPr>
          <w:p>
            <w:pPr>
              <w:spacing w:after="0"/>
              <w:rPr>
                <w:sz w:val="20"/>
                <w:szCs w:val="20"/>
                <w:color w:val="auto"/>
              </w:rPr>
            </w:pPr>
            <w:r>
              <w:rPr>
                <w:rFonts w:ascii="Arial" w:cs="Arial" w:eastAsia="Arial" w:hAnsi="Arial"/>
                <w:sz w:val="17"/>
                <w:szCs w:val="17"/>
                <w:color w:val="auto"/>
              </w:rPr>
              <w:t>B.</w:t>
            </w:r>
          </w:p>
        </w:tc>
        <w:tc>
          <w:tcPr>
            <w:tcW w:w="8000" w:type="dxa"/>
            <w:vAlign w:val="bottom"/>
          </w:tcPr>
          <w:p>
            <w:pPr>
              <w:ind w:left="220"/>
              <w:spacing w:after="0"/>
              <w:rPr>
                <w:sz w:val="20"/>
                <w:szCs w:val="20"/>
                <w:color w:val="auto"/>
              </w:rPr>
            </w:pPr>
            <w:r>
              <w:rPr>
                <w:rFonts w:ascii="Arial" w:cs="Arial" w:eastAsia="Arial" w:hAnsi="Arial"/>
                <w:sz w:val="17"/>
                <w:szCs w:val="17"/>
                <w:color w:val="auto"/>
                <w:w w:val="93"/>
              </w:rPr>
              <w:t>Consolidated Capital Expenditures for Subject Period to the extent not financed from proceeds of Consolidated</w:t>
            </w:r>
          </w:p>
        </w:tc>
        <w:tc>
          <w:tcPr>
            <w:tcW w:w="1800" w:type="dxa"/>
            <w:vAlign w:val="bottom"/>
            <w:vMerge w:val="restart"/>
          </w:tcPr>
          <w:p>
            <w:pPr>
              <w:jc w:val="right"/>
              <w:ind w:right="14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2"/>
        </w:trPr>
        <w:tc>
          <w:tcPr>
            <w:tcW w:w="280" w:type="dxa"/>
            <w:vAlign w:val="bottom"/>
          </w:tcPr>
          <w:p>
            <w:pPr>
              <w:spacing w:after="0"/>
              <w:rPr>
                <w:sz w:val="9"/>
                <w:szCs w:val="9"/>
                <w:color w:val="auto"/>
              </w:rPr>
            </w:pPr>
          </w:p>
        </w:tc>
        <w:tc>
          <w:tcPr>
            <w:tcW w:w="8000" w:type="dxa"/>
            <w:vAlign w:val="bottom"/>
            <w:vMerge w:val="restart"/>
          </w:tcPr>
          <w:p>
            <w:pPr>
              <w:ind w:left="280"/>
              <w:spacing w:after="0"/>
              <w:rPr>
                <w:sz w:val="20"/>
                <w:szCs w:val="20"/>
                <w:color w:val="auto"/>
              </w:rPr>
            </w:pPr>
            <w:r>
              <w:rPr>
                <w:rFonts w:ascii="Arial" w:cs="Arial" w:eastAsia="Arial" w:hAnsi="Arial"/>
                <w:sz w:val="17"/>
                <w:szCs w:val="17"/>
                <w:color w:val="auto"/>
              </w:rPr>
              <w:t>Funded Indebtedness (excluding proceeds of the Revolving Credit Loans or Swing Line Loans):</w:t>
            </w: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80" w:type="dxa"/>
            <w:vAlign w:val="bottom"/>
          </w:tcPr>
          <w:p>
            <w:pPr>
              <w:spacing w:after="0"/>
              <w:rPr>
                <w:sz w:val="7"/>
                <w:szCs w:val="7"/>
                <w:color w:val="auto"/>
              </w:rPr>
            </w:pPr>
          </w:p>
        </w:tc>
        <w:tc>
          <w:tcPr>
            <w:tcW w:w="800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80" w:type="dxa"/>
            <w:vAlign w:val="bottom"/>
          </w:tcPr>
          <w:p>
            <w:pPr>
              <w:spacing w:after="0"/>
              <w:rPr>
                <w:sz w:val="20"/>
                <w:szCs w:val="20"/>
                <w:color w:val="auto"/>
              </w:rPr>
            </w:pPr>
            <w:r>
              <w:rPr>
                <w:rFonts w:ascii="Arial" w:cs="Arial" w:eastAsia="Arial" w:hAnsi="Arial"/>
                <w:sz w:val="17"/>
                <w:szCs w:val="17"/>
                <w:color w:val="auto"/>
              </w:rPr>
              <w:t>C.</w:t>
            </w:r>
          </w:p>
        </w:tc>
        <w:tc>
          <w:tcPr>
            <w:tcW w:w="8000" w:type="dxa"/>
            <w:vAlign w:val="bottom"/>
          </w:tcPr>
          <w:p>
            <w:pPr>
              <w:ind w:left="180"/>
              <w:spacing w:after="0"/>
              <w:rPr>
                <w:sz w:val="20"/>
                <w:szCs w:val="20"/>
                <w:color w:val="auto"/>
              </w:rPr>
            </w:pPr>
            <w:r>
              <w:rPr>
                <w:rFonts w:ascii="Arial" w:cs="Arial" w:eastAsia="Arial" w:hAnsi="Arial"/>
                <w:sz w:val="17"/>
                <w:szCs w:val="17"/>
                <w:color w:val="auto"/>
              </w:rPr>
              <w:t>Consolidated Cash Taxes for Subject Period:</w:t>
            </w:r>
          </w:p>
        </w:tc>
        <w:tc>
          <w:tcPr>
            <w:tcW w:w="1800" w:type="dxa"/>
            <w:vAlign w:val="bottom"/>
          </w:tcPr>
          <w:p>
            <w:pPr>
              <w:jc w:val="right"/>
              <w:ind w:right="14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80" w:type="dxa"/>
            <w:vAlign w:val="bottom"/>
          </w:tcPr>
          <w:p>
            <w:pPr>
              <w:spacing w:after="0"/>
              <w:rPr>
                <w:sz w:val="20"/>
                <w:szCs w:val="20"/>
                <w:color w:val="auto"/>
              </w:rPr>
            </w:pPr>
            <w:r>
              <w:rPr>
                <w:rFonts w:ascii="Arial" w:cs="Arial" w:eastAsia="Arial" w:hAnsi="Arial"/>
                <w:sz w:val="17"/>
                <w:szCs w:val="17"/>
                <w:color w:val="auto"/>
              </w:rPr>
              <w:t>D.</w:t>
            </w:r>
          </w:p>
        </w:tc>
        <w:tc>
          <w:tcPr>
            <w:tcW w:w="8000" w:type="dxa"/>
            <w:vAlign w:val="bottom"/>
          </w:tcPr>
          <w:p>
            <w:pPr>
              <w:ind w:left="180"/>
              <w:spacing w:after="0"/>
              <w:rPr>
                <w:sz w:val="20"/>
                <w:szCs w:val="20"/>
                <w:color w:val="auto"/>
              </w:rPr>
            </w:pPr>
            <w:r>
              <w:rPr>
                <w:rFonts w:ascii="Arial" w:cs="Arial" w:eastAsia="Arial" w:hAnsi="Arial"/>
                <w:sz w:val="17"/>
                <w:szCs w:val="17"/>
                <w:color w:val="auto"/>
              </w:rPr>
              <w:t>Aggregate amount of all Restricted Payments paid in cash during Subject Period:</w:t>
            </w:r>
          </w:p>
        </w:tc>
        <w:tc>
          <w:tcPr>
            <w:tcW w:w="1800" w:type="dxa"/>
            <w:vAlign w:val="bottom"/>
          </w:tcPr>
          <w:p>
            <w:pPr>
              <w:jc w:val="right"/>
              <w:ind w:right="14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80" w:type="dxa"/>
            <w:vAlign w:val="bottom"/>
          </w:tcPr>
          <w:p>
            <w:pPr>
              <w:spacing w:after="0"/>
              <w:rPr>
                <w:sz w:val="20"/>
                <w:szCs w:val="20"/>
                <w:color w:val="auto"/>
              </w:rPr>
            </w:pPr>
            <w:r>
              <w:rPr>
                <w:rFonts w:ascii="Arial" w:cs="Arial" w:eastAsia="Arial" w:hAnsi="Arial"/>
                <w:sz w:val="17"/>
                <w:szCs w:val="17"/>
                <w:color w:val="auto"/>
              </w:rPr>
              <w:t>E.</w:t>
            </w:r>
          </w:p>
        </w:tc>
        <w:tc>
          <w:tcPr>
            <w:tcW w:w="8000" w:type="dxa"/>
            <w:vAlign w:val="bottom"/>
          </w:tcPr>
          <w:p>
            <w:pPr>
              <w:ind w:left="160"/>
              <w:spacing w:after="0"/>
              <w:rPr>
                <w:sz w:val="20"/>
                <w:szCs w:val="20"/>
                <w:color w:val="auto"/>
              </w:rPr>
            </w:pPr>
            <w:r>
              <w:rPr>
                <w:rFonts w:ascii="Arial" w:cs="Arial" w:eastAsia="Arial" w:hAnsi="Arial"/>
                <w:sz w:val="17"/>
                <w:szCs w:val="17"/>
                <w:color w:val="auto"/>
              </w:rPr>
              <w:t>Line I.A.14 – Line I.B – Line I.C – Line I.D:</w:t>
            </w:r>
          </w:p>
        </w:tc>
        <w:tc>
          <w:tcPr>
            <w:tcW w:w="1800" w:type="dxa"/>
            <w:vAlign w:val="bottom"/>
          </w:tcPr>
          <w:p>
            <w:pPr>
              <w:jc w:val="right"/>
              <w:ind w:right="14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80" w:type="dxa"/>
            <w:vAlign w:val="bottom"/>
          </w:tcPr>
          <w:p>
            <w:pPr>
              <w:spacing w:after="0"/>
              <w:rPr>
                <w:sz w:val="20"/>
                <w:szCs w:val="20"/>
                <w:color w:val="auto"/>
              </w:rPr>
            </w:pPr>
            <w:r>
              <w:rPr>
                <w:rFonts w:ascii="Arial" w:cs="Arial" w:eastAsia="Arial" w:hAnsi="Arial"/>
                <w:sz w:val="17"/>
                <w:szCs w:val="17"/>
                <w:color w:val="auto"/>
              </w:rPr>
              <w:t>F.</w:t>
            </w:r>
          </w:p>
        </w:tc>
        <w:tc>
          <w:tcPr>
            <w:tcW w:w="8000" w:type="dxa"/>
            <w:vAlign w:val="bottom"/>
          </w:tcPr>
          <w:p>
            <w:pPr>
              <w:ind w:left="140"/>
              <w:spacing w:after="0"/>
              <w:rPr>
                <w:sz w:val="20"/>
                <w:szCs w:val="20"/>
                <w:color w:val="auto"/>
              </w:rPr>
            </w:pPr>
            <w:r>
              <w:rPr>
                <w:rFonts w:ascii="Arial" w:cs="Arial" w:eastAsia="Arial" w:hAnsi="Arial"/>
                <w:sz w:val="17"/>
                <w:szCs w:val="17"/>
                <w:color w:val="auto"/>
              </w:rPr>
              <w:t>Consolidated Interest Charges for Subject Period:</w:t>
            </w:r>
          </w:p>
        </w:tc>
        <w:tc>
          <w:tcPr>
            <w:tcW w:w="1800" w:type="dxa"/>
            <w:vAlign w:val="bottom"/>
          </w:tcPr>
          <w:p>
            <w:pPr>
              <w:jc w:val="right"/>
              <w:ind w:right="14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80" w:type="dxa"/>
            <w:vAlign w:val="bottom"/>
          </w:tcPr>
          <w:p>
            <w:pPr>
              <w:spacing w:after="0"/>
              <w:rPr>
                <w:sz w:val="20"/>
                <w:szCs w:val="20"/>
                <w:color w:val="auto"/>
              </w:rPr>
            </w:pPr>
            <w:r>
              <w:rPr>
                <w:rFonts w:ascii="Arial" w:cs="Arial" w:eastAsia="Arial" w:hAnsi="Arial"/>
                <w:sz w:val="17"/>
                <w:szCs w:val="17"/>
                <w:color w:val="auto"/>
              </w:rPr>
              <w:t>G.</w:t>
            </w:r>
          </w:p>
        </w:tc>
        <w:tc>
          <w:tcPr>
            <w:tcW w:w="8000" w:type="dxa"/>
            <w:vAlign w:val="bottom"/>
          </w:tcPr>
          <w:p>
            <w:pPr>
              <w:ind w:left="180"/>
              <w:spacing w:after="0"/>
              <w:rPr>
                <w:sz w:val="20"/>
                <w:szCs w:val="20"/>
                <w:color w:val="auto"/>
              </w:rPr>
            </w:pPr>
            <w:r>
              <w:rPr>
                <w:rFonts w:ascii="Arial" w:cs="Arial" w:eastAsia="Arial" w:hAnsi="Arial"/>
                <w:sz w:val="17"/>
                <w:szCs w:val="17"/>
                <w:color w:val="auto"/>
              </w:rPr>
              <w:t>Consolidated Scheduled Funded Debt Payments for Subject Period:</w:t>
            </w:r>
          </w:p>
        </w:tc>
        <w:tc>
          <w:tcPr>
            <w:tcW w:w="1800" w:type="dxa"/>
            <w:vAlign w:val="bottom"/>
          </w:tcPr>
          <w:p>
            <w:pPr>
              <w:jc w:val="right"/>
              <w:ind w:right="14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80" w:type="dxa"/>
            <w:vAlign w:val="bottom"/>
          </w:tcPr>
          <w:p>
            <w:pPr>
              <w:spacing w:after="0"/>
              <w:rPr>
                <w:sz w:val="20"/>
                <w:szCs w:val="20"/>
                <w:color w:val="auto"/>
              </w:rPr>
            </w:pPr>
            <w:r>
              <w:rPr>
                <w:rFonts w:ascii="Arial" w:cs="Arial" w:eastAsia="Arial" w:hAnsi="Arial"/>
                <w:sz w:val="17"/>
                <w:szCs w:val="17"/>
                <w:color w:val="auto"/>
              </w:rPr>
              <w:t>H.</w:t>
            </w:r>
          </w:p>
        </w:tc>
        <w:tc>
          <w:tcPr>
            <w:tcW w:w="8000" w:type="dxa"/>
            <w:vAlign w:val="bottom"/>
          </w:tcPr>
          <w:p>
            <w:pPr>
              <w:ind w:left="180"/>
              <w:spacing w:after="0"/>
              <w:rPr>
                <w:sz w:val="20"/>
                <w:szCs w:val="20"/>
                <w:color w:val="auto"/>
              </w:rPr>
            </w:pPr>
            <w:r>
              <w:rPr>
                <w:rFonts w:ascii="Arial" w:cs="Arial" w:eastAsia="Arial" w:hAnsi="Arial"/>
                <w:sz w:val="17"/>
                <w:szCs w:val="17"/>
                <w:color w:val="auto"/>
              </w:rPr>
              <w:t>Line I.F + Line I.G:</w:t>
            </w:r>
          </w:p>
        </w:tc>
        <w:tc>
          <w:tcPr>
            <w:tcW w:w="1800" w:type="dxa"/>
            <w:vAlign w:val="bottom"/>
          </w:tcPr>
          <w:p>
            <w:pPr>
              <w:jc w:val="right"/>
              <w:ind w:right="14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80" w:type="dxa"/>
            <w:vAlign w:val="bottom"/>
          </w:tcPr>
          <w:p>
            <w:pPr>
              <w:spacing w:after="0"/>
              <w:rPr>
                <w:sz w:val="20"/>
                <w:szCs w:val="20"/>
                <w:color w:val="auto"/>
              </w:rPr>
            </w:pPr>
            <w:r>
              <w:rPr>
                <w:rFonts w:ascii="Arial" w:cs="Arial" w:eastAsia="Arial" w:hAnsi="Arial"/>
                <w:sz w:val="17"/>
                <w:szCs w:val="17"/>
                <w:color w:val="auto"/>
              </w:rPr>
              <w:t>I.</w:t>
            </w:r>
          </w:p>
        </w:tc>
        <w:tc>
          <w:tcPr>
            <w:tcW w:w="8000" w:type="dxa"/>
            <w:vAlign w:val="bottom"/>
          </w:tcPr>
          <w:p>
            <w:pPr>
              <w:ind w:left="120"/>
              <w:spacing w:after="0"/>
              <w:rPr>
                <w:sz w:val="20"/>
                <w:szCs w:val="20"/>
                <w:color w:val="auto"/>
              </w:rPr>
            </w:pPr>
            <w:r>
              <w:rPr>
                <w:rFonts w:ascii="Arial" w:cs="Arial" w:eastAsia="Arial" w:hAnsi="Arial"/>
                <w:sz w:val="17"/>
                <w:szCs w:val="17"/>
                <w:color w:val="auto"/>
              </w:rPr>
              <w:t>Consolidated Fixed Charge Coverage Ratio (Line I.E / Line I.H):</w:t>
            </w:r>
          </w:p>
        </w:tc>
        <w:tc>
          <w:tcPr>
            <w:tcW w:w="1800" w:type="dxa"/>
            <w:vAlign w:val="bottom"/>
          </w:tcPr>
          <w:p>
            <w:pPr>
              <w:jc w:val="right"/>
              <w:spacing w:after="0"/>
              <w:rPr>
                <w:sz w:val="20"/>
                <w:szCs w:val="20"/>
                <w:color w:val="auto"/>
              </w:rPr>
            </w:pPr>
            <w:r>
              <w:rPr>
                <w:rFonts w:ascii="Arial" w:cs="Arial" w:eastAsia="Arial" w:hAnsi="Arial"/>
                <w:sz w:val="17"/>
                <w:szCs w:val="17"/>
                <w:color w:val="auto"/>
              </w:rPr>
              <w:t>____ to 1.00</w:t>
            </w:r>
          </w:p>
        </w:tc>
        <w:tc>
          <w:tcPr>
            <w:tcW w:w="0" w:type="dxa"/>
            <w:vAlign w:val="bottom"/>
          </w:tcPr>
          <w:p>
            <w:pPr>
              <w:spacing w:after="0"/>
              <w:rPr>
                <w:sz w:val="1"/>
                <w:szCs w:val="1"/>
                <w:color w:val="auto"/>
              </w:rPr>
            </w:pPr>
          </w:p>
        </w:tc>
      </w:tr>
      <w:tr>
        <w:trPr>
          <w:trHeight w:val="213"/>
        </w:trPr>
        <w:tc>
          <w:tcPr>
            <w:tcW w:w="8280" w:type="dxa"/>
            <w:vAlign w:val="bottom"/>
            <w:gridSpan w:val="2"/>
          </w:tcPr>
          <w:p>
            <w:pPr>
              <w:spacing w:after="0"/>
              <w:rPr>
                <w:sz w:val="20"/>
                <w:szCs w:val="20"/>
                <w:color w:val="auto"/>
              </w:rPr>
            </w:pPr>
            <w:r>
              <w:rPr>
                <w:rFonts w:ascii="Arial" w:cs="Arial" w:eastAsia="Arial" w:hAnsi="Arial"/>
                <w:sz w:val="17"/>
                <w:szCs w:val="17"/>
                <w:i w:val="1"/>
                <w:iCs w:val="1"/>
                <w:color w:val="auto"/>
              </w:rPr>
              <w:t>Minimum required:</w:t>
            </w:r>
          </w:p>
        </w:tc>
        <w:tc>
          <w:tcPr>
            <w:tcW w:w="1800" w:type="dxa"/>
            <w:vAlign w:val="bottom"/>
          </w:tcPr>
          <w:p>
            <w:pPr>
              <w:jc w:val="right"/>
              <w:spacing w:after="0"/>
              <w:rPr>
                <w:sz w:val="20"/>
                <w:szCs w:val="20"/>
                <w:color w:val="auto"/>
              </w:rPr>
            </w:pPr>
            <w:r>
              <w:rPr>
                <w:rFonts w:ascii="Arial" w:cs="Arial" w:eastAsia="Arial" w:hAnsi="Arial"/>
                <w:sz w:val="17"/>
                <w:szCs w:val="17"/>
                <w:i w:val="1"/>
                <w:iCs w:val="1"/>
                <w:color w:val="auto"/>
              </w:rPr>
              <w:t>1.25 to 1.00</w:t>
            </w:r>
          </w:p>
        </w:tc>
        <w:tc>
          <w:tcPr>
            <w:tcW w:w="0" w:type="dxa"/>
            <w:vAlign w:val="bottom"/>
          </w:tcPr>
          <w:p>
            <w:pPr>
              <w:spacing w:after="0"/>
              <w:rPr>
                <w:sz w:val="1"/>
                <w:szCs w:val="1"/>
                <w:color w:val="auto"/>
              </w:rPr>
            </w:pPr>
          </w:p>
        </w:tc>
      </w:tr>
    </w:tbl>
    <w:p>
      <w:pPr>
        <w:ind w:left="486" w:hanging="486"/>
        <w:spacing w:after="0"/>
        <w:tabs>
          <w:tab w:leader="none" w:pos="486" w:val="left"/>
        </w:tabs>
        <w:numPr>
          <w:ilvl w:val="0"/>
          <w:numId w:val="174"/>
        </w:numPr>
        <w:rPr>
          <w:rFonts w:ascii="Arial" w:cs="Arial" w:eastAsia="Arial" w:hAnsi="Arial"/>
          <w:sz w:val="17"/>
          <w:szCs w:val="17"/>
          <w:b w:val="1"/>
          <w:bCs w:val="1"/>
          <w:color w:val="auto"/>
        </w:rPr>
      </w:pPr>
      <w:r>
        <w:rPr>
          <w:rFonts w:ascii="Arial" w:cs="Arial" w:eastAsia="Arial" w:hAnsi="Arial"/>
          <w:sz w:val="17"/>
          <w:szCs w:val="17"/>
          <w:b w:val="1"/>
          <w:bCs w:val="1"/>
          <w:color w:val="auto"/>
        </w:rPr>
        <w:t>Section 7.11 (b) – Consolidated Leverage Ratio</w:t>
      </w:r>
    </w:p>
    <w:tbl>
      <w:tblPr>
        <w:tblLayout w:type="fixed"/>
        <w:tblInd w:w="566" w:type="dxa"/>
        <w:tblCellMar>
          <w:top w:w="0" w:type="dxa"/>
          <w:left w:w="0" w:type="dxa"/>
          <w:bottom w:w="0" w:type="dxa"/>
          <w:right w:w="0" w:type="dxa"/>
        </w:tblCellMar>
      </w:tblPr>
      <w:tr>
        <w:trPr>
          <w:trHeight w:val="189"/>
        </w:trPr>
        <w:tc>
          <w:tcPr>
            <w:tcW w:w="880" w:type="dxa"/>
            <w:vAlign w:val="bottom"/>
          </w:tcPr>
          <w:p>
            <w:pPr>
              <w:ind w:left="560"/>
              <w:spacing w:after="0" w:line="189" w:lineRule="exact"/>
              <w:rPr>
                <w:sz w:val="20"/>
                <w:szCs w:val="20"/>
                <w:color w:val="auto"/>
              </w:rPr>
            </w:pPr>
            <w:r>
              <w:rPr>
                <w:rFonts w:ascii="Arial" w:cs="Arial" w:eastAsia="Arial" w:hAnsi="Arial"/>
                <w:sz w:val="17"/>
                <w:szCs w:val="17"/>
                <w:color w:val="auto"/>
              </w:rPr>
              <w:t>A.</w:t>
            </w:r>
          </w:p>
        </w:tc>
        <w:tc>
          <w:tcPr>
            <w:tcW w:w="6000" w:type="dxa"/>
            <w:vAlign w:val="bottom"/>
          </w:tcPr>
          <w:p>
            <w:pPr>
              <w:ind w:left="140"/>
              <w:spacing w:after="0" w:line="189" w:lineRule="exact"/>
              <w:rPr>
                <w:sz w:val="20"/>
                <w:szCs w:val="20"/>
                <w:color w:val="auto"/>
              </w:rPr>
            </w:pPr>
            <w:r>
              <w:rPr>
                <w:rFonts w:ascii="Arial" w:cs="Arial" w:eastAsia="Arial" w:hAnsi="Arial"/>
                <w:sz w:val="17"/>
                <w:szCs w:val="17"/>
                <w:color w:val="auto"/>
              </w:rPr>
              <w:t>Consolidated Funded Indebtedness at Statement Date:</w:t>
            </w:r>
          </w:p>
        </w:tc>
        <w:tc>
          <w:tcPr>
            <w:tcW w:w="2380" w:type="dxa"/>
            <w:vAlign w:val="bottom"/>
          </w:tcPr>
          <w:p>
            <w:pPr>
              <w:jc w:val="right"/>
              <w:ind w:right="674"/>
              <w:spacing w:after="0" w:line="189" w:lineRule="exact"/>
              <w:rPr>
                <w:sz w:val="20"/>
                <w:szCs w:val="20"/>
                <w:color w:val="auto"/>
              </w:rPr>
            </w:pPr>
            <w:r>
              <w:rPr>
                <w:rFonts w:ascii="Arial" w:cs="Arial" w:eastAsia="Arial" w:hAnsi="Arial"/>
                <w:sz w:val="17"/>
                <w:szCs w:val="17"/>
                <w:color w:val="auto"/>
              </w:rPr>
              <w:t>$</w:t>
            </w:r>
          </w:p>
        </w:tc>
        <w:tc>
          <w:tcPr>
            <w:tcW w:w="1040" w:type="dxa"/>
            <w:vAlign w:val="bottom"/>
          </w:tcPr>
          <w:p>
            <w:pPr>
              <w:spacing w:after="0"/>
              <w:rPr>
                <w:sz w:val="16"/>
                <w:szCs w:val="16"/>
                <w:color w:val="auto"/>
              </w:rPr>
            </w:pPr>
          </w:p>
        </w:tc>
      </w:tr>
      <w:tr>
        <w:trPr>
          <w:trHeight w:val="199"/>
        </w:trPr>
        <w:tc>
          <w:tcPr>
            <w:tcW w:w="880" w:type="dxa"/>
            <w:vAlign w:val="bottom"/>
          </w:tcPr>
          <w:p>
            <w:pPr>
              <w:ind w:left="560"/>
              <w:spacing w:after="0"/>
              <w:rPr>
                <w:sz w:val="20"/>
                <w:szCs w:val="20"/>
                <w:color w:val="auto"/>
              </w:rPr>
            </w:pPr>
            <w:r>
              <w:rPr>
                <w:rFonts w:ascii="Arial" w:cs="Arial" w:eastAsia="Arial" w:hAnsi="Arial"/>
                <w:sz w:val="17"/>
                <w:szCs w:val="17"/>
                <w:color w:val="auto"/>
              </w:rPr>
              <w:t>B.</w:t>
            </w:r>
          </w:p>
        </w:tc>
        <w:tc>
          <w:tcPr>
            <w:tcW w:w="6000" w:type="dxa"/>
            <w:vAlign w:val="bottom"/>
          </w:tcPr>
          <w:p>
            <w:pPr>
              <w:ind w:left="140"/>
              <w:spacing w:after="0"/>
              <w:rPr>
                <w:sz w:val="20"/>
                <w:szCs w:val="20"/>
                <w:color w:val="auto"/>
              </w:rPr>
            </w:pPr>
            <w:r>
              <w:rPr>
                <w:rFonts w:ascii="Arial" w:cs="Arial" w:eastAsia="Arial" w:hAnsi="Arial"/>
                <w:sz w:val="17"/>
                <w:szCs w:val="17"/>
                <w:color w:val="auto"/>
              </w:rPr>
              <w:t>Consolidated EBITDA for Subject Period (Line I.A.14 above):</w:t>
            </w:r>
          </w:p>
        </w:tc>
        <w:tc>
          <w:tcPr>
            <w:tcW w:w="2380" w:type="dxa"/>
            <w:vAlign w:val="bottom"/>
          </w:tcPr>
          <w:p>
            <w:pPr>
              <w:jc w:val="right"/>
              <w:ind w:right="674"/>
              <w:spacing w:after="0"/>
              <w:rPr>
                <w:sz w:val="20"/>
                <w:szCs w:val="20"/>
                <w:color w:val="auto"/>
              </w:rPr>
            </w:pPr>
            <w:r>
              <w:rPr>
                <w:rFonts w:ascii="Arial" w:cs="Arial" w:eastAsia="Arial" w:hAnsi="Arial"/>
                <w:sz w:val="17"/>
                <w:szCs w:val="17"/>
                <w:color w:val="auto"/>
              </w:rPr>
              <w:t>$</w:t>
            </w:r>
          </w:p>
        </w:tc>
        <w:tc>
          <w:tcPr>
            <w:tcW w:w="1040" w:type="dxa"/>
            <w:vAlign w:val="bottom"/>
          </w:tcPr>
          <w:p>
            <w:pPr>
              <w:spacing w:after="0"/>
              <w:rPr>
                <w:sz w:val="17"/>
                <w:szCs w:val="17"/>
                <w:color w:val="auto"/>
              </w:rPr>
            </w:pPr>
          </w:p>
        </w:tc>
      </w:tr>
      <w:tr>
        <w:trPr>
          <w:trHeight w:val="199"/>
        </w:trPr>
        <w:tc>
          <w:tcPr>
            <w:tcW w:w="880" w:type="dxa"/>
            <w:vAlign w:val="bottom"/>
          </w:tcPr>
          <w:p>
            <w:pPr>
              <w:ind w:left="560"/>
              <w:spacing w:after="0"/>
              <w:rPr>
                <w:sz w:val="20"/>
                <w:szCs w:val="20"/>
                <w:color w:val="auto"/>
              </w:rPr>
            </w:pPr>
            <w:r>
              <w:rPr>
                <w:rFonts w:ascii="Arial" w:cs="Arial" w:eastAsia="Arial" w:hAnsi="Arial"/>
                <w:sz w:val="17"/>
                <w:szCs w:val="17"/>
                <w:color w:val="auto"/>
              </w:rPr>
              <w:t>C.</w:t>
            </w:r>
          </w:p>
        </w:tc>
        <w:tc>
          <w:tcPr>
            <w:tcW w:w="6000" w:type="dxa"/>
            <w:vAlign w:val="bottom"/>
          </w:tcPr>
          <w:p>
            <w:pPr>
              <w:ind w:left="140"/>
              <w:spacing w:after="0"/>
              <w:rPr>
                <w:sz w:val="20"/>
                <w:szCs w:val="20"/>
                <w:color w:val="auto"/>
              </w:rPr>
            </w:pPr>
            <w:r>
              <w:rPr>
                <w:rFonts w:ascii="Arial" w:cs="Arial" w:eastAsia="Arial" w:hAnsi="Arial"/>
                <w:sz w:val="17"/>
                <w:szCs w:val="17"/>
                <w:color w:val="auto"/>
              </w:rPr>
              <w:t>Consolidated Leverage Ratio (Line II.A / Line II.B):</w:t>
            </w:r>
          </w:p>
        </w:tc>
        <w:tc>
          <w:tcPr>
            <w:tcW w:w="3420" w:type="dxa"/>
            <w:vAlign w:val="bottom"/>
            <w:gridSpan w:val="2"/>
          </w:tcPr>
          <w:p>
            <w:pPr>
              <w:jc w:val="center"/>
              <w:ind w:left="2034"/>
              <w:spacing w:after="0"/>
              <w:rPr>
                <w:sz w:val="20"/>
                <w:szCs w:val="20"/>
                <w:color w:val="auto"/>
              </w:rPr>
            </w:pPr>
            <w:r>
              <w:rPr>
                <w:rFonts w:ascii="Arial" w:cs="Arial" w:eastAsia="Arial" w:hAnsi="Arial"/>
                <w:sz w:val="17"/>
                <w:szCs w:val="17"/>
                <w:color w:val="auto"/>
                <w:w w:val="90"/>
              </w:rPr>
              <w:t>____ to 1.00</w:t>
            </w:r>
          </w:p>
        </w:tc>
      </w:tr>
      <w:tr>
        <w:trPr>
          <w:trHeight w:val="179"/>
        </w:trPr>
        <w:tc>
          <w:tcPr>
            <w:tcW w:w="6880" w:type="dxa"/>
            <w:vAlign w:val="bottom"/>
            <w:gridSpan w:val="2"/>
          </w:tcPr>
          <w:p>
            <w:pPr>
              <w:spacing w:after="0" w:line="179" w:lineRule="exact"/>
              <w:rPr>
                <w:sz w:val="20"/>
                <w:szCs w:val="20"/>
                <w:color w:val="auto"/>
              </w:rPr>
            </w:pPr>
            <w:r>
              <w:rPr>
                <w:rFonts w:ascii="Arial" w:cs="Arial" w:eastAsia="Arial" w:hAnsi="Arial"/>
                <w:sz w:val="17"/>
                <w:szCs w:val="17"/>
                <w:i w:val="1"/>
                <w:iCs w:val="1"/>
                <w:color w:val="auto"/>
              </w:rPr>
              <w:t>Minimum required:</w:t>
            </w:r>
          </w:p>
        </w:tc>
        <w:tc>
          <w:tcPr>
            <w:tcW w:w="3420" w:type="dxa"/>
            <w:vAlign w:val="bottom"/>
            <w:gridSpan w:val="2"/>
          </w:tcPr>
          <w:p>
            <w:pPr>
              <w:jc w:val="center"/>
              <w:ind w:left="2014"/>
              <w:spacing w:after="0" w:line="179" w:lineRule="exact"/>
              <w:rPr>
                <w:sz w:val="20"/>
                <w:szCs w:val="20"/>
                <w:color w:val="auto"/>
              </w:rPr>
            </w:pPr>
            <w:r>
              <w:rPr>
                <w:rFonts w:ascii="Arial" w:cs="Arial" w:eastAsia="Arial" w:hAnsi="Arial"/>
                <w:sz w:val="17"/>
                <w:szCs w:val="17"/>
                <w:i w:val="1"/>
                <w:iCs w:val="1"/>
                <w:color w:val="auto"/>
                <w:w w:val="87"/>
              </w:rPr>
              <w:t>See Section 7.11(b)</w:t>
            </w:r>
          </w:p>
        </w:tc>
      </w:tr>
      <w:tr>
        <w:trPr>
          <w:trHeight w:val="20"/>
        </w:trPr>
        <w:tc>
          <w:tcPr>
            <w:tcW w:w="8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ectPr>
          <w:pgSz w:w="11900" w:h="16838" w:orient="portrait"/>
          <w:cols w:equalWidth="0" w:num="1">
            <w:col w:w="10866"/>
          </w:cols>
          <w:pgMar w:left="234" w:top="324" w:right="799" w:bottom="1440" w:gutter="0" w:footer="0" w:header="0"/>
        </w:sectPr>
      </w:pPr>
    </w:p>
    <w:bookmarkStart w:id="159" w:name="page160"/>
    <w:bookmarkEnd w:id="159"/>
    <w:p>
      <w:pPr>
        <w:jc w:val="right"/>
        <w:spacing w:after="0"/>
        <w:rPr>
          <w:sz w:val="20"/>
          <w:szCs w:val="20"/>
          <w:color w:val="auto"/>
        </w:rPr>
      </w:pPr>
      <w:r>
        <w:rPr>
          <w:rFonts w:ascii="Arial" w:cs="Arial" w:eastAsia="Arial" w:hAnsi="Arial"/>
          <w:sz w:val="17"/>
          <w:szCs w:val="17"/>
          <w:b w:val="1"/>
          <w:bCs w:val="1"/>
          <w:i w:val="1"/>
          <w:iCs w:val="1"/>
          <w:color w:val="auto"/>
        </w:rPr>
        <w:t>EXHIBIT E-1</w:t>
      </w:r>
    </w:p>
    <w:p>
      <w:pPr>
        <w:spacing w:after="0" w:line="185"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ASSIGNMENT AND ASSUMPTION</w:t>
      </w:r>
    </w:p>
    <w:p>
      <w:pPr>
        <w:spacing w:after="0" w:line="200" w:lineRule="exact"/>
        <w:rPr>
          <w:sz w:val="20"/>
          <w:szCs w:val="20"/>
          <w:color w:val="auto"/>
        </w:rPr>
      </w:pPr>
    </w:p>
    <w:p>
      <w:pPr>
        <w:ind w:left="6" w:right="40" w:firstLine="763"/>
        <w:spacing w:after="0" w:line="321" w:lineRule="auto"/>
        <w:rPr>
          <w:sz w:val="20"/>
          <w:szCs w:val="20"/>
          <w:color w:val="auto"/>
        </w:rPr>
      </w:pPr>
      <w:r>
        <w:rPr>
          <w:rFonts w:ascii="Arial" w:cs="Arial" w:eastAsia="Arial" w:hAnsi="Arial"/>
          <w:sz w:val="13"/>
          <w:szCs w:val="13"/>
          <w:color w:val="auto"/>
        </w:rPr>
        <w:t>This Assignment and Assumption (this “</w:t>
      </w:r>
      <w:r>
        <w:rPr>
          <w:rFonts w:ascii="Arial" w:cs="Arial" w:eastAsia="Arial" w:hAnsi="Arial"/>
          <w:sz w:val="13"/>
          <w:szCs w:val="13"/>
          <w:u w:val="single" w:color="auto"/>
          <w:color w:val="auto"/>
        </w:rPr>
        <w:t>Assignment and Assumption</w:t>
      </w:r>
      <w:r>
        <w:rPr>
          <w:rFonts w:ascii="Arial" w:cs="Arial" w:eastAsia="Arial" w:hAnsi="Arial"/>
          <w:sz w:val="13"/>
          <w:szCs w:val="13"/>
          <w:color w:val="auto"/>
        </w:rPr>
        <w:t>”) is dated as of the Effective Date set forth below and is entered into by and between [the][each]</w:t>
      </w:r>
      <w:r>
        <w:rPr>
          <w:rFonts w:ascii="Arial" w:cs="Arial" w:eastAsia="Arial" w:hAnsi="Arial"/>
          <w:sz w:val="11"/>
          <w:szCs w:val="11"/>
          <w:color w:val="auto"/>
        </w:rPr>
        <w:t>1</w:t>
      </w:r>
      <w:r>
        <w:rPr>
          <w:rFonts w:ascii="Arial" w:cs="Arial" w:eastAsia="Arial" w:hAnsi="Arial"/>
          <w:sz w:val="13"/>
          <w:szCs w:val="13"/>
          <w:color w:val="auto"/>
        </w:rPr>
        <w:t xml:space="preserve"> Assignor identified in item 1 below ([the][each, an] “</w:t>
      </w:r>
      <w:r>
        <w:rPr>
          <w:rFonts w:ascii="Arial" w:cs="Arial" w:eastAsia="Arial" w:hAnsi="Arial"/>
          <w:sz w:val="13"/>
          <w:szCs w:val="13"/>
          <w:u w:val="single" w:color="auto"/>
          <w:color w:val="auto"/>
        </w:rPr>
        <w:t>Assignor</w:t>
      </w:r>
      <w:r>
        <w:rPr>
          <w:rFonts w:ascii="Arial" w:cs="Arial" w:eastAsia="Arial" w:hAnsi="Arial"/>
          <w:sz w:val="13"/>
          <w:szCs w:val="13"/>
          <w:color w:val="auto"/>
        </w:rPr>
        <w:t>”) and [the][each]</w:t>
      </w:r>
      <w:r>
        <w:rPr>
          <w:rFonts w:ascii="Arial" w:cs="Arial" w:eastAsia="Arial" w:hAnsi="Arial"/>
          <w:sz w:val="11"/>
          <w:szCs w:val="11"/>
          <w:color w:val="auto"/>
        </w:rPr>
        <w:t>2</w:t>
      </w:r>
      <w:r>
        <w:rPr>
          <w:rFonts w:ascii="Arial" w:cs="Arial" w:eastAsia="Arial" w:hAnsi="Arial"/>
          <w:sz w:val="13"/>
          <w:szCs w:val="13"/>
          <w:color w:val="auto"/>
        </w:rPr>
        <w:t xml:space="preserve"> Assignee identified in item 2 below ([the][each, an] “</w:t>
      </w:r>
      <w:r>
        <w:rPr>
          <w:rFonts w:ascii="Arial" w:cs="Arial" w:eastAsia="Arial" w:hAnsi="Arial"/>
          <w:sz w:val="13"/>
          <w:szCs w:val="13"/>
          <w:u w:val="single" w:color="auto"/>
          <w:color w:val="auto"/>
        </w:rPr>
        <w:t>Assignee</w:t>
      </w:r>
      <w:r>
        <w:rPr>
          <w:rFonts w:ascii="Arial" w:cs="Arial" w:eastAsia="Arial" w:hAnsi="Arial"/>
          <w:sz w:val="13"/>
          <w:szCs w:val="13"/>
          <w:color w:val="auto"/>
        </w:rPr>
        <w:t>”). [It is understood and agreed that the rights and obligations of [the Assignors][the Assignees]</w:t>
      </w:r>
      <w:r>
        <w:rPr>
          <w:rFonts w:ascii="Arial" w:cs="Arial" w:eastAsia="Arial" w:hAnsi="Arial"/>
          <w:sz w:val="11"/>
          <w:szCs w:val="11"/>
          <w:color w:val="auto"/>
        </w:rPr>
        <w:t>3</w:t>
      </w:r>
      <w:r>
        <w:rPr>
          <w:rFonts w:ascii="Arial" w:cs="Arial" w:eastAsia="Arial" w:hAnsi="Arial"/>
          <w:sz w:val="13"/>
          <w:szCs w:val="13"/>
          <w:color w:val="auto"/>
        </w:rPr>
        <w:t xml:space="preserve"> hereunder are several and not joint.]</w:t>
      </w:r>
      <w:r>
        <w:rPr>
          <w:rFonts w:ascii="Arial" w:cs="Arial" w:eastAsia="Arial" w:hAnsi="Arial"/>
          <w:sz w:val="11"/>
          <w:szCs w:val="11"/>
          <w:color w:val="auto"/>
        </w:rPr>
        <w:t>4</w:t>
      </w:r>
      <w:r>
        <w:rPr>
          <w:rFonts w:ascii="Arial" w:cs="Arial" w:eastAsia="Arial" w:hAnsi="Arial"/>
          <w:sz w:val="13"/>
          <w:szCs w:val="13"/>
          <w:color w:val="auto"/>
        </w:rPr>
        <w:t xml:space="preserve"> Capitalized terms used but not defined herein shall have the meanings given to them in the Credit Agreement identified below (the “</w:t>
      </w:r>
      <w:r>
        <w:rPr>
          <w:rFonts w:ascii="Arial" w:cs="Arial" w:eastAsia="Arial" w:hAnsi="Arial"/>
          <w:sz w:val="13"/>
          <w:szCs w:val="13"/>
          <w:u w:val="single" w:color="auto"/>
          <w:color w:val="auto"/>
        </w:rPr>
        <w:t>Credit Agreement</w:t>
      </w:r>
      <w:r>
        <w:rPr>
          <w:rFonts w:ascii="Arial" w:cs="Arial" w:eastAsia="Arial" w:hAnsi="Arial"/>
          <w:sz w:val="13"/>
          <w:szCs w:val="13"/>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26" w:lineRule="exact"/>
        <w:rPr>
          <w:sz w:val="20"/>
          <w:szCs w:val="20"/>
          <w:color w:val="auto"/>
        </w:rPr>
      </w:pPr>
    </w:p>
    <w:p>
      <w:pPr>
        <w:ind w:left="766"/>
        <w:spacing w:after="0"/>
        <w:rPr>
          <w:sz w:val="20"/>
          <w:szCs w:val="20"/>
          <w:color w:val="auto"/>
        </w:rPr>
      </w:pPr>
      <w:r>
        <w:rPr>
          <w:rFonts w:ascii="Arial" w:cs="Arial" w:eastAsia="Arial" w:hAnsi="Arial"/>
          <w:sz w:val="13"/>
          <w:szCs w:val="13"/>
          <w:color w:val="auto"/>
        </w:rPr>
        <w:t>For an agreed consideration, [the][each] Assignor hereby irrevocably sells and assigns to [the Assignee][the respective Assignees], and [the][each] Assignee hereby</w:t>
      </w:r>
    </w:p>
    <w:p>
      <w:pPr>
        <w:spacing w:after="0" w:line="50" w:lineRule="exact"/>
        <w:rPr>
          <w:sz w:val="20"/>
          <w:szCs w:val="20"/>
          <w:color w:val="auto"/>
        </w:rPr>
      </w:pPr>
    </w:p>
    <w:p>
      <w:pPr>
        <w:ind w:left="6"/>
        <w:spacing w:after="0"/>
        <w:rPr>
          <w:sz w:val="20"/>
          <w:szCs w:val="20"/>
          <w:color w:val="auto"/>
        </w:rPr>
      </w:pPr>
      <w:r>
        <w:rPr>
          <w:rFonts w:ascii="Arial" w:cs="Arial" w:eastAsia="Arial" w:hAnsi="Arial"/>
          <w:sz w:val="13"/>
          <w:szCs w:val="13"/>
          <w:color w:val="auto"/>
        </w:rPr>
        <w:t>irrevocably purchases and assumes from [the Assignor][the respective Assignors], subject to and in accordance with the Standard Terms and Conditions and the Credit Agreement, as</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3"/>
          <w:szCs w:val="13"/>
          <w:color w:val="auto"/>
        </w:rPr>
        <w:t>of the Effective Date inserted by the Administrative Agent as contemplated below (i) all of [the Assignor’s][the respective Assignors’] rights and obligations in [its capacity as a</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3"/>
          <w:szCs w:val="13"/>
          <w:color w:val="auto"/>
        </w:rPr>
        <w:t>Lender][their respective capacities as Lenders] under the Credit Agreement and any other documents or instruments delivered pursuant thereto to the extent related to the amount and</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5"/>
          <w:szCs w:val="15"/>
          <w:color w:val="auto"/>
        </w:rPr>
        <w:t>percentage interest identified below of all of such outstanding rights and obligations of [the Assignor][the respective Assignors] under the respective facilities identified below</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3"/>
          <w:szCs w:val="13"/>
          <w:color w:val="auto"/>
        </w:rPr>
        <w:t>(including, without limitation, the Letters of Credit and the Swing Line Loans included in such facilities</w:t>
      </w:r>
      <w:r>
        <w:rPr>
          <w:rFonts w:ascii="Arial" w:cs="Arial" w:eastAsia="Arial" w:hAnsi="Arial"/>
          <w:sz w:val="11"/>
          <w:szCs w:val="11"/>
          <w:color w:val="auto"/>
        </w:rPr>
        <w:t>5</w:t>
      </w:r>
      <w:r>
        <w:rPr>
          <w:rFonts w:ascii="Arial" w:cs="Arial" w:eastAsia="Arial" w:hAnsi="Arial"/>
          <w:sz w:val="13"/>
          <w:szCs w:val="13"/>
          <w:color w:val="auto"/>
        </w:rPr>
        <w:t>) and (ii) to the extent permitted to be assigned under applicable law, all</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3"/>
          <w:szCs w:val="13"/>
          <w:color w:val="auto"/>
        </w:rPr>
        <w:t>claims, suits, causes of action and any other right of [the Assignor (in its capacity as a Lender)][the respective Assignors (in their respective capacities as Lenders)] against any</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3"/>
          <w:szCs w:val="13"/>
          <w:color w:val="auto"/>
        </w:rPr>
        <w:t>Person, whether known or unknown, arising under or in connection with the Credit Agreement, any other documents or instruments delivered pursuant thereto or the loan transactions</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3"/>
          <w:szCs w:val="13"/>
          <w:color w:val="auto"/>
        </w:rPr>
        <w:t>governed thereby or in any way based on or related to any of the foregoing, including, but not limited to, contract claims, tort claims, malpractice claims, statutory claims and all other</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3"/>
          <w:szCs w:val="13"/>
          <w:color w:val="auto"/>
        </w:rPr>
        <w:t>claims at law or in equity related to the rights and obligations sold and assigned pursuant to clause (i) above (the rights and obligations sold and assigned by [the][any] Assignor to</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3"/>
          <w:szCs w:val="13"/>
          <w:color w:val="auto"/>
        </w:rPr>
        <w:t>[the][any] Assignee pursuant to clauses (i) and (ii) above being referred to herein collectively as [the][an] “</w:t>
      </w:r>
      <w:r>
        <w:rPr>
          <w:rFonts w:ascii="Arial" w:cs="Arial" w:eastAsia="Arial" w:hAnsi="Arial"/>
          <w:sz w:val="13"/>
          <w:szCs w:val="13"/>
          <w:u w:val="single" w:color="auto"/>
          <w:color w:val="auto"/>
        </w:rPr>
        <w:t>Assigned Interest</w:t>
      </w:r>
      <w:r>
        <w:rPr>
          <w:rFonts w:ascii="Arial" w:cs="Arial" w:eastAsia="Arial" w:hAnsi="Arial"/>
          <w:sz w:val="13"/>
          <w:szCs w:val="13"/>
          <w:color w:val="auto"/>
        </w:rPr>
        <w:t>”). Each such sale and assignment is without recourse to</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[the][any] Assignor and, except as expressly provided in this Assignment and Assumption, without representation or warranty by [the][any] Assignor.</w:t>
      </w:r>
    </w:p>
    <w:p>
      <w:pPr>
        <w:spacing w:after="0" w:line="177" w:lineRule="exact"/>
        <w:rPr>
          <w:sz w:val="20"/>
          <w:szCs w:val="20"/>
          <w:color w:val="auto"/>
        </w:rPr>
      </w:pPr>
    </w:p>
    <w:p>
      <w:pPr>
        <w:ind w:left="1486" w:hanging="723"/>
        <w:spacing w:after="0"/>
        <w:tabs>
          <w:tab w:leader="none" w:pos="1486" w:val="left"/>
        </w:tabs>
        <w:numPr>
          <w:ilvl w:val="0"/>
          <w:numId w:val="175"/>
        </w:numPr>
        <w:rPr>
          <w:rFonts w:ascii="Arial" w:cs="Arial" w:eastAsia="Arial" w:hAnsi="Arial"/>
          <w:sz w:val="16"/>
          <w:szCs w:val="16"/>
          <w:color w:val="auto"/>
        </w:rPr>
      </w:pPr>
      <w:r>
        <w:rPr>
          <w:rFonts w:ascii="Arial" w:cs="Arial" w:eastAsia="Arial" w:hAnsi="Arial"/>
          <w:sz w:val="17"/>
          <w:szCs w:val="17"/>
          <w:u w:val="single" w:color="auto"/>
          <w:color w:val="auto"/>
        </w:rPr>
        <w:t>Assignor[s]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1477645</wp:posOffset>
            </wp:positionH>
            <wp:positionV relativeFrom="paragraph">
              <wp:posOffset>-10160</wp:posOffset>
            </wp:positionV>
            <wp:extent cx="177292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72920" cy="762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116205</wp:posOffset>
            </wp:positionV>
            <wp:extent cx="177292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72920" cy="7620"/>
                    </a:xfrm>
                    <a:prstGeom prst="rect">
                      <a:avLst/>
                    </a:prstGeom>
                    <a:noFill/>
                  </pic:spPr>
                </pic:pic>
              </a:graphicData>
            </a:graphic>
          </wp:anchor>
        </w:drawing>
      </w:r>
    </w:p>
    <w:p>
      <w:pPr>
        <w:spacing w:after="0" w:line="371" w:lineRule="exact"/>
        <w:rPr>
          <w:sz w:val="20"/>
          <w:szCs w:val="20"/>
          <w:color w:val="auto"/>
        </w:rPr>
      </w:pPr>
    </w:p>
    <w:p>
      <w:pPr>
        <w:ind w:left="3306"/>
        <w:spacing w:after="0"/>
        <w:rPr>
          <w:sz w:val="20"/>
          <w:szCs w:val="20"/>
          <w:color w:val="auto"/>
        </w:rPr>
      </w:pPr>
      <w:r>
        <w:rPr>
          <w:rFonts w:ascii="Arial" w:cs="Arial" w:eastAsia="Arial" w:hAnsi="Arial"/>
          <w:sz w:val="17"/>
          <w:szCs w:val="17"/>
          <w:color w:val="auto"/>
        </w:rPr>
        <w:t>[and is [not] a Defaulting Lender]</w:t>
      </w:r>
    </w:p>
    <w:p>
      <w:pPr>
        <w:spacing w:after="0" w:line="191" w:lineRule="exact"/>
        <w:rPr>
          <w:sz w:val="20"/>
          <w:szCs w:val="20"/>
          <w:color w:val="auto"/>
        </w:rPr>
      </w:pPr>
    </w:p>
    <w:p>
      <w:pPr>
        <w:ind w:left="1486" w:hanging="723"/>
        <w:spacing w:after="0"/>
        <w:tabs>
          <w:tab w:leader="none" w:pos="1486" w:val="left"/>
        </w:tabs>
        <w:numPr>
          <w:ilvl w:val="0"/>
          <w:numId w:val="176"/>
        </w:numPr>
        <w:rPr>
          <w:rFonts w:ascii="Arial" w:cs="Arial" w:eastAsia="Arial" w:hAnsi="Arial"/>
          <w:sz w:val="16"/>
          <w:szCs w:val="16"/>
          <w:color w:val="auto"/>
        </w:rPr>
      </w:pPr>
      <w:r>
        <w:rPr>
          <w:rFonts w:ascii="Arial" w:cs="Arial" w:eastAsia="Arial" w:hAnsi="Arial"/>
          <w:sz w:val="17"/>
          <w:szCs w:val="17"/>
          <w:u w:val="single" w:color="auto"/>
          <w:color w:val="auto"/>
        </w:rPr>
        <w:t>Assignee[s]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1483995</wp:posOffset>
            </wp:positionH>
            <wp:positionV relativeFrom="paragraph">
              <wp:posOffset>-10160</wp:posOffset>
            </wp:positionV>
            <wp:extent cx="177292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72920" cy="762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116205</wp:posOffset>
            </wp:positionV>
            <wp:extent cx="174561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45615" cy="7620"/>
                    </a:xfrm>
                    <a:prstGeom prst="rect">
                      <a:avLst/>
                    </a:prstGeom>
                    <a:noFill/>
                  </pic:spPr>
                </pic:pic>
              </a:graphicData>
            </a:graphic>
          </wp:anchor>
        </w:drawing>
      </w:r>
    </w:p>
    <w:p>
      <w:pPr>
        <w:spacing w:after="0" w:line="183" w:lineRule="exact"/>
        <w:rPr>
          <w:sz w:val="20"/>
          <w:szCs w:val="20"/>
          <w:color w:val="auto"/>
        </w:rPr>
      </w:pPr>
    </w:p>
    <w:p>
      <w:pPr>
        <w:jc w:val="center"/>
        <w:ind w:right="34"/>
        <w:spacing w:after="0"/>
        <w:rPr>
          <w:sz w:val="20"/>
          <w:szCs w:val="20"/>
          <w:color w:val="auto"/>
        </w:rPr>
      </w:pPr>
      <w:r>
        <w:rPr>
          <w:rFonts w:ascii="Arial" w:cs="Arial" w:eastAsia="Arial" w:hAnsi="Arial"/>
          <w:sz w:val="17"/>
          <w:szCs w:val="17"/>
          <w:color w:val="auto"/>
        </w:rPr>
        <w:t>[for each Assignee, indicate [Affiliate][Approved Fund] of [</w:t>
      </w:r>
      <w:r>
        <w:rPr>
          <w:rFonts w:ascii="Arial" w:cs="Arial" w:eastAsia="Arial" w:hAnsi="Arial"/>
          <w:sz w:val="17"/>
          <w:szCs w:val="17"/>
          <w:i w:val="1"/>
          <w:iCs w:val="1"/>
          <w:color w:val="auto"/>
        </w:rPr>
        <w:t>identify Lender</w:t>
      </w:r>
      <w:r>
        <w:rPr>
          <w:rFonts w:ascii="Arial" w:cs="Arial" w:eastAsia="Arial" w:hAnsi="Arial"/>
          <w:sz w:val="17"/>
          <w:szCs w:val="17"/>
          <w:color w:val="auto"/>
        </w:rPr>
        <w:t>]]</w:t>
      </w:r>
    </w:p>
    <w:p>
      <w:pPr>
        <w:spacing w:after="0" w:line="191" w:lineRule="exact"/>
        <w:rPr>
          <w:sz w:val="20"/>
          <w:szCs w:val="20"/>
          <w:color w:val="auto"/>
        </w:rPr>
      </w:pPr>
    </w:p>
    <w:p>
      <w:pPr>
        <w:ind w:left="1486" w:hanging="723"/>
        <w:spacing w:after="0"/>
        <w:tabs>
          <w:tab w:leader="none" w:pos="1486" w:val="left"/>
        </w:tabs>
        <w:numPr>
          <w:ilvl w:val="1"/>
          <w:numId w:val="177"/>
        </w:numPr>
        <w:rPr>
          <w:rFonts w:ascii="Arial" w:cs="Arial" w:eastAsia="Arial" w:hAnsi="Arial"/>
          <w:sz w:val="16"/>
          <w:szCs w:val="16"/>
          <w:color w:val="auto"/>
        </w:rPr>
      </w:pPr>
      <w:r>
        <w:rPr>
          <w:rFonts w:ascii="Arial" w:cs="Arial" w:eastAsia="Arial" w:hAnsi="Arial"/>
          <w:sz w:val="17"/>
          <w:szCs w:val="17"/>
          <w:u w:val="single" w:color="auto"/>
          <w:color w:val="auto"/>
        </w:rPr>
        <w:t>Borrower(s)</w:t>
      </w:r>
      <w:r>
        <w:rPr>
          <w:rFonts w:ascii="Arial" w:cs="Arial" w:eastAsia="Arial" w:hAnsi="Arial"/>
          <w:sz w:val="17"/>
          <w:szCs w:val="17"/>
          <w:color w:val="auto"/>
        </w:rPr>
        <w:t>:</w:t>
      </w:r>
    </w:p>
    <w:p>
      <w:pPr>
        <w:spacing w:after="0" w:line="330" w:lineRule="exact"/>
        <w:rPr>
          <w:rFonts w:ascii="Arial" w:cs="Arial" w:eastAsia="Arial" w:hAnsi="Arial"/>
          <w:sz w:val="16"/>
          <w:szCs w:val="16"/>
          <w:color w:val="auto"/>
        </w:rPr>
      </w:pPr>
    </w:p>
    <w:p>
      <w:pPr>
        <w:ind w:left="126" w:right="300" w:hanging="117"/>
        <w:spacing w:after="0" w:line="215" w:lineRule="auto"/>
        <w:rPr>
          <w:rFonts w:ascii="Arial" w:cs="Arial" w:eastAsia="Arial" w:hAnsi="Arial"/>
          <w:sz w:val="16"/>
          <w:szCs w:val="16"/>
          <w:color w:val="auto"/>
        </w:rPr>
      </w:pPr>
      <w:r>
        <w:rPr>
          <w:rFonts w:ascii="Arial" w:cs="Arial" w:eastAsia="Arial" w:hAnsi="Arial"/>
          <w:sz w:val="13"/>
          <w:szCs w:val="13"/>
          <w:color w:val="auto"/>
        </w:rPr>
        <w:t xml:space="preserve">1 </w:t>
      </w:r>
      <w:r>
        <w:rPr>
          <w:rFonts w:ascii="Arial" w:cs="Arial" w:eastAsia="Arial" w:hAnsi="Arial"/>
          <w:sz w:val="12"/>
          <w:szCs w:val="12"/>
          <w:color w:val="auto"/>
        </w:rPr>
        <w:t>For bracketed language here and elsewhere in this form relating to the Assignor(s), if the assignment is from a single Assignor, choose the first bracketed language. If the assignment is from multiple Assignors, choose the</w:t>
      </w:r>
      <w:r>
        <w:rPr>
          <w:rFonts w:ascii="Arial" w:cs="Arial" w:eastAsia="Arial" w:hAnsi="Arial"/>
          <w:sz w:val="13"/>
          <w:szCs w:val="13"/>
          <w:color w:val="auto"/>
        </w:rPr>
        <w:t xml:space="preserve"> </w:t>
      </w:r>
      <w:r>
        <w:rPr>
          <w:rFonts w:ascii="Arial" w:cs="Arial" w:eastAsia="Arial" w:hAnsi="Arial"/>
          <w:sz w:val="12"/>
          <w:szCs w:val="12"/>
          <w:color w:val="auto"/>
        </w:rPr>
        <w:t>second bracketed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-167005</wp:posOffset>
            </wp:positionV>
            <wp:extent cx="145161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51610" cy="7620"/>
                    </a:xfrm>
                    <a:prstGeom prst="rect">
                      <a:avLst/>
                    </a:prstGeom>
                    <a:noFill/>
                  </pic:spPr>
                </pic:pic>
              </a:graphicData>
            </a:graphic>
          </wp:anchor>
        </w:drawing>
        <w:drawing>
          <wp:anchor simplePos="0" relativeHeight="251657728" behindDoc="1" locked="0" layoutInCell="0" allowOverlap="1">
            <wp:simplePos x="0" y="0"/>
            <wp:positionH relativeFrom="column">
              <wp:posOffset>1529080</wp:posOffset>
            </wp:positionH>
            <wp:positionV relativeFrom="paragraph">
              <wp:posOffset>-389890</wp:posOffset>
            </wp:positionV>
            <wp:extent cx="177292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72920" cy="7620"/>
                    </a:xfrm>
                    <a:prstGeom prst="rect">
                      <a:avLst/>
                    </a:prstGeom>
                    <a:noFill/>
                  </pic:spPr>
                </pic:pic>
              </a:graphicData>
            </a:graphic>
          </wp:anchor>
        </w:drawing>
      </w:r>
    </w:p>
    <w:p>
      <w:pPr>
        <w:ind w:left="126" w:hanging="126"/>
        <w:spacing w:after="0" w:line="224" w:lineRule="auto"/>
        <w:tabs>
          <w:tab w:leader="none" w:pos="126" w:val="left"/>
        </w:tabs>
        <w:numPr>
          <w:ilvl w:val="0"/>
          <w:numId w:val="178"/>
        </w:numPr>
        <w:rPr>
          <w:rFonts w:ascii="Arial" w:cs="Arial" w:eastAsia="Arial" w:hAnsi="Arial"/>
          <w:sz w:val="12"/>
          <w:szCs w:val="12"/>
          <w:color w:val="auto"/>
        </w:rPr>
      </w:pPr>
      <w:r>
        <w:rPr>
          <w:rFonts w:ascii="Arial" w:cs="Arial" w:eastAsia="Arial" w:hAnsi="Arial"/>
          <w:sz w:val="11"/>
          <w:szCs w:val="11"/>
          <w:color w:val="auto"/>
        </w:rPr>
        <w:t>For bracketed language here and elsewhere in this form relating to the Assignee(s), if the assignment is to a single Assignee, choose the first bracketed language. If the assignment is to multiple Assignees, choose the second</w:t>
      </w:r>
    </w:p>
    <w:p>
      <w:pPr>
        <w:ind w:left="126"/>
        <w:spacing w:after="0" w:line="224" w:lineRule="auto"/>
        <w:rPr>
          <w:sz w:val="20"/>
          <w:szCs w:val="20"/>
          <w:color w:val="auto"/>
        </w:rPr>
      </w:pPr>
      <w:r>
        <w:rPr>
          <w:rFonts w:ascii="Arial" w:cs="Arial" w:eastAsia="Arial" w:hAnsi="Arial"/>
          <w:sz w:val="12"/>
          <w:szCs w:val="12"/>
          <w:color w:val="auto"/>
        </w:rPr>
        <w:t>bracketed language.</w:t>
      </w:r>
    </w:p>
    <w:p>
      <w:pPr>
        <w:ind w:left="126" w:hanging="126"/>
        <w:spacing w:after="0" w:line="237" w:lineRule="auto"/>
        <w:tabs>
          <w:tab w:leader="none" w:pos="126" w:val="left"/>
        </w:tabs>
        <w:numPr>
          <w:ilvl w:val="0"/>
          <w:numId w:val="179"/>
        </w:numPr>
        <w:rPr>
          <w:rFonts w:ascii="Arial" w:cs="Arial" w:eastAsia="Arial" w:hAnsi="Arial"/>
          <w:sz w:val="13"/>
          <w:szCs w:val="13"/>
          <w:color w:val="auto"/>
        </w:rPr>
      </w:pPr>
      <w:r>
        <w:rPr>
          <w:rFonts w:ascii="Arial" w:cs="Arial" w:eastAsia="Arial" w:hAnsi="Arial"/>
          <w:sz w:val="12"/>
          <w:szCs w:val="12"/>
          <w:color w:val="auto"/>
        </w:rPr>
        <w:t>Select as appropriate.</w:t>
      </w:r>
    </w:p>
    <w:p>
      <w:pPr>
        <w:spacing w:after="0" w:line="30" w:lineRule="exact"/>
        <w:rPr>
          <w:sz w:val="20"/>
          <w:szCs w:val="20"/>
          <w:color w:val="auto"/>
        </w:rPr>
      </w:pPr>
    </w:p>
    <w:p>
      <w:pPr>
        <w:ind w:left="126" w:hanging="126"/>
        <w:spacing w:after="0"/>
        <w:tabs>
          <w:tab w:leader="none" w:pos="126" w:val="left"/>
        </w:tabs>
        <w:numPr>
          <w:ilvl w:val="0"/>
          <w:numId w:val="180"/>
        </w:numPr>
        <w:rPr>
          <w:rFonts w:ascii="Arial" w:cs="Arial" w:eastAsia="Arial" w:hAnsi="Arial"/>
          <w:sz w:val="13"/>
          <w:szCs w:val="13"/>
          <w:color w:val="auto"/>
        </w:rPr>
      </w:pPr>
      <w:r>
        <w:rPr>
          <w:rFonts w:ascii="Arial" w:cs="Arial" w:eastAsia="Arial" w:hAnsi="Arial"/>
          <w:sz w:val="12"/>
          <w:szCs w:val="12"/>
          <w:color w:val="auto"/>
        </w:rPr>
        <w:t>Include bracketed language if there are either multiple Assignors or multiple Assignees.</w:t>
      </w:r>
    </w:p>
    <w:p>
      <w:pPr>
        <w:spacing w:after="0" w:line="38" w:lineRule="exact"/>
        <w:rPr>
          <w:rFonts w:ascii="Arial" w:cs="Arial" w:eastAsia="Arial" w:hAnsi="Arial"/>
          <w:sz w:val="13"/>
          <w:szCs w:val="13"/>
          <w:color w:val="auto"/>
        </w:rPr>
      </w:pPr>
    </w:p>
    <w:p>
      <w:pPr>
        <w:ind w:left="6"/>
        <w:spacing w:after="0"/>
        <w:rPr>
          <w:rFonts w:ascii="Arial" w:cs="Arial" w:eastAsia="Arial" w:hAnsi="Arial"/>
          <w:sz w:val="13"/>
          <w:szCs w:val="13"/>
          <w:color w:val="auto"/>
        </w:rPr>
      </w:pPr>
      <w:r>
        <w:rPr>
          <w:rFonts w:ascii="Arial" w:cs="Arial" w:eastAsia="Arial" w:hAnsi="Arial"/>
          <w:sz w:val="13"/>
          <w:szCs w:val="13"/>
          <w:color w:val="auto"/>
        </w:rPr>
        <w:t xml:space="preserve">5 </w:t>
      </w:r>
      <w:r>
        <w:rPr>
          <w:rFonts w:ascii="Arial" w:cs="Arial" w:eastAsia="Arial" w:hAnsi="Arial"/>
          <w:sz w:val="12"/>
          <w:szCs w:val="12"/>
          <w:color w:val="auto"/>
        </w:rPr>
        <w:t>Include all applicable subfacilities.</w:t>
      </w:r>
    </w:p>
    <w:p>
      <w:pPr>
        <w:sectPr>
          <w:pgSz w:w="11900" w:h="16838" w:orient="portrait"/>
          <w:cols w:equalWidth="0" w:num="1">
            <w:col w:w="11446"/>
          </w:cols>
          <w:pgMar w:left="234" w:top="313" w:right="219" w:bottom="1440" w:gutter="0" w:footer="0" w:header="0"/>
        </w:sectPr>
      </w:pPr>
    </w:p>
    <w:bookmarkStart w:id="160" w:name="page161"/>
    <w:bookmarkEnd w:id="160"/>
    <w:p>
      <w:pPr>
        <w:ind w:left="1486" w:hanging="723"/>
        <w:spacing w:after="0"/>
        <w:tabs>
          <w:tab w:leader="none" w:pos="1486" w:val="left"/>
        </w:tabs>
        <w:numPr>
          <w:ilvl w:val="0"/>
          <w:numId w:val="181"/>
        </w:numPr>
        <w:rPr>
          <w:rFonts w:ascii="Arial" w:cs="Arial" w:eastAsia="Arial" w:hAnsi="Arial"/>
          <w:sz w:val="16"/>
          <w:szCs w:val="16"/>
          <w:color w:val="auto"/>
        </w:rPr>
      </w:pPr>
      <w:r>
        <w:rPr>
          <w:rFonts w:ascii="Arial" w:cs="Arial" w:eastAsia="Arial" w:hAnsi="Arial"/>
          <w:sz w:val="17"/>
          <w:szCs w:val="17"/>
          <w:u w:val="single" w:color="auto"/>
          <w:color w:val="auto"/>
        </w:rPr>
        <w:t>Administrative Agent</w:t>
      </w:r>
      <w:r>
        <w:rPr>
          <w:rFonts w:ascii="Arial" w:cs="Arial" w:eastAsia="Arial" w:hAnsi="Arial"/>
          <w:sz w:val="17"/>
          <w:szCs w:val="17"/>
          <w:color w:val="auto"/>
        </w:rPr>
        <w:t>: Bank of America, N.A., as the administrative agent under the Credit Agreement</w:t>
      </w:r>
    </w:p>
    <w:p>
      <w:pPr>
        <w:spacing w:after="0" w:line="191" w:lineRule="exact"/>
        <w:rPr>
          <w:rFonts w:ascii="Arial" w:cs="Arial" w:eastAsia="Arial" w:hAnsi="Arial"/>
          <w:sz w:val="16"/>
          <w:szCs w:val="16"/>
          <w:color w:val="auto"/>
        </w:rPr>
      </w:pPr>
    </w:p>
    <w:p>
      <w:pPr>
        <w:jc w:val="both"/>
        <w:ind w:left="1486" w:hanging="723"/>
        <w:spacing w:after="0" w:line="287" w:lineRule="auto"/>
        <w:tabs>
          <w:tab w:leader="none" w:pos="1486" w:val="left"/>
        </w:tabs>
        <w:numPr>
          <w:ilvl w:val="0"/>
          <w:numId w:val="181"/>
        </w:numPr>
        <w:rPr>
          <w:rFonts w:ascii="Arial" w:cs="Arial" w:eastAsia="Arial" w:hAnsi="Arial"/>
          <w:sz w:val="14"/>
          <w:szCs w:val="14"/>
          <w:color w:val="auto"/>
        </w:rPr>
      </w:pPr>
      <w:r>
        <w:rPr>
          <w:rFonts w:ascii="Arial" w:cs="Arial" w:eastAsia="Arial" w:hAnsi="Arial"/>
          <w:sz w:val="15"/>
          <w:szCs w:val="15"/>
          <w:u w:val="single" w:color="auto"/>
          <w:color w:val="auto"/>
        </w:rPr>
        <w:t>Credit Agreement</w:t>
      </w:r>
      <w:r>
        <w:rPr>
          <w:rFonts w:ascii="Arial" w:cs="Arial" w:eastAsia="Arial" w:hAnsi="Arial"/>
          <w:sz w:val="15"/>
          <w:szCs w:val="15"/>
          <w:color w:val="auto"/>
        </w:rPr>
        <w:t>: Credit Agreement dated as of August 7, 2014 (as amended, restated, extended, supplemented or otherwise modified in writing from time to time, the “</w:t>
      </w:r>
      <w:r>
        <w:rPr>
          <w:rFonts w:ascii="Arial" w:cs="Arial" w:eastAsia="Arial" w:hAnsi="Arial"/>
          <w:sz w:val="15"/>
          <w:szCs w:val="15"/>
          <w:u w:val="single" w:color="auto"/>
          <w:color w:val="auto"/>
        </w:rPr>
        <w:t>Agreement</w:t>
      </w:r>
      <w:r>
        <w:rPr>
          <w:rFonts w:ascii="Arial" w:cs="Arial" w:eastAsia="Arial" w:hAnsi="Arial"/>
          <w:sz w:val="15"/>
          <w:szCs w:val="15"/>
          <w:color w:val="auto"/>
        </w:rPr>
        <w:t>;” the terms defined therein being used herein as therein defined), among Gentherm Incorporated, a Michigan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Gentherm GmbH, a German limited liability company (“</w:t>
      </w:r>
      <w:r>
        <w:rPr>
          <w:rFonts w:ascii="Arial" w:cs="Arial" w:eastAsia="Arial" w:hAnsi="Arial"/>
          <w:sz w:val="15"/>
          <w:szCs w:val="15"/>
          <w:u w:val="single" w:color="auto"/>
          <w:color w:val="auto"/>
        </w:rPr>
        <w:t>Gentherm Germany</w:t>
      </w:r>
      <w:r>
        <w:rPr>
          <w:rFonts w:ascii="Arial" w:cs="Arial" w:eastAsia="Arial" w:hAnsi="Arial"/>
          <w:sz w:val="15"/>
          <w:szCs w:val="15"/>
          <w:color w:val="auto"/>
        </w:rPr>
        <w:t>”), Gentherm (Texas), Inc., a Texas corporation (“</w:t>
      </w:r>
      <w:r>
        <w:rPr>
          <w:rFonts w:ascii="Arial" w:cs="Arial" w:eastAsia="Arial" w:hAnsi="Arial"/>
          <w:sz w:val="15"/>
          <w:szCs w:val="15"/>
          <w:u w:val="single" w:color="auto"/>
          <w:color w:val="auto"/>
        </w:rPr>
        <w:t>Gentherm Texas</w:t>
      </w:r>
      <w:r>
        <w:rPr>
          <w:rFonts w:ascii="Arial" w:cs="Arial" w:eastAsia="Arial" w:hAnsi="Arial"/>
          <w:sz w:val="15"/>
          <w:szCs w:val="15"/>
          <w:color w:val="auto"/>
        </w:rPr>
        <w:t>” and, together with the Company, the “</w:t>
      </w:r>
      <w:r>
        <w:rPr>
          <w:rFonts w:ascii="Arial" w:cs="Arial" w:eastAsia="Arial" w:hAnsi="Arial"/>
          <w:sz w:val="15"/>
          <w:szCs w:val="15"/>
          <w:u w:val="single" w:color="auto"/>
          <w:color w:val="auto"/>
        </w:rPr>
        <w:t>U.S. Borrowers</w:t>
      </w:r>
      <w:r>
        <w:rPr>
          <w:rFonts w:ascii="Arial" w:cs="Arial" w:eastAsia="Arial" w:hAnsi="Arial"/>
          <w:sz w:val="15"/>
          <w:szCs w:val="15"/>
          <w:color w:val="auto"/>
        </w:rPr>
        <w:t>”), Gentherm Canada Ltd., an Ontario corporation (“</w:t>
      </w:r>
      <w:r>
        <w:rPr>
          <w:rFonts w:ascii="Arial" w:cs="Arial" w:eastAsia="Arial" w:hAnsi="Arial"/>
          <w:sz w:val="15"/>
          <w:szCs w:val="15"/>
          <w:u w:val="single" w:color="auto"/>
          <w:color w:val="auto"/>
        </w:rPr>
        <w:t>Gentherm Canada</w:t>
      </w:r>
      <w:r>
        <w:rPr>
          <w:rFonts w:ascii="Arial" w:cs="Arial" w:eastAsia="Arial" w:hAnsi="Arial"/>
          <w:sz w:val="15"/>
          <w:szCs w:val="15"/>
          <w:color w:val="auto"/>
        </w:rPr>
        <w:t>”), Global Thermoelectric Inc., an Alberta corporation (“</w:t>
      </w:r>
      <w:r>
        <w:rPr>
          <w:rFonts w:ascii="Arial" w:cs="Arial" w:eastAsia="Arial" w:hAnsi="Arial"/>
          <w:sz w:val="15"/>
          <w:szCs w:val="15"/>
          <w:u w:val="single" w:color="auto"/>
          <w:color w:val="auto"/>
        </w:rPr>
        <w:t>Global</w:t>
      </w:r>
      <w:r>
        <w:rPr>
          <w:rFonts w:ascii="Arial" w:cs="Arial" w:eastAsia="Arial" w:hAnsi="Arial"/>
          <w:sz w:val="15"/>
          <w:szCs w:val="15"/>
          <w:color w:val="auto"/>
        </w:rPr>
        <w:t>” and, together with Gentherm Canada, the “</w:t>
      </w:r>
      <w:r>
        <w:rPr>
          <w:rFonts w:ascii="Arial" w:cs="Arial" w:eastAsia="Arial" w:hAnsi="Arial"/>
          <w:sz w:val="15"/>
          <w:szCs w:val="15"/>
          <w:u w:val="single" w:color="auto"/>
          <w:color w:val="auto"/>
        </w:rPr>
        <w:t>Canadian</w:t>
      </w:r>
      <w:r>
        <w:rPr>
          <w:rFonts w:ascii="Arial" w:cs="Arial" w:eastAsia="Arial" w:hAnsi="Arial"/>
          <w:sz w:val="15"/>
          <w:szCs w:val="15"/>
          <w:color w:val="auto"/>
        </w:rPr>
        <w:t xml:space="preserve"> </w:t>
      </w:r>
      <w:r>
        <w:rPr>
          <w:rFonts w:ascii="Arial" w:cs="Arial" w:eastAsia="Arial" w:hAnsi="Arial"/>
          <w:sz w:val="15"/>
          <w:szCs w:val="15"/>
          <w:u w:val="single" w:color="auto"/>
          <w:color w:val="auto"/>
        </w:rPr>
        <w:t>Borrowers</w:t>
      </w:r>
      <w:r>
        <w:rPr>
          <w:rFonts w:ascii="Arial" w:cs="Arial" w:eastAsia="Arial" w:hAnsi="Arial"/>
          <w:sz w:val="15"/>
          <w:szCs w:val="15"/>
          <w:color w:val="auto"/>
        </w:rPr>
        <w:t>” and, together with Gentherm Canada, the U.S. Borrowers and Gentherm Germany, the “</w:t>
      </w:r>
      <w:r>
        <w:rPr>
          <w:rFonts w:ascii="Arial" w:cs="Arial" w:eastAsia="Arial" w:hAnsi="Arial"/>
          <w:sz w:val="15"/>
          <w:szCs w:val="15"/>
          <w:u w:val="single" w:color="auto"/>
          <w:color w:val="auto"/>
        </w:rPr>
        <w:t>Borrowers</w:t>
      </w:r>
      <w:r>
        <w:rPr>
          <w:rFonts w:ascii="Arial" w:cs="Arial" w:eastAsia="Arial" w:hAnsi="Arial"/>
          <w:sz w:val="15"/>
          <w:szCs w:val="15"/>
          <w:color w:val="auto"/>
        </w:rPr>
        <w:t>” and each, a “</w:t>
      </w:r>
      <w:r>
        <w:rPr>
          <w:rFonts w:ascii="Arial" w:cs="Arial" w:eastAsia="Arial" w:hAnsi="Arial"/>
          <w:sz w:val="15"/>
          <w:szCs w:val="15"/>
          <w:u w:val="single" w:color="auto"/>
          <w:color w:val="auto"/>
        </w:rPr>
        <w:t>Borrower</w:t>
      </w:r>
      <w:r>
        <w:rPr>
          <w:rFonts w:ascii="Arial" w:cs="Arial" w:eastAsia="Arial" w:hAnsi="Arial"/>
          <w:sz w:val="15"/>
          <w:szCs w:val="15"/>
          <w:color w:val="auto"/>
        </w:rPr>
        <w:t>”), each lender from time to time party thereto and Bank of America, N.A., as Administrative Agent, Swing Line Lender and L/C Issuer.</w:t>
      </w:r>
    </w:p>
    <w:p>
      <w:pPr>
        <w:spacing w:after="0" w:line="138" w:lineRule="exact"/>
        <w:rPr>
          <w:rFonts w:ascii="Arial" w:cs="Arial" w:eastAsia="Arial" w:hAnsi="Arial"/>
          <w:sz w:val="14"/>
          <w:szCs w:val="14"/>
          <w:color w:val="auto"/>
        </w:rPr>
      </w:pPr>
    </w:p>
    <w:p>
      <w:pPr>
        <w:ind w:left="1486" w:hanging="723"/>
        <w:spacing w:after="0"/>
        <w:tabs>
          <w:tab w:leader="none" w:pos="1486" w:val="left"/>
        </w:tabs>
        <w:numPr>
          <w:ilvl w:val="0"/>
          <w:numId w:val="181"/>
        </w:numPr>
        <w:rPr>
          <w:rFonts w:ascii="Arial" w:cs="Arial" w:eastAsia="Arial" w:hAnsi="Arial"/>
          <w:sz w:val="16"/>
          <w:szCs w:val="16"/>
          <w:color w:val="auto"/>
        </w:rPr>
      </w:pPr>
      <w:r>
        <w:rPr>
          <w:rFonts w:ascii="Arial" w:cs="Arial" w:eastAsia="Arial" w:hAnsi="Arial"/>
          <w:sz w:val="17"/>
          <w:szCs w:val="17"/>
          <w:color w:val="auto"/>
        </w:rPr>
        <w:t>Assigned Interest[s]:</w:t>
      </w:r>
      <w:r>
        <w:rPr>
          <w:rFonts w:ascii="Arial" w:cs="Arial" w:eastAsia="Arial" w:hAnsi="Arial"/>
          <w:sz w:val="14"/>
          <w:szCs w:val="14"/>
          <w:color w:val="auto"/>
        </w:rPr>
        <w:t>6</w:t>
      </w:r>
    </w:p>
    <w:p>
      <w:pPr>
        <w:spacing w:after="0" w:line="98" w:lineRule="exact"/>
        <w:rPr>
          <w:sz w:val="20"/>
          <w:szCs w:val="20"/>
          <w:color w:val="auto"/>
        </w:rPr>
      </w:pPr>
    </w:p>
    <w:tbl>
      <w:tblPr>
        <w:tblLayout w:type="fixed"/>
        <w:tblInd w:w="386" w:type="dxa"/>
        <w:tblCellMar>
          <w:top w:w="0" w:type="dxa"/>
          <w:left w:w="0" w:type="dxa"/>
          <w:bottom w:w="0" w:type="dxa"/>
          <w:right w:w="0" w:type="dxa"/>
        </w:tblCellMar>
      </w:tblPr>
      <w:tr>
        <w:trPr>
          <w:trHeight w:val="199"/>
        </w:trPr>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60" w:type="dxa"/>
            <w:vAlign w:val="bottom"/>
            <w:gridSpan w:val="4"/>
          </w:tcPr>
          <w:p>
            <w:pPr>
              <w:jc w:val="center"/>
              <w:ind w:left="114"/>
              <w:spacing w:after="0"/>
              <w:rPr>
                <w:sz w:val="20"/>
                <w:szCs w:val="20"/>
                <w:color w:val="auto"/>
              </w:rPr>
            </w:pPr>
            <w:r>
              <w:rPr>
                <w:rFonts w:ascii="Arial" w:cs="Arial" w:eastAsia="Arial" w:hAnsi="Arial"/>
                <w:sz w:val="17"/>
                <w:szCs w:val="17"/>
                <w:color w:val="auto"/>
                <w:w w:val="93"/>
              </w:rPr>
              <w:t>Aggregate Amount of</w:t>
            </w:r>
          </w:p>
        </w:tc>
        <w:tc>
          <w:tcPr>
            <w:tcW w:w="540" w:type="dxa"/>
            <w:vAlign w:val="bottom"/>
          </w:tcPr>
          <w:p>
            <w:pPr>
              <w:spacing w:after="0"/>
              <w:rPr>
                <w:sz w:val="17"/>
                <w:szCs w:val="17"/>
                <w:color w:val="auto"/>
              </w:rPr>
            </w:pPr>
          </w:p>
        </w:tc>
        <w:tc>
          <w:tcPr>
            <w:tcW w:w="1220" w:type="dxa"/>
            <w:vAlign w:val="bottom"/>
            <w:gridSpan w:val="3"/>
          </w:tcPr>
          <w:p>
            <w:pPr>
              <w:ind w:left="20"/>
              <w:spacing w:after="0"/>
              <w:rPr>
                <w:sz w:val="20"/>
                <w:szCs w:val="20"/>
                <w:color w:val="auto"/>
              </w:rPr>
            </w:pPr>
            <w:r>
              <w:rPr>
                <w:rFonts w:ascii="Arial" w:cs="Arial" w:eastAsia="Arial" w:hAnsi="Arial"/>
                <w:sz w:val="17"/>
                <w:szCs w:val="17"/>
                <w:color w:val="auto"/>
              </w:rPr>
              <w:t>Amount of</w:t>
            </w:r>
          </w:p>
        </w:tc>
        <w:tc>
          <w:tcPr>
            <w:tcW w:w="1900" w:type="dxa"/>
            <w:vAlign w:val="bottom"/>
            <w:gridSpan w:val="4"/>
          </w:tcPr>
          <w:p>
            <w:pPr>
              <w:jc w:val="right"/>
              <w:ind w:right="140"/>
              <w:spacing w:after="0"/>
              <w:rPr>
                <w:sz w:val="20"/>
                <w:szCs w:val="20"/>
                <w:color w:val="auto"/>
              </w:rPr>
            </w:pPr>
            <w:r>
              <w:rPr>
                <w:rFonts w:ascii="Arial" w:cs="Arial" w:eastAsia="Arial" w:hAnsi="Arial"/>
                <w:sz w:val="17"/>
                <w:szCs w:val="17"/>
                <w:color w:val="auto"/>
                <w:w w:val="96"/>
              </w:rPr>
              <w:t>Percentage Assigned of</w:t>
            </w: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9"/>
        </w:trPr>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60" w:type="dxa"/>
            <w:vAlign w:val="bottom"/>
            <w:gridSpan w:val="4"/>
          </w:tcPr>
          <w:p>
            <w:pPr>
              <w:jc w:val="center"/>
              <w:ind w:left="74"/>
              <w:spacing w:after="0"/>
              <w:rPr>
                <w:sz w:val="20"/>
                <w:szCs w:val="20"/>
                <w:color w:val="auto"/>
              </w:rPr>
            </w:pPr>
            <w:r>
              <w:rPr>
                <w:rFonts w:ascii="Arial" w:cs="Arial" w:eastAsia="Arial" w:hAnsi="Arial"/>
                <w:sz w:val="17"/>
                <w:szCs w:val="17"/>
                <w:color w:val="auto"/>
                <w:w w:val="93"/>
              </w:rPr>
              <w:t>Commitment/Loans</w:t>
            </w:r>
          </w:p>
        </w:tc>
        <w:tc>
          <w:tcPr>
            <w:tcW w:w="1760" w:type="dxa"/>
            <w:vAlign w:val="bottom"/>
            <w:gridSpan w:val="4"/>
          </w:tcPr>
          <w:p>
            <w:pPr>
              <w:ind w:left="240"/>
              <w:spacing w:after="0"/>
              <w:rPr>
                <w:sz w:val="20"/>
                <w:szCs w:val="20"/>
                <w:color w:val="auto"/>
              </w:rPr>
            </w:pPr>
            <w:r>
              <w:rPr>
                <w:rFonts w:ascii="Arial" w:cs="Arial" w:eastAsia="Arial" w:hAnsi="Arial"/>
                <w:sz w:val="17"/>
                <w:szCs w:val="17"/>
                <w:color w:val="auto"/>
              </w:rPr>
              <w:t>Commitment/Loans</w:t>
            </w:r>
          </w:p>
        </w:tc>
        <w:tc>
          <w:tcPr>
            <w:tcW w:w="1900" w:type="dxa"/>
            <w:vAlign w:val="bottom"/>
            <w:gridSpan w:val="4"/>
          </w:tcPr>
          <w:p>
            <w:pPr>
              <w:jc w:val="right"/>
              <w:ind w:right="480"/>
              <w:spacing w:after="0"/>
              <w:rPr>
                <w:sz w:val="20"/>
                <w:szCs w:val="20"/>
                <w:color w:val="auto"/>
              </w:rPr>
            </w:pPr>
            <w:r>
              <w:rPr>
                <w:rFonts w:ascii="Arial" w:cs="Arial" w:eastAsia="Arial" w:hAnsi="Arial"/>
                <w:sz w:val="17"/>
                <w:szCs w:val="17"/>
                <w:color w:val="auto"/>
              </w:rPr>
              <w:t>Commitment/</w:t>
            </w: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55"/>
        </w:trPr>
        <w:tc>
          <w:tcPr>
            <w:tcW w:w="800" w:type="dxa"/>
            <w:vAlign w:val="bottom"/>
          </w:tcPr>
          <w:p>
            <w:pPr>
              <w:spacing w:after="0" w:line="147" w:lineRule="exact"/>
              <w:rPr>
                <w:sz w:val="20"/>
                <w:szCs w:val="20"/>
                <w:color w:val="auto"/>
              </w:rPr>
            </w:pPr>
            <w:r>
              <w:rPr>
                <w:rFonts w:ascii="Arial" w:cs="Arial" w:eastAsia="Arial" w:hAnsi="Arial"/>
                <w:sz w:val="17"/>
                <w:szCs w:val="17"/>
                <w:color w:val="auto"/>
                <w:w w:val="92"/>
              </w:rPr>
              <w:t>Assignor[s]</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7</w:t>
            </w:r>
          </w:p>
        </w:tc>
        <w:tc>
          <w:tcPr>
            <w:tcW w:w="1340" w:type="dxa"/>
            <w:vAlign w:val="bottom"/>
            <w:gridSpan w:val="2"/>
          </w:tcPr>
          <w:p>
            <w:pPr>
              <w:ind w:left="520"/>
              <w:spacing w:after="0" w:line="147" w:lineRule="exact"/>
              <w:rPr>
                <w:sz w:val="20"/>
                <w:szCs w:val="20"/>
                <w:color w:val="auto"/>
              </w:rPr>
            </w:pPr>
            <w:r>
              <w:rPr>
                <w:rFonts w:ascii="Arial" w:cs="Arial" w:eastAsia="Arial" w:hAnsi="Arial"/>
                <w:sz w:val="17"/>
                <w:szCs w:val="17"/>
                <w:color w:val="auto"/>
                <w:w w:val="90"/>
              </w:rPr>
              <w:t>Assignee[s]</w:t>
            </w:r>
          </w:p>
        </w:tc>
        <w:tc>
          <w:tcPr>
            <w:tcW w:w="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5"/>
                <w:szCs w:val="15"/>
                <w:color w:val="auto"/>
                <w:w w:val="71"/>
              </w:rPr>
              <w:t>8</w:t>
            </w:r>
          </w:p>
        </w:tc>
        <w:tc>
          <w:tcPr>
            <w:tcW w:w="1600" w:type="dxa"/>
            <w:vAlign w:val="bottom"/>
            <w:gridSpan w:val="2"/>
          </w:tcPr>
          <w:p>
            <w:pPr>
              <w:ind w:left="380"/>
              <w:spacing w:after="0" w:line="147" w:lineRule="exact"/>
              <w:rPr>
                <w:sz w:val="20"/>
                <w:szCs w:val="20"/>
                <w:color w:val="auto"/>
              </w:rPr>
            </w:pPr>
            <w:r>
              <w:rPr>
                <w:rFonts w:ascii="Arial" w:cs="Arial" w:eastAsia="Arial" w:hAnsi="Arial"/>
                <w:sz w:val="17"/>
                <w:szCs w:val="17"/>
                <w:color w:val="auto"/>
                <w:w w:val="94"/>
              </w:rPr>
              <w:t>Facility Assigned</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9</w:t>
            </w:r>
          </w:p>
        </w:tc>
        <w:tc>
          <w:tcPr>
            <w:tcW w:w="1560" w:type="dxa"/>
            <w:vAlign w:val="bottom"/>
            <w:gridSpan w:val="2"/>
          </w:tcPr>
          <w:p>
            <w:pPr>
              <w:ind w:left="560"/>
              <w:spacing w:after="0" w:line="147" w:lineRule="exact"/>
              <w:rPr>
                <w:sz w:val="20"/>
                <w:szCs w:val="20"/>
                <w:color w:val="auto"/>
              </w:rPr>
            </w:pPr>
            <w:r>
              <w:rPr>
                <w:rFonts w:ascii="Arial" w:cs="Arial" w:eastAsia="Arial" w:hAnsi="Arial"/>
                <w:sz w:val="17"/>
                <w:szCs w:val="17"/>
                <w:color w:val="auto"/>
                <w:w w:val="90"/>
              </w:rPr>
              <w:t>for all Lenders</w:t>
            </w:r>
          </w:p>
        </w:tc>
        <w:tc>
          <w:tcPr>
            <w:tcW w:w="1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5"/>
                <w:szCs w:val="15"/>
                <w:color w:val="auto"/>
                <w:w w:val="71"/>
              </w:rPr>
              <w:t>10</w:t>
            </w:r>
          </w:p>
        </w:tc>
        <w:tc>
          <w:tcPr>
            <w:tcW w:w="360" w:type="dxa"/>
            <w:vAlign w:val="bottom"/>
          </w:tcPr>
          <w:p>
            <w:pPr>
              <w:spacing w:after="0"/>
              <w:rPr>
                <w:sz w:val="13"/>
                <w:szCs w:val="13"/>
                <w:color w:val="auto"/>
              </w:rPr>
            </w:pPr>
          </w:p>
        </w:tc>
        <w:tc>
          <w:tcPr>
            <w:tcW w:w="1180" w:type="dxa"/>
            <w:vAlign w:val="bottom"/>
            <w:gridSpan w:val="2"/>
          </w:tcPr>
          <w:p>
            <w:pPr>
              <w:ind w:left="540"/>
              <w:spacing w:after="0" w:line="147" w:lineRule="exact"/>
              <w:rPr>
                <w:sz w:val="20"/>
                <w:szCs w:val="20"/>
                <w:color w:val="auto"/>
              </w:rPr>
            </w:pPr>
            <w:r>
              <w:rPr>
                <w:rFonts w:ascii="Arial" w:cs="Arial" w:eastAsia="Arial" w:hAnsi="Arial"/>
                <w:sz w:val="17"/>
                <w:szCs w:val="17"/>
                <w:color w:val="auto"/>
                <w:w w:val="88"/>
              </w:rPr>
              <w:t>Assigned</w:t>
            </w:r>
          </w:p>
        </w:tc>
        <w:tc>
          <w:tcPr>
            <w:tcW w:w="1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5"/>
                <w:szCs w:val="15"/>
                <w:color w:val="auto"/>
                <w:w w:val="71"/>
              </w:rPr>
              <w:t>11</w:t>
            </w:r>
          </w:p>
        </w:tc>
        <w:tc>
          <w:tcPr>
            <w:tcW w:w="440" w:type="dxa"/>
            <w:vAlign w:val="bottom"/>
          </w:tcPr>
          <w:p>
            <w:pPr>
              <w:spacing w:after="0"/>
              <w:rPr>
                <w:sz w:val="13"/>
                <w:szCs w:val="13"/>
                <w:color w:val="auto"/>
              </w:rPr>
            </w:pPr>
          </w:p>
        </w:tc>
        <w:tc>
          <w:tcPr>
            <w:tcW w:w="1080" w:type="dxa"/>
            <w:vAlign w:val="bottom"/>
            <w:gridSpan w:val="2"/>
          </w:tcPr>
          <w:p>
            <w:pPr>
              <w:ind w:left="660"/>
              <w:spacing w:after="0" w:line="147" w:lineRule="exact"/>
              <w:rPr>
                <w:sz w:val="20"/>
                <w:szCs w:val="20"/>
                <w:color w:val="auto"/>
              </w:rPr>
            </w:pPr>
            <w:r>
              <w:rPr>
                <w:rFonts w:ascii="Arial" w:cs="Arial" w:eastAsia="Arial" w:hAnsi="Arial"/>
                <w:sz w:val="17"/>
                <w:szCs w:val="17"/>
                <w:color w:val="auto"/>
                <w:w w:val="86"/>
              </w:rPr>
              <w:t>Loans</w:t>
            </w:r>
          </w:p>
        </w:tc>
        <w:tc>
          <w:tcPr>
            <w:tcW w:w="1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5"/>
                <w:szCs w:val="15"/>
                <w:color w:val="auto"/>
                <w:w w:val="71"/>
              </w:rPr>
              <w:t>12</w:t>
            </w:r>
          </w:p>
        </w:tc>
        <w:tc>
          <w:tcPr>
            <w:tcW w:w="680" w:type="dxa"/>
            <w:vAlign w:val="bottom"/>
          </w:tcPr>
          <w:p>
            <w:pPr>
              <w:spacing w:after="0"/>
              <w:rPr>
                <w:sz w:val="13"/>
                <w:szCs w:val="13"/>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7"/>
                <w:szCs w:val="17"/>
                <w:color w:val="auto"/>
                <w:w w:val="92"/>
              </w:rPr>
              <w:t>CUSIP Number</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right"/>
              <w:ind w:right="154"/>
              <w:spacing w:after="0" w:line="183" w:lineRule="exact"/>
              <w:rPr>
                <w:sz w:val="20"/>
                <w:szCs w:val="20"/>
                <w:color w:val="auto"/>
              </w:rPr>
            </w:pPr>
            <w:r>
              <w:rPr>
                <w:rFonts w:ascii="Arial" w:cs="Arial" w:eastAsia="Arial" w:hAnsi="Arial"/>
                <w:sz w:val="17"/>
                <w:szCs w:val="17"/>
                <w:color w:val="auto"/>
              </w:rPr>
              <w:t>$</w:t>
            </w: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ind w:right="174"/>
              <w:spacing w:after="0" w:line="183" w:lineRule="exact"/>
              <w:rPr>
                <w:sz w:val="20"/>
                <w:szCs w:val="20"/>
                <w:color w:val="auto"/>
              </w:rPr>
            </w:pPr>
            <w:r>
              <w:rPr>
                <w:rFonts w:ascii="Arial" w:cs="Arial" w:eastAsia="Arial" w:hAnsi="Arial"/>
                <w:sz w:val="17"/>
                <w:szCs w:val="17"/>
                <w:color w:val="auto"/>
              </w:rPr>
              <w: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00" w:type="dxa"/>
            <w:vAlign w:val="bottom"/>
            <w:gridSpan w:val="4"/>
          </w:tcPr>
          <w:p>
            <w:pPr>
              <w:jc w:val="right"/>
              <w:ind w:right="60"/>
              <w:spacing w:after="0" w:line="183" w:lineRule="exact"/>
              <w:rPr>
                <w:sz w:val="20"/>
                <w:szCs w:val="20"/>
                <w:color w:val="auto"/>
              </w:rPr>
            </w:pPr>
            <w:r>
              <w:rPr>
                <w:rFonts w:ascii="Arial" w:cs="Arial" w:eastAsia="Arial" w:hAnsi="Arial"/>
                <w:sz w:val="17"/>
                <w:szCs w:val="17"/>
                <w:color w:val="auto"/>
              </w:rPr>
              <w:t>%</w:t>
            </w: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99"/>
        </w:trPr>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00" w:type="dxa"/>
            <w:vAlign w:val="bottom"/>
            <w:gridSpan w:val="4"/>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7"/>
        </w:trPr>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00" w:type="dxa"/>
            <w:vAlign w:val="bottom"/>
            <w:gridSpan w:val="4"/>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r>
    </w:tbl>
    <w:p>
      <w:pPr>
        <w:spacing w:after="0" w:line="153" w:lineRule="exact"/>
        <w:rPr>
          <w:sz w:val="20"/>
          <w:szCs w:val="20"/>
          <w:color w:val="auto"/>
        </w:rPr>
      </w:pPr>
    </w:p>
    <w:tbl>
      <w:tblPr>
        <w:tblLayout w:type="fixed"/>
        <w:tblInd w:w="766" w:type="dxa"/>
        <w:tblCellMar>
          <w:top w:w="0" w:type="dxa"/>
          <w:left w:w="0" w:type="dxa"/>
          <w:bottom w:w="0" w:type="dxa"/>
          <w:right w:w="0" w:type="dxa"/>
        </w:tblCellMar>
      </w:tblPr>
      <w:tr>
        <w:trPr>
          <w:trHeight w:val="195"/>
        </w:trPr>
        <w:tc>
          <w:tcPr>
            <w:tcW w:w="1820" w:type="dxa"/>
            <w:vAlign w:val="bottom"/>
            <w:gridSpan w:val="4"/>
          </w:tcPr>
          <w:p>
            <w:pPr>
              <w:spacing w:after="0"/>
              <w:rPr>
                <w:sz w:val="20"/>
                <w:szCs w:val="20"/>
                <w:color w:val="auto"/>
              </w:rPr>
            </w:pPr>
            <w:r>
              <w:rPr>
                <w:rFonts w:ascii="Arial" w:cs="Arial" w:eastAsia="Arial" w:hAnsi="Arial"/>
                <w:sz w:val="17"/>
                <w:szCs w:val="17"/>
                <w:color w:val="auto"/>
              </w:rPr>
              <w:t>[7.Trade Date:</w:t>
            </w:r>
          </w:p>
        </w:tc>
        <w:tc>
          <w:tcPr>
            <w:tcW w:w="840" w:type="dxa"/>
            <w:vAlign w:val="bottom"/>
          </w:tcPr>
          <w:p>
            <w:pPr>
              <w:jc w:val="right"/>
              <w:ind w:right="134"/>
              <w:spacing w:after="0"/>
              <w:rPr>
                <w:sz w:val="20"/>
                <w:szCs w:val="20"/>
                <w:color w:val="auto"/>
              </w:rPr>
            </w:pPr>
            <w:r>
              <w:rPr>
                <w:rFonts w:ascii="Arial" w:cs="Arial" w:eastAsia="Arial" w:hAnsi="Arial"/>
                <w:sz w:val="17"/>
                <w:szCs w:val="17"/>
                <w:color w:val="auto"/>
                <w:w w:val="88"/>
              </w:rPr>
              <w:t>, 20__]</w:t>
            </w:r>
            <w:r>
              <w:rPr>
                <w:rFonts w:ascii="Arial" w:cs="Arial" w:eastAsia="Arial" w:hAnsi="Arial"/>
                <w:sz w:val="14"/>
                <w:szCs w:val="14"/>
                <w:color w:val="auto"/>
                <w:w w:val="88"/>
              </w:rPr>
              <w:t>13</w:t>
            </w:r>
          </w:p>
        </w:tc>
        <w:tc>
          <w:tcPr>
            <w:tcW w:w="8000" w:type="dxa"/>
            <w:vAlign w:val="bottom"/>
          </w:tcPr>
          <w:p>
            <w:pPr>
              <w:spacing w:after="0"/>
              <w:rPr>
                <w:sz w:val="16"/>
                <w:szCs w:val="16"/>
                <w:color w:val="auto"/>
              </w:rPr>
            </w:pPr>
          </w:p>
        </w:tc>
      </w:tr>
      <w:tr>
        <w:trPr>
          <w:trHeight w:val="20"/>
        </w:trPr>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r>
        <w:trPr>
          <w:trHeight w:val="367"/>
        </w:trPr>
        <w:tc>
          <w:tcPr>
            <w:tcW w:w="180" w:type="dxa"/>
            <w:vAlign w:val="bottom"/>
          </w:tcPr>
          <w:p>
            <w:pPr>
              <w:spacing w:after="0"/>
              <w:rPr>
                <w:sz w:val="20"/>
                <w:szCs w:val="20"/>
                <w:color w:val="auto"/>
              </w:rPr>
            </w:pPr>
            <w:r>
              <w:rPr>
                <w:rFonts w:ascii="Arial" w:cs="Arial" w:eastAsia="Arial" w:hAnsi="Arial"/>
                <w:sz w:val="16"/>
                <w:szCs w:val="16"/>
                <w:color w:val="auto"/>
              </w:rPr>
              <w:t>8.</w:t>
            </w:r>
          </w:p>
        </w:tc>
        <w:tc>
          <w:tcPr>
            <w:tcW w:w="1640" w:type="dxa"/>
            <w:vAlign w:val="bottom"/>
            <w:gridSpan w:val="3"/>
          </w:tcPr>
          <w:p>
            <w:pPr>
              <w:ind w:left="540"/>
              <w:spacing w:after="0"/>
              <w:rPr>
                <w:sz w:val="20"/>
                <w:szCs w:val="20"/>
                <w:color w:val="auto"/>
              </w:rPr>
            </w:pPr>
            <w:r>
              <w:rPr>
                <w:rFonts w:ascii="Arial" w:cs="Arial" w:eastAsia="Arial" w:hAnsi="Arial"/>
                <w:sz w:val="17"/>
                <w:szCs w:val="17"/>
                <w:color w:val="auto"/>
                <w:w w:val="95"/>
              </w:rPr>
              <w:t>Effective Date:</w:t>
            </w:r>
          </w:p>
        </w:tc>
        <w:tc>
          <w:tcPr>
            <w:tcW w:w="840" w:type="dxa"/>
            <w:vAlign w:val="bottom"/>
            <w:tcBorders>
              <w:bottom w:val="single" w:sz="8" w:color="auto"/>
            </w:tcBorders>
          </w:tcPr>
          <w:p>
            <w:pPr>
              <w:spacing w:after="0"/>
              <w:rPr>
                <w:sz w:val="24"/>
                <w:szCs w:val="24"/>
                <w:color w:val="auto"/>
              </w:rPr>
            </w:pPr>
          </w:p>
        </w:tc>
        <w:tc>
          <w:tcPr>
            <w:tcW w:w="8000" w:type="dxa"/>
            <w:vAlign w:val="bottom"/>
          </w:tcPr>
          <w:p>
            <w:pPr>
              <w:spacing w:after="0"/>
              <w:rPr>
                <w:sz w:val="20"/>
                <w:szCs w:val="20"/>
                <w:color w:val="auto"/>
              </w:rPr>
            </w:pPr>
            <w:r>
              <w:rPr>
                <w:rFonts w:ascii="Arial" w:cs="Arial" w:eastAsia="Arial" w:hAnsi="Arial"/>
                <w:sz w:val="17"/>
                <w:szCs w:val="17"/>
                <w:color w:val="auto"/>
                <w:w w:val="98"/>
              </w:rPr>
              <w:t>, 20__ [TO BE INSERTED BY ADMINISTRATIVE AGENT AND WHICH SHALL BE THE EFFECTIVE DATE</w:t>
            </w:r>
          </w:p>
        </w:tc>
      </w:tr>
      <w:tr>
        <w:trPr>
          <w:trHeight w:val="218"/>
        </w:trPr>
        <w:tc>
          <w:tcPr>
            <w:tcW w:w="180" w:type="dxa"/>
            <w:vAlign w:val="bottom"/>
          </w:tcPr>
          <w:p>
            <w:pPr>
              <w:spacing w:after="0"/>
              <w:rPr>
                <w:sz w:val="18"/>
                <w:szCs w:val="18"/>
                <w:color w:val="auto"/>
              </w:rPr>
            </w:pPr>
          </w:p>
        </w:tc>
        <w:tc>
          <w:tcPr>
            <w:tcW w:w="10480" w:type="dxa"/>
            <w:vAlign w:val="bottom"/>
            <w:gridSpan w:val="5"/>
          </w:tcPr>
          <w:p>
            <w:pPr>
              <w:ind w:left="540"/>
              <w:spacing w:after="0"/>
              <w:rPr>
                <w:sz w:val="20"/>
                <w:szCs w:val="20"/>
                <w:color w:val="auto"/>
              </w:rPr>
            </w:pPr>
            <w:r>
              <w:rPr>
                <w:rFonts w:ascii="Arial" w:cs="Arial" w:eastAsia="Arial" w:hAnsi="Arial"/>
                <w:sz w:val="17"/>
                <w:szCs w:val="17"/>
                <w:color w:val="auto"/>
              </w:rPr>
              <w:t>OF RECORDATION OF TRANSFER IN THE REGISTER THEREFOR.]</w:t>
            </w:r>
          </w:p>
        </w:tc>
      </w:tr>
    </w:tbl>
    <w:p>
      <w:pPr>
        <w:spacing w:after="0" w:line="200" w:lineRule="exact"/>
        <w:rPr>
          <w:sz w:val="20"/>
          <w:szCs w:val="20"/>
          <w:color w:val="auto"/>
        </w:rPr>
      </w:pPr>
    </w:p>
    <w:p>
      <w:pPr>
        <w:spacing w:after="0" w:line="345"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pages follow</w:t>
      </w:r>
      <w:r>
        <w:rPr>
          <w:rFonts w:ascii="Arial" w:cs="Arial" w:eastAsia="Arial" w:hAnsi="Arial"/>
          <w:sz w:val="17"/>
          <w:szCs w:val="17"/>
          <w:color w:val="auto"/>
        </w:rPr>
        <w:t>]</w:t>
      </w:r>
    </w:p>
    <w:p>
      <w:pPr>
        <w:spacing w:after="0" w:line="200" w:lineRule="exact"/>
        <w:rPr>
          <w:sz w:val="20"/>
          <w:szCs w:val="20"/>
          <w:color w:val="auto"/>
        </w:rPr>
      </w:pPr>
    </w:p>
    <w:p>
      <w:pPr>
        <w:spacing w:after="0" w:line="295" w:lineRule="exact"/>
        <w:rPr>
          <w:sz w:val="20"/>
          <w:szCs w:val="20"/>
          <w:color w:val="auto"/>
        </w:rPr>
      </w:pPr>
    </w:p>
    <w:p>
      <w:pPr>
        <w:ind w:left="126" w:hanging="126"/>
        <w:spacing w:after="0"/>
        <w:tabs>
          <w:tab w:leader="none" w:pos="126" w:val="left"/>
        </w:tabs>
        <w:numPr>
          <w:ilvl w:val="0"/>
          <w:numId w:val="182"/>
        </w:numPr>
        <w:rPr>
          <w:rFonts w:ascii="Arial" w:cs="Arial" w:eastAsia="Arial" w:hAnsi="Arial"/>
          <w:sz w:val="13"/>
          <w:szCs w:val="13"/>
          <w:color w:val="auto"/>
        </w:rPr>
      </w:pPr>
      <w:r>
        <w:rPr>
          <w:rFonts w:ascii="Arial" w:cs="Arial" w:eastAsia="Arial" w:hAnsi="Arial"/>
          <w:sz w:val="12"/>
          <w:szCs w:val="12"/>
          <w:color w:val="auto"/>
        </w:rPr>
        <w:t>Include all applicable subfacilities.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14516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51610" cy="7620"/>
                    </a:xfrm>
                    <a:prstGeom prst="rect">
                      <a:avLst/>
                    </a:prstGeom>
                    <a:noFill/>
                  </pic:spPr>
                </pic:pic>
              </a:graphicData>
            </a:graphic>
          </wp:anchor>
        </w:drawing>
      </w:r>
    </w:p>
    <w:p>
      <w:pPr>
        <w:spacing w:after="0" w:line="18" w:lineRule="exact"/>
        <w:rPr>
          <w:sz w:val="20"/>
          <w:szCs w:val="20"/>
          <w:color w:val="auto"/>
        </w:rPr>
      </w:pPr>
    </w:p>
    <w:p>
      <w:pPr>
        <w:ind w:left="126" w:hanging="126"/>
        <w:spacing w:after="0"/>
        <w:tabs>
          <w:tab w:leader="none" w:pos="126" w:val="left"/>
        </w:tabs>
        <w:numPr>
          <w:ilvl w:val="0"/>
          <w:numId w:val="183"/>
        </w:numPr>
        <w:rPr>
          <w:rFonts w:ascii="Arial" w:cs="Arial" w:eastAsia="Arial" w:hAnsi="Arial"/>
          <w:sz w:val="13"/>
          <w:szCs w:val="13"/>
          <w:color w:val="auto"/>
        </w:rPr>
      </w:pPr>
      <w:r>
        <w:rPr>
          <w:rFonts w:ascii="Arial" w:cs="Arial" w:eastAsia="Arial" w:hAnsi="Arial"/>
          <w:sz w:val="12"/>
          <w:szCs w:val="12"/>
          <w:color w:val="auto"/>
        </w:rPr>
        <w:t>The reference to “Loans” in the table should be used only if the Credit Agreement provides for Term Loans.</w:t>
      </w:r>
    </w:p>
    <w:p>
      <w:pPr>
        <w:spacing w:after="0" w:line="38" w:lineRule="exact"/>
        <w:rPr>
          <w:rFonts w:ascii="Arial" w:cs="Arial" w:eastAsia="Arial" w:hAnsi="Arial"/>
          <w:sz w:val="13"/>
          <w:szCs w:val="13"/>
          <w:color w:val="auto"/>
        </w:rPr>
      </w:pPr>
    </w:p>
    <w:p>
      <w:pPr>
        <w:ind w:left="6"/>
        <w:spacing w:after="0"/>
        <w:rPr>
          <w:rFonts w:ascii="Arial" w:cs="Arial" w:eastAsia="Arial" w:hAnsi="Arial"/>
          <w:sz w:val="13"/>
          <w:szCs w:val="13"/>
          <w:color w:val="auto"/>
        </w:rPr>
      </w:pPr>
      <w:r>
        <w:rPr>
          <w:rFonts w:ascii="Arial" w:cs="Arial" w:eastAsia="Arial" w:hAnsi="Arial"/>
          <w:sz w:val="13"/>
          <w:szCs w:val="13"/>
          <w:color w:val="auto"/>
        </w:rPr>
        <w:t xml:space="preserve">8 </w:t>
      </w:r>
      <w:r>
        <w:rPr>
          <w:rFonts w:ascii="Arial" w:cs="Arial" w:eastAsia="Arial" w:hAnsi="Arial"/>
          <w:sz w:val="12"/>
          <w:szCs w:val="12"/>
          <w:color w:val="auto"/>
        </w:rPr>
        <w:t>List each Assignor, as appropriate.</w:t>
      </w:r>
    </w:p>
    <w:p>
      <w:pPr>
        <w:spacing w:after="0" w:line="38" w:lineRule="exact"/>
        <w:rPr>
          <w:rFonts w:ascii="Arial" w:cs="Arial" w:eastAsia="Arial" w:hAnsi="Arial"/>
          <w:sz w:val="13"/>
          <w:szCs w:val="13"/>
          <w:color w:val="auto"/>
        </w:rPr>
      </w:pPr>
    </w:p>
    <w:p>
      <w:pPr>
        <w:ind w:left="6"/>
        <w:spacing w:after="0"/>
        <w:rPr>
          <w:rFonts w:ascii="Arial" w:cs="Arial" w:eastAsia="Arial" w:hAnsi="Arial"/>
          <w:sz w:val="13"/>
          <w:szCs w:val="13"/>
          <w:color w:val="auto"/>
        </w:rPr>
      </w:pPr>
      <w:r>
        <w:rPr>
          <w:rFonts w:ascii="Arial" w:cs="Arial" w:eastAsia="Arial" w:hAnsi="Arial"/>
          <w:sz w:val="13"/>
          <w:szCs w:val="13"/>
          <w:color w:val="auto"/>
        </w:rPr>
        <w:t xml:space="preserve">9 </w:t>
      </w:r>
      <w:r>
        <w:rPr>
          <w:rFonts w:ascii="Arial" w:cs="Arial" w:eastAsia="Arial" w:hAnsi="Arial"/>
          <w:sz w:val="12"/>
          <w:szCs w:val="12"/>
          <w:color w:val="auto"/>
        </w:rPr>
        <w:t>List each Assignee, as appropriate.</w:t>
      </w:r>
    </w:p>
    <w:p>
      <w:pPr>
        <w:spacing w:after="0" w:line="38" w:lineRule="exact"/>
        <w:rPr>
          <w:rFonts w:ascii="Arial" w:cs="Arial" w:eastAsia="Arial" w:hAnsi="Arial"/>
          <w:sz w:val="13"/>
          <w:szCs w:val="13"/>
          <w:color w:val="auto"/>
        </w:rPr>
      </w:pPr>
    </w:p>
    <w:p>
      <w:pPr>
        <w:ind w:left="6"/>
        <w:spacing w:after="0"/>
        <w:rPr>
          <w:rFonts w:ascii="Arial" w:cs="Arial" w:eastAsia="Arial" w:hAnsi="Arial"/>
          <w:sz w:val="13"/>
          <w:szCs w:val="13"/>
          <w:color w:val="auto"/>
        </w:rPr>
      </w:pPr>
      <w:r>
        <w:rPr>
          <w:rFonts w:ascii="Arial" w:cs="Arial" w:eastAsia="Arial" w:hAnsi="Arial"/>
          <w:sz w:val="13"/>
          <w:szCs w:val="13"/>
          <w:color w:val="auto"/>
        </w:rPr>
        <w:t xml:space="preserve">10 </w:t>
      </w:r>
      <w:r>
        <w:rPr>
          <w:rFonts w:ascii="Arial" w:cs="Arial" w:eastAsia="Arial" w:hAnsi="Arial"/>
          <w:sz w:val="12"/>
          <w:szCs w:val="12"/>
          <w:color w:val="auto"/>
        </w:rPr>
        <w:t>Fill in the appropriate terminology for the types of facilities under the Credit Agreement that are being assigned under this Assignment (e.g. “Revolving Credit Commitment”, etc.).</w:t>
      </w:r>
    </w:p>
    <w:p>
      <w:pPr>
        <w:spacing w:after="0" w:line="38" w:lineRule="exact"/>
        <w:rPr>
          <w:rFonts w:ascii="Arial" w:cs="Arial" w:eastAsia="Arial" w:hAnsi="Arial"/>
          <w:sz w:val="13"/>
          <w:szCs w:val="13"/>
          <w:color w:val="auto"/>
        </w:rPr>
      </w:pPr>
    </w:p>
    <w:p>
      <w:pPr>
        <w:ind w:left="6" w:right="880"/>
        <w:spacing w:after="0" w:line="301" w:lineRule="auto"/>
        <w:rPr>
          <w:rFonts w:ascii="Arial" w:cs="Arial" w:eastAsia="Arial" w:hAnsi="Arial"/>
          <w:sz w:val="13"/>
          <w:szCs w:val="13"/>
          <w:color w:val="auto"/>
        </w:rPr>
      </w:pPr>
      <w:r>
        <w:rPr>
          <w:rFonts w:ascii="Arial" w:cs="Arial" w:eastAsia="Arial" w:hAnsi="Arial"/>
          <w:sz w:val="13"/>
          <w:szCs w:val="13"/>
          <w:color w:val="auto"/>
        </w:rPr>
        <w:t xml:space="preserve">11 </w:t>
      </w:r>
      <w:r>
        <w:rPr>
          <w:rFonts w:ascii="Arial" w:cs="Arial" w:eastAsia="Arial" w:hAnsi="Arial"/>
          <w:sz w:val="12"/>
          <w:szCs w:val="12"/>
          <w:color w:val="auto"/>
        </w:rPr>
        <w:t>Amounts in this column and in the column immediately to the right to be adjusted by the counterparties to take into account any payments or prepayments made between the Trade Date and the Effective Date</w:t>
      </w:r>
      <w:r>
        <w:rPr>
          <w:rFonts w:ascii="Arial" w:cs="Arial" w:eastAsia="Arial" w:hAnsi="Arial"/>
          <w:sz w:val="13"/>
          <w:szCs w:val="13"/>
          <w:color w:val="auto"/>
        </w:rPr>
        <w:t xml:space="preserve"> 12 </w:t>
      </w:r>
      <w:r>
        <w:rPr>
          <w:rFonts w:ascii="Arial" w:cs="Arial" w:eastAsia="Arial" w:hAnsi="Arial"/>
          <w:sz w:val="12"/>
          <w:szCs w:val="12"/>
          <w:color w:val="auto"/>
        </w:rPr>
        <w:t>Set forth, to at least 9 decimals, as a percentage of the Commitment/Loans of all Lenders thereunder.</w:t>
      </w:r>
    </w:p>
    <w:p>
      <w:pPr>
        <w:ind w:left="6"/>
        <w:spacing w:after="0"/>
        <w:rPr>
          <w:rFonts w:ascii="Arial" w:cs="Arial" w:eastAsia="Arial" w:hAnsi="Arial"/>
          <w:sz w:val="13"/>
          <w:szCs w:val="13"/>
          <w:color w:val="auto"/>
        </w:rPr>
      </w:pPr>
      <w:r>
        <w:rPr>
          <w:rFonts w:ascii="Arial" w:cs="Arial" w:eastAsia="Arial" w:hAnsi="Arial"/>
          <w:sz w:val="13"/>
          <w:szCs w:val="13"/>
          <w:color w:val="auto"/>
        </w:rPr>
        <w:t xml:space="preserve">13 </w:t>
      </w:r>
      <w:r>
        <w:rPr>
          <w:rFonts w:ascii="Arial" w:cs="Arial" w:eastAsia="Arial" w:hAnsi="Arial"/>
          <w:sz w:val="12"/>
          <w:szCs w:val="12"/>
          <w:color w:val="auto"/>
        </w:rPr>
        <w:t>To be completed if the Assignor and the Assignee intend that the minimum assignment amount is to be determined as of the Trade Date.</w:t>
      </w:r>
    </w:p>
    <w:p>
      <w:pPr>
        <w:sectPr>
          <w:pgSz w:w="11900" w:h="16838" w:orient="portrait"/>
          <w:cols w:equalWidth="0" w:num="1">
            <w:col w:w="11426"/>
          </w:cols>
          <w:pgMar w:left="234" w:top="313" w:right="239" w:bottom="1440" w:gutter="0" w:footer="0" w:header="0"/>
        </w:sectPr>
      </w:pPr>
    </w:p>
    <w:bookmarkStart w:id="161" w:name="page162"/>
    <w:bookmarkEnd w:id="161"/>
    <w:p>
      <w:pPr>
        <w:ind w:left="766"/>
        <w:spacing w:after="0"/>
        <w:rPr>
          <w:sz w:val="20"/>
          <w:szCs w:val="20"/>
          <w:color w:val="auto"/>
        </w:rPr>
      </w:pPr>
      <w:r>
        <w:rPr>
          <w:rFonts w:ascii="Arial" w:cs="Arial" w:eastAsia="Arial" w:hAnsi="Arial"/>
          <w:sz w:val="16"/>
          <w:szCs w:val="16"/>
          <w:color w:val="auto"/>
        </w:rPr>
        <w:t>The terms set forth in this Assignment and Assumption are hereby agreed to:</w:t>
      </w:r>
    </w:p>
    <w:p>
      <w:pPr>
        <w:spacing w:after="0" w:line="189" w:lineRule="exact"/>
        <w:rPr>
          <w:sz w:val="20"/>
          <w:szCs w:val="20"/>
          <w:color w:val="auto"/>
        </w:rPr>
      </w:pPr>
    </w:p>
    <w:p>
      <w:pPr>
        <w:ind w:left="4566"/>
        <w:spacing w:after="0"/>
        <w:rPr>
          <w:sz w:val="20"/>
          <w:szCs w:val="20"/>
          <w:color w:val="auto"/>
        </w:rPr>
      </w:pPr>
      <w:r>
        <w:rPr>
          <w:rFonts w:ascii="Arial" w:cs="Arial" w:eastAsia="Arial" w:hAnsi="Arial"/>
          <w:sz w:val="17"/>
          <w:szCs w:val="17"/>
          <w:u w:val="single" w:color="auto"/>
          <w:color w:val="auto"/>
        </w:rPr>
        <w:t>ASSIGNOR</w:t>
      </w:r>
    </w:p>
    <w:p>
      <w:pPr>
        <w:spacing w:after="0" w:line="18" w:lineRule="exact"/>
        <w:rPr>
          <w:sz w:val="20"/>
          <w:szCs w:val="20"/>
          <w:color w:val="auto"/>
        </w:rPr>
      </w:pPr>
    </w:p>
    <w:p>
      <w:pPr>
        <w:ind w:left="4566"/>
        <w:spacing w:after="0"/>
        <w:rPr>
          <w:sz w:val="20"/>
          <w:szCs w:val="20"/>
          <w:color w:val="auto"/>
        </w:rPr>
      </w:pPr>
      <w:r>
        <w:rPr>
          <w:rFonts w:ascii="Arial" w:cs="Arial" w:eastAsia="Arial" w:hAnsi="Arial"/>
          <w:sz w:val="17"/>
          <w:szCs w:val="17"/>
          <w:color w:val="auto"/>
        </w:rPr>
        <w:t>[NAME OF ASSIGNOR]</w:t>
      </w:r>
    </w:p>
    <w:p>
      <w:pPr>
        <w:spacing w:after="0" w:line="365" w:lineRule="exact"/>
        <w:rPr>
          <w:sz w:val="20"/>
          <w:szCs w:val="20"/>
          <w:color w:val="auto"/>
        </w:rPr>
      </w:pPr>
    </w:p>
    <w:p>
      <w:pPr>
        <w:ind w:left="4566"/>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-10160</wp:posOffset>
            </wp:positionV>
            <wp:extent cx="177292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72920" cy="7620"/>
                    </a:xfrm>
                    <a:prstGeom prst="rect">
                      <a:avLst/>
                    </a:prstGeom>
                    <a:noFill/>
                  </pic:spPr>
                </pic:pic>
              </a:graphicData>
            </a:graphic>
          </wp:anchor>
        </w:drawing>
      </w:r>
    </w:p>
    <w:p>
      <w:pPr>
        <w:ind w:left="4566"/>
        <w:spacing w:after="0"/>
        <w:rPr>
          <w:sz w:val="20"/>
          <w:szCs w:val="20"/>
          <w:color w:val="auto"/>
        </w:rPr>
      </w:pPr>
      <w:r>
        <w:rPr>
          <w:rFonts w:ascii="Arial" w:cs="Arial" w:eastAsia="Arial" w:hAnsi="Arial"/>
          <w:sz w:val="17"/>
          <w:szCs w:val="17"/>
          <w:color w:val="auto"/>
        </w:rPr>
        <w:t>Name:</w:t>
      </w:r>
    </w:p>
    <w:p>
      <w:pPr>
        <w:spacing w:after="0" w:line="4"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Title:</w:t>
      </w:r>
    </w:p>
    <w:p>
      <w:pPr>
        <w:spacing w:after="0" w:line="177" w:lineRule="exact"/>
        <w:rPr>
          <w:sz w:val="20"/>
          <w:szCs w:val="20"/>
          <w:color w:val="auto"/>
        </w:rPr>
      </w:pPr>
    </w:p>
    <w:p>
      <w:pPr>
        <w:ind w:left="4566"/>
        <w:spacing w:after="0"/>
        <w:rPr>
          <w:sz w:val="20"/>
          <w:szCs w:val="20"/>
          <w:color w:val="auto"/>
        </w:rPr>
      </w:pPr>
      <w:r>
        <w:rPr>
          <w:rFonts w:ascii="Arial" w:cs="Arial" w:eastAsia="Arial" w:hAnsi="Arial"/>
          <w:sz w:val="17"/>
          <w:szCs w:val="17"/>
          <w:u w:val="single" w:color="auto"/>
          <w:color w:val="auto"/>
        </w:rPr>
        <w:t>ASSIGNEE</w:t>
      </w:r>
    </w:p>
    <w:p>
      <w:pPr>
        <w:spacing w:after="0" w:line="18" w:lineRule="exact"/>
        <w:rPr>
          <w:sz w:val="20"/>
          <w:szCs w:val="20"/>
          <w:color w:val="auto"/>
        </w:rPr>
      </w:pPr>
    </w:p>
    <w:p>
      <w:pPr>
        <w:ind w:left="4566"/>
        <w:spacing w:after="0"/>
        <w:rPr>
          <w:sz w:val="20"/>
          <w:szCs w:val="20"/>
          <w:color w:val="auto"/>
        </w:rPr>
      </w:pPr>
      <w:r>
        <w:rPr>
          <w:rFonts w:ascii="Arial" w:cs="Arial" w:eastAsia="Arial" w:hAnsi="Arial"/>
          <w:sz w:val="17"/>
          <w:szCs w:val="17"/>
          <w:color w:val="auto"/>
        </w:rPr>
        <w:t>[NAME OF ASSIGNEE]</w:t>
      </w:r>
    </w:p>
    <w:p>
      <w:pPr>
        <w:spacing w:after="0" w:line="365" w:lineRule="exact"/>
        <w:rPr>
          <w:sz w:val="20"/>
          <w:szCs w:val="20"/>
          <w:color w:val="auto"/>
        </w:rPr>
      </w:pPr>
    </w:p>
    <w:p>
      <w:pPr>
        <w:ind w:left="4566"/>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-10160</wp:posOffset>
            </wp:positionV>
            <wp:extent cx="177292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72920" cy="7620"/>
                    </a:xfrm>
                    <a:prstGeom prst="rect">
                      <a:avLst/>
                    </a:prstGeom>
                    <a:noFill/>
                  </pic:spPr>
                </pic:pic>
              </a:graphicData>
            </a:graphic>
          </wp:anchor>
        </w:drawing>
      </w:r>
    </w:p>
    <w:p>
      <w:pPr>
        <w:ind w:left="4566"/>
        <w:spacing w:after="0"/>
        <w:rPr>
          <w:sz w:val="20"/>
          <w:szCs w:val="20"/>
          <w:color w:val="auto"/>
        </w:rPr>
      </w:pPr>
      <w:r>
        <w:rPr>
          <w:rFonts w:ascii="Arial" w:cs="Arial" w:eastAsia="Arial" w:hAnsi="Arial"/>
          <w:sz w:val="17"/>
          <w:szCs w:val="17"/>
          <w:color w:val="auto"/>
        </w:rPr>
        <w:t>Name:</w:t>
      </w:r>
    </w:p>
    <w:p>
      <w:pPr>
        <w:spacing w:after="0" w:line="4"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Title:</w:t>
      </w:r>
    </w:p>
    <w:p>
      <w:pPr>
        <w:spacing w:after="0" w:line="177" w:lineRule="exact"/>
        <w:rPr>
          <w:sz w:val="20"/>
          <w:szCs w:val="20"/>
          <w:color w:val="auto"/>
        </w:rPr>
      </w:pPr>
    </w:p>
    <w:p>
      <w:pPr>
        <w:ind w:left="6"/>
        <w:spacing w:after="0"/>
        <w:rPr>
          <w:sz w:val="20"/>
          <w:szCs w:val="20"/>
          <w:color w:val="auto"/>
        </w:rPr>
      </w:pPr>
      <w:r>
        <w:rPr>
          <w:rFonts w:ascii="Arial" w:cs="Arial" w:eastAsia="Arial" w:hAnsi="Arial"/>
          <w:sz w:val="17"/>
          <w:szCs w:val="17"/>
          <w:color w:val="auto"/>
        </w:rPr>
        <w:t>[Consented to and]</w:t>
      </w:r>
      <w:r>
        <w:rPr>
          <w:rFonts w:ascii="Arial" w:cs="Arial" w:eastAsia="Arial" w:hAnsi="Arial"/>
          <w:sz w:val="14"/>
          <w:szCs w:val="14"/>
          <w:color w:val="auto"/>
        </w:rPr>
        <w:t>14</w:t>
      </w:r>
      <w:r>
        <w:rPr>
          <w:rFonts w:ascii="Arial" w:cs="Arial" w:eastAsia="Arial" w:hAnsi="Arial"/>
          <w:sz w:val="17"/>
          <w:szCs w:val="17"/>
          <w:color w:val="auto"/>
        </w:rPr>
        <w:t xml:space="preserve"> Accepted:</w:t>
      </w:r>
    </w:p>
    <w:p>
      <w:pPr>
        <w:spacing w:after="0" w:line="191" w:lineRule="exact"/>
        <w:rPr>
          <w:sz w:val="20"/>
          <w:szCs w:val="20"/>
          <w:color w:val="auto"/>
        </w:rPr>
      </w:pPr>
    </w:p>
    <w:p>
      <w:pPr>
        <w:ind w:left="86"/>
        <w:spacing w:after="0"/>
        <w:rPr>
          <w:sz w:val="20"/>
          <w:szCs w:val="20"/>
          <w:color w:val="auto"/>
        </w:rPr>
      </w:pPr>
      <w:r>
        <w:rPr>
          <w:rFonts w:ascii="Arial" w:cs="Arial" w:eastAsia="Arial" w:hAnsi="Arial"/>
          <w:sz w:val="17"/>
          <w:szCs w:val="17"/>
          <w:color w:val="auto"/>
        </w:rPr>
        <w:t>BANK OF AMERICA, N.A.,</w:t>
      </w:r>
    </w:p>
    <w:p>
      <w:pPr>
        <w:spacing w:after="0" w:line="18" w:lineRule="exact"/>
        <w:rPr>
          <w:sz w:val="20"/>
          <w:szCs w:val="20"/>
          <w:color w:val="auto"/>
        </w:rPr>
      </w:pPr>
    </w:p>
    <w:p>
      <w:pPr>
        <w:ind w:left="86"/>
        <w:spacing w:after="0"/>
        <w:rPr>
          <w:sz w:val="20"/>
          <w:szCs w:val="20"/>
          <w:color w:val="auto"/>
        </w:rPr>
      </w:pPr>
      <w:r>
        <w:rPr>
          <w:rFonts w:ascii="Arial" w:cs="Arial" w:eastAsia="Arial" w:hAnsi="Arial"/>
          <w:sz w:val="17"/>
          <w:szCs w:val="17"/>
          <w:color w:val="auto"/>
        </w:rPr>
        <w:t>as Administrative Agent</w:t>
      </w:r>
    </w:p>
    <w:p>
      <w:pPr>
        <w:spacing w:after="0" w:line="365" w:lineRule="exact"/>
        <w:rPr>
          <w:sz w:val="20"/>
          <w:szCs w:val="20"/>
          <w:color w:val="auto"/>
        </w:rPr>
      </w:pPr>
    </w:p>
    <w:p>
      <w:pPr>
        <w:ind w:left="6"/>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-10160</wp:posOffset>
            </wp:positionV>
            <wp:extent cx="177292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72920" cy="7620"/>
                    </a:xfrm>
                    <a:prstGeom prst="rect">
                      <a:avLst/>
                    </a:prstGeom>
                    <a:noFill/>
                  </pic:spPr>
                </pic:pic>
              </a:graphicData>
            </a:graphic>
          </wp:anchor>
        </w:drawing>
      </w:r>
    </w:p>
    <w:p>
      <w:pPr>
        <w:ind w:left="6"/>
        <w:spacing w:after="0"/>
        <w:rPr>
          <w:sz w:val="20"/>
          <w:szCs w:val="20"/>
          <w:color w:val="auto"/>
        </w:rPr>
      </w:pPr>
      <w:r>
        <w:rPr>
          <w:rFonts w:ascii="Arial" w:cs="Arial" w:eastAsia="Arial" w:hAnsi="Arial"/>
          <w:sz w:val="17"/>
          <w:szCs w:val="17"/>
          <w:color w:val="auto"/>
        </w:rPr>
        <w:t>Name:</w:t>
      </w:r>
    </w:p>
    <w:p>
      <w:pPr>
        <w:spacing w:after="0" w:line="4" w:lineRule="exact"/>
        <w:rPr>
          <w:sz w:val="20"/>
          <w:szCs w:val="20"/>
          <w:color w:val="auto"/>
        </w:rPr>
      </w:pPr>
    </w:p>
    <w:p>
      <w:pPr>
        <w:ind w:left="6"/>
        <w:spacing w:after="0"/>
        <w:rPr>
          <w:sz w:val="20"/>
          <w:szCs w:val="20"/>
          <w:color w:val="auto"/>
        </w:rPr>
      </w:pPr>
      <w:r>
        <w:rPr>
          <w:rFonts w:ascii="Arial" w:cs="Arial" w:eastAsia="Arial" w:hAnsi="Arial"/>
          <w:sz w:val="17"/>
          <w:szCs w:val="17"/>
          <w:color w:val="auto"/>
        </w:rPr>
        <w:t>Title:</w:t>
      </w:r>
    </w:p>
    <w:p>
      <w:pPr>
        <w:spacing w:after="0" w:line="177" w:lineRule="exact"/>
        <w:rPr>
          <w:sz w:val="20"/>
          <w:szCs w:val="20"/>
          <w:color w:val="auto"/>
        </w:rPr>
      </w:pPr>
    </w:p>
    <w:p>
      <w:pPr>
        <w:ind w:left="6"/>
        <w:spacing w:after="0"/>
        <w:rPr>
          <w:sz w:val="20"/>
          <w:szCs w:val="20"/>
          <w:color w:val="auto"/>
        </w:rPr>
      </w:pPr>
      <w:r>
        <w:rPr>
          <w:rFonts w:ascii="Arial" w:cs="Arial" w:eastAsia="Arial" w:hAnsi="Arial"/>
          <w:sz w:val="17"/>
          <w:szCs w:val="17"/>
          <w:color w:val="auto"/>
        </w:rPr>
        <w:t>[Consented to:]</w:t>
      </w:r>
      <w:r>
        <w:rPr>
          <w:rFonts w:ascii="Arial" w:cs="Arial" w:eastAsia="Arial" w:hAnsi="Arial"/>
          <w:sz w:val="14"/>
          <w:szCs w:val="14"/>
          <w:color w:val="auto"/>
        </w:rPr>
        <w:t>15</w:t>
      </w:r>
    </w:p>
    <w:p>
      <w:pPr>
        <w:spacing w:after="0" w:line="191" w:lineRule="exact"/>
        <w:rPr>
          <w:sz w:val="20"/>
          <w:szCs w:val="20"/>
          <w:color w:val="auto"/>
        </w:rPr>
      </w:pPr>
    </w:p>
    <w:p>
      <w:pPr>
        <w:ind w:left="6"/>
        <w:spacing w:after="0"/>
        <w:rPr>
          <w:sz w:val="20"/>
          <w:szCs w:val="20"/>
          <w:color w:val="auto"/>
        </w:rPr>
      </w:pPr>
      <w:r>
        <w:rPr>
          <w:rFonts w:ascii="Arial" w:cs="Arial" w:eastAsia="Arial" w:hAnsi="Arial"/>
          <w:sz w:val="17"/>
          <w:szCs w:val="17"/>
          <w:color w:val="auto"/>
        </w:rPr>
        <w:t>GENTHERM INCORPORATED,</w:t>
      </w:r>
    </w:p>
    <w:p>
      <w:pPr>
        <w:spacing w:after="0" w:line="18" w:lineRule="exact"/>
        <w:rPr>
          <w:sz w:val="20"/>
          <w:szCs w:val="20"/>
          <w:color w:val="auto"/>
        </w:rPr>
      </w:pPr>
    </w:p>
    <w:p>
      <w:pPr>
        <w:ind w:left="6"/>
        <w:spacing w:after="0"/>
        <w:rPr>
          <w:sz w:val="20"/>
          <w:szCs w:val="20"/>
          <w:color w:val="auto"/>
        </w:rPr>
      </w:pPr>
      <w:r>
        <w:rPr>
          <w:rFonts w:ascii="Arial" w:cs="Arial" w:eastAsia="Arial" w:hAnsi="Arial"/>
          <w:sz w:val="17"/>
          <w:szCs w:val="17"/>
          <w:color w:val="auto"/>
        </w:rPr>
        <w:t>a Michigan corporation</w:t>
      </w:r>
    </w:p>
    <w:p>
      <w:pPr>
        <w:spacing w:after="0" w:line="365" w:lineRule="exact"/>
        <w:rPr>
          <w:sz w:val="20"/>
          <w:szCs w:val="20"/>
          <w:color w:val="auto"/>
        </w:rPr>
      </w:pPr>
    </w:p>
    <w:p>
      <w:pPr>
        <w:ind w:left="6"/>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-10160</wp:posOffset>
            </wp:positionV>
            <wp:extent cx="177292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72920" cy="7620"/>
                    </a:xfrm>
                    <a:prstGeom prst="rect">
                      <a:avLst/>
                    </a:prstGeom>
                    <a:noFill/>
                  </pic:spPr>
                </pic:pic>
              </a:graphicData>
            </a:graphic>
          </wp:anchor>
        </w:drawing>
      </w:r>
    </w:p>
    <w:p>
      <w:pPr>
        <w:ind w:left="6"/>
        <w:spacing w:after="0"/>
        <w:rPr>
          <w:sz w:val="20"/>
          <w:szCs w:val="20"/>
          <w:color w:val="auto"/>
        </w:rPr>
      </w:pPr>
      <w:r>
        <w:rPr>
          <w:rFonts w:ascii="Arial" w:cs="Arial" w:eastAsia="Arial" w:hAnsi="Arial"/>
          <w:sz w:val="17"/>
          <w:szCs w:val="17"/>
          <w:color w:val="auto"/>
        </w:rPr>
        <w:t>Name:</w:t>
      </w:r>
    </w:p>
    <w:p>
      <w:pPr>
        <w:spacing w:after="0" w:line="4" w:lineRule="exact"/>
        <w:rPr>
          <w:sz w:val="20"/>
          <w:szCs w:val="20"/>
          <w:color w:val="auto"/>
        </w:rPr>
      </w:pPr>
    </w:p>
    <w:p>
      <w:pPr>
        <w:ind w:left="6"/>
        <w:spacing w:after="0"/>
        <w:rPr>
          <w:sz w:val="20"/>
          <w:szCs w:val="20"/>
          <w:color w:val="auto"/>
        </w:rPr>
      </w:pPr>
      <w:r>
        <w:rPr>
          <w:rFonts w:ascii="Arial" w:cs="Arial" w:eastAsia="Arial" w:hAnsi="Arial"/>
          <w:sz w:val="17"/>
          <w:szCs w:val="17"/>
          <w:color w:val="auto"/>
        </w:rPr>
        <w:t>Title:</w:t>
      </w:r>
    </w:p>
    <w:p>
      <w:pPr>
        <w:spacing w:after="0" w:line="177" w:lineRule="exact"/>
        <w:rPr>
          <w:sz w:val="20"/>
          <w:szCs w:val="20"/>
          <w:color w:val="auto"/>
        </w:rPr>
      </w:pPr>
    </w:p>
    <w:p>
      <w:pPr>
        <w:ind w:left="86"/>
        <w:spacing w:after="0"/>
        <w:rPr>
          <w:sz w:val="20"/>
          <w:szCs w:val="20"/>
          <w:color w:val="auto"/>
        </w:rPr>
      </w:pPr>
      <w:r>
        <w:rPr>
          <w:rFonts w:ascii="Arial" w:cs="Arial" w:eastAsia="Arial" w:hAnsi="Arial"/>
          <w:sz w:val="17"/>
          <w:szCs w:val="17"/>
          <w:color w:val="auto"/>
        </w:rPr>
        <w:t>BANK OF AMERICA, N.A.,</w:t>
      </w:r>
    </w:p>
    <w:p>
      <w:pPr>
        <w:spacing w:after="0" w:line="18" w:lineRule="exact"/>
        <w:rPr>
          <w:sz w:val="20"/>
          <w:szCs w:val="20"/>
          <w:color w:val="auto"/>
        </w:rPr>
      </w:pPr>
    </w:p>
    <w:p>
      <w:pPr>
        <w:ind w:left="6"/>
        <w:spacing w:after="0"/>
        <w:rPr>
          <w:sz w:val="20"/>
          <w:szCs w:val="20"/>
          <w:color w:val="auto"/>
        </w:rPr>
      </w:pPr>
      <w:r>
        <w:rPr>
          <w:rFonts w:ascii="Arial" w:cs="Arial" w:eastAsia="Arial" w:hAnsi="Arial"/>
          <w:sz w:val="17"/>
          <w:szCs w:val="17"/>
          <w:color w:val="auto"/>
        </w:rPr>
        <w:t>as [L/C Issuer] [and] [Swing Line Lender]</w:t>
      </w:r>
    </w:p>
    <w:p>
      <w:pPr>
        <w:spacing w:after="0" w:line="365" w:lineRule="exact"/>
        <w:rPr>
          <w:sz w:val="20"/>
          <w:szCs w:val="20"/>
          <w:color w:val="auto"/>
        </w:rPr>
      </w:pPr>
    </w:p>
    <w:p>
      <w:pPr>
        <w:ind w:left="6"/>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-10160</wp:posOffset>
            </wp:positionV>
            <wp:extent cx="177292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72920" cy="7620"/>
                    </a:xfrm>
                    <a:prstGeom prst="rect">
                      <a:avLst/>
                    </a:prstGeom>
                    <a:noFill/>
                  </pic:spPr>
                </pic:pic>
              </a:graphicData>
            </a:graphic>
          </wp:anchor>
        </w:drawing>
      </w:r>
    </w:p>
    <w:p>
      <w:pPr>
        <w:ind w:left="6"/>
        <w:spacing w:after="0"/>
        <w:rPr>
          <w:sz w:val="20"/>
          <w:szCs w:val="20"/>
          <w:color w:val="auto"/>
        </w:rPr>
      </w:pPr>
      <w:r>
        <w:rPr>
          <w:rFonts w:ascii="Arial" w:cs="Arial" w:eastAsia="Arial" w:hAnsi="Arial"/>
          <w:sz w:val="17"/>
          <w:szCs w:val="17"/>
          <w:color w:val="auto"/>
        </w:rPr>
        <w:t>Name:</w:t>
      </w:r>
    </w:p>
    <w:p>
      <w:pPr>
        <w:spacing w:after="0" w:line="4" w:lineRule="exact"/>
        <w:rPr>
          <w:sz w:val="20"/>
          <w:szCs w:val="20"/>
          <w:color w:val="auto"/>
        </w:rPr>
      </w:pPr>
    </w:p>
    <w:p>
      <w:pPr>
        <w:ind w:left="6"/>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316" w:lineRule="exact"/>
        <w:rPr>
          <w:sz w:val="20"/>
          <w:szCs w:val="20"/>
          <w:color w:val="auto"/>
        </w:rPr>
      </w:pPr>
    </w:p>
    <w:p>
      <w:pPr>
        <w:ind w:left="166" w:hanging="166"/>
        <w:spacing w:after="0"/>
        <w:tabs>
          <w:tab w:leader="none" w:pos="166" w:val="left"/>
        </w:tabs>
        <w:numPr>
          <w:ilvl w:val="0"/>
          <w:numId w:val="184"/>
        </w:numPr>
        <w:rPr>
          <w:rFonts w:ascii="Arial" w:cs="Arial" w:eastAsia="Arial" w:hAnsi="Arial"/>
          <w:sz w:val="13"/>
          <w:szCs w:val="13"/>
          <w:color w:val="auto"/>
        </w:rPr>
      </w:pPr>
      <w:r>
        <w:rPr>
          <w:rFonts w:ascii="Arial" w:cs="Arial" w:eastAsia="Arial" w:hAnsi="Arial"/>
          <w:sz w:val="12"/>
          <w:szCs w:val="12"/>
          <w:color w:val="auto"/>
        </w:rPr>
        <w:t>To be added only if the consent of the Administrative Agent is required by the terms of the Credit Agreement.</w:t>
      </w:r>
    </w:p>
    <w:p>
      <w:pPr>
        <w:spacing w:after="0" w:line="38" w:lineRule="exact"/>
        <w:rPr>
          <w:rFonts w:ascii="Arial" w:cs="Arial" w:eastAsia="Arial" w:hAnsi="Arial"/>
          <w:sz w:val="13"/>
          <w:szCs w:val="13"/>
          <w:color w:val="auto"/>
        </w:rPr>
      </w:pPr>
    </w:p>
    <w:p>
      <w:pPr>
        <w:ind w:left="166" w:hanging="166"/>
        <w:spacing w:after="0"/>
        <w:tabs>
          <w:tab w:leader="none" w:pos="166" w:val="left"/>
        </w:tabs>
        <w:numPr>
          <w:ilvl w:val="0"/>
          <w:numId w:val="184"/>
        </w:numPr>
        <w:rPr>
          <w:rFonts w:ascii="Arial" w:cs="Arial" w:eastAsia="Arial" w:hAnsi="Arial"/>
          <w:sz w:val="12"/>
          <w:szCs w:val="12"/>
          <w:color w:val="auto"/>
        </w:rPr>
      </w:pPr>
      <w:r>
        <w:rPr>
          <w:rFonts w:ascii="Arial" w:cs="Arial" w:eastAsia="Arial" w:hAnsi="Arial"/>
          <w:sz w:val="11"/>
          <w:szCs w:val="11"/>
          <w:color w:val="auto"/>
        </w:rPr>
        <w:t>To be added only if the consent of the Company and/or other parties (e.g. Swing Line Lender, L/C Issuer) is required by the terms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-203200</wp:posOffset>
            </wp:positionV>
            <wp:extent cx="145161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51610" cy="7620"/>
                    </a:xfrm>
                    <a:prstGeom prst="rect">
                      <a:avLst/>
                    </a:prstGeom>
                    <a:noFill/>
                  </pic:spPr>
                </pic:pic>
              </a:graphicData>
            </a:graphic>
          </wp:anchor>
        </w:drawing>
      </w:r>
    </w:p>
    <w:p>
      <w:pPr>
        <w:sectPr>
          <w:pgSz w:w="11900" w:h="16838" w:orient="portrait"/>
          <w:cols w:equalWidth="0" w:num="1">
            <w:col w:w="10225"/>
          </w:cols>
          <w:pgMar w:left="234" w:top="315" w:right="1440" w:bottom="1440" w:gutter="0" w:footer="0" w:header="0"/>
        </w:sectPr>
      </w:pPr>
    </w:p>
    <w:bookmarkStart w:id="162" w:name="page163"/>
    <w:bookmarkEnd w:id="162"/>
    <w:p>
      <w:pPr>
        <w:ind w:left="7726"/>
        <w:spacing w:after="0"/>
        <w:rPr>
          <w:sz w:val="20"/>
          <w:szCs w:val="20"/>
          <w:color w:val="auto"/>
        </w:rPr>
      </w:pPr>
      <w:r>
        <w:rPr>
          <w:rFonts w:ascii="Arial" w:cs="Arial" w:eastAsia="Arial" w:hAnsi="Arial"/>
          <w:sz w:val="16"/>
          <w:szCs w:val="16"/>
          <w:b w:val="1"/>
          <w:bCs w:val="1"/>
          <w:i w:val="1"/>
          <w:iCs w:val="1"/>
          <w:color w:val="auto"/>
        </w:rPr>
        <w:t>ANNEX 1 TO ASSIGNMENT AND ASSUMPTION</w:t>
      </w:r>
    </w:p>
    <w:p>
      <w:pPr>
        <w:spacing w:after="0" w:line="205" w:lineRule="exact"/>
        <w:rPr>
          <w:sz w:val="20"/>
          <w:szCs w:val="20"/>
          <w:color w:val="auto"/>
        </w:rPr>
      </w:pPr>
    </w:p>
    <w:p>
      <w:pPr>
        <w:jc w:val="both"/>
        <w:ind w:left="6"/>
        <w:spacing w:after="0" w:line="248" w:lineRule="auto"/>
        <w:rPr>
          <w:sz w:val="20"/>
          <w:szCs w:val="20"/>
          <w:color w:val="auto"/>
        </w:rPr>
      </w:pPr>
      <w:r>
        <w:rPr>
          <w:rFonts w:ascii="Arial" w:cs="Arial" w:eastAsia="Arial" w:hAnsi="Arial"/>
          <w:sz w:val="16"/>
          <w:szCs w:val="16"/>
          <w:color w:val="auto"/>
        </w:rPr>
        <w:t>Credit Agreement, dated as of August 7, 2014 (as amended, restated, extended, supplemented or otherwise modified in writing from time to time; the terms defined therein being used herein as therein defined), among Gentherm Incorporated, a Michigan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Gentherm GmbH, a German limited liability company (“</w:t>
      </w:r>
      <w:r>
        <w:rPr>
          <w:rFonts w:ascii="Arial" w:cs="Arial" w:eastAsia="Arial" w:hAnsi="Arial"/>
          <w:sz w:val="16"/>
          <w:szCs w:val="16"/>
          <w:u w:val="single" w:color="auto"/>
          <w:color w:val="auto"/>
        </w:rPr>
        <w:t>Gentherm Germany</w:t>
      </w:r>
      <w:r>
        <w:rPr>
          <w:rFonts w:ascii="Arial" w:cs="Arial" w:eastAsia="Arial" w:hAnsi="Arial"/>
          <w:sz w:val="16"/>
          <w:szCs w:val="16"/>
          <w:color w:val="auto"/>
        </w:rPr>
        <w:t>”), Gentherm (Texas), Inc., a Texas corporation (“</w:t>
      </w:r>
      <w:r>
        <w:rPr>
          <w:rFonts w:ascii="Arial" w:cs="Arial" w:eastAsia="Arial" w:hAnsi="Arial"/>
          <w:sz w:val="16"/>
          <w:szCs w:val="16"/>
          <w:u w:val="single" w:color="auto"/>
          <w:color w:val="auto"/>
        </w:rPr>
        <w:t>Gentherm Texas</w:t>
      </w:r>
      <w:r>
        <w:rPr>
          <w:rFonts w:ascii="Arial" w:cs="Arial" w:eastAsia="Arial" w:hAnsi="Arial"/>
          <w:sz w:val="16"/>
          <w:szCs w:val="16"/>
          <w:color w:val="auto"/>
        </w:rPr>
        <w:t>” and, together with the Company, the “</w:t>
      </w:r>
      <w:r>
        <w:rPr>
          <w:rFonts w:ascii="Arial" w:cs="Arial" w:eastAsia="Arial" w:hAnsi="Arial"/>
          <w:sz w:val="16"/>
          <w:szCs w:val="16"/>
          <w:u w:val="single" w:color="auto"/>
          <w:color w:val="auto"/>
        </w:rPr>
        <w:t>U.S. Borrowers</w:t>
      </w:r>
      <w:r>
        <w:rPr>
          <w:rFonts w:ascii="Arial" w:cs="Arial" w:eastAsia="Arial" w:hAnsi="Arial"/>
          <w:sz w:val="16"/>
          <w:szCs w:val="16"/>
          <w:color w:val="auto"/>
        </w:rPr>
        <w:t>”), Gentherm Canada Ltd., an Ontario corporation (“</w:t>
      </w:r>
      <w:r>
        <w:rPr>
          <w:rFonts w:ascii="Arial" w:cs="Arial" w:eastAsia="Arial" w:hAnsi="Arial"/>
          <w:sz w:val="16"/>
          <w:szCs w:val="16"/>
          <w:u w:val="single" w:color="auto"/>
          <w:color w:val="auto"/>
        </w:rPr>
        <w:t>Gentherm</w:t>
      </w:r>
      <w:r>
        <w:rPr>
          <w:rFonts w:ascii="Arial" w:cs="Arial" w:eastAsia="Arial" w:hAnsi="Arial"/>
          <w:sz w:val="16"/>
          <w:szCs w:val="16"/>
          <w:color w:val="auto"/>
        </w:rPr>
        <w:t xml:space="preserve"> </w:t>
      </w:r>
      <w:r>
        <w:rPr>
          <w:rFonts w:ascii="Arial" w:cs="Arial" w:eastAsia="Arial" w:hAnsi="Arial"/>
          <w:sz w:val="16"/>
          <w:szCs w:val="16"/>
          <w:u w:val="single" w:color="auto"/>
          <w:color w:val="auto"/>
        </w:rPr>
        <w:t>Canada</w:t>
      </w:r>
      <w:r>
        <w:rPr>
          <w:rFonts w:ascii="Arial" w:cs="Arial" w:eastAsia="Arial" w:hAnsi="Arial"/>
          <w:sz w:val="16"/>
          <w:szCs w:val="16"/>
          <w:color w:val="auto"/>
        </w:rPr>
        <w:t>”), Global Thermoelectric Inc., an Alberta corporation (“</w:t>
      </w:r>
      <w:r>
        <w:rPr>
          <w:rFonts w:ascii="Arial" w:cs="Arial" w:eastAsia="Arial" w:hAnsi="Arial"/>
          <w:sz w:val="16"/>
          <w:szCs w:val="16"/>
          <w:u w:val="single" w:color="auto"/>
          <w:color w:val="auto"/>
        </w:rPr>
        <w:t>Global</w:t>
      </w:r>
      <w:r>
        <w:rPr>
          <w:rFonts w:ascii="Arial" w:cs="Arial" w:eastAsia="Arial" w:hAnsi="Arial"/>
          <w:sz w:val="16"/>
          <w:szCs w:val="16"/>
          <w:color w:val="auto"/>
        </w:rPr>
        <w:t>” and, together with Gentherm Canada, the “</w:t>
      </w:r>
      <w:r>
        <w:rPr>
          <w:rFonts w:ascii="Arial" w:cs="Arial" w:eastAsia="Arial" w:hAnsi="Arial"/>
          <w:sz w:val="16"/>
          <w:szCs w:val="16"/>
          <w:u w:val="single" w:color="auto"/>
          <w:color w:val="auto"/>
        </w:rPr>
        <w:t>Canadian Borrowers</w:t>
      </w:r>
      <w:r>
        <w:rPr>
          <w:rFonts w:ascii="Arial" w:cs="Arial" w:eastAsia="Arial" w:hAnsi="Arial"/>
          <w:sz w:val="16"/>
          <w:szCs w:val="16"/>
          <w:color w:val="auto"/>
        </w:rPr>
        <w:t>” and, together with Gentherm Canada, the U.S. Borrowers and Gentherm Germany, the “</w:t>
      </w:r>
      <w:r>
        <w:rPr>
          <w:rFonts w:ascii="Arial" w:cs="Arial" w:eastAsia="Arial" w:hAnsi="Arial"/>
          <w:sz w:val="16"/>
          <w:szCs w:val="16"/>
          <w:u w:val="single" w:color="auto"/>
          <w:color w:val="auto"/>
        </w:rPr>
        <w:t>Borrowers</w:t>
      </w:r>
      <w:r>
        <w:rPr>
          <w:rFonts w:ascii="Arial" w:cs="Arial" w:eastAsia="Arial" w:hAnsi="Arial"/>
          <w:sz w:val="16"/>
          <w:szCs w:val="16"/>
          <w:color w:val="auto"/>
        </w:rPr>
        <w:t>” and each, a “</w:t>
      </w:r>
      <w:r>
        <w:rPr>
          <w:rFonts w:ascii="Arial" w:cs="Arial" w:eastAsia="Arial" w:hAnsi="Arial"/>
          <w:sz w:val="16"/>
          <w:szCs w:val="16"/>
          <w:u w:val="single" w:color="auto"/>
          <w:color w:val="auto"/>
        </w:rPr>
        <w:t>Borrower</w:t>
      </w:r>
      <w:r>
        <w:rPr>
          <w:rFonts w:ascii="Arial" w:cs="Arial" w:eastAsia="Arial" w:hAnsi="Arial"/>
          <w:sz w:val="16"/>
          <w:szCs w:val="16"/>
          <w:color w:val="auto"/>
        </w:rPr>
        <w:t>”), each lender from time to time party thereto and Bank of America, N.A., as Administrative Agent, Swing Line Lender and L/C Issuer.</w:t>
      </w:r>
    </w:p>
    <w:p>
      <w:pPr>
        <w:spacing w:after="0" w:line="170"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STANDARD TERMS AND CONDITIONS FOR</w:t>
      </w:r>
    </w:p>
    <w:p>
      <w:pPr>
        <w:spacing w:after="0" w:line="18"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ASSIGNMENT AND ASSUMPTION</w:t>
      </w:r>
    </w:p>
    <w:p>
      <w:pPr>
        <w:spacing w:after="0" w:line="177" w:lineRule="exact"/>
        <w:rPr>
          <w:sz w:val="20"/>
          <w:szCs w:val="20"/>
          <w:color w:val="auto"/>
        </w:rPr>
      </w:pPr>
    </w:p>
    <w:p>
      <w:pPr>
        <w:ind w:left="1686" w:hanging="161"/>
        <w:spacing w:after="0"/>
        <w:tabs>
          <w:tab w:leader="none" w:pos="1686" w:val="left"/>
        </w:tabs>
        <w:numPr>
          <w:ilvl w:val="0"/>
          <w:numId w:val="185"/>
        </w:numPr>
        <w:rPr>
          <w:rFonts w:ascii="Arial" w:cs="Arial" w:eastAsia="Arial" w:hAnsi="Arial"/>
          <w:sz w:val="16"/>
          <w:szCs w:val="16"/>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w:t>
      </w:r>
    </w:p>
    <w:p>
      <w:pPr>
        <w:spacing w:after="0" w:line="191" w:lineRule="exact"/>
        <w:rPr>
          <w:sz w:val="20"/>
          <w:szCs w:val="20"/>
          <w:color w:val="auto"/>
        </w:rPr>
      </w:pPr>
    </w:p>
    <w:p>
      <w:pPr>
        <w:jc w:val="both"/>
        <w:ind w:left="6" w:firstLine="1525"/>
        <w:spacing w:after="0" w:line="287" w:lineRule="auto"/>
        <w:rPr>
          <w:sz w:val="20"/>
          <w:szCs w:val="20"/>
          <w:color w:val="auto"/>
        </w:rPr>
      </w:pPr>
      <w:r>
        <w:rPr>
          <w:rFonts w:ascii="Arial" w:cs="Arial" w:eastAsia="Arial" w:hAnsi="Arial"/>
          <w:sz w:val="14"/>
          <w:szCs w:val="14"/>
          <w:color w:val="auto"/>
        </w:rPr>
        <w:t xml:space="preserve">1.1. </w:t>
      </w:r>
      <w:r>
        <w:rPr>
          <w:rFonts w:ascii="Arial" w:cs="Arial" w:eastAsia="Arial" w:hAnsi="Arial"/>
          <w:sz w:val="15"/>
          <w:szCs w:val="15"/>
          <w:u w:val="single" w:color="auto"/>
          <w:color w:val="auto"/>
        </w:rPr>
        <w:t>Assignor</w:t>
      </w:r>
      <w:r>
        <w:rPr>
          <w:rFonts w:ascii="Arial" w:cs="Arial" w:eastAsia="Arial" w:hAnsi="Arial"/>
          <w:sz w:val="15"/>
          <w:szCs w:val="15"/>
          <w:color w:val="auto"/>
        </w:rPr>
        <w:t>. [The][Each] Assignor (a) represents and warrants that (i) it is the legal and beneficial owner of [the][[the relevant] Assigned</w:t>
      </w:r>
      <w:r>
        <w:rPr>
          <w:rFonts w:ascii="Arial" w:cs="Arial" w:eastAsia="Arial" w:hAnsi="Arial"/>
          <w:sz w:val="14"/>
          <w:szCs w:val="14"/>
          <w:color w:val="auto"/>
        </w:rPr>
        <w:t xml:space="preserve"> </w:t>
      </w:r>
      <w:r>
        <w:rPr>
          <w:rFonts w:ascii="Arial" w:cs="Arial" w:eastAsia="Arial" w:hAnsi="Arial"/>
          <w:sz w:val="15"/>
          <w:szCs w:val="15"/>
          <w:color w:val="auto"/>
        </w:rPr>
        <w:t>Interest, (ii) [the][such]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39" w:lineRule="exact"/>
        <w:rPr>
          <w:sz w:val="20"/>
          <w:szCs w:val="20"/>
          <w:color w:val="auto"/>
        </w:rPr>
      </w:pPr>
    </w:p>
    <w:p>
      <w:pPr>
        <w:jc w:val="both"/>
        <w:ind w:left="6" w:right="20" w:firstLine="1525"/>
        <w:spacing w:after="0" w:line="287" w:lineRule="auto"/>
        <w:rPr>
          <w:sz w:val="20"/>
          <w:szCs w:val="20"/>
          <w:color w:val="auto"/>
        </w:rPr>
      </w:pPr>
      <w:r>
        <w:rPr>
          <w:rFonts w:ascii="Arial" w:cs="Arial" w:eastAsia="Arial" w:hAnsi="Arial"/>
          <w:sz w:val="14"/>
          <w:szCs w:val="14"/>
          <w:color w:val="auto"/>
        </w:rPr>
        <w:t xml:space="preserve">1.2. </w:t>
      </w:r>
      <w:r>
        <w:rPr>
          <w:rFonts w:ascii="Arial" w:cs="Arial" w:eastAsia="Arial" w:hAnsi="Arial"/>
          <w:sz w:val="15"/>
          <w:szCs w:val="15"/>
          <w:u w:val="single" w:color="auto"/>
          <w:color w:val="auto"/>
        </w:rPr>
        <w:t>Assignee</w:t>
      </w:r>
      <w:r>
        <w:rPr>
          <w:rFonts w:ascii="Arial" w:cs="Arial" w:eastAsia="Arial" w:hAnsi="Arial"/>
          <w:sz w:val="15"/>
          <w:szCs w:val="15"/>
          <w:color w:val="auto"/>
        </w:rPr>
        <w:t>. [The][Each] Assignee (a) represents and warrants that (i) it has full power and authority, and has taken all action necessary, to</w:t>
      </w:r>
      <w:r>
        <w:rPr>
          <w:rFonts w:ascii="Arial" w:cs="Arial" w:eastAsia="Arial" w:hAnsi="Arial"/>
          <w:sz w:val="14"/>
          <w:szCs w:val="14"/>
          <w:color w:val="auto"/>
        </w:rPr>
        <w:t xml:space="preserve"> </w:t>
      </w:r>
      <w:r>
        <w:rPr>
          <w:rFonts w:ascii="Arial" w:cs="Arial" w:eastAsia="Arial" w:hAnsi="Arial"/>
          <w:sz w:val="15"/>
          <w:szCs w:val="15"/>
          <w:color w:val="auto"/>
        </w:rPr>
        <w:t>execute and deliver this Assignment and Assumption and to consummate the transactions contemplated hereby and to become a Lender under the Credit Agreement,</w:t>
      </w:r>
    </w:p>
    <w:p>
      <w:pPr>
        <w:jc w:val="both"/>
        <w:ind w:left="6" w:hanging="6"/>
        <w:spacing w:after="0" w:line="277" w:lineRule="auto"/>
        <w:tabs>
          <w:tab w:leader="none" w:pos="279" w:val="left"/>
        </w:tabs>
        <w:numPr>
          <w:ilvl w:val="0"/>
          <w:numId w:val="186"/>
        </w:numPr>
        <w:rPr>
          <w:rFonts w:ascii="Arial" w:cs="Arial" w:eastAsia="Arial" w:hAnsi="Arial"/>
          <w:sz w:val="15"/>
          <w:szCs w:val="15"/>
          <w:color w:val="auto"/>
        </w:rPr>
      </w:pPr>
      <w:r>
        <w:rPr>
          <w:rFonts w:ascii="Arial" w:cs="Arial" w:eastAsia="Arial" w:hAnsi="Arial"/>
          <w:sz w:val="15"/>
          <w:szCs w:val="15"/>
          <w:color w:val="auto"/>
        </w:rPr>
        <w:t>it meets all the requirements to be an assignee under Section 10.06(b)(iii), (v) and (vi) of the Credit Agreement (subject to such consents, if any, as may be required under Section 10.06(b)(iii) of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Credit Agreement, and has received or has been accorded the opportunity to receive copies of the most recent financial statements delivered pursuant to Section 6.01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w:t>
      </w:r>
    </w:p>
    <w:p>
      <w:pPr>
        <w:spacing w:after="0" w:line="1" w:lineRule="exact"/>
        <w:rPr>
          <w:rFonts w:ascii="Arial" w:cs="Arial" w:eastAsia="Arial" w:hAnsi="Arial"/>
          <w:sz w:val="15"/>
          <w:szCs w:val="15"/>
          <w:color w:val="auto"/>
        </w:rPr>
      </w:pPr>
    </w:p>
    <w:p>
      <w:pPr>
        <w:jc w:val="both"/>
        <w:ind w:left="6" w:hanging="6"/>
        <w:spacing w:after="0" w:line="247" w:lineRule="auto"/>
        <w:tabs>
          <w:tab w:leader="none" w:pos="35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if it is a Foreign Lender, attached hereto is any documentation required to be delivered by it pursuant to the terms of the Credit Agreement, duly completed and executed by [the][such] Assignee; and (b) agrees that (i) it will, independently and without reliance upon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64" w:lineRule="exact"/>
        <w:rPr>
          <w:rFonts w:ascii="Arial" w:cs="Arial" w:eastAsia="Arial" w:hAnsi="Arial"/>
          <w:sz w:val="17"/>
          <w:szCs w:val="17"/>
          <w:color w:val="auto"/>
        </w:rPr>
      </w:pPr>
    </w:p>
    <w:p>
      <w:pPr>
        <w:jc w:val="both"/>
        <w:ind w:left="6" w:firstLine="1519"/>
        <w:spacing w:after="0" w:line="274" w:lineRule="auto"/>
        <w:tabs>
          <w:tab w:leader="none" w:pos="1699" w:val="left"/>
        </w:tabs>
        <w:numPr>
          <w:ilvl w:val="1"/>
          <w:numId w:val="187"/>
        </w:numPr>
        <w:rPr>
          <w:rFonts w:ascii="Arial" w:cs="Arial" w:eastAsia="Arial" w:hAnsi="Arial"/>
          <w:sz w:val="15"/>
          <w:szCs w:val="15"/>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 Notwithstanding the foregoing, the Administrative Agent shall make all payments of interest, fees or other amounts paid or payable in kind from and after the Effective Date to the Assignee.</w:t>
      </w:r>
    </w:p>
    <w:p>
      <w:pPr>
        <w:sectPr>
          <w:pgSz w:w="11900" w:h="16838" w:orient="portrait"/>
          <w:cols w:equalWidth="0" w:num="1">
            <w:col w:w="11446"/>
          </w:cols>
          <w:pgMar w:left="234" w:top="313" w:right="219" w:bottom="1440" w:gutter="0" w:footer="0" w:header="0"/>
        </w:sectPr>
      </w:pPr>
    </w:p>
    <w:bookmarkStart w:id="163" w:name="page164"/>
    <w:bookmarkEnd w:id="163"/>
    <w:p>
      <w:pPr>
        <w:jc w:val="both"/>
        <w:ind w:left="6" w:right="20" w:firstLine="1519"/>
        <w:spacing w:after="0" w:line="257" w:lineRule="auto"/>
        <w:tabs>
          <w:tab w:leader="none" w:pos="1699" w:val="left"/>
        </w:tabs>
        <w:numPr>
          <w:ilvl w:val="0"/>
          <w:numId w:val="188"/>
        </w:numPr>
        <w:rPr>
          <w:rFonts w:ascii="Arial" w:cs="Arial" w:eastAsia="Arial" w:hAnsi="Arial"/>
          <w:sz w:val="16"/>
          <w:szCs w:val="16"/>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Authorization</w:t>
      </w:r>
      <w:r>
        <w:rPr>
          <w:rFonts w:ascii="Arial" w:cs="Arial" w:eastAsia="Arial" w:hAnsi="Arial"/>
          <w:sz w:val="17"/>
          <w:szCs w:val="17"/>
          <w:color w:val="auto"/>
        </w:rPr>
        <w:t>. The Assignee hereby agrees to be bound by the terms of the Credit Agreement. Further, the Assignee hereby ratifies and approves all acts previously taken by the Administrative Agent on such Assignee’s behalf (including the Administrative Agent acting as a proxy without power of attorney (</w:t>
      </w:r>
      <w:r>
        <w:rPr>
          <w:rFonts w:ascii="Arial" w:cs="Arial" w:eastAsia="Arial" w:hAnsi="Arial"/>
          <w:sz w:val="17"/>
          <w:szCs w:val="17"/>
          <w:i w:val="1"/>
          <w:iCs w:val="1"/>
          <w:color w:val="auto"/>
        </w:rPr>
        <w:t>Vertreter ohne Vertretungsmacht</w:t>
      </w:r>
      <w:r>
        <w:rPr>
          <w:rFonts w:ascii="Arial" w:cs="Arial" w:eastAsia="Arial" w:hAnsi="Arial"/>
          <w:sz w:val="17"/>
          <w:szCs w:val="17"/>
          <w:color w:val="auto"/>
        </w:rPr>
        <w:t>) in connection with any Collateral Document governed by German law).]</w:t>
      </w:r>
      <w:r>
        <w:rPr>
          <w:rFonts w:ascii="Arial" w:cs="Arial" w:eastAsia="Arial" w:hAnsi="Arial"/>
          <w:sz w:val="14"/>
          <w:szCs w:val="14"/>
          <w:color w:val="auto"/>
        </w:rPr>
        <w:t>16</w:t>
      </w:r>
    </w:p>
    <w:p>
      <w:pPr>
        <w:spacing w:after="0" w:line="157" w:lineRule="exact"/>
        <w:rPr>
          <w:rFonts w:ascii="Arial" w:cs="Arial" w:eastAsia="Arial" w:hAnsi="Arial"/>
          <w:sz w:val="16"/>
          <w:szCs w:val="16"/>
          <w:color w:val="auto"/>
        </w:rPr>
      </w:pPr>
    </w:p>
    <w:p>
      <w:pPr>
        <w:jc w:val="both"/>
        <w:ind w:left="6" w:firstLine="1519"/>
        <w:spacing w:after="0" w:line="251" w:lineRule="auto"/>
        <w:tabs>
          <w:tab w:leader="none" w:pos="1711" w:val="left"/>
        </w:tabs>
        <w:numPr>
          <w:ilvl w:val="0"/>
          <w:numId w:val="188"/>
        </w:numPr>
        <w:rPr>
          <w:rFonts w:ascii="Arial" w:cs="Arial" w:eastAsia="Arial" w:hAnsi="Arial"/>
          <w:sz w:val="16"/>
          <w:szCs w:val="16"/>
          <w:color w:val="auto"/>
        </w:rPr>
      </w:pPr>
      <w:r>
        <w:rPr>
          <w:rFonts w:ascii="Arial" w:cs="Arial" w:eastAsia="Arial" w:hAnsi="Arial"/>
          <w:sz w:val="17"/>
          <w:szCs w:val="17"/>
          <w:u w:val="single" w:color="auto"/>
          <w:color w:val="auto"/>
        </w:rPr>
        <w:t>General Provisions</w:t>
      </w:r>
      <w:r>
        <w:rPr>
          <w:rFonts w:ascii="Arial" w:cs="Arial" w:eastAsia="Arial" w:hAnsi="Arial"/>
          <w:sz w:val="17"/>
          <w:szCs w:val="17"/>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66" w:hanging="166"/>
        <w:spacing w:after="0"/>
        <w:tabs>
          <w:tab w:leader="none" w:pos="166" w:val="left"/>
        </w:tabs>
        <w:numPr>
          <w:ilvl w:val="0"/>
          <w:numId w:val="189"/>
        </w:numPr>
        <w:rPr>
          <w:rFonts w:ascii="Arial" w:cs="Arial" w:eastAsia="Arial" w:hAnsi="Arial"/>
          <w:sz w:val="13"/>
          <w:szCs w:val="13"/>
          <w:color w:val="auto"/>
        </w:rPr>
      </w:pPr>
      <w:r>
        <w:rPr>
          <w:rFonts w:ascii="Arial" w:cs="Arial" w:eastAsia="Arial" w:hAnsi="Arial"/>
          <w:sz w:val="12"/>
          <w:szCs w:val="12"/>
          <w:color w:val="auto"/>
        </w:rPr>
        <w:t>Bracketed text to be included only if there are any Collateral Documents governed by German law in existence at the time this Assignment and Assumption is executed.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145161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51610" cy="7620"/>
                    </a:xfrm>
                    <a:prstGeom prst="rect">
                      <a:avLst/>
                    </a:prstGeom>
                    <a:noFill/>
                  </pic:spPr>
                </pic:pic>
              </a:graphicData>
            </a:graphic>
          </wp:anchor>
        </w:drawing>
      </w:r>
    </w:p>
    <w:p>
      <w:pPr>
        <w:sectPr>
          <w:pgSz w:w="11900" w:h="16838" w:orient="portrait"/>
          <w:cols w:equalWidth="0" w:num="1">
            <w:col w:w="11446"/>
          </w:cols>
          <w:pgMar w:left="234" w:top="312" w:right="219" w:bottom="1440" w:gutter="0" w:footer="0" w:header="0"/>
        </w:sectPr>
      </w:pPr>
    </w:p>
    <w:bookmarkStart w:id="164" w:name="page165"/>
    <w:bookmarkEnd w:id="164"/>
    <w:p>
      <w:pPr>
        <w:jc w:val="right"/>
        <w:spacing w:after="0"/>
        <w:rPr>
          <w:sz w:val="20"/>
          <w:szCs w:val="20"/>
          <w:color w:val="auto"/>
        </w:rPr>
      </w:pPr>
      <w:r>
        <w:rPr>
          <w:rFonts w:ascii="Arial" w:cs="Arial" w:eastAsia="Arial" w:hAnsi="Arial"/>
          <w:sz w:val="17"/>
          <w:szCs w:val="17"/>
          <w:b w:val="1"/>
          <w:bCs w:val="1"/>
          <w:i w:val="1"/>
          <w:iCs w:val="1"/>
          <w:color w:val="auto"/>
        </w:rPr>
        <w:t>EXHIBIT E-2</w:t>
      </w:r>
    </w:p>
    <w:p>
      <w:pPr>
        <w:spacing w:after="0" w:line="185" w:lineRule="exact"/>
        <w:rPr>
          <w:sz w:val="20"/>
          <w:szCs w:val="20"/>
          <w:color w:val="auto"/>
        </w:rPr>
      </w:pPr>
    </w:p>
    <w:p>
      <w:pPr>
        <w:jc w:val="center"/>
        <w:ind w:right="1040"/>
        <w:spacing w:after="0"/>
        <w:rPr>
          <w:sz w:val="20"/>
          <w:szCs w:val="20"/>
          <w:color w:val="auto"/>
        </w:rPr>
      </w:pPr>
      <w:r>
        <w:rPr>
          <w:rFonts w:ascii="Arial" w:cs="Arial" w:eastAsia="Arial" w:hAnsi="Arial"/>
          <w:sz w:val="17"/>
          <w:szCs w:val="17"/>
          <w:b w:val="1"/>
          <w:bCs w:val="1"/>
          <w:color w:val="auto"/>
        </w:rPr>
        <w:t>FORM OF ADMINISTRATIVE QUESTIONNAIRE</w:t>
      </w:r>
    </w:p>
    <w:p>
      <w:pPr>
        <w:spacing w:after="0" w:line="197" w:lineRule="exact"/>
        <w:rPr>
          <w:sz w:val="20"/>
          <w:szCs w:val="20"/>
          <w:color w:val="auto"/>
        </w:rPr>
      </w:pPr>
    </w:p>
    <w:p>
      <w:pPr>
        <w:ind w:left="3180"/>
        <w:spacing w:after="0"/>
        <w:rPr>
          <w:sz w:val="20"/>
          <w:szCs w:val="20"/>
          <w:color w:val="auto"/>
        </w:rPr>
      </w:pPr>
      <w:r>
        <w:rPr>
          <w:rFonts w:ascii="Arial" w:cs="Arial" w:eastAsia="Arial" w:hAnsi="Arial"/>
          <w:sz w:val="17"/>
          <w:szCs w:val="17"/>
          <w:color w:val="auto"/>
        </w:rPr>
        <w:t>On file with the Administrative Agent.</w:t>
      </w:r>
    </w:p>
    <w:p>
      <w:pPr>
        <w:sectPr>
          <w:pgSz w:w="11900" w:h="16838" w:orient="portrait"/>
          <w:cols w:equalWidth="0" w:num="1">
            <w:col w:w="10080"/>
          </w:cols>
          <w:pgMar w:left="1440" w:top="313" w:right="379" w:bottom="1440" w:gutter="0" w:footer="0" w:header="0"/>
        </w:sectPr>
      </w:pPr>
    </w:p>
    <w:bookmarkStart w:id="165" w:name="page166"/>
    <w:bookmarkEnd w:id="165"/>
    <w:p>
      <w:pPr>
        <w:jc w:val="right"/>
        <w:spacing w:after="0"/>
        <w:rPr>
          <w:sz w:val="20"/>
          <w:szCs w:val="20"/>
          <w:color w:val="auto"/>
        </w:rPr>
      </w:pPr>
      <w:r>
        <w:rPr>
          <w:rFonts w:ascii="Arial" w:cs="Arial" w:eastAsia="Arial" w:hAnsi="Arial"/>
          <w:sz w:val="17"/>
          <w:szCs w:val="17"/>
          <w:b w:val="1"/>
          <w:bCs w:val="1"/>
          <w:i w:val="1"/>
          <w:iCs w:val="1"/>
          <w:color w:val="auto"/>
        </w:rPr>
        <w:t>EXHIBIT F</w:t>
      </w:r>
    </w:p>
    <w:p>
      <w:pPr>
        <w:spacing w:after="0" w:line="185" w:lineRule="exact"/>
        <w:rPr>
          <w:sz w:val="20"/>
          <w:szCs w:val="20"/>
          <w:color w:val="auto"/>
        </w:rPr>
      </w:pPr>
    </w:p>
    <w:p>
      <w:pPr>
        <w:jc w:val="center"/>
        <w:ind w:right="1060"/>
        <w:spacing w:after="0"/>
        <w:rPr>
          <w:sz w:val="20"/>
          <w:szCs w:val="20"/>
          <w:color w:val="auto"/>
        </w:rPr>
      </w:pPr>
      <w:r>
        <w:rPr>
          <w:rFonts w:ascii="Arial" w:cs="Arial" w:eastAsia="Arial" w:hAnsi="Arial"/>
          <w:sz w:val="17"/>
          <w:szCs w:val="17"/>
          <w:b w:val="1"/>
          <w:bCs w:val="1"/>
          <w:color w:val="auto"/>
        </w:rPr>
        <w:t>FORM OF CLOSING DATE GUARANTY</w:t>
      </w:r>
    </w:p>
    <w:p>
      <w:pPr>
        <w:spacing w:after="0" w:line="197" w:lineRule="exact"/>
        <w:rPr>
          <w:sz w:val="20"/>
          <w:szCs w:val="20"/>
          <w:color w:val="auto"/>
        </w:rPr>
      </w:pPr>
    </w:p>
    <w:p>
      <w:pPr>
        <w:ind w:left="2540"/>
        <w:spacing w:after="0"/>
        <w:rPr>
          <w:sz w:val="20"/>
          <w:szCs w:val="20"/>
          <w:color w:val="auto"/>
        </w:rPr>
      </w:pPr>
      <w:r>
        <w:rPr>
          <w:rFonts w:ascii="Arial" w:cs="Arial" w:eastAsia="Arial" w:hAnsi="Arial"/>
          <w:sz w:val="17"/>
          <w:szCs w:val="17"/>
          <w:color w:val="auto"/>
        </w:rPr>
        <w:t>[Executed version filed as Exhibit 10.2 to this Form 8-K]</w:t>
      </w:r>
    </w:p>
    <w:p>
      <w:pPr>
        <w:sectPr>
          <w:pgSz w:w="11900" w:h="16838" w:orient="portrait"/>
          <w:cols w:equalWidth="0" w:num="1">
            <w:col w:w="10080"/>
          </w:cols>
          <w:pgMar w:left="1440" w:top="313" w:right="379" w:bottom="1440" w:gutter="0" w:footer="0" w:header="0"/>
        </w:sectPr>
      </w:pPr>
    </w:p>
    <w:bookmarkStart w:id="166" w:name="page167"/>
    <w:bookmarkEnd w:id="166"/>
    <w:p>
      <w:pPr>
        <w:ind w:left="10400"/>
        <w:spacing w:after="0"/>
        <w:rPr>
          <w:sz w:val="20"/>
          <w:szCs w:val="20"/>
          <w:color w:val="auto"/>
        </w:rPr>
      </w:pPr>
      <w:r>
        <w:rPr>
          <w:rFonts w:ascii="Arial" w:cs="Arial" w:eastAsia="Arial" w:hAnsi="Arial"/>
          <w:sz w:val="17"/>
          <w:szCs w:val="17"/>
          <w:b w:val="1"/>
          <w:bCs w:val="1"/>
          <w:i w:val="1"/>
          <w:iCs w:val="1"/>
          <w:color w:val="auto"/>
        </w:rPr>
        <w:t>EXHIBIT 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SECURED PARTY DESIGNATION NOTICE</w:t>
      </w:r>
    </w:p>
    <w:p>
      <w:pPr>
        <w:spacing w:after="0" w:line="197" w:lineRule="exact"/>
        <w:rPr>
          <w:sz w:val="20"/>
          <w:szCs w:val="20"/>
          <w:color w:val="auto"/>
        </w:rPr>
      </w:pPr>
    </w:p>
    <w:p>
      <w:pPr>
        <w:ind w:left="9780"/>
        <w:spacing w:after="0"/>
        <w:rPr>
          <w:sz w:val="20"/>
          <w:szCs w:val="20"/>
          <w:color w:val="auto"/>
        </w:rPr>
      </w:pPr>
      <w:r>
        <w:rPr>
          <w:rFonts w:ascii="Arial" w:cs="Arial" w:eastAsia="Arial" w:hAnsi="Arial"/>
          <w:sz w:val="15"/>
          <w:szCs w:val="15"/>
          <w:color w:val="auto"/>
        </w:rPr>
        <w:t>Date: _________, 20__</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To: Bank of America, N.A., as Administrative Agent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THIS SECURED PARTY DESIGNATION NOTICE is made by ____________ (the “</w:t>
      </w:r>
      <w:r>
        <w:rPr>
          <w:rFonts w:ascii="Arial" w:cs="Arial" w:eastAsia="Arial" w:hAnsi="Arial"/>
          <w:sz w:val="16"/>
          <w:szCs w:val="16"/>
          <w:u w:val="single" w:color="auto"/>
          <w:color w:val="auto"/>
        </w:rPr>
        <w:t>Designor</w:t>
      </w:r>
      <w:r>
        <w:rPr>
          <w:rFonts w:ascii="Arial" w:cs="Arial" w:eastAsia="Arial" w:hAnsi="Arial"/>
          <w:sz w:val="16"/>
          <w:szCs w:val="16"/>
          <w:color w:val="auto"/>
        </w:rPr>
        <w:t>”), to BANK OF AMERICA, N.A., as Administrative</w:t>
      </w:r>
    </w:p>
    <w:p>
      <w:pPr>
        <w:spacing w:after="0" w:line="29" w:lineRule="exact"/>
        <w:rPr>
          <w:sz w:val="20"/>
          <w:szCs w:val="20"/>
          <w:color w:val="auto"/>
        </w:rPr>
      </w:pPr>
    </w:p>
    <w:p>
      <w:pPr>
        <w:jc w:val="both"/>
        <w:ind w:right="20"/>
        <w:spacing w:after="0" w:line="254" w:lineRule="auto"/>
        <w:rPr>
          <w:sz w:val="20"/>
          <w:szCs w:val="20"/>
          <w:color w:val="auto"/>
        </w:rPr>
      </w:pPr>
      <w:r>
        <w:rPr>
          <w:rFonts w:ascii="Arial" w:cs="Arial" w:eastAsia="Arial" w:hAnsi="Arial"/>
          <w:sz w:val="17"/>
          <w:szCs w:val="17"/>
          <w:color w:val="auto"/>
        </w:rPr>
        <w:t>Agent under that certain Credit Agreement referenced below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All capitalized terms not defined herein shall have the meaning ascribed to them in the Credit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 I T N E S S E T H:</w:t>
      </w:r>
    </w:p>
    <w:p>
      <w:pPr>
        <w:spacing w:after="0" w:line="191" w:lineRule="exact"/>
        <w:rPr>
          <w:sz w:val="20"/>
          <w:szCs w:val="20"/>
          <w:color w:val="auto"/>
        </w:rPr>
      </w:pPr>
    </w:p>
    <w:p>
      <w:pPr>
        <w:jc w:val="both"/>
        <w:ind w:firstLine="763"/>
        <w:spacing w:after="0" w:line="249" w:lineRule="auto"/>
        <w:rPr>
          <w:sz w:val="20"/>
          <w:szCs w:val="20"/>
          <w:color w:val="auto"/>
        </w:rPr>
      </w:pPr>
      <w:r>
        <w:rPr>
          <w:rFonts w:ascii="Arial" w:cs="Arial" w:eastAsia="Arial" w:hAnsi="Arial"/>
          <w:sz w:val="17"/>
          <w:szCs w:val="17"/>
          <w:color w:val="auto"/>
        </w:rPr>
        <w:t>WHEREAS, Gentherm Incorporated, a Michigan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Gentherm GmbH, a German limited liability company (“</w:t>
      </w:r>
      <w:r>
        <w:rPr>
          <w:rFonts w:ascii="Arial" w:cs="Arial" w:eastAsia="Arial" w:hAnsi="Arial"/>
          <w:sz w:val="17"/>
          <w:szCs w:val="17"/>
          <w:u w:val="single" w:color="auto"/>
          <w:color w:val="auto"/>
        </w:rPr>
        <w:t>Gentherm</w:t>
      </w:r>
      <w:r>
        <w:rPr>
          <w:rFonts w:ascii="Arial" w:cs="Arial" w:eastAsia="Arial" w:hAnsi="Arial"/>
          <w:sz w:val="17"/>
          <w:szCs w:val="17"/>
          <w:color w:val="auto"/>
        </w:rPr>
        <w:t xml:space="preserve"> </w:t>
      </w:r>
      <w:r>
        <w:rPr>
          <w:rFonts w:ascii="Arial" w:cs="Arial" w:eastAsia="Arial" w:hAnsi="Arial"/>
          <w:sz w:val="17"/>
          <w:szCs w:val="17"/>
          <w:u w:val="single" w:color="auto"/>
          <w:color w:val="auto"/>
        </w:rPr>
        <w:t>Germany</w:t>
      </w:r>
      <w:r>
        <w:rPr>
          <w:rFonts w:ascii="Arial" w:cs="Arial" w:eastAsia="Arial" w:hAnsi="Arial"/>
          <w:sz w:val="17"/>
          <w:szCs w:val="17"/>
          <w:color w:val="auto"/>
        </w:rPr>
        <w:t>”), Gentherm (Texas), Inc., a Texas corporation (“</w:t>
      </w:r>
      <w:r>
        <w:rPr>
          <w:rFonts w:ascii="Arial" w:cs="Arial" w:eastAsia="Arial" w:hAnsi="Arial"/>
          <w:sz w:val="17"/>
          <w:szCs w:val="17"/>
          <w:u w:val="single" w:color="auto"/>
          <w:color w:val="auto"/>
        </w:rPr>
        <w:t>Gentherm Texas</w:t>
      </w:r>
      <w:r>
        <w:rPr>
          <w:rFonts w:ascii="Arial" w:cs="Arial" w:eastAsia="Arial" w:hAnsi="Arial"/>
          <w:sz w:val="17"/>
          <w:szCs w:val="17"/>
          <w:color w:val="auto"/>
        </w:rPr>
        <w:t>” and, together with the Company, the “</w:t>
      </w:r>
      <w:r>
        <w:rPr>
          <w:rFonts w:ascii="Arial" w:cs="Arial" w:eastAsia="Arial" w:hAnsi="Arial"/>
          <w:sz w:val="17"/>
          <w:szCs w:val="17"/>
          <w:u w:val="single" w:color="auto"/>
          <w:color w:val="auto"/>
        </w:rPr>
        <w:t>U.S. Borrowers</w:t>
      </w:r>
      <w:r>
        <w:rPr>
          <w:rFonts w:ascii="Arial" w:cs="Arial" w:eastAsia="Arial" w:hAnsi="Arial"/>
          <w:sz w:val="17"/>
          <w:szCs w:val="17"/>
          <w:color w:val="auto"/>
        </w:rPr>
        <w:t>”), Gentherm Canada Ltd., an Ontario corporation (“</w:t>
      </w:r>
      <w:r>
        <w:rPr>
          <w:rFonts w:ascii="Arial" w:cs="Arial" w:eastAsia="Arial" w:hAnsi="Arial"/>
          <w:sz w:val="17"/>
          <w:szCs w:val="17"/>
          <w:u w:val="single" w:color="auto"/>
          <w:color w:val="auto"/>
        </w:rPr>
        <w:t>Gentherm Canada</w:t>
      </w:r>
      <w:r>
        <w:rPr>
          <w:rFonts w:ascii="Arial" w:cs="Arial" w:eastAsia="Arial" w:hAnsi="Arial"/>
          <w:sz w:val="17"/>
          <w:szCs w:val="17"/>
          <w:color w:val="auto"/>
        </w:rPr>
        <w:t>”), Global Thermoelectric Inc., an Alberta corporation (“</w:t>
      </w:r>
      <w:r>
        <w:rPr>
          <w:rFonts w:ascii="Arial" w:cs="Arial" w:eastAsia="Arial" w:hAnsi="Arial"/>
          <w:sz w:val="17"/>
          <w:szCs w:val="17"/>
          <w:u w:val="single" w:color="auto"/>
          <w:color w:val="auto"/>
        </w:rPr>
        <w:t>Global</w:t>
      </w:r>
      <w:r>
        <w:rPr>
          <w:rFonts w:ascii="Arial" w:cs="Arial" w:eastAsia="Arial" w:hAnsi="Arial"/>
          <w:sz w:val="17"/>
          <w:szCs w:val="17"/>
          <w:color w:val="auto"/>
        </w:rPr>
        <w:t>” and, together with Gentherm Canada, the “</w:t>
      </w:r>
      <w:r>
        <w:rPr>
          <w:rFonts w:ascii="Arial" w:cs="Arial" w:eastAsia="Arial" w:hAnsi="Arial"/>
          <w:sz w:val="17"/>
          <w:szCs w:val="17"/>
          <w:u w:val="single" w:color="auto"/>
          <w:color w:val="auto"/>
        </w:rPr>
        <w:t>Canadian</w:t>
      </w:r>
      <w:r>
        <w:rPr>
          <w:rFonts w:ascii="Arial" w:cs="Arial" w:eastAsia="Arial" w:hAnsi="Arial"/>
          <w:sz w:val="17"/>
          <w:szCs w:val="17"/>
          <w:color w:val="auto"/>
        </w:rPr>
        <w:t xml:space="preserve"> </w:t>
      </w:r>
      <w:r>
        <w:rPr>
          <w:rFonts w:ascii="Arial" w:cs="Arial" w:eastAsia="Arial" w:hAnsi="Arial"/>
          <w:sz w:val="17"/>
          <w:szCs w:val="17"/>
          <w:u w:val="single" w:color="auto"/>
          <w:color w:val="auto"/>
        </w:rPr>
        <w:t>Borrowers</w:t>
      </w:r>
      <w:r>
        <w:rPr>
          <w:rFonts w:ascii="Arial" w:cs="Arial" w:eastAsia="Arial" w:hAnsi="Arial"/>
          <w:sz w:val="17"/>
          <w:szCs w:val="17"/>
          <w:color w:val="auto"/>
        </w:rPr>
        <w:t>” and, together with Gentherm Canada, the U.S. Borrowers and Gentherm Germany, the “</w:t>
      </w:r>
      <w:r>
        <w:rPr>
          <w:rFonts w:ascii="Arial" w:cs="Arial" w:eastAsia="Arial" w:hAnsi="Arial"/>
          <w:sz w:val="17"/>
          <w:szCs w:val="17"/>
          <w:u w:val="single" w:color="auto"/>
          <w:color w:val="auto"/>
        </w:rPr>
        <w:t>Borrowers</w:t>
      </w:r>
      <w:r>
        <w:rPr>
          <w:rFonts w:ascii="Arial" w:cs="Arial" w:eastAsia="Arial" w:hAnsi="Arial"/>
          <w:sz w:val="17"/>
          <w:szCs w:val="17"/>
          <w:color w:val="auto"/>
        </w:rPr>
        <w:t>” and each, a “</w:t>
      </w:r>
      <w:r>
        <w:rPr>
          <w:rFonts w:ascii="Arial" w:cs="Arial" w:eastAsia="Arial" w:hAnsi="Arial"/>
          <w:sz w:val="17"/>
          <w:szCs w:val="17"/>
          <w:u w:val="single" w:color="auto"/>
          <w:color w:val="auto"/>
        </w:rPr>
        <w:t>Borrower</w:t>
      </w:r>
      <w:r>
        <w:rPr>
          <w:rFonts w:ascii="Arial" w:cs="Arial" w:eastAsia="Arial" w:hAnsi="Arial"/>
          <w:sz w:val="17"/>
          <w:szCs w:val="17"/>
          <w:color w:val="auto"/>
        </w:rPr>
        <w:t>”), each lender from time to time party thereto and Bank of America, N.A., as Administrative Agent, Swing Line Lender and L/C Issuer, have entered into that certain Credit Agreement, dated as of August 7, 2014 (as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pursuant to which certain loans and financial accommodations have been made to the Borrowers;</w:t>
      </w:r>
    </w:p>
    <w:p>
      <w:pPr>
        <w:spacing w:after="0" w:line="163" w:lineRule="exact"/>
        <w:rPr>
          <w:sz w:val="20"/>
          <w:szCs w:val="20"/>
          <w:color w:val="auto"/>
        </w:rPr>
      </w:pPr>
    </w:p>
    <w:p>
      <w:pPr>
        <w:jc w:val="both"/>
        <w:ind w:firstLine="763"/>
        <w:spacing w:after="0" w:line="303" w:lineRule="auto"/>
        <w:rPr>
          <w:sz w:val="20"/>
          <w:szCs w:val="20"/>
          <w:color w:val="auto"/>
        </w:rPr>
      </w:pPr>
      <w:r>
        <w:rPr>
          <w:rFonts w:ascii="Arial" w:cs="Arial" w:eastAsia="Arial" w:hAnsi="Arial"/>
          <w:sz w:val="16"/>
          <w:szCs w:val="16"/>
          <w:color w:val="auto"/>
        </w:rPr>
        <w:t>WHEREAS, in connection with the Credit Agreement, a Lender or Affiliate of a Lender is permitted to designate its [Treasury Management Agreement] [Swap Contract] as a [“Secured Treasury Management Agreement”][“Secured Swap Agreement”] under the Credit Agreement and the Collateral Documents;</w:t>
      </w:r>
    </w:p>
    <w:p>
      <w:pPr>
        <w:spacing w:after="0" w:line="122"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WHEREAS, the Designor is a Lender or Affiliate of a Lender and wishes to designate a [Treasury Management Agreement][Swap Contract] as a [“Secured Treasury Management Agreement”][“Secured Swap Agreement”] under the Credit Agreement and the Collateral Documents;</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WHEREAS, the Credit Agreement requires that the Designor deliver this Secured Party Designation Notice to the Administrative Agent; and</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WHEREAS, the Designor has agreed to execute and deliver this Secured Party Designation Notice:</w:t>
      </w:r>
    </w:p>
    <w:p>
      <w:pPr>
        <w:spacing w:after="0" w:line="191" w:lineRule="exact"/>
        <w:rPr>
          <w:sz w:val="20"/>
          <w:szCs w:val="20"/>
          <w:color w:val="auto"/>
        </w:rPr>
      </w:pPr>
    </w:p>
    <w:p>
      <w:pPr>
        <w:jc w:val="both"/>
        <w:ind w:firstLine="757"/>
        <w:spacing w:after="0" w:line="264" w:lineRule="auto"/>
        <w:tabs>
          <w:tab w:leader="none" w:pos="958" w:val="left"/>
        </w:tabs>
        <w:numPr>
          <w:ilvl w:val="0"/>
          <w:numId w:val="190"/>
        </w:numPr>
        <w:rPr>
          <w:rFonts w:ascii="Arial" w:cs="Arial" w:eastAsia="Arial" w:hAnsi="Arial"/>
          <w:sz w:val="16"/>
          <w:szCs w:val="16"/>
          <w:color w:val="auto"/>
        </w:rPr>
      </w:pPr>
      <w:r>
        <w:rPr>
          <w:rFonts w:ascii="Arial" w:cs="Arial" w:eastAsia="Arial" w:hAnsi="Arial"/>
          <w:sz w:val="16"/>
          <w:szCs w:val="16"/>
          <w:u w:val="single" w:color="auto"/>
          <w:color w:val="auto"/>
        </w:rPr>
        <w:t>Designation</w:t>
      </w:r>
      <w:r>
        <w:rPr>
          <w:rFonts w:ascii="Arial" w:cs="Arial" w:eastAsia="Arial" w:hAnsi="Arial"/>
          <w:sz w:val="16"/>
          <w:szCs w:val="16"/>
          <w:color w:val="auto"/>
        </w:rPr>
        <w:t xml:space="preserve">. [_____________] hereby designates the [Treasury Management Agreement][Swap Contract] described on Schedule 1 hereto to be a [“Secured Treasury Management Agreement”][“Secured Swap Agreement”] and hereby represents and warrants to the Administrative Agent that such [Treasury Management Agreement][Swap Contract] satisfies all the requirements under the Loan Documents to be so designated. By executing and delivering this Secured Party Designation Notice, the Designor, as provided in the Credit Agreement, hereby agrees to be bound by all of the provisions of the Loan Documents which are applicable to it as a provider of a [Secured Treasury Management Agreement][Secured Swap Agreement] and hereby (a) confirms that it has received a copy of the Loan Documents and such other documents and information as it has deemed appropriate to make its own decision to enter into this Secured Party Designation Notice, (b) appoints and authorizes the Administrative Agent to take such action as agent on its behalf and to exercise such powers and discretion under the Credit Agreement, the other Loan Documents or any other instrument or document furnished pursuant thereto as are delegated to the Administrative Agent by the terms thereof, together with such powers as are incidental thereto (including, without limitation, those referred to in the provisions of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of the Credit Agreement), [and] (c) agrees that it will be bound by the provisions of the Loan Documents and</w:t>
      </w:r>
    </w:p>
    <w:p>
      <w:pPr>
        <w:sectPr>
          <w:pgSz w:w="11900" w:h="16838" w:orient="portrait"/>
          <w:cols w:equalWidth="0" w:num="1">
            <w:col w:w="11440"/>
          </w:cols>
          <w:pgMar w:left="240" w:top="313" w:right="219" w:bottom="1440" w:gutter="0" w:footer="0" w:header="0"/>
        </w:sectPr>
      </w:pPr>
    </w:p>
    <w:bookmarkStart w:id="167" w:name="page168"/>
    <w:bookmarkEnd w:id="167"/>
    <w:p>
      <w:pPr>
        <w:jc w:val="both"/>
        <w:ind w:left="6"/>
        <w:spacing w:after="0" w:line="251" w:lineRule="auto"/>
        <w:rPr>
          <w:sz w:val="20"/>
          <w:szCs w:val="20"/>
          <w:color w:val="auto"/>
        </w:rPr>
      </w:pPr>
      <w:r>
        <w:rPr>
          <w:rFonts w:ascii="Arial" w:cs="Arial" w:eastAsia="Arial" w:hAnsi="Arial"/>
          <w:sz w:val="17"/>
          <w:szCs w:val="17"/>
          <w:color w:val="auto"/>
        </w:rPr>
        <w:t>will perform in accordance with its terms all the obligations which by the terms of the Loan Documents are required to be performed by it as a provider of a [Treasury Management Agreement][Swap Contract] [and (d) ratifies and approves all acts previously taken by the Administrative Agent on the Designor’s behalf (including the Administrative Agent acting as a proxy without power of attorney (</w:t>
      </w:r>
      <w:r>
        <w:rPr>
          <w:rFonts w:ascii="Arial" w:cs="Arial" w:eastAsia="Arial" w:hAnsi="Arial"/>
          <w:sz w:val="17"/>
          <w:szCs w:val="17"/>
          <w:i w:val="1"/>
          <w:iCs w:val="1"/>
          <w:color w:val="auto"/>
        </w:rPr>
        <w:t>Vertreter ohne Vertretungsmacht</w:t>
      </w:r>
      <w:r>
        <w:rPr>
          <w:rFonts w:ascii="Arial" w:cs="Arial" w:eastAsia="Arial" w:hAnsi="Arial"/>
          <w:sz w:val="17"/>
          <w:szCs w:val="17"/>
          <w:color w:val="auto"/>
        </w:rPr>
        <w:t>) in connection with any Collateral Document governed by German law)]</w:t>
      </w:r>
      <w:r>
        <w:rPr>
          <w:rFonts w:ascii="Arial" w:cs="Arial" w:eastAsia="Arial" w:hAnsi="Arial"/>
          <w:sz w:val="14"/>
          <w:szCs w:val="14"/>
          <w:color w:val="auto"/>
        </w:rPr>
        <w:t>17</w:t>
      </w:r>
      <w:r>
        <w:rPr>
          <w:rFonts w:ascii="Arial" w:cs="Arial" w:eastAsia="Arial" w:hAnsi="Arial"/>
          <w:sz w:val="17"/>
          <w:szCs w:val="17"/>
          <w:color w:val="auto"/>
        </w:rPr>
        <w:t xml:space="preserve">. Without limiting the foregoing, the Designor agrees to indemnify the Administrative Agent as contemplated by </w:t>
      </w:r>
      <w:r>
        <w:rPr>
          <w:rFonts w:ascii="Arial" w:cs="Arial" w:eastAsia="Arial" w:hAnsi="Arial"/>
          <w:sz w:val="17"/>
          <w:szCs w:val="17"/>
          <w:u w:val="single" w:color="auto"/>
          <w:color w:val="auto"/>
        </w:rPr>
        <w:t>Section 11.04(b)</w:t>
      </w:r>
      <w:r>
        <w:rPr>
          <w:rFonts w:ascii="Arial" w:cs="Arial" w:eastAsia="Arial" w:hAnsi="Arial"/>
          <w:sz w:val="17"/>
          <w:szCs w:val="17"/>
          <w:color w:val="auto"/>
        </w:rPr>
        <w:t xml:space="preserve"> of the Credit Agreement.</w:t>
      </w:r>
    </w:p>
    <w:p>
      <w:pPr>
        <w:spacing w:after="0" w:line="162" w:lineRule="exact"/>
        <w:rPr>
          <w:sz w:val="20"/>
          <w:szCs w:val="20"/>
          <w:color w:val="auto"/>
        </w:rPr>
      </w:pPr>
    </w:p>
    <w:p>
      <w:pPr>
        <w:ind w:left="6" w:firstLine="757"/>
        <w:spacing w:after="0" w:line="271" w:lineRule="auto"/>
        <w:tabs>
          <w:tab w:leader="none" w:pos="953"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SECURED PARTY DESIGNATION NOTICE SHALL BE GOVERNED BY, AND CONSTRUED IN ACCORDANCE WITH, THE LAW OF THE STATE OF NEW YORK.</w:t>
      </w:r>
    </w:p>
    <w:p>
      <w:pPr>
        <w:spacing w:after="0" w:line="332"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pages follow</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66" w:hanging="166"/>
        <w:spacing w:after="0"/>
        <w:tabs>
          <w:tab w:leader="none" w:pos="166" w:val="left"/>
        </w:tabs>
        <w:numPr>
          <w:ilvl w:val="0"/>
          <w:numId w:val="192"/>
        </w:numPr>
        <w:rPr>
          <w:rFonts w:ascii="Arial" w:cs="Arial" w:eastAsia="Arial" w:hAnsi="Arial"/>
          <w:sz w:val="13"/>
          <w:szCs w:val="13"/>
          <w:color w:val="auto"/>
        </w:rPr>
      </w:pPr>
      <w:r>
        <w:rPr>
          <w:rFonts w:ascii="Arial" w:cs="Arial" w:eastAsia="Arial" w:hAnsi="Arial"/>
          <w:sz w:val="12"/>
          <w:szCs w:val="12"/>
          <w:color w:val="auto"/>
        </w:rPr>
        <w:t>Bracketed text to be included only if there are any Collateral Documents governed by German law in existence at the time this Secured Party Designation Notice is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145161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51610" cy="7620"/>
                    </a:xfrm>
                    <a:prstGeom prst="rect">
                      <a:avLst/>
                    </a:prstGeom>
                    <a:noFill/>
                  </pic:spPr>
                </pic:pic>
              </a:graphicData>
            </a:graphic>
          </wp:anchor>
        </w:drawing>
      </w:r>
    </w:p>
    <w:p>
      <w:pPr>
        <w:sectPr>
          <w:pgSz w:w="11900" w:h="16838" w:orient="portrait"/>
          <w:cols w:equalWidth="0" w:num="1">
            <w:col w:w="11446"/>
          </w:cols>
          <w:pgMar w:left="234" w:top="313" w:right="219" w:bottom="1440" w:gutter="0" w:footer="0" w:header="0"/>
        </w:sectPr>
      </w:pPr>
    </w:p>
    <w:bookmarkStart w:id="168" w:name="page169"/>
    <w:bookmarkEnd w:id="168"/>
    <w:p>
      <w:pPr>
        <w:ind w:firstLine="763"/>
        <w:spacing w:after="0" w:line="271" w:lineRule="auto"/>
        <w:rPr>
          <w:sz w:val="20"/>
          <w:szCs w:val="20"/>
          <w:color w:val="auto"/>
        </w:rPr>
      </w:pPr>
      <w:r>
        <w:rPr>
          <w:rFonts w:ascii="Arial" w:cs="Arial" w:eastAsia="Arial" w:hAnsi="Arial"/>
          <w:sz w:val="17"/>
          <w:szCs w:val="17"/>
          <w:color w:val="auto"/>
        </w:rPr>
        <w:t>IN WITNESS WHEREOF, the undersigned have caused this Secured Party Designation Notice to be duly executed and delivered by their respective officers thereunto duly authorized as of the date first above written.</w:t>
      </w:r>
    </w:p>
    <w:p>
      <w:pPr>
        <w:spacing w:after="0" w:line="145" w:lineRule="exact"/>
        <w:rPr>
          <w:sz w:val="20"/>
          <w:szCs w:val="20"/>
          <w:color w:val="auto"/>
        </w:rPr>
      </w:pPr>
    </w:p>
    <w:p>
      <w:pPr>
        <w:ind w:left="4560"/>
        <w:spacing w:after="0"/>
        <w:rPr>
          <w:sz w:val="20"/>
          <w:szCs w:val="20"/>
          <w:color w:val="auto"/>
        </w:rPr>
      </w:pPr>
      <w:r>
        <w:rPr>
          <w:rFonts w:ascii="Arial" w:cs="Arial" w:eastAsia="Arial" w:hAnsi="Arial"/>
          <w:sz w:val="17"/>
          <w:szCs w:val="17"/>
          <w:u w:val="single" w:color="auto"/>
          <w:color w:val="auto"/>
        </w:rPr>
        <w:t>DESIGNOR</w:t>
      </w:r>
    </w:p>
    <w:p>
      <w:pPr>
        <w:spacing w:after="0" w:line="379"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3086735</wp:posOffset>
            </wp:positionH>
            <wp:positionV relativeFrom="paragraph">
              <wp:posOffset>-10160</wp:posOffset>
            </wp:positionV>
            <wp:extent cx="177292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72920" cy="7620"/>
                    </a:xfrm>
                    <a:prstGeom prst="rect">
                      <a:avLst/>
                    </a:prstGeom>
                    <a:noFill/>
                  </pic:spPr>
                </pic:pic>
              </a:graphicData>
            </a:graphic>
          </wp:anchor>
        </w:drawing>
      </w:r>
    </w:p>
    <w:p>
      <w:pPr>
        <w:ind w:left="4560"/>
        <w:spacing w:after="0"/>
        <w:rPr>
          <w:sz w:val="20"/>
          <w:szCs w:val="20"/>
          <w:color w:val="auto"/>
        </w:rPr>
      </w:pPr>
      <w:r>
        <w:rPr>
          <w:rFonts w:ascii="Arial" w:cs="Arial" w:eastAsia="Arial" w:hAnsi="Arial"/>
          <w:sz w:val="17"/>
          <w:szCs w:val="17"/>
          <w:color w:val="auto"/>
        </w:rPr>
        <w:t>Name:</w:t>
      </w:r>
    </w:p>
    <w:p>
      <w:pPr>
        <w:spacing w:after="0" w:line="4"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Title:</w:t>
      </w:r>
    </w:p>
    <w:p>
      <w:pPr>
        <w:spacing w:after="0" w:line="365" w:lineRule="exact"/>
        <w:rPr>
          <w:sz w:val="20"/>
          <w:szCs w:val="20"/>
          <w:color w:val="auto"/>
        </w:rPr>
      </w:pPr>
    </w:p>
    <w:p>
      <w:pPr>
        <w:jc w:val="center"/>
        <w:ind w:right="220"/>
        <w:spacing w:after="0"/>
        <w:rPr>
          <w:sz w:val="20"/>
          <w:szCs w:val="20"/>
          <w:color w:val="auto"/>
        </w:rPr>
      </w:pPr>
      <w:r>
        <w:rPr>
          <w:rFonts w:ascii="Arial" w:cs="Arial" w:eastAsia="Arial" w:hAnsi="Arial"/>
          <w:sz w:val="17"/>
          <w:szCs w:val="17"/>
          <w:u w:val="single" w:color="auto"/>
          <w:color w:val="auto"/>
        </w:rPr>
        <w:t>ADMINISTRATIVE AGENT</w:t>
      </w:r>
    </w:p>
    <w:p>
      <w:pPr>
        <w:spacing w:after="0" w:line="379"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3086735</wp:posOffset>
            </wp:positionH>
            <wp:positionV relativeFrom="paragraph">
              <wp:posOffset>-10160</wp:posOffset>
            </wp:positionV>
            <wp:extent cx="177292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72920" cy="7620"/>
                    </a:xfrm>
                    <a:prstGeom prst="rect">
                      <a:avLst/>
                    </a:prstGeom>
                    <a:noFill/>
                  </pic:spPr>
                </pic:pic>
              </a:graphicData>
            </a:graphic>
          </wp:anchor>
        </w:drawing>
      </w:r>
    </w:p>
    <w:p>
      <w:pPr>
        <w:ind w:left="4560"/>
        <w:spacing w:after="0"/>
        <w:rPr>
          <w:sz w:val="20"/>
          <w:szCs w:val="20"/>
          <w:color w:val="auto"/>
        </w:rPr>
      </w:pPr>
      <w:r>
        <w:rPr>
          <w:rFonts w:ascii="Arial" w:cs="Arial" w:eastAsia="Arial" w:hAnsi="Arial"/>
          <w:sz w:val="17"/>
          <w:szCs w:val="17"/>
          <w:color w:val="auto"/>
        </w:rPr>
        <w:t>Name:</w:t>
      </w:r>
    </w:p>
    <w:p>
      <w:pPr>
        <w:spacing w:after="0" w:line="4"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11440"/>
          </w:cols>
          <w:pgMar w:left="240" w:top="312" w:right="219" w:bottom="1440" w:gutter="0" w:footer="0" w:header="0"/>
        </w:sectPr>
      </w:pPr>
    </w:p>
    <w:bookmarkStart w:id="169" w:name="page170"/>
    <w:bookmarkEnd w:id="169"/>
    <w:p>
      <w:pPr>
        <w:jc w:val="center"/>
        <w:ind w:right="-5"/>
        <w:spacing w:after="0"/>
        <w:rPr>
          <w:sz w:val="20"/>
          <w:szCs w:val="20"/>
          <w:color w:val="auto"/>
        </w:rPr>
      </w:pPr>
      <w:r>
        <w:rPr>
          <w:rFonts w:ascii="Arial" w:cs="Arial" w:eastAsia="Arial" w:hAnsi="Arial"/>
          <w:sz w:val="16"/>
          <w:szCs w:val="16"/>
          <w:b w:val="1"/>
          <w:bCs w:val="1"/>
          <w:u w:val="single" w:color="auto"/>
          <w:color w:val="auto"/>
        </w:rPr>
        <w:t>Schedule 1</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6"/>
          <w:szCs w:val="16"/>
          <w:b w:val="1"/>
          <w:bCs w:val="1"/>
          <w:i w:val="1"/>
          <w:iCs w:val="1"/>
          <w:color w:val="auto"/>
        </w:rPr>
        <w:t>EXHIBIT H-1</w:t>
      </w:r>
    </w:p>
    <w:p>
      <w:pPr>
        <w:spacing w:after="0" w:line="183"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FORM OF LENDER JOINDER AGREEMENT</w:t>
      </w:r>
    </w:p>
    <w:p>
      <w:pPr>
        <w:spacing w:after="0" w:line="197" w:lineRule="exact"/>
        <w:rPr>
          <w:sz w:val="20"/>
          <w:szCs w:val="20"/>
          <w:color w:val="auto"/>
        </w:rPr>
      </w:pPr>
    </w:p>
    <w:p>
      <w:pPr>
        <w:ind w:left="766"/>
        <w:spacing w:after="0"/>
        <w:rPr>
          <w:sz w:val="20"/>
          <w:szCs w:val="20"/>
          <w:color w:val="auto"/>
        </w:rPr>
      </w:pPr>
      <w:r>
        <w:rPr>
          <w:rFonts w:ascii="Arial" w:cs="Arial" w:eastAsia="Arial" w:hAnsi="Arial"/>
          <w:sz w:val="15"/>
          <w:szCs w:val="15"/>
          <w:color w:val="auto"/>
        </w:rPr>
        <w:t>THIS LENDER JOINDER AGREEMENT (this “</w:t>
      </w:r>
      <w:r>
        <w:rPr>
          <w:rFonts w:ascii="Arial" w:cs="Arial" w:eastAsia="Arial" w:hAnsi="Arial"/>
          <w:sz w:val="15"/>
          <w:szCs w:val="15"/>
          <w:u w:val="single" w:color="auto"/>
          <w:color w:val="auto"/>
        </w:rPr>
        <w:t>Agreement</w:t>
      </w:r>
      <w:r>
        <w:rPr>
          <w:rFonts w:ascii="Arial" w:cs="Arial" w:eastAsia="Arial" w:hAnsi="Arial"/>
          <w:sz w:val="15"/>
          <w:szCs w:val="15"/>
          <w:color w:val="auto"/>
        </w:rPr>
        <w:t>”), dated as of [_________, 20__] to the Credit Agreement referenced below is by and among</w:t>
      </w:r>
    </w:p>
    <w:p>
      <w:pPr>
        <w:spacing w:after="0" w:line="41" w:lineRule="exact"/>
        <w:rPr>
          <w:sz w:val="20"/>
          <w:szCs w:val="20"/>
          <w:color w:val="auto"/>
        </w:rPr>
      </w:pPr>
    </w:p>
    <w:p>
      <w:pPr>
        <w:jc w:val="both"/>
        <w:ind w:left="6"/>
        <w:spacing w:after="0" w:line="266" w:lineRule="auto"/>
        <w:rPr>
          <w:sz w:val="20"/>
          <w:szCs w:val="20"/>
          <w:color w:val="auto"/>
        </w:rPr>
      </w:pPr>
      <w:r>
        <w:rPr>
          <w:rFonts w:ascii="Arial" w:cs="Arial" w:eastAsia="Arial" w:hAnsi="Arial"/>
          <w:sz w:val="16"/>
          <w:szCs w:val="16"/>
          <w:color w:val="auto"/>
        </w:rPr>
        <w:t>[NEW LENDER] (the “</w:t>
      </w:r>
      <w:r>
        <w:rPr>
          <w:rFonts w:ascii="Arial" w:cs="Arial" w:eastAsia="Arial" w:hAnsi="Arial"/>
          <w:sz w:val="16"/>
          <w:szCs w:val="16"/>
          <w:u w:val="single" w:color="auto"/>
          <w:color w:val="auto"/>
        </w:rPr>
        <w:t>New Lender</w:t>
      </w:r>
      <w:r>
        <w:rPr>
          <w:rFonts w:ascii="Arial" w:cs="Arial" w:eastAsia="Arial" w:hAnsi="Arial"/>
          <w:sz w:val="16"/>
          <w:szCs w:val="16"/>
          <w:color w:val="auto"/>
        </w:rPr>
        <w:t>”), Gentherm Incorporated, a Michigan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Gentherm GmbH, a German limited liability company (“</w:t>
      </w:r>
      <w:r>
        <w:rPr>
          <w:rFonts w:ascii="Arial" w:cs="Arial" w:eastAsia="Arial" w:hAnsi="Arial"/>
          <w:sz w:val="16"/>
          <w:szCs w:val="16"/>
          <w:u w:val="single" w:color="auto"/>
          <w:color w:val="auto"/>
        </w:rPr>
        <w:t>Gentherm Germany</w:t>
      </w:r>
      <w:r>
        <w:rPr>
          <w:rFonts w:ascii="Arial" w:cs="Arial" w:eastAsia="Arial" w:hAnsi="Arial"/>
          <w:sz w:val="16"/>
          <w:szCs w:val="16"/>
          <w:color w:val="auto"/>
        </w:rPr>
        <w:t>”), Gentherm (Texas), Inc., a Texas corporation (“</w:t>
      </w:r>
      <w:r>
        <w:rPr>
          <w:rFonts w:ascii="Arial" w:cs="Arial" w:eastAsia="Arial" w:hAnsi="Arial"/>
          <w:sz w:val="16"/>
          <w:szCs w:val="16"/>
          <w:u w:val="single" w:color="auto"/>
          <w:color w:val="auto"/>
        </w:rPr>
        <w:t>Gentherm Texas</w:t>
      </w:r>
      <w:r>
        <w:rPr>
          <w:rFonts w:ascii="Arial" w:cs="Arial" w:eastAsia="Arial" w:hAnsi="Arial"/>
          <w:sz w:val="16"/>
          <w:szCs w:val="16"/>
          <w:color w:val="auto"/>
        </w:rPr>
        <w:t>” and, together with the Company, the “</w:t>
      </w:r>
      <w:r>
        <w:rPr>
          <w:rFonts w:ascii="Arial" w:cs="Arial" w:eastAsia="Arial" w:hAnsi="Arial"/>
          <w:sz w:val="16"/>
          <w:szCs w:val="16"/>
          <w:u w:val="single" w:color="auto"/>
          <w:color w:val="auto"/>
        </w:rPr>
        <w:t>U.S. Borrowers</w:t>
      </w:r>
      <w:r>
        <w:rPr>
          <w:rFonts w:ascii="Arial" w:cs="Arial" w:eastAsia="Arial" w:hAnsi="Arial"/>
          <w:sz w:val="16"/>
          <w:szCs w:val="16"/>
          <w:color w:val="auto"/>
        </w:rPr>
        <w:t>”), Gentherm Canada Ltd., an Ontario corporation (“</w:t>
      </w:r>
      <w:r>
        <w:rPr>
          <w:rFonts w:ascii="Arial" w:cs="Arial" w:eastAsia="Arial" w:hAnsi="Arial"/>
          <w:sz w:val="16"/>
          <w:szCs w:val="16"/>
          <w:u w:val="single" w:color="auto"/>
          <w:color w:val="auto"/>
        </w:rPr>
        <w:t>Gentherm Canada</w:t>
      </w:r>
      <w:r>
        <w:rPr>
          <w:rFonts w:ascii="Arial" w:cs="Arial" w:eastAsia="Arial" w:hAnsi="Arial"/>
          <w:sz w:val="16"/>
          <w:szCs w:val="16"/>
          <w:color w:val="auto"/>
        </w:rPr>
        <w:t>”), Global Thermoelectric Inc., an Alberta corporation (“</w:t>
      </w:r>
      <w:r>
        <w:rPr>
          <w:rFonts w:ascii="Arial" w:cs="Arial" w:eastAsia="Arial" w:hAnsi="Arial"/>
          <w:sz w:val="16"/>
          <w:szCs w:val="16"/>
          <w:u w:val="single" w:color="auto"/>
          <w:color w:val="auto"/>
        </w:rPr>
        <w:t>Global</w:t>
      </w:r>
      <w:r>
        <w:rPr>
          <w:rFonts w:ascii="Arial" w:cs="Arial" w:eastAsia="Arial" w:hAnsi="Arial"/>
          <w:sz w:val="16"/>
          <w:szCs w:val="16"/>
          <w:color w:val="auto"/>
        </w:rPr>
        <w:t>” and, together with Gentherm Canada, the “</w:t>
      </w:r>
      <w:r>
        <w:rPr>
          <w:rFonts w:ascii="Arial" w:cs="Arial" w:eastAsia="Arial" w:hAnsi="Arial"/>
          <w:sz w:val="16"/>
          <w:szCs w:val="16"/>
          <w:u w:val="single" w:color="auto"/>
          <w:color w:val="auto"/>
        </w:rPr>
        <w:t>Canadian</w:t>
      </w:r>
      <w:r>
        <w:rPr>
          <w:rFonts w:ascii="Arial" w:cs="Arial" w:eastAsia="Arial" w:hAnsi="Arial"/>
          <w:sz w:val="16"/>
          <w:szCs w:val="16"/>
          <w:color w:val="auto"/>
        </w:rPr>
        <w:t xml:space="preserve"> </w:t>
      </w:r>
      <w:r>
        <w:rPr>
          <w:rFonts w:ascii="Arial" w:cs="Arial" w:eastAsia="Arial" w:hAnsi="Arial"/>
          <w:sz w:val="16"/>
          <w:szCs w:val="16"/>
          <w:u w:val="single" w:color="auto"/>
          <w:color w:val="auto"/>
        </w:rPr>
        <w:t>Borrowers</w:t>
      </w:r>
      <w:r>
        <w:rPr>
          <w:rFonts w:ascii="Arial" w:cs="Arial" w:eastAsia="Arial" w:hAnsi="Arial"/>
          <w:sz w:val="16"/>
          <w:szCs w:val="16"/>
          <w:color w:val="auto"/>
        </w:rPr>
        <w:t>” and, together with Gentherm Canada, the U.S. Borrowers and Gentherm Germany, the “</w:t>
      </w:r>
      <w:r>
        <w:rPr>
          <w:rFonts w:ascii="Arial" w:cs="Arial" w:eastAsia="Arial" w:hAnsi="Arial"/>
          <w:sz w:val="16"/>
          <w:szCs w:val="16"/>
          <w:u w:val="single" w:color="auto"/>
          <w:color w:val="auto"/>
        </w:rPr>
        <w:t>Borrowers</w:t>
      </w:r>
      <w:r>
        <w:rPr>
          <w:rFonts w:ascii="Arial" w:cs="Arial" w:eastAsia="Arial" w:hAnsi="Arial"/>
          <w:sz w:val="16"/>
          <w:szCs w:val="16"/>
          <w:color w:val="auto"/>
        </w:rPr>
        <w:t>” and each, a “</w:t>
      </w:r>
      <w:r>
        <w:rPr>
          <w:rFonts w:ascii="Arial" w:cs="Arial" w:eastAsia="Arial" w:hAnsi="Arial"/>
          <w:sz w:val="16"/>
          <w:szCs w:val="16"/>
          <w:u w:val="single" w:color="auto"/>
          <w:color w:val="auto"/>
        </w:rPr>
        <w:t>Borrower</w:t>
      </w:r>
      <w:r>
        <w:rPr>
          <w:rFonts w:ascii="Arial" w:cs="Arial" w:eastAsia="Arial" w:hAnsi="Arial"/>
          <w:sz w:val="16"/>
          <w:szCs w:val="16"/>
          <w:color w:val="auto"/>
        </w:rPr>
        <w:t>”), the Guarantors party hereto and Bank of America, N.A., as Administrative Agent, Swing Line Lender and L/C Issuer.</w:t>
      </w:r>
    </w:p>
    <w:p>
      <w:pPr>
        <w:spacing w:after="0" w:line="150"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W I T N E S S E T H</w:t>
      </w:r>
    </w:p>
    <w:p>
      <w:pPr>
        <w:spacing w:after="0" w:line="191" w:lineRule="exact"/>
        <w:rPr>
          <w:sz w:val="20"/>
          <w:szCs w:val="20"/>
          <w:color w:val="auto"/>
        </w:rPr>
      </w:pPr>
    </w:p>
    <w:p>
      <w:pPr>
        <w:jc w:val="both"/>
        <w:ind w:left="6" w:firstLine="763"/>
        <w:spacing w:after="0" w:line="253" w:lineRule="auto"/>
        <w:rPr>
          <w:sz w:val="20"/>
          <w:szCs w:val="20"/>
          <w:color w:val="auto"/>
        </w:rPr>
      </w:pPr>
      <w:r>
        <w:rPr>
          <w:rFonts w:ascii="Arial" w:cs="Arial" w:eastAsia="Arial" w:hAnsi="Arial"/>
          <w:sz w:val="17"/>
          <w:szCs w:val="17"/>
          <w:color w:val="auto"/>
        </w:rPr>
        <w:t>WHEREAS, pursuant to that Credit Agreement, dated as of August 7, 2014 (as amended, restated, amended and restated, modified, supplemented, increased or extended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the Borrowers, the Lenders from time to time party thereto and Bank of America, N.A., as Administrative Agent, Swing Line Lender and L/C Issuer, the Lenders have agreed to provide the Borrowers with a revolving credit facility and term loan facilities;</w:t>
      </w:r>
    </w:p>
    <w:p>
      <w:pPr>
        <w:spacing w:after="0" w:line="160" w:lineRule="exact"/>
        <w:rPr>
          <w:sz w:val="20"/>
          <w:szCs w:val="20"/>
          <w:color w:val="auto"/>
        </w:rPr>
      </w:pPr>
    </w:p>
    <w:p>
      <w:pPr>
        <w:jc w:val="both"/>
        <w:ind w:left="6" w:right="20" w:firstLine="763"/>
        <w:spacing w:after="0" w:line="271" w:lineRule="auto"/>
        <w:rPr>
          <w:sz w:val="20"/>
          <w:szCs w:val="20"/>
          <w:color w:val="auto"/>
        </w:rPr>
      </w:pPr>
      <w:r>
        <w:rPr>
          <w:rFonts w:ascii="Arial" w:cs="Arial" w:eastAsia="Arial" w:hAnsi="Arial"/>
          <w:sz w:val="17"/>
          <w:szCs w:val="17"/>
          <w:color w:val="auto"/>
        </w:rPr>
        <w:t xml:space="preserve">WHEREAS, pursuant to </w:t>
      </w:r>
      <w:r>
        <w:rPr>
          <w:rFonts w:ascii="Arial" w:cs="Arial" w:eastAsia="Arial" w:hAnsi="Arial"/>
          <w:sz w:val="17"/>
          <w:szCs w:val="17"/>
          <w:u w:val="single" w:color="auto"/>
          <w:color w:val="auto"/>
        </w:rPr>
        <w:t>Section 2.02(f)</w:t>
      </w:r>
      <w:r>
        <w:rPr>
          <w:rFonts w:ascii="Arial" w:cs="Arial" w:eastAsia="Arial" w:hAnsi="Arial"/>
          <w:sz w:val="17"/>
          <w:szCs w:val="17"/>
          <w:color w:val="auto"/>
        </w:rPr>
        <w:t xml:space="preserve"> of the Credit Agreement, the Borrowers have requested that the New Lender provide a portion of the increased Revolving Credit Commitment under the Credit Agreement; and</w:t>
      </w:r>
    </w:p>
    <w:p>
      <w:pPr>
        <w:spacing w:after="0" w:line="145" w:lineRule="exact"/>
        <w:rPr>
          <w:sz w:val="20"/>
          <w:szCs w:val="20"/>
          <w:color w:val="auto"/>
        </w:rPr>
      </w:pPr>
    </w:p>
    <w:p>
      <w:pPr>
        <w:ind w:left="766"/>
        <w:spacing w:after="0"/>
        <w:rPr>
          <w:sz w:val="20"/>
          <w:szCs w:val="20"/>
          <w:color w:val="auto"/>
        </w:rPr>
      </w:pPr>
      <w:r>
        <w:rPr>
          <w:rFonts w:ascii="Arial" w:cs="Arial" w:eastAsia="Arial" w:hAnsi="Arial"/>
          <w:sz w:val="16"/>
          <w:szCs w:val="16"/>
          <w:color w:val="auto"/>
        </w:rPr>
        <w:t>WHEREAS, the New Lender has agreed to provide a $[_______] Revolving Credit Commitment on the terms and conditions set forth herein and to</w:t>
      </w:r>
    </w:p>
    <w:p>
      <w:pPr>
        <w:spacing w:after="0" w:line="29" w:lineRule="exact"/>
        <w:rPr>
          <w:sz w:val="20"/>
          <w:szCs w:val="20"/>
          <w:color w:val="auto"/>
        </w:rPr>
      </w:pPr>
    </w:p>
    <w:p>
      <w:pPr>
        <w:ind w:left="6"/>
        <w:spacing w:after="0"/>
        <w:rPr>
          <w:sz w:val="20"/>
          <w:szCs w:val="20"/>
          <w:color w:val="auto"/>
        </w:rPr>
      </w:pPr>
      <w:r>
        <w:rPr>
          <w:rFonts w:ascii="Arial" w:cs="Arial" w:eastAsia="Arial" w:hAnsi="Arial"/>
          <w:sz w:val="17"/>
          <w:szCs w:val="17"/>
          <w:color w:val="auto"/>
        </w:rPr>
        <w:t>become a “Lender” under the Credit Agreement in connection therewith;</w:t>
      </w:r>
    </w:p>
    <w:p>
      <w:pPr>
        <w:spacing w:after="0" w:line="177" w:lineRule="exact"/>
        <w:rPr>
          <w:sz w:val="20"/>
          <w:szCs w:val="20"/>
          <w:color w:val="auto"/>
        </w:rPr>
      </w:pPr>
    </w:p>
    <w:p>
      <w:pPr>
        <w:jc w:val="both"/>
        <w:ind w:left="6" w:right="20" w:firstLine="763"/>
        <w:spacing w:after="0" w:line="271" w:lineRule="auto"/>
        <w:rPr>
          <w:sz w:val="20"/>
          <w:szCs w:val="20"/>
          <w:color w:val="auto"/>
        </w:rPr>
      </w:pPr>
      <w:r>
        <w:rPr>
          <w:rFonts w:ascii="Arial" w:cs="Arial" w:eastAsia="Arial" w:hAnsi="Arial"/>
          <w:sz w:val="17"/>
          <w:szCs w:val="17"/>
          <w:color w:val="auto"/>
        </w:rPr>
        <w:t>NOW, THEREFORE, IN CONSIDERATION of the premises and other good and valuable consideration, the receipt and sufficiency of which are hereby acknowledged, the parties hereto agree as follows:</w:t>
      </w:r>
    </w:p>
    <w:p>
      <w:pPr>
        <w:spacing w:after="0" w:line="145" w:lineRule="exact"/>
        <w:rPr>
          <w:sz w:val="20"/>
          <w:szCs w:val="20"/>
          <w:color w:val="auto"/>
        </w:rPr>
      </w:pPr>
    </w:p>
    <w:p>
      <w:pPr>
        <w:ind w:left="926" w:hanging="163"/>
        <w:spacing w:after="0"/>
        <w:tabs>
          <w:tab w:leader="none" w:pos="926"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Defined Terms</w:t>
      </w:r>
      <w:r>
        <w:rPr>
          <w:rFonts w:ascii="Arial" w:cs="Arial" w:eastAsia="Arial" w:hAnsi="Arial"/>
          <w:sz w:val="17"/>
          <w:szCs w:val="17"/>
          <w:color w:val="auto"/>
        </w:rPr>
        <w:t>. Capitalized terms used but not defined herein shall have the meaning provided to such terms in the Credit Agreement.</w:t>
      </w:r>
    </w:p>
    <w:p>
      <w:pPr>
        <w:spacing w:after="0" w:line="191" w:lineRule="exact"/>
        <w:rPr>
          <w:rFonts w:ascii="Arial" w:cs="Arial" w:eastAsia="Arial" w:hAnsi="Arial"/>
          <w:sz w:val="17"/>
          <w:szCs w:val="17"/>
          <w:color w:val="auto"/>
        </w:rPr>
      </w:pPr>
    </w:p>
    <w:p>
      <w:pPr>
        <w:jc w:val="both"/>
        <w:ind w:left="6" w:firstLine="757"/>
        <w:spacing w:after="0" w:line="248" w:lineRule="auto"/>
        <w:tabs>
          <w:tab w:leader="none" w:pos="941"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In accordance with </w:t>
      </w:r>
      <w:r>
        <w:rPr>
          <w:rFonts w:ascii="Arial" w:cs="Arial" w:eastAsia="Arial" w:hAnsi="Arial"/>
          <w:sz w:val="17"/>
          <w:szCs w:val="17"/>
          <w:u w:val="single" w:color="auto"/>
          <w:color w:val="auto"/>
        </w:rPr>
        <w:t>Section 2.02(f)</w:t>
      </w:r>
      <w:r>
        <w:rPr>
          <w:rFonts w:ascii="Arial" w:cs="Arial" w:eastAsia="Arial" w:hAnsi="Arial"/>
          <w:sz w:val="17"/>
          <w:szCs w:val="17"/>
          <w:color w:val="auto"/>
        </w:rPr>
        <w:t xml:space="preserve"> of the Credit Agreement, the New Lender hereby agrees that the New Lender shall have a Revolving Credit Commitment of $[_______] under the Credit Agreement. The Borrowers, the Guarantors and the New Lender hereby acknowledge, agree and confirm that the New Lender shall from and after the date hereof be deemed to be a party to the Credit Agreement and a “Lender” for all purposes of the Credit Agreement and the other Loan Documents, and shall have all of the rights and obligations of a Lender under the Credit Agreement and the other Loan Documents as if the New Lender had executed the Credit Agreement. The existing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to the Credit Agreement shall be deemed to be, and shall be, amended to include the New Lender’s Revolving Credit Commitment. [Further, the New Lender hereby ratifies and approves all acts previously taken by the Administrative Agent on the New Lender’s behalf (including the Administrative Agent acting as a proxy without power of attorney (</w:t>
      </w:r>
      <w:r>
        <w:rPr>
          <w:rFonts w:ascii="Arial" w:cs="Arial" w:eastAsia="Arial" w:hAnsi="Arial"/>
          <w:sz w:val="17"/>
          <w:szCs w:val="17"/>
          <w:i w:val="1"/>
          <w:iCs w:val="1"/>
          <w:color w:val="auto"/>
        </w:rPr>
        <w:t>Vertreter ohne Vertretungsmacht</w:t>
      </w:r>
      <w:r>
        <w:rPr>
          <w:rFonts w:ascii="Arial" w:cs="Arial" w:eastAsia="Arial" w:hAnsi="Arial"/>
          <w:sz w:val="17"/>
          <w:szCs w:val="17"/>
          <w:color w:val="auto"/>
        </w:rPr>
        <w:t>) in connection with any Collateral Document governed by German law).]</w:t>
      </w:r>
      <w:r>
        <w:rPr>
          <w:rFonts w:ascii="Arial" w:cs="Arial" w:eastAsia="Arial" w:hAnsi="Arial"/>
          <w:sz w:val="14"/>
          <w:szCs w:val="14"/>
          <w:color w:val="auto"/>
        </w:rPr>
        <w:t>18</w:t>
      </w:r>
    </w:p>
    <w:p>
      <w:pPr>
        <w:spacing w:after="0" w:line="165" w:lineRule="exact"/>
        <w:rPr>
          <w:rFonts w:ascii="Arial" w:cs="Arial" w:eastAsia="Arial" w:hAnsi="Arial"/>
          <w:sz w:val="17"/>
          <w:szCs w:val="17"/>
          <w:color w:val="auto"/>
        </w:rPr>
      </w:pPr>
    </w:p>
    <w:p>
      <w:pPr>
        <w:ind w:left="926" w:hanging="163"/>
        <w:spacing w:after="0"/>
        <w:tabs>
          <w:tab w:leader="none" w:pos="926"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Conditions Precedent</w:t>
      </w:r>
      <w:r>
        <w:rPr>
          <w:rFonts w:ascii="Arial" w:cs="Arial" w:eastAsia="Arial" w:hAnsi="Arial"/>
          <w:sz w:val="17"/>
          <w:szCs w:val="17"/>
          <w:color w:val="auto"/>
        </w:rPr>
        <w:t>. This Agreement shall be effective as of the date hereof upon satisfaction of the following conditions precedent:</w:t>
      </w:r>
    </w:p>
    <w:p>
      <w:pPr>
        <w:spacing w:after="0" w:line="331" w:lineRule="exact"/>
        <w:rPr>
          <w:sz w:val="20"/>
          <w:szCs w:val="20"/>
          <w:color w:val="auto"/>
        </w:rPr>
      </w:pPr>
    </w:p>
    <w:p>
      <w:pPr>
        <w:ind w:left="166" w:hanging="166"/>
        <w:spacing w:after="0"/>
        <w:tabs>
          <w:tab w:leader="none" w:pos="166" w:val="left"/>
        </w:tabs>
        <w:numPr>
          <w:ilvl w:val="0"/>
          <w:numId w:val="194"/>
        </w:numPr>
        <w:rPr>
          <w:rFonts w:ascii="Arial" w:cs="Arial" w:eastAsia="Arial" w:hAnsi="Arial"/>
          <w:sz w:val="13"/>
          <w:szCs w:val="13"/>
          <w:color w:val="auto"/>
        </w:rPr>
      </w:pPr>
      <w:r>
        <w:rPr>
          <w:rFonts w:ascii="Arial" w:cs="Arial" w:eastAsia="Arial" w:hAnsi="Arial"/>
          <w:sz w:val="12"/>
          <w:szCs w:val="12"/>
          <w:color w:val="auto"/>
        </w:rPr>
        <w:t>Bracketed text to be included only if there are any Collateral Documents governed by German law in existence at the time this Lender Joinder Agreement is executed.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145161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51610" cy="7620"/>
                    </a:xfrm>
                    <a:prstGeom prst="rect">
                      <a:avLst/>
                    </a:prstGeom>
                    <a:noFill/>
                  </pic:spPr>
                </pic:pic>
              </a:graphicData>
            </a:graphic>
          </wp:anchor>
        </w:drawing>
      </w:r>
    </w:p>
    <w:p>
      <w:pPr>
        <w:sectPr>
          <w:pgSz w:w="11900" w:h="16838" w:orient="portrait"/>
          <w:cols w:equalWidth="0" w:num="1">
            <w:col w:w="11446"/>
          </w:cols>
          <w:pgMar w:left="234" w:top="311" w:right="219" w:bottom="1440" w:gutter="0" w:footer="0" w:header="0"/>
        </w:sectPr>
      </w:pPr>
    </w:p>
    <w:bookmarkStart w:id="170" w:name="page171"/>
    <w:bookmarkEnd w:id="170"/>
    <w:p>
      <w:pPr>
        <w:ind w:left="760" w:right="20" w:firstLine="709"/>
        <w:spacing w:after="0" w:line="271" w:lineRule="auto"/>
        <w:tabs>
          <w:tab w:leader="none" w:pos="1727" w:val="left"/>
        </w:tabs>
        <w:numPr>
          <w:ilvl w:val="1"/>
          <w:numId w:val="195"/>
        </w:numPr>
        <w:rPr>
          <w:rFonts w:ascii="Arial" w:cs="Arial" w:eastAsia="Arial" w:hAnsi="Arial"/>
          <w:sz w:val="17"/>
          <w:szCs w:val="17"/>
          <w:color w:val="auto"/>
        </w:rPr>
      </w:pPr>
      <w:r>
        <w:rPr>
          <w:rFonts w:ascii="Arial" w:cs="Arial" w:eastAsia="Arial" w:hAnsi="Arial"/>
          <w:sz w:val="17"/>
          <w:szCs w:val="17"/>
          <w:color w:val="auto"/>
        </w:rPr>
        <w:t>receipt by the Administrative Agent of counterparts of this Agreement executed by the Borrowers, the Guarantors, the New Lender, the Administrative Agent, the L/C Issuer and the Swing Line Lender; and</w:t>
      </w:r>
    </w:p>
    <w:p>
      <w:pPr>
        <w:spacing w:after="0" w:line="144" w:lineRule="exact"/>
        <w:rPr>
          <w:rFonts w:ascii="Arial" w:cs="Arial" w:eastAsia="Arial" w:hAnsi="Arial"/>
          <w:sz w:val="17"/>
          <w:szCs w:val="17"/>
          <w:color w:val="auto"/>
        </w:rPr>
      </w:pPr>
    </w:p>
    <w:p>
      <w:pPr>
        <w:ind w:left="1720" w:hanging="251"/>
        <w:spacing w:after="0"/>
        <w:tabs>
          <w:tab w:leader="none" w:pos="1720" w:val="left"/>
        </w:tabs>
        <w:numPr>
          <w:ilvl w:val="1"/>
          <w:numId w:val="195"/>
        </w:numPr>
        <w:rPr>
          <w:rFonts w:ascii="Arial" w:cs="Arial" w:eastAsia="Arial" w:hAnsi="Arial"/>
          <w:sz w:val="16"/>
          <w:szCs w:val="16"/>
          <w:color w:val="auto"/>
        </w:rPr>
      </w:pPr>
      <w:r>
        <w:rPr>
          <w:rFonts w:ascii="Arial" w:cs="Arial" w:eastAsia="Arial" w:hAnsi="Arial"/>
          <w:sz w:val="16"/>
          <w:szCs w:val="16"/>
          <w:color w:val="auto"/>
        </w:rPr>
        <w:t xml:space="preserve">receipt by the Administrative Agent of the certificates required by clauses (E) and (F) of </w:t>
      </w:r>
      <w:r>
        <w:rPr>
          <w:rFonts w:ascii="Arial" w:cs="Arial" w:eastAsia="Arial" w:hAnsi="Arial"/>
          <w:sz w:val="16"/>
          <w:szCs w:val="16"/>
          <w:u w:val="single" w:color="auto"/>
          <w:color w:val="auto"/>
        </w:rPr>
        <w:t>Section 2.02(f)(i)</w:t>
      </w:r>
      <w:r>
        <w:rPr>
          <w:rFonts w:ascii="Arial" w:cs="Arial" w:eastAsia="Arial" w:hAnsi="Arial"/>
          <w:sz w:val="16"/>
          <w:szCs w:val="16"/>
          <w:color w:val="auto"/>
        </w:rPr>
        <w:t xml:space="preserve"> of the Credit Agreement.</w:t>
      </w:r>
    </w:p>
    <w:p>
      <w:pPr>
        <w:spacing w:after="0" w:line="202" w:lineRule="exact"/>
        <w:rPr>
          <w:rFonts w:ascii="Arial" w:cs="Arial" w:eastAsia="Arial" w:hAnsi="Arial"/>
          <w:sz w:val="16"/>
          <w:szCs w:val="16"/>
          <w:color w:val="auto"/>
        </w:rPr>
      </w:pPr>
    </w:p>
    <w:p>
      <w:pPr>
        <w:jc w:val="both"/>
        <w:ind w:firstLine="757"/>
        <w:spacing w:after="0" w:line="253" w:lineRule="auto"/>
        <w:tabs>
          <w:tab w:leader="none" w:pos="958"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The applicable address, facsimile number and electronic mail address of the New Lender for purposes of </w:t>
      </w:r>
      <w:r>
        <w:rPr>
          <w:rFonts w:ascii="Arial" w:cs="Arial" w:eastAsia="Arial" w:hAnsi="Arial"/>
          <w:sz w:val="17"/>
          <w:szCs w:val="17"/>
          <w:u w:val="single" w:color="auto"/>
          <w:color w:val="auto"/>
        </w:rPr>
        <w:t>Section 11.02</w:t>
      </w:r>
      <w:r>
        <w:rPr>
          <w:rFonts w:ascii="Arial" w:cs="Arial" w:eastAsia="Arial" w:hAnsi="Arial"/>
          <w:sz w:val="17"/>
          <w:szCs w:val="17"/>
          <w:color w:val="auto"/>
        </w:rPr>
        <w:t xml:space="preserve"> of the Credit Agreement are as set forth in the Administrative Questionnaire delivered by the New Lender to the Administrative Agent and the Borrowers on or before the date hereof or to such other address, facsimile number and electronic mail address as shall be designated by the New Lender in a notice to the Administrative Agent and the Borrower.</w:t>
      </w:r>
    </w:p>
    <w:p>
      <w:pPr>
        <w:spacing w:after="0" w:line="160" w:lineRule="exact"/>
        <w:rPr>
          <w:rFonts w:ascii="Arial" w:cs="Arial" w:eastAsia="Arial" w:hAnsi="Arial"/>
          <w:sz w:val="17"/>
          <w:szCs w:val="17"/>
          <w:color w:val="auto"/>
        </w:rPr>
      </w:pPr>
    </w:p>
    <w:p>
      <w:pPr>
        <w:ind w:firstLine="757"/>
        <w:spacing w:after="0" w:line="339" w:lineRule="auto"/>
        <w:tabs>
          <w:tab w:leader="none" w:pos="935" w:val="left"/>
        </w:tabs>
        <w:numPr>
          <w:ilvl w:val="0"/>
          <w:numId w:val="196"/>
        </w:numPr>
        <w:rPr>
          <w:rFonts w:ascii="Arial" w:cs="Arial" w:eastAsia="Arial" w:hAnsi="Arial"/>
          <w:sz w:val="15"/>
          <w:szCs w:val="15"/>
          <w:color w:val="auto"/>
        </w:rPr>
      </w:pPr>
      <w:r>
        <w:rPr>
          <w:rFonts w:ascii="Arial" w:cs="Arial" w:eastAsia="Arial" w:hAnsi="Arial"/>
          <w:sz w:val="15"/>
          <w:szCs w:val="15"/>
          <w:u w:val="single" w:color="auto"/>
          <w:color w:val="auto"/>
        </w:rPr>
        <w:t>Reaffirmation of Guaranty</w:t>
      </w:r>
      <w:r>
        <w:rPr>
          <w:rFonts w:ascii="Arial" w:cs="Arial" w:eastAsia="Arial" w:hAnsi="Arial"/>
          <w:sz w:val="15"/>
          <w:szCs w:val="15"/>
          <w:color w:val="auto"/>
        </w:rPr>
        <w:t>. Each Guarantor (a) acknowledges and consents to all of the terms and conditions of this Agreement and (b) agrees that this Agreement and all documents executed in connection herewith do not operate to reduce or discharge such Guarantor’s obligations under the Loan Documents.</w:t>
      </w:r>
    </w:p>
    <w:p>
      <w:pPr>
        <w:spacing w:after="0" w:line="98" w:lineRule="exact"/>
        <w:rPr>
          <w:rFonts w:ascii="Arial" w:cs="Arial" w:eastAsia="Arial" w:hAnsi="Arial"/>
          <w:sz w:val="15"/>
          <w:szCs w:val="15"/>
          <w:color w:val="auto"/>
        </w:rPr>
      </w:pPr>
    </w:p>
    <w:p>
      <w:pPr>
        <w:ind w:right="20" w:firstLine="757"/>
        <w:spacing w:after="0" w:line="271" w:lineRule="auto"/>
        <w:tabs>
          <w:tab w:leader="none" w:pos="935"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t>Acknowledgment</w:t>
      </w:r>
      <w:r>
        <w:rPr>
          <w:rFonts w:ascii="Arial" w:cs="Arial" w:eastAsia="Arial" w:hAnsi="Arial"/>
          <w:sz w:val="17"/>
          <w:szCs w:val="17"/>
          <w:color w:val="auto"/>
        </w:rPr>
        <w:t>. The Administrative Agent, the Borrowers, the L/C Issuer and the Swing Line Lender hereby acknowledge and agree that the New Lender is reasonably acceptable to each of them as a Lender under the Credit Agreement.</w:t>
      </w:r>
    </w:p>
    <w:p>
      <w:pPr>
        <w:spacing w:after="0" w:line="144" w:lineRule="exact"/>
        <w:rPr>
          <w:rFonts w:ascii="Arial" w:cs="Arial" w:eastAsia="Arial" w:hAnsi="Arial"/>
          <w:sz w:val="17"/>
          <w:szCs w:val="17"/>
          <w:color w:val="auto"/>
        </w:rPr>
      </w:pPr>
    </w:p>
    <w:p>
      <w:pPr>
        <w:ind w:left="920" w:hanging="163"/>
        <w:spacing w:after="0"/>
        <w:tabs>
          <w:tab w:leader="none" w:pos="920"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law of the State of New York.</w:t>
      </w:r>
    </w:p>
    <w:p>
      <w:pPr>
        <w:spacing w:after="0" w:line="191" w:lineRule="exact"/>
        <w:rPr>
          <w:rFonts w:ascii="Arial" w:cs="Arial" w:eastAsia="Arial" w:hAnsi="Arial"/>
          <w:sz w:val="17"/>
          <w:szCs w:val="17"/>
          <w:color w:val="auto"/>
        </w:rPr>
      </w:pPr>
    </w:p>
    <w:p>
      <w:pPr>
        <w:ind w:firstLine="757"/>
        <w:spacing w:after="0" w:line="303" w:lineRule="auto"/>
        <w:tabs>
          <w:tab w:leader="none" w:pos="935"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multiple counterparts, each of which shall constitute an original but all of which when taken together shall constitute one contract. Delivery of executed counterparts of this Agreement by facsimile or other electronic means shall be effective as an original.</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pages follow</w:t>
      </w:r>
      <w:r>
        <w:rPr>
          <w:rFonts w:ascii="Arial" w:cs="Arial" w:eastAsia="Arial" w:hAnsi="Arial"/>
          <w:sz w:val="17"/>
          <w:szCs w:val="17"/>
          <w:color w:val="auto"/>
        </w:rPr>
        <w:t>]</w:t>
      </w:r>
    </w:p>
    <w:p>
      <w:pPr>
        <w:sectPr>
          <w:pgSz w:w="11900" w:h="16838" w:orient="portrait"/>
          <w:cols w:equalWidth="0" w:num="1">
            <w:col w:w="11440"/>
          </w:cols>
          <w:pgMar w:left="240" w:top="313" w:right="219" w:bottom="1440" w:gutter="0" w:footer="0" w:header="0"/>
        </w:sectPr>
      </w:pPr>
    </w:p>
    <w:bookmarkStart w:id="171" w:name="page172"/>
    <w:bookmarkEnd w:id="171"/>
    <w:p>
      <w:pPr>
        <w:ind w:left="760"/>
        <w:spacing w:after="0"/>
        <w:rPr>
          <w:sz w:val="20"/>
          <w:szCs w:val="20"/>
          <w:color w:val="auto"/>
        </w:rPr>
      </w:pPr>
      <w:r>
        <w:rPr>
          <w:rFonts w:ascii="Arial" w:cs="Arial" w:eastAsia="Arial" w:hAnsi="Arial"/>
          <w:sz w:val="16"/>
          <w:szCs w:val="16"/>
          <w:color w:val="auto"/>
        </w:rPr>
        <w:t>IN WITNESS WHEREOF, each of the parties hereto has caused this Agreement to be executed by a duly authorized officer as of the date first above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written.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auto"/>
              </w:rPr>
              <w:t>NEW LENDER:</w:t>
            </w:r>
          </w:p>
        </w:tc>
        <w:tc>
          <w:tcPr>
            <w:tcW w:w="4220" w:type="dxa"/>
            <w:vAlign w:val="bottom"/>
            <w:gridSpan w:val="3"/>
          </w:tcPr>
          <w:p>
            <w:pPr>
              <w:ind w:left="1120"/>
              <w:spacing w:after="0"/>
              <w:rPr>
                <w:sz w:val="20"/>
                <w:szCs w:val="20"/>
                <w:color w:val="auto"/>
              </w:rPr>
            </w:pPr>
            <w:r>
              <w:rPr>
                <w:rFonts w:ascii="Arial" w:cs="Arial" w:eastAsia="Arial" w:hAnsi="Arial"/>
                <w:sz w:val="17"/>
                <w:szCs w:val="17"/>
                <w:color w:val="auto"/>
              </w:rPr>
              <w:t>[NEW LENDER]</w:t>
            </w:r>
          </w:p>
        </w:tc>
      </w:tr>
      <w:tr>
        <w:trPr>
          <w:trHeight w:val="379"/>
        </w:trPr>
        <w:tc>
          <w:tcPr>
            <w:tcW w:w="10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ind w:left="1120"/>
              <w:spacing w:after="0"/>
              <w:rPr>
                <w:sz w:val="20"/>
                <w:szCs w:val="20"/>
                <w:color w:val="auto"/>
              </w:rPr>
            </w:pPr>
            <w:r>
              <w:rPr>
                <w:rFonts w:ascii="Arial" w:cs="Arial" w:eastAsia="Arial" w:hAnsi="Arial"/>
                <w:sz w:val="17"/>
                <w:szCs w:val="17"/>
                <w:color w:val="auto"/>
              </w:rPr>
              <w:t>By:</w:t>
            </w:r>
          </w:p>
        </w:tc>
        <w:tc>
          <w:tcPr>
            <w:tcW w:w="2800" w:type="dxa"/>
            <w:vAlign w:val="bottom"/>
            <w:tcBorders>
              <w:bottom w:val="single" w:sz="8" w:color="auto"/>
            </w:tcBorders>
            <w:gridSpan w:val="2"/>
          </w:tcPr>
          <w:p>
            <w:pPr>
              <w:spacing w:after="0"/>
              <w:rPr>
                <w:sz w:val="24"/>
                <w:szCs w:val="24"/>
                <w:color w:val="auto"/>
              </w:rPr>
            </w:pPr>
          </w:p>
        </w:tc>
      </w:tr>
      <w:tr>
        <w:trPr>
          <w:trHeight w:val="200"/>
        </w:trPr>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20" w:type="dxa"/>
            <w:vAlign w:val="bottom"/>
            <w:gridSpan w:val="3"/>
          </w:tcPr>
          <w:p>
            <w:pPr>
              <w:ind w:left="1120"/>
              <w:spacing w:after="0"/>
              <w:rPr>
                <w:sz w:val="20"/>
                <w:szCs w:val="20"/>
                <w:color w:val="auto"/>
              </w:rPr>
            </w:pPr>
            <w:r>
              <w:rPr>
                <w:rFonts w:ascii="Arial" w:cs="Arial" w:eastAsia="Arial" w:hAnsi="Arial"/>
                <w:sz w:val="17"/>
                <w:szCs w:val="17"/>
                <w:color w:val="auto"/>
              </w:rPr>
              <w:t>Name:</w:t>
            </w:r>
          </w:p>
        </w:tc>
      </w:tr>
      <w:tr>
        <w:trPr>
          <w:trHeight w:val="217"/>
        </w:trPr>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20" w:type="dxa"/>
            <w:vAlign w:val="bottom"/>
            <w:gridSpan w:val="3"/>
          </w:tcPr>
          <w:p>
            <w:pPr>
              <w:ind w:left="1120"/>
              <w:spacing w:after="0"/>
              <w:rPr>
                <w:sz w:val="20"/>
                <w:szCs w:val="20"/>
                <w:color w:val="auto"/>
              </w:rPr>
            </w:pPr>
            <w:r>
              <w:rPr>
                <w:rFonts w:ascii="Arial" w:cs="Arial" w:eastAsia="Arial" w:hAnsi="Arial"/>
                <w:sz w:val="17"/>
                <w:szCs w:val="17"/>
                <w:color w:val="auto"/>
              </w:rPr>
              <w:t>Title:</w:t>
            </w:r>
          </w:p>
        </w:tc>
      </w:tr>
      <w:tr>
        <w:trPr>
          <w:trHeight w:val="360"/>
        </w:trPr>
        <w:tc>
          <w:tcPr>
            <w:tcW w:w="2300" w:type="dxa"/>
            <w:vAlign w:val="bottom"/>
            <w:gridSpan w:val="3"/>
          </w:tcPr>
          <w:p>
            <w:pPr>
              <w:spacing w:after="0"/>
              <w:rPr>
                <w:sz w:val="20"/>
                <w:szCs w:val="20"/>
                <w:color w:val="auto"/>
              </w:rPr>
            </w:pPr>
            <w:r>
              <w:rPr>
                <w:rFonts w:ascii="Arial" w:cs="Arial" w:eastAsia="Arial" w:hAnsi="Arial"/>
                <w:sz w:val="17"/>
                <w:szCs w:val="17"/>
                <w:color w:val="auto"/>
              </w:rPr>
              <w:t>BORROWERS:</w:t>
            </w:r>
          </w:p>
        </w:tc>
        <w:tc>
          <w:tcPr>
            <w:tcW w:w="4220" w:type="dxa"/>
            <w:vAlign w:val="bottom"/>
            <w:gridSpan w:val="3"/>
          </w:tcPr>
          <w:p>
            <w:pPr>
              <w:ind w:left="1120"/>
              <w:spacing w:after="0"/>
              <w:rPr>
                <w:sz w:val="20"/>
                <w:szCs w:val="20"/>
                <w:color w:val="auto"/>
              </w:rPr>
            </w:pPr>
            <w:r>
              <w:rPr>
                <w:rFonts w:ascii="Arial" w:cs="Arial" w:eastAsia="Arial" w:hAnsi="Arial"/>
                <w:sz w:val="17"/>
                <w:szCs w:val="17"/>
                <w:color w:val="auto"/>
              </w:rPr>
              <w:t>GENTHERM INCORPORATED</w:t>
            </w:r>
          </w:p>
        </w:tc>
      </w:tr>
      <w:tr>
        <w:trPr>
          <w:trHeight w:val="379"/>
        </w:trPr>
        <w:tc>
          <w:tcPr>
            <w:tcW w:w="10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ind w:left="1120"/>
              <w:spacing w:after="0"/>
              <w:rPr>
                <w:sz w:val="20"/>
                <w:szCs w:val="20"/>
                <w:color w:val="auto"/>
              </w:rPr>
            </w:pPr>
            <w:r>
              <w:rPr>
                <w:rFonts w:ascii="Arial" w:cs="Arial" w:eastAsia="Arial" w:hAnsi="Arial"/>
                <w:sz w:val="17"/>
                <w:szCs w:val="17"/>
                <w:color w:val="auto"/>
              </w:rPr>
              <w:t>By:</w:t>
            </w:r>
          </w:p>
        </w:tc>
        <w:tc>
          <w:tcPr>
            <w:tcW w:w="176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r>
      <w:tr>
        <w:trPr>
          <w:trHeight w:val="200"/>
        </w:trPr>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20" w:type="dxa"/>
            <w:vAlign w:val="bottom"/>
            <w:gridSpan w:val="3"/>
          </w:tcPr>
          <w:p>
            <w:pPr>
              <w:ind w:left="1120"/>
              <w:spacing w:after="0"/>
              <w:rPr>
                <w:sz w:val="20"/>
                <w:szCs w:val="20"/>
                <w:color w:val="auto"/>
              </w:rPr>
            </w:pPr>
            <w:r>
              <w:rPr>
                <w:rFonts w:ascii="Arial" w:cs="Arial" w:eastAsia="Arial" w:hAnsi="Arial"/>
                <w:sz w:val="17"/>
                <w:szCs w:val="17"/>
                <w:color w:val="auto"/>
              </w:rPr>
              <w:t>Name:</w:t>
            </w:r>
          </w:p>
        </w:tc>
      </w:tr>
      <w:tr>
        <w:trPr>
          <w:trHeight w:val="217"/>
        </w:trPr>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20" w:type="dxa"/>
            <w:vAlign w:val="bottom"/>
            <w:gridSpan w:val="3"/>
          </w:tcPr>
          <w:p>
            <w:pPr>
              <w:ind w:left="1120"/>
              <w:spacing w:after="0"/>
              <w:rPr>
                <w:sz w:val="20"/>
                <w:szCs w:val="20"/>
                <w:color w:val="auto"/>
              </w:rPr>
            </w:pPr>
            <w:r>
              <w:rPr>
                <w:rFonts w:ascii="Arial" w:cs="Arial" w:eastAsia="Arial" w:hAnsi="Arial"/>
                <w:sz w:val="17"/>
                <w:szCs w:val="17"/>
                <w:color w:val="auto"/>
              </w:rPr>
              <w:t>Title:</w:t>
            </w:r>
          </w:p>
        </w:tc>
      </w:tr>
      <w:tr>
        <w:trPr>
          <w:trHeight w:val="399"/>
        </w:trPr>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20" w:type="dxa"/>
            <w:vAlign w:val="bottom"/>
            <w:gridSpan w:val="3"/>
          </w:tcPr>
          <w:p>
            <w:pPr>
              <w:ind w:left="1120"/>
              <w:spacing w:after="0"/>
              <w:rPr>
                <w:sz w:val="20"/>
                <w:szCs w:val="20"/>
                <w:color w:val="auto"/>
              </w:rPr>
            </w:pPr>
            <w:r>
              <w:rPr>
                <w:rFonts w:ascii="Arial" w:cs="Arial" w:eastAsia="Arial" w:hAnsi="Arial"/>
                <w:sz w:val="17"/>
                <w:szCs w:val="17"/>
                <w:color w:val="auto"/>
              </w:rPr>
              <w:t>GENTHERM GMBH</w:t>
            </w:r>
          </w:p>
        </w:tc>
      </w:tr>
      <w:tr>
        <w:trPr>
          <w:trHeight w:val="360"/>
        </w:trPr>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ind w:left="1120"/>
              <w:spacing w:after="0"/>
              <w:rPr>
                <w:sz w:val="20"/>
                <w:szCs w:val="20"/>
                <w:color w:val="auto"/>
              </w:rPr>
            </w:pPr>
            <w:r>
              <w:rPr>
                <w:rFonts w:ascii="Arial" w:cs="Arial" w:eastAsia="Arial" w:hAnsi="Arial"/>
                <w:sz w:val="17"/>
                <w:szCs w:val="17"/>
                <w:color w:val="auto"/>
              </w:rPr>
              <w:t>By:</w:t>
            </w:r>
          </w:p>
        </w:tc>
        <w:tc>
          <w:tcPr>
            <w:tcW w:w="176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r>
      <w:tr>
        <w:trPr>
          <w:trHeight w:val="200"/>
        </w:trPr>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20" w:type="dxa"/>
            <w:vAlign w:val="bottom"/>
            <w:gridSpan w:val="3"/>
          </w:tcPr>
          <w:p>
            <w:pPr>
              <w:ind w:left="1120"/>
              <w:spacing w:after="0"/>
              <w:rPr>
                <w:sz w:val="20"/>
                <w:szCs w:val="20"/>
                <w:color w:val="auto"/>
              </w:rPr>
            </w:pPr>
            <w:r>
              <w:rPr>
                <w:rFonts w:ascii="Arial" w:cs="Arial" w:eastAsia="Arial" w:hAnsi="Arial"/>
                <w:sz w:val="17"/>
                <w:szCs w:val="17"/>
                <w:color w:val="auto"/>
              </w:rPr>
              <w:t>Name:</w:t>
            </w:r>
          </w:p>
        </w:tc>
      </w:tr>
      <w:tr>
        <w:trPr>
          <w:trHeight w:val="217"/>
        </w:trPr>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20" w:type="dxa"/>
            <w:vAlign w:val="bottom"/>
            <w:gridSpan w:val="3"/>
          </w:tcPr>
          <w:p>
            <w:pPr>
              <w:ind w:left="1120"/>
              <w:spacing w:after="0"/>
              <w:rPr>
                <w:sz w:val="20"/>
                <w:szCs w:val="20"/>
                <w:color w:val="auto"/>
              </w:rPr>
            </w:pPr>
            <w:r>
              <w:rPr>
                <w:rFonts w:ascii="Arial" w:cs="Arial" w:eastAsia="Arial" w:hAnsi="Arial"/>
                <w:sz w:val="17"/>
                <w:szCs w:val="17"/>
                <w:color w:val="auto"/>
              </w:rPr>
              <w:t>Title:</w:t>
            </w:r>
          </w:p>
        </w:tc>
      </w:tr>
      <w:tr>
        <w:trPr>
          <w:trHeight w:val="399"/>
        </w:trPr>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20" w:type="dxa"/>
            <w:vAlign w:val="bottom"/>
            <w:gridSpan w:val="3"/>
          </w:tcPr>
          <w:p>
            <w:pPr>
              <w:ind w:left="1120"/>
              <w:spacing w:after="0"/>
              <w:rPr>
                <w:sz w:val="20"/>
                <w:szCs w:val="20"/>
                <w:color w:val="auto"/>
              </w:rPr>
            </w:pPr>
            <w:r>
              <w:rPr>
                <w:rFonts w:ascii="Arial" w:cs="Arial" w:eastAsia="Arial" w:hAnsi="Arial"/>
                <w:sz w:val="17"/>
                <w:szCs w:val="17"/>
                <w:color w:val="auto"/>
              </w:rPr>
              <w:t>GENTHERM (TEXAS), INC.</w:t>
            </w:r>
          </w:p>
        </w:tc>
      </w:tr>
      <w:tr>
        <w:trPr>
          <w:trHeight w:val="360"/>
        </w:trPr>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ind w:left="1120"/>
              <w:spacing w:after="0"/>
              <w:rPr>
                <w:sz w:val="20"/>
                <w:szCs w:val="20"/>
                <w:color w:val="auto"/>
              </w:rPr>
            </w:pPr>
            <w:r>
              <w:rPr>
                <w:rFonts w:ascii="Arial" w:cs="Arial" w:eastAsia="Arial" w:hAnsi="Arial"/>
                <w:sz w:val="17"/>
                <w:szCs w:val="17"/>
                <w:color w:val="auto"/>
              </w:rPr>
              <w:t>By:</w:t>
            </w:r>
          </w:p>
        </w:tc>
        <w:tc>
          <w:tcPr>
            <w:tcW w:w="176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r>
      <w:tr>
        <w:trPr>
          <w:trHeight w:val="200"/>
        </w:trPr>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20" w:type="dxa"/>
            <w:vAlign w:val="bottom"/>
            <w:gridSpan w:val="3"/>
          </w:tcPr>
          <w:p>
            <w:pPr>
              <w:ind w:left="1120"/>
              <w:spacing w:after="0"/>
              <w:rPr>
                <w:sz w:val="20"/>
                <w:szCs w:val="20"/>
                <w:color w:val="auto"/>
              </w:rPr>
            </w:pPr>
            <w:r>
              <w:rPr>
                <w:rFonts w:ascii="Arial" w:cs="Arial" w:eastAsia="Arial" w:hAnsi="Arial"/>
                <w:sz w:val="17"/>
                <w:szCs w:val="17"/>
                <w:color w:val="auto"/>
              </w:rPr>
              <w:t>Name:</w:t>
            </w:r>
          </w:p>
        </w:tc>
      </w:tr>
      <w:tr>
        <w:trPr>
          <w:trHeight w:val="217"/>
        </w:trPr>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20" w:type="dxa"/>
            <w:vAlign w:val="bottom"/>
            <w:gridSpan w:val="3"/>
          </w:tcPr>
          <w:p>
            <w:pPr>
              <w:ind w:left="1120"/>
              <w:spacing w:after="0"/>
              <w:rPr>
                <w:sz w:val="20"/>
                <w:szCs w:val="20"/>
                <w:color w:val="auto"/>
              </w:rPr>
            </w:pPr>
            <w:r>
              <w:rPr>
                <w:rFonts w:ascii="Arial" w:cs="Arial" w:eastAsia="Arial" w:hAnsi="Arial"/>
                <w:sz w:val="17"/>
                <w:szCs w:val="17"/>
                <w:color w:val="auto"/>
              </w:rPr>
              <w:t>Title:</w:t>
            </w:r>
          </w:p>
        </w:tc>
      </w:tr>
      <w:tr>
        <w:trPr>
          <w:trHeight w:val="399"/>
        </w:trPr>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20" w:type="dxa"/>
            <w:vAlign w:val="bottom"/>
            <w:gridSpan w:val="3"/>
          </w:tcPr>
          <w:p>
            <w:pPr>
              <w:ind w:left="1120"/>
              <w:spacing w:after="0"/>
              <w:rPr>
                <w:sz w:val="20"/>
                <w:szCs w:val="20"/>
                <w:color w:val="auto"/>
              </w:rPr>
            </w:pPr>
            <w:r>
              <w:rPr>
                <w:rFonts w:ascii="Arial" w:cs="Arial" w:eastAsia="Arial" w:hAnsi="Arial"/>
                <w:sz w:val="17"/>
                <w:szCs w:val="17"/>
                <w:color w:val="auto"/>
              </w:rPr>
              <w:t>GLOBAL THERMOELECTRIC INC.</w:t>
            </w:r>
          </w:p>
        </w:tc>
      </w:tr>
      <w:tr>
        <w:trPr>
          <w:trHeight w:val="360"/>
        </w:trPr>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ind w:left="1120"/>
              <w:spacing w:after="0"/>
              <w:rPr>
                <w:sz w:val="20"/>
                <w:szCs w:val="20"/>
                <w:color w:val="auto"/>
              </w:rPr>
            </w:pPr>
            <w:r>
              <w:rPr>
                <w:rFonts w:ascii="Arial" w:cs="Arial" w:eastAsia="Arial" w:hAnsi="Arial"/>
                <w:sz w:val="17"/>
                <w:szCs w:val="17"/>
                <w:color w:val="auto"/>
              </w:rPr>
              <w:t>By:</w:t>
            </w:r>
          </w:p>
        </w:tc>
        <w:tc>
          <w:tcPr>
            <w:tcW w:w="176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r>
      <w:tr>
        <w:trPr>
          <w:trHeight w:val="200"/>
        </w:trPr>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20" w:type="dxa"/>
            <w:vAlign w:val="bottom"/>
            <w:gridSpan w:val="3"/>
          </w:tcPr>
          <w:p>
            <w:pPr>
              <w:ind w:left="1120"/>
              <w:spacing w:after="0"/>
              <w:rPr>
                <w:sz w:val="20"/>
                <w:szCs w:val="20"/>
                <w:color w:val="auto"/>
              </w:rPr>
            </w:pPr>
            <w:r>
              <w:rPr>
                <w:rFonts w:ascii="Arial" w:cs="Arial" w:eastAsia="Arial" w:hAnsi="Arial"/>
                <w:sz w:val="17"/>
                <w:szCs w:val="17"/>
                <w:color w:val="auto"/>
              </w:rPr>
              <w:t>Name:</w:t>
            </w:r>
          </w:p>
        </w:tc>
      </w:tr>
      <w:tr>
        <w:trPr>
          <w:trHeight w:val="217"/>
        </w:trPr>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20" w:type="dxa"/>
            <w:vAlign w:val="bottom"/>
            <w:gridSpan w:val="3"/>
          </w:tcPr>
          <w:p>
            <w:pPr>
              <w:ind w:left="1120"/>
              <w:spacing w:after="0"/>
              <w:rPr>
                <w:sz w:val="20"/>
                <w:szCs w:val="20"/>
                <w:color w:val="auto"/>
              </w:rPr>
            </w:pPr>
            <w:r>
              <w:rPr>
                <w:rFonts w:ascii="Arial" w:cs="Arial" w:eastAsia="Arial" w:hAnsi="Arial"/>
                <w:sz w:val="17"/>
                <w:szCs w:val="17"/>
                <w:color w:val="auto"/>
              </w:rPr>
              <w:t>Title:</w:t>
            </w:r>
          </w:p>
        </w:tc>
      </w:tr>
      <w:tr>
        <w:trPr>
          <w:trHeight w:val="399"/>
        </w:trPr>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20" w:type="dxa"/>
            <w:vAlign w:val="bottom"/>
            <w:gridSpan w:val="3"/>
          </w:tcPr>
          <w:p>
            <w:pPr>
              <w:ind w:left="1120"/>
              <w:spacing w:after="0"/>
              <w:rPr>
                <w:sz w:val="20"/>
                <w:szCs w:val="20"/>
                <w:color w:val="auto"/>
              </w:rPr>
            </w:pPr>
            <w:r>
              <w:rPr>
                <w:rFonts w:ascii="Arial" w:cs="Arial" w:eastAsia="Arial" w:hAnsi="Arial"/>
                <w:sz w:val="17"/>
                <w:szCs w:val="17"/>
                <w:color w:val="auto"/>
              </w:rPr>
              <w:t>GENTHERM CANADA LTD.</w:t>
            </w:r>
          </w:p>
        </w:tc>
      </w:tr>
      <w:tr>
        <w:trPr>
          <w:trHeight w:val="360"/>
        </w:trPr>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ind w:left="1120"/>
              <w:spacing w:after="0"/>
              <w:rPr>
                <w:sz w:val="20"/>
                <w:szCs w:val="20"/>
                <w:color w:val="auto"/>
              </w:rPr>
            </w:pPr>
            <w:r>
              <w:rPr>
                <w:rFonts w:ascii="Arial" w:cs="Arial" w:eastAsia="Arial" w:hAnsi="Arial"/>
                <w:sz w:val="17"/>
                <w:szCs w:val="17"/>
                <w:color w:val="auto"/>
              </w:rPr>
              <w:t>By:</w:t>
            </w:r>
          </w:p>
        </w:tc>
        <w:tc>
          <w:tcPr>
            <w:tcW w:w="176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r>
      <w:tr>
        <w:trPr>
          <w:trHeight w:val="200"/>
        </w:trPr>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20" w:type="dxa"/>
            <w:vAlign w:val="bottom"/>
            <w:gridSpan w:val="3"/>
          </w:tcPr>
          <w:p>
            <w:pPr>
              <w:ind w:left="1120"/>
              <w:spacing w:after="0"/>
              <w:rPr>
                <w:sz w:val="20"/>
                <w:szCs w:val="20"/>
                <w:color w:val="auto"/>
              </w:rPr>
            </w:pPr>
            <w:r>
              <w:rPr>
                <w:rFonts w:ascii="Arial" w:cs="Arial" w:eastAsia="Arial" w:hAnsi="Arial"/>
                <w:sz w:val="17"/>
                <w:szCs w:val="17"/>
                <w:color w:val="auto"/>
              </w:rPr>
              <w:t>Name:</w:t>
            </w:r>
          </w:p>
        </w:tc>
      </w:tr>
      <w:tr>
        <w:trPr>
          <w:trHeight w:val="217"/>
        </w:trPr>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20" w:type="dxa"/>
            <w:vAlign w:val="bottom"/>
            <w:gridSpan w:val="3"/>
          </w:tcPr>
          <w:p>
            <w:pPr>
              <w:ind w:left="1120"/>
              <w:spacing w:after="0"/>
              <w:rPr>
                <w:sz w:val="20"/>
                <w:szCs w:val="20"/>
                <w:color w:val="auto"/>
              </w:rPr>
            </w:pPr>
            <w:r>
              <w:rPr>
                <w:rFonts w:ascii="Arial" w:cs="Arial" w:eastAsia="Arial" w:hAnsi="Arial"/>
                <w:sz w:val="17"/>
                <w:szCs w:val="17"/>
                <w:color w:val="auto"/>
              </w:rPr>
              <w:t>Title:</w:t>
            </w:r>
          </w:p>
        </w:tc>
      </w:tr>
    </w:tbl>
    <w:p>
      <w:pPr>
        <w:sectPr>
          <w:pgSz w:w="11900" w:h="16838" w:orient="portrait"/>
          <w:cols w:equalWidth="0" w:num="1">
            <w:col w:w="11440"/>
          </w:cols>
          <w:pgMar w:left="240" w:top="312" w:right="219" w:bottom="1440" w:gutter="0" w:footer="0" w:header="0"/>
        </w:sectPr>
      </w:pPr>
    </w:p>
    <w:bookmarkStart w:id="172" w:name="page173"/>
    <w:bookmarkEnd w:id="1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80" w:type="dxa"/>
            <w:vAlign w:val="bottom"/>
            <w:gridSpan w:val="5"/>
          </w:tcPr>
          <w:p>
            <w:pPr>
              <w:spacing w:after="0"/>
              <w:rPr>
                <w:sz w:val="20"/>
                <w:szCs w:val="20"/>
                <w:color w:val="auto"/>
              </w:rPr>
            </w:pPr>
            <w:r>
              <w:rPr>
                <w:rFonts w:ascii="Arial" w:cs="Arial" w:eastAsia="Arial" w:hAnsi="Arial"/>
                <w:sz w:val="17"/>
                <w:szCs w:val="17"/>
                <w:color w:val="auto"/>
              </w:rPr>
              <w:t>GUARANTORS:</w:t>
            </w:r>
          </w:p>
        </w:tc>
        <w:tc>
          <w:tcPr>
            <w:tcW w:w="5740" w:type="dxa"/>
            <w:vAlign w:val="bottom"/>
            <w:gridSpan w:val="4"/>
          </w:tcPr>
          <w:p>
            <w:pPr>
              <w:ind w:left="680"/>
              <w:spacing w:after="0"/>
              <w:rPr>
                <w:sz w:val="20"/>
                <w:szCs w:val="20"/>
                <w:color w:val="auto"/>
              </w:rPr>
            </w:pPr>
            <w:r>
              <w:rPr>
                <w:rFonts w:ascii="Arial" w:cs="Arial" w:eastAsia="Arial" w:hAnsi="Arial"/>
                <w:sz w:val="17"/>
                <w:szCs w:val="17"/>
                <w:color w:val="auto"/>
              </w:rPr>
              <w:t>WESTRIDGE HAGGERTY LLC</w:t>
            </w:r>
          </w:p>
        </w:tc>
      </w:tr>
      <w:tr>
        <w:trPr>
          <w:trHeight w:val="379"/>
        </w:trPr>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ind w:left="680"/>
              <w:spacing w:after="0"/>
              <w:rPr>
                <w:sz w:val="20"/>
                <w:szCs w:val="20"/>
                <w:color w:val="auto"/>
              </w:rPr>
            </w:pPr>
            <w:r>
              <w:rPr>
                <w:rFonts w:ascii="Arial" w:cs="Arial" w:eastAsia="Arial" w:hAnsi="Arial"/>
                <w:sz w:val="17"/>
                <w:szCs w:val="17"/>
                <w:color w:val="auto"/>
              </w:rPr>
              <w:t>By:</w:t>
            </w:r>
          </w:p>
        </w:tc>
        <w:tc>
          <w:tcPr>
            <w:tcW w:w="2800" w:type="dxa"/>
            <w:vAlign w:val="bottom"/>
            <w:tcBorders>
              <w:bottom w:val="single" w:sz="8" w:color="auto"/>
            </w:tcBorders>
            <w:gridSpan w:val="2"/>
          </w:tcPr>
          <w:p>
            <w:pPr>
              <w:spacing w:after="0"/>
              <w:rPr>
                <w:sz w:val="24"/>
                <w:szCs w:val="24"/>
                <w:color w:val="auto"/>
              </w:rPr>
            </w:pPr>
          </w:p>
        </w:tc>
        <w:tc>
          <w:tcPr>
            <w:tcW w:w="1980" w:type="dxa"/>
            <w:vAlign w:val="bottom"/>
          </w:tcPr>
          <w:p>
            <w:pPr>
              <w:spacing w:after="0"/>
              <w:rPr>
                <w:sz w:val="24"/>
                <w:szCs w:val="24"/>
                <w:color w:val="auto"/>
              </w:rPr>
            </w:pPr>
          </w:p>
        </w:tc>
      </w:tr>
      <w:tr>
        <w:trPr>
          <w:trHeight w:val="200"/>
        </w:trPr>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740" w:type="dxa"/>
            <w:vAlign w:val="bottom"/>
            <w:gridSpan w:val="4"/>
          </w:tcPr>
          <w:p>
            <w:pPr>
              <w:ind w:left="680"/>
              <w:spacing w:after="0"/>
              <w:rPr>
                <w:sz w:val="20"/>
                <w:szCs w:val="20"/>
                <w:color w:val="auto"/>
              </w:rPr>
            </w:pPr>
            <w:r>
              <w:rPr>
                <w:rFonts w:ascii="Arial" w:cs="Arial" w:eastAsia="Arial" w:hAnsi="Arial"/>
                <w:sz w:val="17"/>
                <w:szCs w:val="17"/>
                <w:color w:val="auto"/>
              </w:rPr>
              <w:t>Name:</w:t>
            </w:r>
          </w:p>
        </w:tc>
      </w:tr>
      <w:tr>
        <w:trPr>
          <w:trHeight w:val="217"/>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40" w:type="dxa"/>
            <w:vAlign w:val="bottom"/>
            <w:gridSpan w:val="4"/>
          </w:tcPr>
          <w:p>
            <w:pPr>
              <w:ind w:left="680"/>
              <w:spacing w:after="0"/>
              <w:rPr>
                <w:sz w:val="20"/>
                <w:szCs w:val="20"/>
                <w:color w:val="auto"/>
              </w:rPr>
            </w:pPr>
            <w:r>
              <w:rPr>
                <w:rFonts w:ascii="Arial" w:cs="Arial" w:eastAsia="Arial" w:hAnsi="Arial"/>
                <w:sz w:val="17"/>
                <w:szCs w:val="17"/>
                <w:color w:val="auto"/>
              </w:rPr>
              <w:t>Title:</w:t>
            </w:r>
          </w:p>
        </w:tc>
      </w:tr>
      <w:tr>
        <w:trPr>
          <w:trHeight w:val="399"/>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40" w:type="dxa"/>
            <w:vAlign w:val="bottom"/>
            <w:gridSpan w:val="4"/>
          </w:tcPr>
          <w:p>
            <w:pPr>
              <w:ind w:left="680"/>
              <w:spacing w:after="0"/>
              <w:rPr>
                <w:sz w:val="20"/>
                <w:szCs w:val="20"/>
                <w:color w:val="auto"/>
              </w:rPr>
            </w:pPr>
            <w:r>
              <w:rPr>
                <w:rFonts w:ascii="Arial" w:cs="Arial" w:eastAsia="Arial" w:hAnsi="Arial"/>
                <w:sz w:val="17"/>
                <w:szCs w:val="17"/>
                <w:color w:val="auto"/>
              </w:rPr>
              <w:t>GENTHERM HOLDING (MALTA) LIMITED</w:t>
            </w:r>
          </w:p>
        </w:tc>
      </w:tr>
      <w:tr>
        <w:trPr>
          <w:trHeight w:val="360"/>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ind w:left="680"/>
              <w:spacing w:after="0"/>
              <w:rPr>
                <w:sz w:val="20"/>
                <w:szCs w:val="20"/>
                <w:color w:val="auto"/>
              </w:rPr>
            </w:pPr>
            <w:r>
              <w:rPr>
                <w:rFonts w:ascii="Arial" w:cs="Arial" w:eastAsia="Arial" w:hAnsi="Arial"/>
                <w:sz w:val="17"/>
                <w:szCs w:val="17"/>
                <w:color w:val="auto"/>
              </w:rPr>
              <w:t>By:</w:t>
            </w:r>
          </w:p>
        </w:tc>
        <w:tc>
          <w:tcPr>
            <w:tcW w:w="1760" w:type="dxa"/>
            <w:vAlign w:val="bottom"/>
            <w:tcBorders>
              <w:bottom w:val="single" w:sz="8" w:color="auto"/>
            </w:tcBorders>
          </w:tcPr>
          <w:p>
            <w:pPr>
              <w:spacing w:after="0"/>
              <w:rPr>
                <w:sz w:val="24"/>
                <w:szCs w:val="24"/>
                <w:color w:val="auto"/>
              </w:rPr>
            </w:pPr>
          </w:p>
        </w:tc>
        <w:tc>
          <w:tcPr>
            <w:tcW w:w="3020" w:type="dxa"/>
            <w:vAlign w:val="bottom"/>
            <w:gridSpan w:val="2"/>
          </w:tcPr>
          <w:p>
            <w:pPr>
              <w:spacing w:after="0"/>
              <w:rPr>
                <w:sz w:val="24"/>
                <w:szCs w:val="24"/>
                <w:color w:val="auto"/>
              </w:rPr>
            </w:pPr>
          </w:p>
        </w:tc>
      </w:tr>
      <w:tr>
        <w:trPr>
          <w:trHeight w:val="200"/>
        </w:trPr>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740" w:type="dxa"/>
            <w:vAlign w:val="bottom"/>
            <w:gridSpan w:val="4"/>
          </w:tcPr>
          <w:p>
            <w:pPr>
              <w:ind w:left="680"/>
              <w:spacing w:after="0"/>
              <w:rPr>
                <w:sz w:val="20"/>
                <w:szCs w:val="20"/>
                <w:color w:val="auto"/>
              </w:rPr>
            </w:pPr>
            <w:r>
              <w:rPr>
                <w:rFonts w:ascii="Arial" w:cs="Arial" w:eastAsia="Arial" w:hAnsi="Arial"/>
                <w:sz w:val="17"/>
                <w:szCs w:val="17"/>
                <w:color w:val="auto"/>
              </w:rPr>
              <w:t>Name:</w:t>
            </w:r>
          </w:p>
        </w:tc>
      </w:tr>
      <w:tr>
        <w:trPr>
          <w:trHeight w:val="217"/>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40" w:type="dxa"/>
            <w:vAlign w:val="bottom"/>
            <w:gridSpan w:val="4"/>
          </w:tcPr>
          <w:p>
            <w:pPr>
              <w:ind w:left="680"/>
              <w:spacing w:after="0"/>
              <w:rPr>
                <w:sz w:val="20"/>
                <w:szCs w:val="20"/>
                <w:color w:val="auto"/>
              </w:rPr>
            </w:pPr>
            <w:r>
              <w:rPr>
                <w:rFonts w:ascii="Arial" w:cs="Arial" w:eastAsia="Arial" w:hAnsi="Arial"/>
                <w:sz w:val="17"/>
                <w:szCs w:val="17"/>
                <w:color w:val="auto"/>
              </w:rPr>
              <w:t>Title:</w:t>
            </w:r>
          </w:p>
        </w:tc>
      </w:tr>
      <w:tr>
        <w:trPr>
          <w:trHeight w:val="399"/>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40" w:type="dxa"/>
            <w:vAlign w:val="bottom"/>
            <w:gridSpan w:val="4"/>
          </w:tcPr>
          <w:p>
            <w:pPr>
              <w:ind w:left="680"/>
              <w:spacing w:after="0"/>
              <w:rPr>
                <w:sz w:val="20"/>
                <w:szCs w:val="20"/>
                <w:color w:val="auto"/>
              </w:rPr>
            </w:pPr>
            <w:r>
              <w:rPr>
                <w:rFonts w:ascii="Arial" w:cs="Arial" w:eastAsia="Arial" w:hAnsi="Arial"/>
                <w:sz w:val="17"/>
                <w:szCs w:val="17"/>
                <w:color w:val="auto"/>
              </w:rPr>
              <w:t>GENTHERM AUTOMOTIVE SYSTEMS (MALTA) LIMITED</w:t>
            </w:r>
          </w:p>
        </w:tc>
      </w:tr>
      <w:tr>
        <w:trPr>
          <w:trHeight w:val="360"/>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ind w:left="680"/>
              <w:spacing w:after="0"/>
              <w:rPr>
                <w:sz w:val="20"/>
                <w:szCs w:val="20"/>
                <w:color w:val="auto"/>
              </w:rPr>
            </w:pPr>
            <w:r>
              <w:rPr>
                <w:rFonts w:ascii="Arial" w:cs="Arial" w:eastAsia="Arial" w:hAnsi="Arial"/>
                <w:sz w:val="17"/>
                <w:szCs w:val="17"/>
                <w:color w:val="auto"/>
              </w:rPr>
              <w:t>By:</w:t>
            </w:r>
          </w:p>
        </w:tc>
        <w:tc>
          <w:tcPr>
            <w:tcW w:w="1760" w:type="dxa"/>
            <w:vAlign w:val="bottom"/>
            <w:tcBorders>
              <w:bottom w:val="single" w:sz="8" w:color="auto"/>
            </w:tcBorders>
          </w:tcPr>
          <w:p>
            <w:pPr>
              <w:spacing w:after="0"/>
              <w:rPr>
                <w:sz w:val="24"/>
                <w:szCs w:val="24"/>
                <w:color w:val="auto"/>
              </w:rPr>
            </w:pPr>
          </w:p>
        </w:tc>
        <w:tc>
          <w:tcPr>
            <w:tcW w:w="3020" w:type="dxa"/>
            <w:vAlign w:val="bottom"/>
            <w:gridSpan w:val="2"/>
          </w:tcPr>
          <w:p>
            <w:pPr>
              <w:spacing w:after="0"/>
              <w:rPr>
                <w:sz w:val="24"/>
                <w:szCs w:val="24"/>
                <w:color w:val="auto"/>
              </w:rPr>
            </w:pPr>
          </w:p>
        </w:tc>
      </w:tr>
      <w:tr>
        <w:trPr>
          <w:trHeight w:val="200"/>
        </w:trPr>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740" w:type="dxa"/>
            <w:vAlign w:val="bottom"/>
            <w:gridSpan w:val="4"/>
          </w:tcPr>
          <w:p>
            <w:pPr>
              <w:ind w:left="680"/>
              <w:spacing w:after="0"/>
              <w:rPr>
                <w:sz w:val="20"/>
                <w:szCs w:val="20"/>
                <w:color w:val="auto"/>
              </w:rPr>
            </w:pPr>
            <w:r>
              <w:rPr>
                <w:rFonts w:ascii="Arial" w:cs="Arial" w:eastAsia="Arial" w:hAnsi="Arial"/>
                <w:sz w:val="17"/>
                <w:szCs w:val="17"/>
                <w:color w:val="auto"/>
              </w:rPr>
              <w:t>Name:</w:t>
            </w:r>
          </w:p>
        </w:tc>
      </w:tr>
      <w:tr>
        <w:trPr>
          <w:trHeight w:val="217"/>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40" w:type="dxa"/>
            <w:vAlign w:val="bottom"/>
            <w:gridSpan w:val="4"/>
          </w:tcPr>
          <w:p>
            <w:pPr>
              <w:ind w:left="680"/>
              <w:spacing w:after="0"/>
              <w:rPr>
                <w:sz w:val="20"/>
                <w:szCs w:val="20"/>
                <w:color w:val="auto"/>
              </w:rPr>
            </w:pPr>
            <w:r>
              <w:rPr>
                <w:rFonts w:ascii="Arial" w:cs="Arial" w:eastAsia="Arial" w:hAnsi="Arial"/>
                <w:sz w:val="17"/>
                <w:szCs w:val="17"/>
                <w:color w:val="auto"/>
              </w:rPr>
              <w:t>Title:</w:t>
            </w:r>
          </w:p>
        </w:tc>
      </w:tr>
      <w:tr>
        <w:trPr>
          <w:trHeight w:val="399"/>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40" w:type="dxa"/>
            <w:vAlign w:val="bottom"/>
            <w:gridSpan w:val="4"/>
          </w:tcPr>
          <w:p>
            <w:pPr>
              <w:ind w:left="680"/>
              <w:spacing w:after="0"/>
              <w:rPr>
                <w:sz w:val="20"/>
                <w:szCs w:val="20"/>
                <w:color w:val="auto"/>
              </w:rPr>
            </w:pPr>
            <w:r>
              <w:rPr>
                <w:rFonts w:ascii="Arial" w:cs="Arial" w:eastAsia="Arial" w:hAnsi="Arial"/>
                <w:sz w:val="17"/>
                <w:szCs w:val="17"/>
                <w:color w:val="auto"/>
                <w:w w:val="96"/>
              </w:rPr>
              <w:t>GENTHERM HUNGARY KORLÁTOLT FELELŐSSÉGŰ TÁRSASÁG</w:t>
            </w:r>
          </w:p>
        </w:tc>
      </w:tr>
      <w:tr>
        <w:trPr>
          <w:trHeight w:val="360"/>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ind w:left="680"/>
              <w:spacing w:after="0"/>
              <w:rPr>
                <w:sz w:val="20"/>
                <w:szCs w:val="20"/>
                <w:color w:val="auto"/>
              </w:rPr>
            </w:pPr>
            <w:r>
              <w:rPr>
                <w:rFonts w:ascii="Arial" w:cs="Arial" w:eastAsia="Arial" w:hAnsi="Arial"/>
                <w:sz w:val="17"/>
                <w:szCs w:val="17"/>
                <w:color w:val="auto"/>
              </w:rPr>
              <w:t>By:</w:t>
            </w:r>
          </w:p>
        </w:tc>
        <w:tc>
          <w:tcPr>
            <w:tcW w:w="1760" w:type="dxa"/>
            <w:vAlign w:val="bottom"/>
            <w:tcBorders>
              <w:bottom w:val="single" w:sz="8" w:color="auto"/>
            </w:tcBorders>
          </w:tcPr>
          <w:p>
            <w:pPr>
              <w:spacing w:after="0"/>
              <w:rPr>
                <w:sz w:val="24"/>
                <w:szCs w:val="24"/>
                <w:color w:val="auto"/>
              </w:rPr>
            </w:pPr>
          </w:p>
        </w:tc>
        <w:tc>
          <w:tcPr>
            <w:tcW w:w="3020" w:type="dxa"/>
            <w:vAlign w:val="bottom"/>
            <w:gridSpan w:val="2"/>
          </w:tcPr>
          <w:p>
            <w:pPr>
              <w:spacing w:after="0"/>
              <w:rPr>
                <w:sz w:val="24"/>
                <w:szCs w:val="24"/>
                <w:color w:val="auto"/>
              </w:rPr>
            </w:pPr>
          </w:p>
        </w:tc>
      </w:tr>
      <w:tr>
        <w:trPr>
          <w:trHeight w:val="200"/>
        </w:trPr>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740" w:type="dxa"/>
            <w:vAlign w:val="bottom"/>
            <w:gridSpan w:val="4"/>
          </w:tcPr>
          <w:p>
            <w:pPr>
              <w:ind w:left="680"/>
              <w:spacing w:after="0"/>
              <w:rPr>
                <w:sz w:val="20"/>
                <w:szCs w:val="20"/>
                <w:color w:val="auto"/>
              </w:rPr>
            </w:pPr>
            <w:r>
              <w:rPr>
                <w:rFonts w:ascii="Arial" w:cs="Arial" w:eastAsia="Arial" w:hAnsi="Arial"/>
                <w:sz w:val="17"/>
                <w:szCs w:val="17"/>
                <w:color w:val="auto"/>
              </w:rPr>
              <w:t>Name:</w:t>
            </w:r>
          </w:p>
        </w:tc>
      </w:tr>
      <w:tr>
        <w:trPr>
          <w:trHeight w:val="217"/>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40" w:type="dxa"/>
            <w:vAlign w:val="bottom"/>
            <w:gridSpan w:val="4"/>
          </w:tcPr>
          <w:p>
            <w:pPr>
              <w:ind w:left="680"/>
              <w:spacing w:after="0"/>
              <w:rPr>
                <w:sz w:val="20"/>
                <w:szCs w:val="20"/>
                <w:color w:val="auto"/>
              </w:rPr>
            </w:pPr>
            <w:r>
              <w:rPr>
                <w:rFonts w:ascii="Arial" w:cs="Arial" w:eastAsia="Arial" w:hAnsi="Arial"/>
                <w:sz w:val="17"/>
                <w:szCs w:val="17"/>
                <w:color w:val="auto"/>
              </w:rPr>
              <w:t>Title:</w:t>
            </w:r>
          </w:p>
        </w:tc>
      </w:tr>
      <w:tr>
        <w:trPr>
          <w:trHeight w:val="360"/>
        </w:trPr>
        <w:tc>
          <w:tcPr>
            <w:tcW w:w="2780" w:type="dxa"/>
            <w:vAlign w:val="bottom"/>
            <w:gridSpan w:val="5"/>
          </w:tcPr>
          <w:p>
            <w:pPr>
              <w:spacing w:after="0"/>
              <w:rPr>
                <w:sz w:val="20"/>
                <w:szCs w:val="20"/>
                <w:color w:val="auto"/>
              </w:rPr>
            </w:pPr>
            <w:r>
              <w:rPr>
                <w:rFonts w:ascii="Arial" w:cs="Arial" w:eastAsia="Arial" w:hAnsi="Arial"/>
                <w:sz w:val="17"/>
                <w:szCs w:val="17"/>
                <w:color w:val="auto"/>
              </w:rPr>
              <w:t>ADMINISTRATIVE AGENT:</w:t>
            </w:r>
          </w:p>
        </w:tc>
        <w:tc>
          <w:tcPr>
            <w:tcW w:w="5740" w:type="dxa"/>
            <w:vAlign w:val="bottom"/>
            <w:gridSpan w:val="4"/>
          </w:tcPr>
          <w:p>
            <w:pPr>
              <w:ind w:left="680"/>
              <w:spacing w:after="0"/>
              <w:rPr>
                <w:sz w:val="20"/>
                <w:szCs w:val="20"/>
                <w:color w:val="auto"/>
              </w:rPr>
            </w:pPr>
            <w:r>
              <w:rPr>
                <w:rFonts w:ascii="Arial" w:cs="Arial" w:eastAsia="Arial" w:hAnsi="Arial"/>
                <w:sz w:val="17"/>
                <w:szCs w:val="17"/>
                <w:color w:val="auto"/>
              </w:rPr>
              <w:t>BANK OF AMERICA, N.A.,</w:t>
            </w:r>
          </w:p>
        </w:tc>
      </w:tr>
      <w:tr>
        <w:trPr>
          <w:trHeight w:val="218"/>
        </w:trPr>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40" w:type="dxa"/>
            <w:vAlign w:val="bottom"/>
            <w:gridSpan w:val="4"/>
          </w:tcPr>
          <w:p>
            <w:pPr>
              <w:ind w:left="680"/>
              <w:spacing w:after="0"/>
              <w:rPr>
                <w:sz w:val="20"/>
                <w:szCs w:val="20"/>
                <w:color w:val="auto"/>
              </w:rPr>
            </w:pPr>
            <w:r>
              <w:rPr>
                <w:rFonts w:ascii="Arial" w:cs="Arial" w:eastAsia="Arial" w:hAnsi="Arial"/>
                <w:sz w:val="17"/>
                <w:szCs w:val="17"/>
                <w:color w:val="auto"/>
              </w:rPr>
              <w:t>as Administrative Agent</w:t>
            </w:r>
          </w:p>
        </w:tc>
      </w:tr>
      <w:tr>
        <w:trPr>
          <w:trHeight w:val="360"/>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ind w:left="680"/>
              <w:spacing w:after="0"/>
              <w:rPr>
                <w:sz w:val="20"/>
                <w:szCs w:val="20"/>
                <w:color w:val="auto"/>
              </w:rPr>
            </w:pPr>
            <w:r>
              <w:rPr>
                <w:rFonts w:ascii="Arial" w:cs="Arial" w:eastAsia="Arial" w:hAnsi="Arial"/>
                <w:sz w:val="17"/>
                <w:szCs w:val="17"/>
                <w:color w:val="auto"/>
              </w:rPr>
              <w:t>By:</w:t>
            </w:r>
          </w:p>
        </w:tc>
        <w:tc>
          <w:tcPr>
            <w:tcW w:w="1760" w:type="dxa"/>
            <w:vAlign w:val="bottom"/>
            <w:tcBorders>
              <w:bottom w:val="single" w:sz="8" w:color="auto"/>
            </w:tcBorders>
          </w:tcPr>
          <w:p>
            <w:pPr>
              <w:spacing w:after="0"/>
              <w:rPr>
                <w:sz w:val="24"/>
                <w:szCs w:val="24"/>
                <w:color w:val="auto"/>
              </w:rPr>
            </w:pPr>
          </w:p>
        </w:tc>
        <w:tc>
          <w:tcPr>
            <w:tcW w:w="3020" w:type="dxa"/>
            <w:vAlign w:val="bottom"/>
            <w:gridSpan w:val="2"/>
          </w:tcPr>
          <w:p>
            <w:pPr>
              <w:spacing w:after="0"/>
              <w:rPr>
                <w:sz w:val="24"/>
                <w:szCs w:val="24"/>
                <w:color w:val="auto"/>
              </w:rPr>
            </w:pPr>
          </w:p>
        </w:tc>
      </w:tr>
      <w:tr>
        <w:trPr>
          <w:trHeight w:val="200"/>
        </w:trPr>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740" w:type="dxa"/>
            <w:vAlign w:val="bottom"/>
            <w:gridSpan w:val="4"/>
          </w:tcPr>
          <w:p>
            <w:pPr>
              <w:ind w:left="680"/>
              <w:spacing w:after="0"/>
              <w:rPr>
                <w:sz w:val="20"/>
                <w:szCs w:val="20"/>
                <w:color w:val="auto"/>
              </w:rPr>
            </w:pPr>
            <w:r>
              <w:rPr>
                <w:rFonts w:ascii="Arial" w:cs="Arial" w:eastAsia="Arial" w:hAnsi="Arial"/>
                <w:sz w:val="17"/>
                <w:szCs w:val="17"/>
                <w:color w:val="auto"/>
              </w:rPr>
              <w:t>Name:</w:t>
            </w:r>
          </w:p>
        </w:tc>
      </w:tr>
      <w:tr>
        <w:trPr>
          <w:trHeight w:val="217"/>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40" w:type="dxa"/>
            <w:vAlign w:val="bottom"/>
            <w:gridSpan w:val="4"/>
          </w:tcPr>
          <w:p>
            <w:pPr>
              <w:ind w:left="680"/>
              <w:spacing w:after="0"/>
              <w:rPr>
                <w:sz w:val="20"/>
                <w:szCs w:val="20"/>
                <w:color w:val="auto"/>
              </w:rPr>
            </w:pPr>
            <w:r>
              <w:rPr>
                <w:rFonts w:ascii="Arial" w:cs="Arial" w:eastAsia="Arial" w:hAnsi="Arial"/>
                <w:sz w:val="17"/>
                <w:szCs w:val="17"/>
                <w:color w:val="auto"/>
              </w:rPr>
              <w:t>Title:</w:t>
            </w:r>
          </w:p>
        </w:tc>
      </w:tr>
      <w:tr>
        <w:trPr>
          <w:trHeight w:val="360"/>
        </w:trPr>
        <w:tc>
          <w:tcPr>
            <w:tcW w:w="2780" w:type="dxa"/>
            <w:vAlign w:val="bottom"/>
            <w:gridSpan w:val="5"/>
          </w:tcPr>
          <w:p>
            <w:pPr>
              <w:spacing w:after="0"/>
              <w:rPr>
                <w:sz w:val="20"/>
                <w:szCs w:val="20"/>
                <w:color w:val="auto"/>
              </w:rPr>
            </w:pPr>
            <w:r>
              <w:rPr>
                <w:rFonts w:ascii="Arial" w:cs="Arial" w:eastAsia="Arial" w:hAnsi="Arial"/>
                <w:sz w:val="17"/>
                <w:szCs w:val="17"/>
                <w:color w:val="auto"/>
              </w:rPr>
              <w:t>SWING LINE LENDER AND</w:t>
            </w:r>
          </w:p>
        </w:tc>
        <w:tc>
          <w:tcPr>
            <w:tcW w:w="5740" w:type="dxa"/>
            <w:vAlign w:val="bottom"/>
            <w:gridSpan w:val="4"/>
          </w:tcPr>
          <w:p>
            <w:pPr>
              <w:ind w:left="680"/>
              <w:spacing w:after="0"/>
              <w:rPr>
                <w:sz w:val="20"/>
                <w:szCs w:val="20"/>
                <w:color w:val="auto"/>
              </w:rPr>
            </w:pPr>
            <w:r>
              <w:rPr>
                <w:rFonts w:ascii="Arial" w:cs="Arial" w:eastAsia="Arial" w:hAnsi="Arial"/>
                <w:sz w:val="17"/>
                <w:szCs w:val="17"/>
                <w:color w:val="auto"/>
              </w:rPr>
              <w:t>BANK OF AMERICA, N.A.,</w:t>
            </w:r>
          </w:p>
        </w:tc>
      </w:tr>
      <w:tr>
        <w:trPr>
          <w:trHeight w:val="179"/>
        </w:trPr>
        <w:tc>
          <w:tcPr>
            <w:tcW w:w="2120" w:type="dxa"/>
            <w:vAlign w:val="bottom"/>
            <w:tcBorders>
              <w:top w:val="single" w:sz="8" w:color="auto"/>
            </w:tcBorders>
            <w:gridSpan w:val="4"/>
          </w:tcPr>
          <w:p>
            <w:pPr>
              <w:spacing w:after="0" w:line="180" w:lineRule="exact"/>
              <w:rPr>
                <w:sz w:val="20"/>
                <w:szCs w:val="20"/>
                <w:color w:val="auto"/>
              </w:rPr>
            </w:pPr>
            <w:r>
              <w:rPr>
                <w:rFonts w:ascii="Arial" w:cs="Arial" w:eastAsia="Arial" w:hAnsi="Arial"/>
                <w:sz w:val="17"/>
                <w:szCs w:val="17"/>
                <w:color w:val="auto"/>
              </w:rPr>
              <w:t>L/C ISSUER:</w:t>
            </w:r>
          </w:p>
        </w:tc>
        <w:tc>
          <w:tcPr>
            <w:tcW w:w="660" w:type="dxa"/>
            <w:vAlign w:val="bottom"/>
          </w:tcPr>
          <w:p>
            <w:pPr>
              <w:spacing w:after="0"/>
              <w:rPr>
                <w:sz w:val="15"/>
                <w:szCs w:val="15"/>
                <w:color w:val="auto"/>
              </w:rPr>
            </w:pPr>
          </w:p>
        </w:tc>
        <w:tc>
          <w:tcPr>
            <w:tcW w:w="5740" w:type="dxa"/>
            <w:vAlign w:val="bottom"/>
            <w:gridSpan w:val="4"/>
          </w:tcPr>
          <w:p>
            <w:pPr>
              <w:ind w:left="680"/>
              <w:spacing w:after="0" w:line="180" w:lineRule="exact"/>
              <w:rPr>
                <w:sz w:val="20"/>
                <w:szCs w:val="20"/>
                <w:color w:val="auto"/>
              </w:rPr>
            </w:pPr>
            <w:r>
              <w:rPr>
                <w:rFonts w:ascii="Arial" w:cs="Arial" w:eastAsia="Arial" w:hAnsi="Arial"/>
                <w:sz w:val="17"/>
                <w:szCs w:val="17"/>
                <w:color w:val="auto"/>
              </w:rPr>
              <w:t>as Swing Line Lender and L/C Issuer</w:t>
            </w:r>
          </w:p>
        </w:tc>
      </w:tr>
      <w:tr>
        <w:trPr>
          <w:trHeight w:val="379"/>
        </w:trPr>
        <w:tc>
          <w:tcPr>
            <w:tcW w:w="9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ind w:left="680"/>
              <w:spacing w:after="0"/>
              <w:rPr>
                <w:sz w:val="20"/>
                <w:szCs w:val="20"/>
                <w:color w:val="auto"/>
              </w:rPr>
            </w:pPr>
            <w:r>
              <w:rPr>
                <w:rFonts w:ascii="Arial" w:cs="Arial" w:eastAsia="Arial" w:hAnsi="Arial"/>
                <w:sz w:val="17"/>
                <w:szCs w:val="17"/>
                <w:color w:val="auto"/>
              </w:rPr>
              <w:t>By:</w:t>
            </w:r>
          </w:p>
        </w:tc>
        <w:tc>
          <w:tcPr>
            <w:tcW w:w="1760" w:type="dxa"/>
            <w:vAlign w:val="bottom"/>
            <w:tcBorders>
              <w:bottom w:val="single" w:sz="8" w:color="auto"/>
            </w:tcBorders>
          </w:tcPr>
          <w:p>
            <w:pPr>
              <w:spacing w:after="0"/>
              <w:rPr>
                <w:sz w:val="24"/>
                <w:szCs w:val="24"/>
                <w:color w:val="auto"/>
              </w:rPr>
            </w:pPr>
          </w:p>
        </w:tc>
        <w:tc>
          <w:tcPr>
            <w:tcW w:w="3020" w:type="dxa"/>
            <w:vAlign w:val="bottom"/>
            <w:gridSpan w:val="2"/>
          </w:tcPr>
          <w:p>
            <w:pPr>
              <w:spacing w:after="0"/>
              <w:rPr>
                <w:sz w:val="24"/>
                <w:szCs w:val="24"/>
                <w:color w:val="auto"/>
              </w:rPr>
            </w:pPr>
          </w:p>
        </w:tc>
      </w:tr>
      <w:tr>
        <w:trPr>
          <w:trHeight w:val="200"/>
        </w:trPr>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740" w:type="dxa"/>
            <w:vAlign w:val="bottom"/>
            <w:gridSpan w:val="4"/>
          </w:tcPr>
          <w:p>
            <w:pPr>
              <w:ind w:left="680"/>
              <w:spacing w:after="0"/>
              <w:rPr>
                <w:sz w:val="20"/>
                <w:szCs w:val="20"/>
                <w:color w:val="auto"/>
              </w:rPr>
            </w:pPr>
            <w:r>
              <w:rPr>
                <w:rFonts w:ascii="Arial" w:cs="Arial" w:eastAsia="Arial" w:hAnsi="Arial"/>
                <w:sz w:val="17"/>
                <w:szCs w:val="17"/>
                <w:color w:val="auto"/>
              </w:rPr>
              <w:t>Name:</w:t>
            </w:r>
          </w:p>
        </w:tc>
      </w:tr>
      <w:tr>
        <w:trPr>
          <w:trHeight w:val="217"/>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40" w:type="dxa"/>
            <w:vAlign w:val="bottom"/>
            <w:gridSpan w:val="4"/>
          </w:tcPr>
          <w:p>
            <w:pPr>
              <w:ind w:left="680"/>
              <w:spacing w:after="0"/>
              <w:rPr>
                <w:sz w:val="20"/>
                <w:szCs w:val="20"/>
                <w:color w:val="auto"/>
              </w:rPr>
            </w:pPr>
            <w:r>
              <w:rPr>
                <w:rFonts w:ascii="Arial" w:cs="Arial" w:eastAsia="Arial" w:hAnsi="Arial"/>
                <w:sz w:val="17"/>
                <w:szCs w:val="17"/>
                <w:color w:val="auto"/>
              </w:rPr>
              <w:t>Title:</w:t>
            </w:r>
          </w:p>
        </w:tc>
      </w:tr>
    </w:tbl>
    <w:p>
      <w:pPr>
        <w:sectPr>
          <w:pgSz w:w="11900" w:h="16838" w:orient="portrait"/>
          <w:cols w:equalWidth="0" w:num="1">
            <w:col w:w="10219"/>
          </w:cols>
          <w:pgMar w:left="240" w:top="296" w:right="1440" w:bottom="1440" w:gutter="0" w:footer="0" w:header="0"/>
        </w:sectPr>
      </w:pPr>
    </w:p>
    <w:bookmarkStart w:id="173" w:name="page174"/>
    <w:bookmarkEnd w:id="173"/>
    <w:p>
      <w:pPr>
        <w:ind w:left="10240"/>
        <w:spacing w:after="0"/>
        <w:rPr>
          <w:sz w:val="20"/>
          <w:szCs w:val="20"/>
          <w:color w:val="auto"/>
        </w:rPr>
      </w:pPr>
      <w:r>
        <w:rPr>
          <w:rFonts w:ascii="Arial" w:cs="Arial" w:eastAsia="Arial" w:hAnsi="Arial"/>
          <w:sz w:val="17"/>
          <w:szCs w:val="17"/>
          <w:b w:val="1"/>
          <w:bCs w:val="1"/>
          <w:i w:val="1"/>
          <w:iCs w:val="1"/>
          <w:color w:val="auto"/>
        </w:rPr>
        <w:t>EXHIBIT H-2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LENDER COMMITMENT AGREEMENT</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THIS LENDER COMMITMENT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[_________, 20__] is among Gentherm Incorporated, a Michigan</w:t>
      </w:r>
    </w:p>
    <w:p>
      <w:pPr>
        <w:spacing w:after="0" w:line="29" w:lineRule="exact"/>
        <w:rPr>
          <w:sz w:val="20"/>
          <w:szCs w:val="20"/>
          <w:color w:val="auto"/>
        </w:rPr>
      </w:pPr>
    </w:p>
    <w:p>
      <w:pPr>
        <w:jc w:val="both"/>
        <w:ind w:right="20"/>
        <w:spacing w:after="0" w:line="247" w:lineRule="auto"/>
        <w:rPr>
          <w:sz w:val="20"/>
          <w:szCs w:val="20"/>
          <w:color w:val="auto"/>
        </w:rPr>
      </w:pPr>
      <w:r>
        <w:rPr>
          <w:rFonts w:ascii="Arial" w:cs="Arial" w:eastAsia="Arial" w:hAnsi="Arial"/>
          <w:sz w:val="17"/>
          <w:szCs w:val="17"/>
          <w:color w:val="auto"/>
        </w:rPr>
        <w:t>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Gentherm GmbH, a German limited liability company (“</w:t>
      </w:r>
      <w:r>
        <w:rPr>
          <w:rFonts w:ascii="Arial" w:cs="Arial" w:eastAsia="Arial" w:hAnsi="Arial"/>
          <w:sz w:val="17"/>
          <w:szCs w:val="17"/>
          <w:u w:val="single" w:color="auto"/>
          <w:color w:val="auto"/>
        </w:rPr>
        <w:t>Gentherm Germany</w:t>
      </w:r>
      <w:r>
        <w:rPr>
          <w:rFonts w:ascii="Arial" w:cs="Arial" w:eastAsia="Arial" w:hAnsi="Arial"/>
          <w:sz w:val="17"/>
          <w:szCs w:val="17"/>
          <w:color w:val="auto"/>
        </w:rPr>
        <w:t>”), Gentherm (Texas), Inc., a Texas corporation (“</w:t>
      </w:r>
      <w:r>
        <w:rPr>
          <w:rFonts w:ascii="Arial" w:cs="Arial" w:eastAsia="Arial" w:hAnsi="Arial"/>
          <w:sz w:val="17"/>
          <w:szCs w:val="17"/>
          <w:u w:val="single" w:color="auto"/>
          <w:color w:val="auto"/>
        </w:rPr>
        <w:t>Gentherm Texas</w:t>
      </w:r>
      <w:r>
        <w:rPr>
          <w:rFonts w:ascii="Arial" w:cs="Arial" w:eastAsia="Arial" w:hAnsi="Arial"/>
          <w:sz w:val="17"/>
          <w:szCs w:val="17"/>
          <w:color w:val="auto"/>
        </w:rPr>
        <w:t>” and, together with the Company, the “</w:t>
      </w:r>
      <w:r>
        <w:rPr>
          <w:rFonts w:ascii="Arial" w:cs="Arial" w:eastAsia="Arial" w:hAnsi="Arial"/>
          <w:sz w:val="17"/>
          <w:szCs w:val="17"/>
          <w:u w:val="single" w:color="auto"/>
          <w:color w:val="auto"/>
        </w:rPr>
        <w:t>U.S. Borrowers</w:t>
      </w:r>
      <w:r>
        <w:rPr>
          <w:rFonts w:ascii="Arial" w:cs="Arial" w:eastAsia="Arial" w:hAnsi="Arial"/>
          <w:sz w:val="17"/>
          <w:szCs w:val="17"/>
          <w:color w:val="auto"/>
        </w:rPr>
        <w:t>”), Gentherm Canada Ltd., an Ontario corporation (“</w:t>
      </w:r>
      <w:r>
        <w:rPr>
          <w:rFonts w:ascii="Arial" w:cs="Arial" w:eastAsia="Arial" w:hAnsi="Arial"/>
          <w:sz w:val="17"/>
          <w:szCs w:val="17"/>
          <w:u w:val="single" w:color="auto"/>
          <w:color w:val="auto"/>
        </w:rPr>
        <w:t>Gentherm Canada</w:t>
      </w:r>
      <w:r>
        <w:rPr>
          <w:rFonts w:ascii="Arial" w:cs="Arial" w:eastAsia="Arial" w:hAnsi="Arial"/>
          <w:sz w:val="17"/>
          <w:szCs w:val="17"/>
          <w:color w:val="auto"/>
        </w:rPr>
        <w:t>”), Global Thermoelectric Inc., an Alberta corporation (“</w:t>
      </w:r>
      <w:r>
        <w:rPr>
          <w:rFonts w:ascii="Arial" w:cs="Arial" w:eastAsia="Arial" w:hAnsi="Arial"/>
          <w:sz w:val="17"/>
          <w:szCs w:val="17"/>
          <w:u w:val="single" w:color="auto"/>
          <w:color w:val="auto"/>
        </w:rPr>
        <w:t>Global</w:t>
      </w:r>
      <w:r>
        <w:rPr>
          <w:rFonts w:ascii="Arial" w:cs="Arial" w:eastAsia="Arial" w:hAnsi="Arial"/>
          <w:sz w:val="17"/>
          <w:szCs w:val="17"/>
          <w:color w:val="auto"/>
        </w:rPr>
        <w:t>” and, together with Gentherm Canada, the “</w:t>
      </w:r>
      <w:r>
        <w:rPr>
          <w:rFonts w:ascii="Arial" w:cs="Arial" w:eastAsia="Arial" w:hAnsi="Arial"/>
          <w:sz w:val="17"/>
          <w:szCs w:val="17"/>
          <w:u w:val="single" w:color="auto"/>
          <w:color w:val="auto"/>
        </w:rPr>
        <w:t>Canadian Borrowers</w:t>
      </w:r>
      <w:r>
        <w:rPr>
          <w:rFonts w:ascii="Arial" w:cs="Arial" w:eastAsia="Arial" w:hAnsi="Arial"/>
          <w:sz w:val="17"/>
          <w:szCs w:val="17"/>
          <w:color w:val="auto"/>
        </w:rPr>
        <w:t>” and, together with Gentherm Canada, the U.S. Borrowers and Gentherm Germany, the “</w:t>
      </w:r>
      <w:r>
        <w:rPr>
          <w:rFonts w:ascii="Arial" w:cs="Arial" w:eastAsia="Arial" w:hAnsi="Arial"/>
          <w:sz w:val="17"/>
          <w:szCs w:val="17"/>
          <w:u w:val="single" w:color="auto"/>
          <w:color w:val="auto"/>
        </w:rPr>
        <w:t>Borrowers</w:t>
      </w:r>
      <w:r>
        <w:rPr>
          <w:rFonts w:ascii="Arial" w:cs="Arial" w:eastAsia="Arial" w:hAnsi="Arial"/>
          <w:sz w:val="17"/>
          <w:szCs w:val="17"/>
          <w:color w:val="auto"/>
        </w:rPr>
        <w:t>” and each, a “</w:t>
      </w:r>
      <w:r>
        <w:rPr>
          <w:rFonts w:ascii="Arial" w:cs="Arial" w:eastAsia="Arial" w:hAnsi="Arial"/>
          <w:sz w:val="17"/>
          <w:szCs w:val="17"/>
          <w:u w:val="single" w:color="auto"/>
          <w:color w:val="auto"/>
        </w:rPr>
        <w:t>Borrower</w:t>
      </w:r>
      <w:r>
        <w:rPr>
          <w:rFonts w:ascii="Arial" w:cs="Arial" w:eastAsia="Arial" w:hAnsi="Arial"/>
          <w:sz w:val="17"/>
          <w:szCs w:val="17"/>
          <w:color w:val="auto"/>
        </w:rPr>
        <w:t>”), the Guarantors party hereto, [____________] (the “</w:t>
      </w:r>
      <w:r>
        <w:rPr>
          <w:rFonts w:ascii="Arial" w:cs="Arial" w:eastAsia="Arial" w:hAnsi="Arial"/>
          <w:sz w:val="17"/>
          <w:szCs w:val="17"/>
          <w:u w:val="single" w:color="auto"/>
          <w:color w:val="auto"/>
        </w:rPr>
        <w:t>Applicable Lender</w:t>
      </w:r>
      <w:r>
        <w:rPr>
          <w:rFonts w:ascii="Arial" w:cs="Arial" w:eastAsia="Arial" w:hAnsi="Arial"/>
          <w:sz w:val="17"/>
          <w:szCs w:val="17"/>
          <w:color w:val="auto"/>
        </w:rPr>
        <w:t>”) and BANK OF AMERICA,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 I T N E S S E T H</w:t>
      </w:r>
    </w:p>
    <w:p>
      <w:pPr>
        <w:spacing w:after="0" w:line="191" w:lineRule="exact"/>
        <w:rPr>
          <w:sz w:val="20"/>
          <w:szCs w:val="20"/>
          <w:color w:val="auto"/>
        </w:rPr>
      </w:pPr>
    </w:p>
    <w:p>
      <w:pPr>
        <w:jc w:val="both"/>
        <w:ind w:right="20" w:firstLine="763"/>
        <w:spacing w:after="0" w:line="281" w:lineRule="auto"/>
        <w:rPr>
          <w:sz w:val="20"/>
          <w:szCs w:val="20"/>
          <w:color w:val="auto"/>
        </w:rPr>
      </w:pPr>
      <w:r>
        <w:rPr>
          <w:rFonts w:ascii="Arial" w:cs="Arial" w:eastAsia="Arial" w:hAnsi="Arial"/>
          <w:sz w:val="16"/>
          <w:szCs w:val="16"/>
          <w:color w:val="auto"/>
        </w:rPr>
        <w:t>WHEREAS, a credit facility has been extended to the Borrowers pursuant to the terms of the Credit Agreement, dated as of August 7, 2014 (as amended, restated, amended and restated, modified, supplemented, increased or extended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by and among the Borrowers, the Lenders from time to time party thereto and Bank of America, N.A., as Administrative Agent, Swing Line Lender and L/C Issuer;</w:t>
      </w:r>
    </w:p>
    <w:p>
      <w:pPr>
        <w:spacing w:after="0" w:line="139"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 xml:space="preserve">WHEREAS, pursuant to </w:t>
      </w:r>
      <w:r>
        <w:rPr>
          <w:rFonts w:ascii="Arial" w:cs="Arial" w:eastAsia="Arial" w:hAnsi="Arial"/>
          <w:sz w:val="17"/>
          <w:szCs w:val="17"/>
          <w:u w:val="single" w:color="auto"/>
          <w:color w:val="auto"/>
        </w:rPr>
        <w:t>Section 2.02(f)(i)</w:t>
      </w:r>
      <w:r>
        <w:rPr>
          <w:rFonts w:ascii="Arial" w:cs="Arial" w:eastAsia="Arial" w:hAnsi="Arial"/>
          <w:sz w:val="17"/>
          <w:szCs w:val="17"/>
          <w:color w:val="auto"/>
        </w:rPr>
        <w:t xml:space="preserve"> of the Credit Agreement, the Borrowers have the right to increase the Revolving Credit Facility with new Revolving Credit Commitments; and</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5"/>
          <w:szCs w:val="15"/>
          <w:color w:val="auto"/>
        </w:rPr>
        <w:t>WHEREAS, the Applicable Lender has agreed to increase its Revolving Credit Commitment under the Credit Agreement to $[_______] on the terms set</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forth herein.</w:t>
      </w:r>
    </w:p>
    <w:p>
      <w:pPr>
        <w:spacing w:after="0" w:line="177"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NOW, THEREFORE, in consideration of the premises and other good and valuable consideration, the receipt and sufficiency of which are hereby acknowledged, the parties hereto agree as follows:</w:t>
      </w:r>
    </w:p>
    <w:p>
      <w:pPr>
        <w:spacing w:after="0" w:line="145" w:lineRule="exact"/>
        <w:rPr>
          <w:sz w:val="20"/>
          <w:szCs w:val="20"/>
          <w:color w:val="auto"/>
        </w:rPr>
      </w:pPr>
    </w:p>
    <w:p>
      <w:pPr>
        <w:ind w:left="920" w:hanging="163"/>
        <w:spacing w:after="0"/>
        <w:tabs>
          <w:tab w:leader="none" w:pos="920"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t>Defined Terms</w:t>
      </w:r>
      <w:r>
        <w:rPr>
          <w:rFonts w:ascii="Arial" w:cs="Arial" w:eastAsia="Arial" w:hAnsi="Arial"/>
          <w:sz w:val="16"/>
          <w:szCs w:val="16"/>
          <w:color w:val="auto"/>
        </w:rPr>
        <w:t>. Capitalized terms used herein but not defined herein shall have the meanings assigned to such terms in the Credit Agreement.</w:t>
      </w:r>
    </w:p>
    <w:p>
      <w:pPr>
        <w:spacing w:after="0" w:line="202" w:lineRule="exact"/>
        <w:rPr>
          <w:rFonts w:ascii="Arial" w:cs="Arial" w:eastAsia="Arial" w:hAnsi="Arial"/>
          <w:sz w:val="16"/>
          <w:szCs w:val="16"/>
          <w:color w:val="auto"/>
        </w:rPr>
      </w:pPr>
    </w:p>
    <w:p>
      <w:pPr>
        <w:jc w:val="both"/>
        <w:ind w:firstLine="757"/>
        <w:spacing w:after="0" w:line="257" w:lineRule="auto"/>
        <w:tabs>
          <w:tab w:leader="none" w:pos="970"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The Applicable Lender hereby agrees that from and after the date hereof the Applicable Lender shall have a Revolving Credit Commitment of $[_______] under the Credit Agreement. The existing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to the Credit Agreement shall be deemed to be, and shall be, amended to include the Applicable Lender’s Revolving Credit Commitment as increased hereby.</w:t>
      </w:r>
    </w:p>
    <w:p>
      <w:pPr>
        <w:spacing w:after="0" w:line="157" w:lineRule="exact"/>
        <w:rPr>
          <w:rFonts w:ascii="Arial" w:cs="Arial" w:eastAsia="Arial" w:hAnsi="Arial"/>
          <w:sz w:val="17"/>
          <w:szCs w:val="17"/>
          <w:color w:val="auto"/>
        </w:rPr>
      </w:pPr>
    </w:p>
    <w:p>
      <w:pPr>
        <w:ind w:left="920" w:hanging="163"/>
        <w:spacing w:after="0"/>
        <w:tabs>
          <w:tab w:leader="none" w:pos="920"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t>Conditions Precedent</w:t>
      </w:r>
      <w:r>
        <w:rPr>
          <w:rFonts w:ascii="Arial" w:cs="Arial" w:eastAsia="Arial" w:hAnsi="Arial"/>
          <w:sz w:val="16"/>
          <w:szCs w:val="16"/>
          <w:color w:val="auto"/>
        </w:rPr>
        <w:t>. This Agreement shall be effective as of the date hereof upon satisfaction of each of the following conditions precedent:</w:t>
      </w:r>
    </w:p>
    <w:p>
      <w:pPr>
        <w:spacing w:after="0" w:line="202" w:lineRule="exact"/>
        <w:rPr>
          <w:rFonts w:ascii="Arial" w:cs="Arial" w:eastAsia="Arial" w:hAnsi="Arial"/>
          <w:sz w:val="16"/>
          <w:szCs w:val="16"/>
          <w:color w:val="auto"/>
        </w:rPr>
      </w:pPr>
    </w:p>
    <w:p>
      <w:pPr>
        <w:ind w:left="760" w:right="20" w:firstLine="709"/>
        <w:spacing w:after="0" w:line="271" w:lineRule="auto"/>
        <w:tabs>
          <w:tab w:leader="none" w:pos="1748" w:val="left"/>
        </w:tabs>
        <w:numPr>
          <w:ilvl w:val="1"/>
          <w:numId w:val="197"/>
        </w:numPr>
        <w:rPr>
          <w:rFonts w:ascii="Arial" w:cs="Arial" w:eastAsia="Arial" w:hAnsi="Arial"/>
          <w:sz w:val="17"/>
          <w:szCs w:val="17"/>
          <w:color w:val="auto"/>
        </w:rPr>
      </w:pPr>
      <w:r>
        <w:rPr>
          <w:rFonts w:ascii="Arial" w:cs="Arial" w:eastAsia="Arial" w:hAnsi="Arial"/>
          <w:sz w:val="17"/>
          <w:szCs w:val="17"/>
          <w:color w:val="auto"/>
        </w:rPr>
        <w:t>receipt by the Administrative Agent of this Agreement executed by the Borrowers, the Guarantors, the Applicable Lender and the Administrative Agent; and</w:t>
      </w:r>
    </w:p>
    <w:p>
      <w:pPr>
        <w:spacing w:after="0" w:line="144" w:lineRule="exact"/>
        <w:rPr>
          <w:rFonts w:ascii="Arial" w:cs="Arial" w:eastAsia="Arial" w:hAnsi="Arial"/>
          <w:sz w:val="17"/>
          <w:szCs w:val="17"/>
          <w:color w:val="auto"/>
        </w:rPr>
      </w:pPr>
    </w:p>
    <w:p>
      <w:pPr>
        <w:ind w:left="1720" w:hanging="251"/>
        <w:spacing w:after="0"/>
        <w:tabs>
          <w:tab w:leader="none" w:pos="172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 xml:space="preserve">receipt by the Administrative Agent of the certificates required by clauses (E) and (F) of </w:t>
      </w:r>
      <w:r>
        <w:rPr>
          <w:rFonts w:ascii="Arial" w:cs="Arial" w:eastAsia="Arial" w:hAnsi="Arial"/>
          <w:sz w:val="16"/>
          <w:szCs w:val="16"/>
          <w:u w:val="single" w:color="auto"/>
          <w:color w:val="auto"/>
        </w:rPr>
        <w:t>Section 2.02(f)(i)</w:t>
      </w:r>
      <w:r>
        <w:rPr>
          <w:rFonts w:ascii="Arial" w:cs="Arial" w:eastAsia="Arial" w:hAnsi="Arial"/>
          <w:sz w:val="16"/>
          <w:szCs w:val="16"/>
          <w:color w:val="auto"/>
        </w:rPr>
        <w:t xml:space="preserve"> of the Credit Agreement.</w:t>
      </w:r>
    </w:p>
    <w:p>
      <w:pPr>
        <w:spacing w:after="0" w:line="202" w:lineRule="exact"/>
        <w:rPr>
          <w:rFonts w:ascii="Arial" w:cs="Arial" w:eastAsia="Arial" w:hAnsi="Arial"/>
          <w:sz w:val="16"/>
          <w:szCs w:val="16"/>
          <w:color w:val="auto"/>
        </w:rPr>
      </w:pPr>
    </w:p>
    <w:p>
      <w:pPr>
        <w:jc w:val="both"/>
        <w:ind w:firstLine="757"/>
        <w:spacing w:after="0" w:line="257" w:lineRule="auto"/>
        <w:tabs>
          <w:tab w:leader="none" w:pos="935"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Reaffirmation of Guaranty</w:t>
      </w:r>
      <w:r>
        <w:rPr>
          <w:rFonts w:ascii="Arial" w:cs="Arial" w:eastAsia="Arial" w:hAnsi="Arial"/>
          <w:sz w:val="17"/>
          <w:szCs w:val="17"/>
          <w:color w:val="auto"/>
        </w:rPr>
        <w:t>. Each Guarantor (a) acknowledges and consents to all of the terms and conditions of this Agreement, (b) affirms all of its obligations under the Loan Documents and (c) agrees that this Agreement and all documents executed in connection herewith do not operate to reduce or discharge such Guarantor’s obligations under the Loan Documents.</w:t>
      </w:r>
    </w:p>
    <w:p>
      <w:pPr>
        <w:spacing w:after="0" w:line="157" w:lineRule="exact"/>
        <w:rPr>
          <w:rFonts w:ascii="Arial" w:cs="Arial" w:eastAsia="Arial" w:hAnsi="Arial"/>
          <w:sz w:val="17"/>
          <w:szCs w:val="17"/>
          <w:color w:val="auto"/>
        </w:rPr>
      </w:pPr>
    </w:p>
    <w:p>
      <w:pPr>
        <w:ind w:left="920" w:hanging="163"/>
        <w:spacing w:after="0"/>
        <w:tabs>
          <w:tab w:leader="none" w:pos="920"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law of the State of New York.</w:t>
      </w:r>
    </w:p>
    <w:p>
      <w:pPr>
        <w:sectPr>
          <w:pgSz w:w="11900" w:h="16838" w:orient="portrait"/>
          <w:cols w:equalWidth="0" w:num="1">
            <w:col w:w="11440"/>
          </w:cols>
          <w:pgMar w:left="240" w:top="313" w:right="219" w:bottom="1440" w:gutter="0" w:footer="0" w:header="0"/>
        </w:sectPr>
      </w:pPr>
    </w:p>
    <w:bookmarkStart w:id="174" w:name="page175"/>
    <w:bookmarkEnd w:id="174"/>
    <w:p>
      <w:pPr>
        <w:ind w:firstLine="757"/>
        <w:spacing w:after="0" w:line="303" w:lineRule="auto"/>
        <w:tabs>
          <w:tab w:leader="none" w:pos="935"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multiple counterparts, each of which shall constitute an original but all of which when taken together shall constitute one contract. Delivery of executed counterparts of this Agreement by facsimile or other electronic means shall be effective as an original.</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Pages Follow</w:t>
      </w:r>
      <w:r>
        <w:rPr>
          <w:rFonts w:ascii="Arial" w:cs="Arial" w:eastAsia="Arial" w:hAnsi="Arial"/>
          <w:sz w:val="17"/>
          <w:szCs w:val="17"/>
          <w:color w:val="auto"/>
        </w:rPr>
        <w:t>]</w:t>
      </w:r>
    </w:p>
    <w:p>
      <w:pPr>
        <w:sectPr>
          <w:pgSz w:w="11900" w:h="16838" w:orient="portrait"/>
          <w:cols w:equalWidth="0" w:num="1">
            <w:col w:w="11440"/>
          </w:cols>
          <w:pgMar w:left="240" w:top="313" w:right="219" w:bottom="1440" w:gutter="0" w:footer="0" w:header="0"/>
        </w:sectPr>
      </w:pPr>
    </w:p>
    <w:bookmarkStart w:id="175" w:name="page176"/>
    <w:bookmarkEnd w:id="175"/>
    <w:p>
      <w:pPr>
        <w:jc w:val="center"/>
        <w:ind w:right="-60"/>
        <w:spacing w:after="0"/>
        <w:rPr>
          <w:sz w:val="20"/>
          <w:szCs w:val="20"/>
          <w:color w:val="auto"/>
        </w:rPr>
      </w:pPr>
      <w:r>
        <w:rPr>
          <w:rFonts w:ascii="Arial" w:cs="Arial" w:eastAsia="Arial" w:hAnsi="Arial"/>
          <w:sz w:val="15"/>
          <w:szCs w:val="15"/>
          <w:color w:val="auto"/>
        </w:rPr>
        <w:t>IN WITNESS WHEREOF, the parties hereto have caused this Agreement to be duly executed as of the date first above written.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20" w:type="dxa"/>
            <w:vAlign w:val="bottom"/>
            <w:gridSpan w:val="3"/>
          </w:tcPr>
          <w:p>
            <w:pPr>
              <w:spacing w:after="0"/>
              <w:rPr>
                <w:sz w:val="20"/>
                <w:szCs w:val="20"/>
                <w:color w:val="auto"/>
              </w:rPr>
            </w:pPr>
            <w:r>
              <w:rPr>
                <w:rFonts w:ascii="Arial" w:cs="Arial" w:eastAsia="Arial" w:hAnsi="Arial"/>
                <w:sz w:val="17"/>
                <w:szCs w:val="17"/>
                <w:color w:val="auto"/>
              </w:rPr>
              <w:t>APPLICABLE LENDER:</w:t>
            </w:r>
          </w:p>
        </w:tc>
        <w:tc>
          <w:tcPr>
            <w:tcW w:w="3720" w:type="dxa"/>
            <w:vAlign w:val="bottom"/>
            <w:gridSpan w:val="3"/>
          </w:tcPr>
          <w:p>
            <w:pPr>
              <w:ind w:left="640"/>
              <w:spacing w:after="0"/>
              <w:rPr>
                <w:sz w:val="20"/>
                <w:szCs w:val="20"/>
                <w:color w:val="auto"/>
              </w:rPr>
            </w:pPr>
            <w:r>
              <w:rPr>
                <w:rFonts w:ascii="Arial" w:cs="Arial" w:eastAsia="Arial" w:hAnsi="Arial"/>
                <w:sz w:val="17"/>
                <w:szCs w:val="17"/>
                <w:color w:val="auto"/>
              </w:rPr>
              <w:t>[APPLICABLE LENDER]</w:t>
            </w:r>
          </w:p>
        </w:tc>
      </w:tr>
      <w:tr>
        <w:trPr>
          <w:trHeight w:val="379"/>
        </w:trPr>
        <w:tc>
          <w:tcPr>
            <w:tcW w:w="10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ind w:left="640"/>
              <w:spacing w:after="0"/>
              <w:rPr>
                <w:sz w:val="20"/>
                <w:szCs w:val="20"/>
                <w:color w:val="auto"/>
              </w:rPr>
            </w:pPr>
            <w:r>
              <w:rPr>
                <w:rFonts w:ascii="Arial" w:cs="Arial" w:eastAsia="Arial" w:hAnsi="Arial"/>
                <w:sz w:val="17"/>
                <w:szCs w:val="17"/>
                <w:color w:val="auto"/>
              </w:rPr>
              <w:t>By:</w:t>
            </w:r>
          </w:p>
        </w:tc>
        <w:tc>
          <w:tcPr>
            <w:tcW w:w="2800" w:type="dxa"/>
            <w:vAlign w:val="bottom"/>
            <w:tcBorders>
              <w:bottom w:val="single" w:sz="8" w:color="auto"/>
            </w:tcBorders>
            <w:gridSpan w:val="2"/>
          </w:tcPr>
          <w:p>
            <w:pPr>
              <w:spacing w:after="0"/>
              <w:rPr>
                <w:sz w:val="24"/>
                <w:szCs w:val="24"/>
                <w:color w:val="auto"/>
              </w:rPr>
            </w:pPr>
          </w:p>
        </w:tc>
      </w:tr>
      <w:tr>
        <w:trPr>
          <w:trHeight w:val="200"/>
        </w:trPr>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720" w:type="dxa"/>
            <w:vAlign w:val="bottom"/>
            <w:gridSpan w:val="3"/>
          </w:tcPr>
          <w:p>
            <w:pPr>
              <w:ind w:left="640"/>
              <w:spacing w:after="0"/>
              <w:rPr>
                <w:sz w:val="20"/>
                <w:szCs w:val="20"/>
                <w:color w:val="auto"/>
              </w:rPr>
            </w:pPr>
            <w:r>
              <w:rPr>
                <w:rFonts w:ascii="Arial" w:cs="Arial" w:eastAsia="Arial" w:hAnsi="Arial"/>
                <w:sz w:val="17"/>
                <w:szCs w:val="17"/>
                <w:color w:val="auto"/>
              </w:rPr>
              <w:t>Name:</w:t>
            </w:r>
          </w:p>
        </w:tc>
      </w:tr>
      <w:tr>
        <w:trPr>
          <w:trHeight w:val="217"/>
        </w:trPr>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720" w:type="dxa"/>
            <w:vAlign w:val="bottom"/>
            <w:gridSpan w:val="3"/>
          </w:tcPr>
          <w:p>
            <w:pPr>
              <w:ind w:left="640"/>
              <w:spacing w:after="0"/>
              <w:rPr>
                <w:sz w:val="20"/>
                <w:szCs w:val="20"/>
                <w:color w:val="auto"/>
              </w:rPr>
            </w:pPr>
            <w:r>
              <w:rPr>
                <w:rFonts w:ascii="Arial" w:cs="Arial" w:eastAsia="Arial" w:hAnsi="Arial"/>
                <w:sz w:val="17"/>
                <w:szCs w:val="17"/>
                <w:color w:val="auto"/>
              </w:rPr>
              <w:t>Title:</w:t>
            </w:r>
          </w:p>
        </w:tc>
      </w:tr>
      <w:tr>
        <w:trPr>
          <w:trHeight w:val="360"/>
        </w:trPr>
        <w:tc>
          <w:tcPr>
            <w:tcW w:w="2420" w:type="dxa"/>
            <w:vAlign w:val="bottom"/>
            <w:gridSpan w:val="3"/>
          </w:tcPr>
          <w:p>
            <w:pPr>
              <w:spacing w:after="0"/>
              <w:rPr>
                <w:sz w:val="20"/>
                <w:szCs w:val="20"/>
                <w:color w:val="auto"/>
              </w:rPr>
            </w:pPr>
            <w:r>
              <w:rPr>
                <w:rFonts w:ascii="Arial" w:cs="Arial" w:eastAsia="Arial" w:hAnsi="Arial"/>
                <w:sz w:val="17"/>
                <w:szCs w:val="17"/>
                <w:color w:val="auto"/>
              </w:rPr>
              <w:t>BORROWERS:</w:t>
            </w:r>
          </w:p>
        </w:tc>
        <w:tc>
          <w:tcPr>
            <w:tcW w:w="3720" w:type="dxa"/>
            <w:vAlign w:val="bottom"/>
            <w:gridSpan w:val="3"/>
          </w:tcPr>
          <w:p>
            <w:pPr>
              <w:ind w:left="640"/>
              <w:spacing w:after="0"/>
              <w:rPr>
                <w:sz w:val="20"/>
                <w:szCs w:val="20"/>
                <w:color w:val="auto"/>
              </w:rPr>
            </w:pPr>
            <w:r>
              <w:rPr>
                <w:rFonts w:ascii="Arial" w:cs="Arial" w:eastAsia="Arial" w:hAnsi="Arial"/>
                <w:sz w:val="17"/>
                <w:szCs w:val="17"/>
                <w:color w:val="auto"/>
              </w:rPr>
              <w:t>GENTHERM INCORPORATED</w:t>
            </w:r>
          </w:p>
        </w:tc>
      </w:tr>
      <w:tr>
        <w:trPr>
          <w:trHeight w:val="379"/>
        </w:trPr>
        <w:tc>
          <w:tcPr>
            <w:tcW w:w="106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ind w:left="640"/>
              <w:spacing w:after="0"/>
              <w:rPr>
                <w:sz w:val="20"/>
                <w:szCs w:val="20"/>
                <w:color w:val="auto"/>
              </w:rPr>
            </w:pPr>
            <w:r>
              <w:rPr>
                <w:rFonts w:ascii="Arial" w:cs="Arial" w:eastAsia="Arial" w:hAnsi="Arial"/>
                <w:sz w:val="17"/>
                <w:szCs w:val="17"/>
                <w:color w:val="auto"/>
              </w:rPr>
              <w:t>By:</w:t>
            </w:r>
          </w:p>
        </w:tc>
        <w:tc>
          <w:tcPr>
            <w:tcW w:w="176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r>
      <w:tr>
        <w:trPr>
          <w:trHeight w:val="200"/>
        </w:trPr>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720" w:type="dxa"/>
            <w:vAlign w:val="bottom"/>
            <w:gridSpan w:val="3"/>
          </w:tcPr>
          <w:p>
            <w:pPr>
              <w:ind w:left="640"/>
              <w:spacing w:after="0"/>
              <w:rPr>
                <w:sz w:val="20"/>
                <w:szCs w:val="20"/>
                <w:color w:val="auto"/>
              </w:rPr>
            </w:pPr>
            <w:r>
              <w:rPr>
                <w:rFonts w:ascii="Arial" w:cs="Arial" w:eastAsia="Arial" w:hAnsi="Arial"/>
                <w:sz w:val="17"/>
                <w:szCs w:val="17"/>
                <w:color w:val="auto"/>
              </w:rPr>
              <w:t>Name:</w:t>
            </w:r>
          </w:p>
        </w:tc>
      </w:tr>
      <w:tr>
        <w:trPr>
          <w:trHeight w:val="217"/>
        </w:trPr>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720" w:type="dxa"/>
            <w:vAlign w:val="bottom"/>
            <w:gridSpan w:val="3"/>
          </w:tcPr>
          <w:p>
            <w:pPr>
              <w:ind w:left="640"/>
              <w:spacing w:after="0"/>
              <w:rPr>
                <w:sz w:val="20"/>
                <w:szCs w:val="20"/>
                <w:color w:val="auto"/>
              </w:rPr>
            </w:pPr>
            <w:r>
              <w:rPr>
                <w:rFonts w:ascii="Arial" w:cs="Arial" w:eastAsia="Arial" w:hAnsi="Arial"/>
                <w:sz w:val="17"/>
                <w:szCs w:val="17"/>
                <w:color w:val="auto"/>
              </w:rPr>
              <w:t>Title:</w:t>
            </w:r>
          </w:p>
        </w:tc>
      </w:tr>
      <w:tr>
        <w:trPr>
          <w:trHeight w:val="399"/>
        </w:trPr>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720" w:type="dxa"/>
            <w:vAlign w:val="bottom"/>
            <w:gridSpan w:val="3"/>
          </w:tcPr>
          <w:p>
            <w:pPr>
              <w:ind w:left="600"/>
              <w:spacing w:after="0"/>
              <w:rPr>
                <w:sz w:val="20"/>
                <w:szCs w:val="20"/>
                <w:color w:val="auto"/>
              </w:rPr>
            </w:pPr>
            <w:r>
              <w:rPr>
                <w:rFonts w:ascii="Arial" w:cs="Arial" w:eastAsia="Arial" w:hAnsi="Arial"/>
                <w:sz w:val="17"/>
                <w:szCs w:val="17"/>
                <w:color w:val="auto"/>
              </w:rPr>
              <w:t>GENTHERM GMBH</w:t>
            </w:r>
          </w:p>
        </w:tc>
      </w:tr>
      <w:tr>
        <w:trPr>
          <w:trHeight w:val="360"/>
        </w:trPr>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ind w:left="640"/>
              <w:spacing w:after="0"/>
              <w:rPr>
                <w:sz w:val="20"/>
                <w:szCs w:val="20"/>
                <w:color w:val="auto"/>
              </w:rPr>
            </w:pPr>
            <w:r>
              <w:rPr>
                <w:rFonts w:ascii="Arial" w:cs="Arial" w:eastAsia="Arial" w:hAnsi="Arial"/>
                <w:sz w:val="17"/>
                <w:szCs w:val="17"/>
                <w:color w:val="auto"/>
              </w:rPr>
              <w:t>By:</w:t>
            </w:r>
          </w:p>
        </w:tc>
        <w:tc>
          <w:tcPr>
            <w:tcW w:w="176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r>
      <w:tr>
        <w:trPr>
          <w:trHeight w:val="200"/>
        </w:trPr>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720" w:type="dxa"/>
            <w:vAlign w:val="bottom"/>
            <w:gridSpan w:val="3"/>
          </w:tcPr>
          <w:p>
            <w:pPr>
              <w:ind w:left="640"/>
              <w:spacing w:after="0"/>
              <w:rPr>
                <w:sz w:val="20"/>
                <w:szCs w:val="20"/>
                <w:color w:val="auto"/>
              </w:rPr>
            </w:pPr>
            <w:r>
              <w:rPr>
                <w:rFonts w:ascii="Arial" w:cs="Arial" w:eastAsia="Arial" w:hAnsi="Arial"/>
                <w:sz w:val="17"/>
                <w:szCs w:val="17"/>
                <w:color w:val="auto"/>
              </w:rPr>
              <w:t>Name:</w:t>
            </w:r>
          </w:p>
        </w:tc>
      </w:tr>
      <w:tr>
        <w:trPr>
          <w:trHeight w:val="217"/>
        </w:trPr>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720" w:type="dxa"/>
            <w:vAlign w:val="bottom"/>
            <w:gridSpan w:val="3"/>
          </w:tcPr>
          <w:p>
            <w:pPr>
              <w:ind w:left="640"/>
              <w:spacing w:after="0"/>
              <w:rPr>
                <w:sz w:val="20"/>
                <w:szCs w:val="20"/>
                <w:color w:val="auto"/>
              </w:rPr>
            </w:pPr>
            <w:r>
              <w:rPr>
                <w:rFonts w:ascii="Arial" w:cs="Arial" w:eastAsia="Arial" w:hAnsi="Arial"/>
                <w:sz w:val="17"/>
                <w:szCs w:val="17"/>
                <w:color w:val="auto"/>
              </w:rPr>
              <w:t>Title:</w:t>
            </w:r>
          </w:p>
        </w:tc>
      </w:tr>
      <w:tr>
        <w:trPr>
          <w:trHeight w:val="399"/>
        </w:trPr>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720" w:type="dxa"/>
            <w:vAlign w:val="bottom"/>
            <w:gridSpan w:val="3"/>
          </w:tcPr>
          <w:p>
            <w:pPr>
              <w:ind w:left="600"/>
              <w:spacing w:after="0"/>
              <w:rPr>
                <w:sz w:val="20"/>
                <w:szCs w:val="20"/>
                <w:color w:val="auto"/>
              </w:rPr>
            </w:pPr>
            <w:r>
              <w:rPr>
                <w:rFonts w:ascii="Arial" w:cs="Arial" w:eastAsia="Arial" w:hAnsi="Arial"/>
                <w:sz w:val="17"/>
                <w:szCs w:val="17"/>
                <w:color w:val="auto"/>
              </w:rPr>
              <w:t>GENTHERM (TEXAS), INC.</w:t>
            </w:r>
          </w:p>
        </w:tc>
      </w:tr>
      <w:tr>
        <w:trPr>
          <w:trHeight w:val="360"/>
        </w:trPr>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ind w:left="640"/>
              <w:spacing w:after="0"/>
              <w:rPr>
                <w:sz w:val="20"/>
                <w:szCs w:val="20"/>
                <w:color w:val="auto"/>
              </w:rPr>
            </w:pPr>
            <w:r>
              <w:rPr>
                <w:rFonts w:ascii="Arial" w:cs="Arial" w:eastAsia="Arial" w:hAnsi="Arial"/>
                <w:sz w:val="17"/>
                <w:szCs w:val="17"/>
                <w:color w:val="auto"/>
              </w:rPr>
              <w:t>By:</w:t>
            </w:r>
          </w:p>
        </w:tc>
        <w:tc>
          <w:tcPr>
            <w:tcW w:w="176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r>
      <w:tr>
        <w:trPr>
          <w:trHeight w:val="200"/>
        </w:trPr>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720" w:type="dxa"/>
            <w:vAlign w:val="bottom"/>
            <w:gridSpan w:val="3"/>
          </w:tcPr>
          <w:p>
            <w:pPr>
              <w:ind w:left="640"/>
              <w:spacing w:after="0"/>
              <w:rPr>
                <w:sz w:val="20"/>
                <w:szCs w:val="20"/>
                <w:color w:val="auto"/>
              </w:rPr>
            </w:pPr>
            <w:r>
              <w:rPr>
                <w:rFonts w:ascii="Arial" w:cs="Arial" w:eastAsia="Arial" w:hAnsi="Arial"/>
                <w:sz w:val="17"/>
                <w:szCs w:val="17"/>
                <w:color w:val="auto"/>
              </w:rPr>
              <w:t>Name:</w:t>
            </w:r>
          </w:p>
        </w:tc>
      </w:tr>
      <w:tr>
        <w:trPr>
          <w:trHeight w:val="217"/>
        </w:trPr>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720" w:type="dxa"/>
            <w:vAlign w:val="bottom"/>
            <w:gridSpan w:val="3"/>
          </w:tcPr>
          <w:p>
            <w:pPr>
              <w:ind w:left="640"/>
              <w:spacing w:after="0"/>
              <w:rPr>
                <w:sz w:val="20"/>
                <w:szCs w:val="20"/>
                <w:color w:val="auto"/>
              </w:rPr>
            </w:pPr>
            <w:r>
              <w:rPr>
                <w:rFonts w:ascii="Arial" w:cs="Arial" w:eastAsia="Arial" w:hAnsi="Arial"/>
                <w:sz w:val="17"/>
                <w:szCs w:val="17"/>
                <w:color w:val="auto"/>
              </w:rPr>
              <w:t>Title:</w:t>
            </w:r>
          </w:p>
        </w:tc>
      </w:tr>
      <w:tr>
        <w:trPr>
          <w:trHeight w:val="399"/>
        </w:trPr>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720" w:type="dxa"/>
            <w:vAlign w:val="bottom"/>
            <w:gridSpan w:val="3"/>
          </w:tcPr>
          <w:p>
            <w:pPr>
              <w:ind w:left="640"/>
              <w:spacing w:after="0"/>
              <w:rPr>
                <w:sz w:val="20"/>
                <w:szCs w:val="20"/>
                <w:color w:val="auto"/>
              </w:rPr>
            </w:pPr>
            <w:r>
              <w:rPr>
                <w:rFonts w:ascii="Arial" w:cs="Arial" w:eastAsia="Arial" w:hAnsi="Arial"/>
                <w:sz w:val="17"/>
                <w:szCs w:val="17"/>
                <w:color w:val="auto"/>
              </w:rPr>
              <w:t>GLOBAL THERMOELECTRIC INC.</w:t>
            </w:r>
          </w:p>
        </w:tc>
      </w:tr>
      <w:tr>
        <w:trPr>
          <w:trHeight w:val="360"/>
        </w:trPr>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ind w:left="640"/>
              <w:spacing w:after="0"/>
              <w:rPr>
                <w:sz w:val="20"/>
                <w:szCs w:val="20"/>
                <w:color w:val="auto"/>
              </w:rPr>
            </w:pPr>
            <w:r>
              <w:rPr>
                <w:rFonts w:ascii="Arial" w:cs="Arial" w:eastAsia="Arial" w:hAnsi="Arial"/>
                <w:sz w:val="17"/>
                <w:szCs w:val="17"/>
                <w:color w:val="auto"/>
              </w:rPr>
              <w:t>By:</w:t>
            </w:r>
          </w:p>
        </w:tc>
        <w:tc>
          <w:tcPr>
            <w:tcW w:w="176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r>
      <w:tr>
        <w:trPr>
          <w:trHeight w:val="200"/>
        </w:trPr>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720" w:type="dxa"/>
            <w:vAlign w:val="bottom"/>
            <w:gridSpan w:val="3"/>
          </w:tcPr>
          <w:p>
            <w:pPr>
              <w:ind w:left="640"/>
              <w:spacing w:after="0"/>
              <w:rPr>
                <w:sz w:val="20"/>
                <w:szCs w:val="20"/>
                <w:color w:val="auto"/>
              </w:rPr>
            </w:pPr>
            <w:r>
              <w:rPr>
                <w:rFonts w:ascii="Arial" w:cs="Arial" w:eastAsia="Arial" w:hAnsi="Arial"/>
                <w:sz w:val="17"/>
                <w:szCs w:val="17"/>
                <w:color w:val="auto"/>
              </w:rPr>
              <w:t>Name:</w:t>
            </w:r>
          </w:p>
        </w:tc>
      </w:tr>
      <w:tr>
        <w:trPr>
          <w:trHeight w:val="217"/>
        </w:trPr>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720" w:type="dxa"/>
            <w:vAlign w:val="bottom"/>
            <w:gridSpan w:val="3"/>
          </w:tcPr>
          <w:p>
            <w:pPr>
              <w:ind w:left="640"/>
              <w:spacing w:after="0"/>
              <w:rPr>
                <w:sz w:val="20"/>
                <w:szCs w:val="20"/>
                <w:color w:val="auto"/>
              </w:rPr>
            </w:pPr>
            <w:r>
              <w:rPr>
                <w:rFonts w:ascii="Arial" w:cs="Arial" w:eastAsia="Arial" w:hAnsi="Arial"/>
                <w:sz w:val="17"/>
                <w:szCs w:val="17"/>
                <w:color w:val="auto"/>
              </w:rPr>
              <w:t>Title:</w:t>
            </w:r>
          </w:p>
        </w:tc>
      </w:tr>
      <w:tr>
        <w:trPr>
          <w:trHeight w:val="399"/>
        </w:trPr>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720" w:type="dxa"/>
            <w:vAlign w:val="bottom"/>
            <w:gridSpan w:val="3"/>
          </w:tcPr>
          <w:p>
            <w:pPr>
              <w:ind w:left="640"/>
              <w:spacing w:after="0"/>
              <w:rPr>
                <w:sz w:val="20"/>
                <w:szCs w:val="20"/>
                <w:color w:val="auto"/>
              </w:rPr>
            </w:pPr>
            <w:r>
              <w:rPr>
                <w:rFonts w:ascii="Arial" w:cs="Arial" w:eastAsia="Arial" w:hAnsi="Arial"/>
                <w:sz w:val="17"/>
                <w:szCs w:val="17"/>
                <w:color w:val="auto"/>
              </w:rPr>
              <w:t>GENTHERM CANADA LTD.</w:t>
            </w:r>
          </w:p>
        </w:tc>
      </w:tr>
      <w:tr>
        <w:trPr>
          <w:trHeight w:val="360"/>
        </w:trPr>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ind w:left="640"/>
              <w:spacing w:after="0"/>
              <w:rPr>
                <w:sz w:val="20"/>
                <w:szCs w:val="20"/>
                <w:color w:val="auto"/>
              </w:rPr>
            </w:pPr>
            <w:r>
              <w:rPr>
                <w:rFonts w:ascii="Arial" w:cs="Arial" w:eastAsia="Arial" w:hAnsi="Arial"/>
                <w:sz w:val="17"/>
                <w:szCs w:val="17"/>
                <w:color w:val="auto"/>
              </w:rPr>
              <w:t>By:</w:t>
            </w:r>
          </w:p>
        </w:tc>
        <w:tc>
          <w:tcPr>
            <w:tcW w:w="176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r>
      <w:tr>
        <w:trPr>
          <w:trHeight w:val="200"/>
        </w:trPr>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720" w:type="dxa"/>
            <w:vAlign w:val="bottom"/>
            <w:gridSpan w:val="3"/>
          </w:tcPr>
          <w:p>
            <w:pPr>
              <w:ind w:left="640"/>
              <w:spacing w:after="0"/>
              <w:rPr>
                <w:sz w:val="20"/>
                <w:szCs w:val="20"/>
                <w:color w:val="auto"/>
              </w:rPr>
            </w:pPr>
            <w:r>
              <w:rPr>
                <w:rFonts w:ascii="Arial" w:cs="Arial" w:eastAsia="Arial" w:hAnsi="Arial"/>
                <w:sz w:val="17"/>
                <w:szCs w:val="17"/>
                <w:color w:val="auto"/>
              </w:rPr>
              <w:t>Name:</w:t>
            </w:r>
          </w:p>
        </w:tc>
      </w:tr>
      <w:tr>
        <w:trPr>
          <w:trHeight w:val="217"/>
        </w:trPr>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720" w:type="dxa"/>
            <w:vAlign w:val="bottom"/>
            <w:gridSpan w:val="3"/>
          </w:tcPr>
          <w:p>
            <w:pPr>
              <w:ind w:left="640"/>
              <w:spacing w:after="0"/>
              <w:rPr>
                <w:sz w:val="20"/>
                <w:szCs w:val="20"/>
                <w:color w:val="auto"/>
              </w:rPr>
            </w:pPr>
            <w:r>
              <w:rPr>
                <w:rFonts w:ascii="Arial" w:cs="Arial" w:eastAsia="Arial" w:hAnsi="Arial"/>
                <w:sz w:val="17"/>
                <w:szCs w:val="17"/>
                <w:color w:val="auto"/>
              </w:rPr>
              <w:t>Title:</w:t>
            </w:r>
          </w:p>
        </w:tc>
      </w:tr>
    </w:tbl>
    <w:p>
      <w:pPr>
        <w:sectPr>
          <w:pgSz w:w="11900" w:h="16838" w:orient="portrait"/>
          <w:cols w:equalWidth="0" w:num="1">
            <w:col w:w="10219"/>
          </w:cols>
          <w:pgMar w:left="240" w:top="313" w:right="1440" w:bottom="1440" w:gutter="0" w:footer="0" w:header="0"/>
        </w:sectPr>
      </w:pPr>
    </w:p>
    <w:bookmarkStart w:id="176" w:name="page177"/>
    <w:bookmarkEnd w:id="1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60" w:type="dxa"/>
            <w:vAlign w:val="bottom"/>
            <w:gridSpan w:val="3"/>
          </w:tcPr>
          <w:p>
            <w:pPr>
              <w:spacing w:after="0"/>
              <w:rPr>
                <w:sz w:val="20"/>
                <w:szCs w:val="20"/>
                <w:color w:val="auto"/>
              </w:rPr>
            </w:pPr>
            <w:r>
              <w:rPr>
                <w:rFonts w:ascii="Arial" w:cs="Arial" w:eastAsia="Arial" w:hAnsi="Arial"/>
                <w:sz w:val="17"/>
                <w:szCs w:val="17"/>
                <w:color w:val="auto"/>
              </w:rPr>
              <w:t>GUARANTORS:</w:t>
            </w:r>
          </w:p>
        </w:tc>
        <w:tc>
          <w:tcPr>
            <w:tcW w:w="5740" w:type="dxa"/>
            <w:vAlign w:val="bottom"/>
            <w:gridSpan w:val="4"/>
          </w:tcPr>
          <w:p>
            <w:pPr>
              <w:ind w:left="700"/>
              <w:spacing w:after="0"/>
              <w:rPr>
                <w:sz w:val="20"/>
                <w:szCs w:val="20"/>
                <w:color w:val="auto"/>
              </w:rPr>
            </w:pPr>
            <w:r>
              <w:rPr>
                <w:rFonts w:ascii="Arial" w:cs="Arial" w:eastAsia="Arial" w:hAnsi="Arial"/>
                <w:sz w:val="17"/>
                <w:szCs w:val="17"/>
                <w:color w:val="auto"/>
              </w:rPr>
              <w:t>WESTRIDGE HAGGERTY LLC</w:t>
            </w:r>
          </w:p>
        </w:tc>
      </w:tr>
      <w:tr>
        <w:trPr>
          <w:trHeight w:val="379"/>
        </w:trPr>
        <w:tc>
          <w:tcPr>
            <w:tcW w:w="116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ind w:left="700"/>
              <w:spacing w:after="0"/>
              <w:rPr>
                <w:sz w:val="20"/>
                <w:szCs w:val="20"/>
                <w:color w:val="auto"/>
              </w:rPr>
            </w:pPr>
            <w:r>
              <w:rPr>
                <w:rFonts w:ascii="Arial" w:cs="Arial" w:eastAsia="Arial" w:hAnsi="Arial"/>
                <w:sz w:val="17"/>
                <w:szCs w:val="17"/>
                <w:color w:val="auto"/>
              </w:rPr>
              <w:t>By:</w:t>
            </w:r>
          </w:p>
        </w:tc>
        <w:tc>
          <w:tcPr>
            <w:tcW w:w="2800" w:type="dxa"/>
            <w:vAlign w:val="bottom"/>
            <w:tcBorders>
              <w:bottom w:val="single" w:sz="8" w:color="auto"/>
            </w:tcBorders>
            <w:gridSpan w:val="2"/>
          </w:tcPr>
          <w:p>
            <w:pPr>
              <w:spacing w:after="0"/>
              <w:rPr>
                <w:sz w:val="24"/>
                <w:szCs w:val="24"/>
                <w:color w:val="auto"/>
              </w:rPr>
            </w:pPr>
          </w:p>
        </w:tc>
        <w:tc>
          <w:tcPr>
            <w:tcW w:w="1960" w:type="dxa"/>
            <w:vAlign w:val="bottom"/>
          </w:tcPr>
          <w:p>
            <w:pPr>
              <w:spacing w:after="0"/>
              <w:rPr>
                <w:sz w:val="24"/>
                <w:szCs w:val="24"/>
                <w:color w:val="auto"/>
              </w:rPr>
            </w:pPr>
          </w:p>
        </w:tc>
      </w:tr>
      <w:tr>
        <w:trPr>
          <w:trHeight w:val="200"/>
        </w:trPr>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740" w:type="dxa"/>
            <w:vAlign w:val="bottom"/>
            <w:gridSpan w:val="4"/>
          </w:tcPr>
          <w:p>
            <w:pPr>
              <w:ind w:left="700"/>
              <w:spacing w:after="0"/>
              <w:rPr>
                <w:sz w:val="20"/>
                <w:szCs w:val="20"/>
                <w:color w:val="auto"/>
              </w:rPr>
            </w:pPr>
            <w:r>
              <w:rPr>
                <w:rFonts w:ascii="Arial" w:cs="Arial" w:eastAsia="Arial" w:hAnsi="Arial"/>
                <w:sz w:val="17"/>
                <w:szCs w:val="17"/>
                <w:color w:val="auto"/>
              </w:rPr>
              <w:t>Name:</w:t>
            </w:r>
          </w:p>
        </w:tc>
      </w:tr>
      <w:tr>
        <w:trPr>
          <w:trHeight w:val="217"/>
        </w:trPr>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740" w:type="dxa"/>
            <w:vAlign w:val="bottom"/>
            <w:gridSpan w:val="4"/>
          </w:tcPr>
          <w:p>
            <w:pPr>
              <w:ind w:left="700"/>
              <w:spacing w:after="0"/>
              <w:rPr>
                <w:sz w:val="20"/>
                <w:szCs w:val="20"/>
                <w:color w:val="auto"/>
              </w:rPr>
            </w:pPr>
            <w:r>
              <w:rPr>
                <w:rFonts w:ascii="Arial" w:cs="Arial" w:eastAsia="Arial" w:hAnsi="Arial"/>
                <w:sz w:val="17"/>
                <w:szCs w:val="17"/>
                <w:color w:val="auto"/>
              </w:rPr>
              <w:t>Title:</w:t>
            </w:r>
          </w:p>
        </w:tc>
      </w:tr>
      <w:tr>
        <w:trPr>
          <w:trHeight w:val="399"/>
        </w:trPr>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740" w:type="dxa"/>
            <w:vAlign w:val="bottom"/>
            <w:gridSpan w:val="4"/>
          </w:tcPr>
          <w:p>
            <w:pPr>
              <w:ind w:left="700"/>
              <w:spacing w:after="0"/>
              <w:rPr>
                <w:sz w:val="20"/>
                <w:szCs w:val="20"/>
                <w:color w:val="auto"/>
              </w:rPr>
            </w:pPr>
            <w:r>
              <w:rPr>
                <w:rFonts w:ascii="Arial" w:cs="Arial" w:eastAsia="Arial" w:hAnsi="Arial"/>
                <w:sz w:val="17"/>
                <w:szCs w:val="17"/>
                <w:color w:val="auto"/>
              </w:rPr>
              <w:t>GENTHERM HOLDING (MALTA) LIMITED</w:t>
            </w:r>
          </w:p>
        </w:tc>
      </w:tr>
      <w:tr>
        <w:trPr>
          <w:trHeight w:val="360"/>
        </w:trPr>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ind w:left="700"/>
              <w:spacing w:after="0"/>
              <w:rPr>
                <w:sz w:val="20"/>
                <w:szCs w:val="20"/>
                <w:color w:val="auto"/>
              </w:rPr>
            </w:pPr>
            <w:r>
              <w:rPr>
                <w:rFonts w:ascii="Arial" w:cs="Arial" w:eastAsia="Arial" w:hAnsi="Arial"/>
                <w:sz w:val="17"/>
                <w:szCs w:val="17"/>
                <w:color w:val="auto"/>
              </w:rPr>
              <w:t>By:</w:t>
            </w:r>
          </w:p>
        </w:tc>
        <w:tc>
          <w:tcPr>
            <w:tcW w:w="1760" w:type="dxa"/>
            <w:vAlign w:val="bottom"/>
            <w:tcBorders>
              <w:bottom w:val="single" w:sz="8" w:color="auto"/>
            </w:tcBorders>
          </w:tcPr>
          <w:p>
            <w:pPr>
              <w:spacing w:after="0"/>
              <w:rPr>
                <w:sz w:val="24"/>
                <w:szCs w:val="24"/>
                <w:color w:val="auto"/>
              </w:rPr>
            </w:pPr>
          </w:p>
        </w:tc>
        <w:tc>
          <w:tcPr>
            <w:tcW w:w="3000" w:type="dxa"/>
            <w:vAlign w:val="bottom"/>
            <w:gridSpan w:val="2"/>
          </w:tcPr>
          <w:p>
            <w:pPr>
              <w:spacing w:after="0"/>
              <w:rPr>
                <w:sz w:val="24"/>
                <w:szCs w:val="24"/>
                <w:color w:val="auto"/>
              </w:rPr>
            </w:pPr>
          </w:p>
        </w:tc>
      </w:tr>
      <w:tr>
        <w:trPr>
          <w:trHeight w:val="200"/>
        </w:trPr>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740" w:type="dxa"/>
            <w:vAlign w:val="bottom"/>
            <w:gridSpan w:val="4"/>
          </w:tcPr>
          <w:p>
            <w:pPr>
              <w:ind w:left="700"/>
              <w:spacing w:after="0"/>
              <w:rPr>
                <w:sz w:val="20"/>
                <w:szCs w:val="20"/>
                <w:color w:val="auto"/>
              </w:rPr>
            </w:pPr>
            <w:r>
              <w:rPr>
                <w:rFonts w:ascii="Arial" w:cs="Arial" w:eastAsia="Arial" w:hAnsi="Arial"/>
                <w:sz w:val="17"/>
                <w:szCs w:val="17"/>
                <w:color w:val="auto"/>
              </w:rPr>
              <w:t>Name:</w:t>
            </w:r>
          </w:p>
        </w:tc>
      </w:tr>
      <w:tr>
        <w:trPr>
          <w:trHeight w:val="217"/>
        </w:trPr>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740" w:type="dxa"/>
            <w:vAlign w:val="bottom"/>
            <w:gridSpan w:val="4"/>
          </w:tcPr>
          <w:p>
            <w:pPr>
              <w:ind w:left="700"/>
              <w:spacing w:after="0"/>
              <w:rPr>
                <w:sz w:val="20"/>
                <w:szCs w:val="20"/>
                <w:color w:val="auto"/>
              </w:rPr>
            </w:pPr>
            <w:r>
              <w:rPr>
                <w:rFonts w:ascii="Arial" w:cs="Arial" w:eastAsia="Arial" w:hAnsi="Arial"/>
                <w:sz w:val="17"/>
                <w:szCs w:val="17"/>
                <w:color w:val="auto"/>
              </w:rPr>
              <w:t>Title:</w:t>
            </w:r>
          </w:p>
        </w:tc>
      </w:tr>
      <w:tr>
        <w:trPr>
          <w:trHeight w:val="399"/>
        </w:trPr>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740" w:type="dxa"/>
            <w:vAlign w:val="bottom"/>
            <w:gridSpan w:val="4"/>
          </w:tcPr>
          <w:p>
            <w:pPr>
              <w:ind w:left="660"/>
              <w:spacing w:after="0"/>
              <w:rPr>
                <w:sz w:val="20"/>
                <w:szCs w:val="20"/>
                <w:color w:val="auto"/>
              </w:rPr>
            </w:pPr>
            <w:r>
              <w:rPr>
                <w:rFonts w:ascii="Arial" w:cs="Arial" w:eastAsia="Arial" w:hAnsi="Arial"/>
                <w:sz w:val="17"/>
                <w:szCs w:val="17"/>
                <w:color w:val="auto"/>
              </w:rPr>
              <w:t>GENTHERM AUTOMOTIVE SYSTEMS (MALTA) LIMITED</w:t>
            </w:r>
          </w:p>
        </w:tc>
      </w:tr>
      <w:tr>
        <w:trPr>
          <w:trHeight w:val="360"/>
        </w:trPr>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ind w:left="700"/>
              <w:spacing w:after="0"/>
              <w:rPr>
                <w:sz w:val="20"/>
                <w:szCs w:val="20"/>
                <w:color w:val="auto"/>
              </w:rPr>
            </w:pPr>
            <w:r>
              <w:rPr>
                <w:rFonts w:ascii="Arial" w:cs="Arial" w:eastAsia="Arial" w:hAnsi="Arial"/>
                <w:sz w:val="17"/>
                <w:szCs w:val="17"/>
                <w:color w:val="auto"/>
              </w:rPr>
              <w:t>By:</w:t>
            </w:r>
          </w:p>
        </w:tc>
        <w:tc>
          <w:tcPr>
            <w:tcW w:w="1760" w:type="dxa"/>
            <w:vAlign w:val="bottom"/>
            <w:tcBorders>
              <w:bottom w:val="single" w:sz="8" w:color="auto"/>
            </w:tcBorders>
          </w:tcPr>
          <w:p>
            <w:pPr>
              <w:spacing w:after="0"/>
              <w:rPr>
                <w:sz w:val="24"/>
                <w:szCs w:val="24"/>
                <w:color w:val="auto"/>
              </w:rPr>
            </w:pPr>
          </w:p>
        </w:tc>
        <w:tc>
          <w:tcPr>
            <w:tcW w:w="3000" w:type="dxa"/>
            <w:vAlign w:val="bottom"/>
            <w:gridSpan w:val="2"/>
          </w:tcPr>
          <w:p>
            <w:pPr>
              <w:spacing w:after="0"/>
              <w:rPr>
                <w:sz w:val="24"/>
                <w:szCs w:val="24"/>
                <w:color w:val="auto"/>
              </w:rPr>
            </w:pPr>
          </w:p>
        </w:tc>
      </w:tr>
      <w:tr>
        <w:trPr>
          <w:trHeight w:val="200"/>
        </w:trPr>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740" w:type="dxa"/>
            <w:vAlign w:val="bottom"/>
            <w:gridSpan w:val="4"/>
          </w:tcPr>
          <w:p>
            <w:pPr>
              <w:ind w:left="700"/>
              <w:spacing w:after="0"/>
              <w:rPr>
                <w:sz w:val="20"/>
                <w:szCs w:val="20"/>
                <w:color w:val="auto"/>
              </w:rPr>
            </w:pPr>
            <w:r>
              <w:rPr>
                <w:rFonts w:ascii="Arial" w:cs="Arial" w:eastAsia="Arial" w:hAnsi="Arial"/>
                <w:sz w:val="17"/>
                <w:szCs w:val="17"/>
                <w:color w:val="auto"/>
              </w:rPr>
              <w:t>Name:</w:t>
            </w:r>
          </w:p>
        </w:tc>
      </w:tr>
      <w:tr>
        <w:trPr>
          <w:trHeight w:val="217"/>
        </w:trPr>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740" w:type="dxa"/>
            <w:vAlign w:val="bottom"/>
            <w:gridSpan w:val="4"/>
          </w:tcPr>
          <w:p>
            <w:pPr>
              <w:ind w:left="700"/>
              <w:spacing w:after="0"/>
              <w:rPr>
                <w:sz w:val="20"/>
                <w:szCs w:val="20"/>
                <w:color w:val="auto"/>
              </w:rPr>
            </w:pPr>
            <w:r>
              <w:rPr>
                <w:rFonts w:ascii="Arial" w:cs="Arial" w:eastAsia="Arial" w:hAnsi="Arial"/>
                <w:sz w:val="17"/>
                <w:szCs w:val="17"/>
                <w:color w:val="auto"/>
              </w:rPr>
              <w:t>Title:</w:t>
            </w:r>
          </w:p>
        </w:tc>
      </w:tr>
      <w:tr>
        <w:trPr>
          <w:trHeight w:val="399"/>
        </w:trPr>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740" w:type="dxa"/>
            <w:vAlign w:val="bottom"/>
            <w:gridSpan w:val="4"/>
          </w:tcPr>
          <w:p>
            <w:pPr>
              <w:ind w:left="660"/>
              <w:spacing w:after="0"/>
              <w:rPr>
                <w:sz w:val="20"/>
                <w:szCs w:val="20"/>
                <w:color w:val="auto"/>
              </w:rPr>
            </w:pPr>
            <w:r>
              <w:rPr>
                <w:rFonts w:ascii="Arial" w:cs="Arial" w:eastAsia="Arial" w:hAnsi="Arial"/>
                <w:sz w:val="17"/>
                <w:szCs w:val="17"/>
                <w:color w:val="auto"/>
                <w:w w:val="97"/>
              </w:rPr>
              <w:t>GENTHERM HUNGARY KORLÁTOLT FELELŐSSÉGŰ TÁRSASÁG</w:t>
            </w:r>
          </w:p>
        </w:tc>
      </w:tr>
      <w:tr>
        <w:trPr>
          <w:trHeight w:val="360"/>
        </w:trPr>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ind w:left="700"/>
              <w:spacing w:after="0"/>
              <w:rPr>
                <w:sz w:val="20"/>
                <w:szCs w:val="20"/>
                <w:color w:val="auto"/>
              </w:rPr>
            </w:pPr>
            <w:r>
              <w:rPr>
                <w:rFonts w:ascii="Arial" w:cs="Arial" w:eastAsia="Arial" w:hAnsi="Arial"/>
                <w:sz w:val="17"/>
                <w:szCs w:val="17"/>
                <w:color w:val="auto"/>
              </w:rPr>
              <w:t>By:</w:t>
            </w:r>
          </w:p>
        </w:tc>
        <w:tc>
          <w:tcPr>
            <w:tcW w:w="1760" w:type="dxa"/>
            <w:vAlign w:val="bottom"/>
            <w:tcBorders>
              <w:bottom w:val="single" w:sz="8" w:color="auto"/>
            </w:tcBorders>
          </w:tcPr>
          <w:p>
            <w:pPr>
              <w:spacing w:after="0"/>
              <w:rPr>
                <w:sz w:val="24"/>
                <w:szCs w:val="24"/>
                <w:color w:val="auto"/>
              </w:rPr>
            </w:pPr>
          </w:p>
        </w:tc>
        <w:tc>
          <w:tcPr>
            <w:tcW w:w="3000" w:type="dxa"/>
            <w:vAlign w:val="bottom"/>
            <w:gridSpan w:val="2"/>
          </w:tcPr>
          <w:p>
            <w:pPr>
              <w:spacing w:after="0"/>
              <w:rPr>
                <w:sz w:val="24"/>
                <w:szCs w:val="24"/>
                <w:color w:val="auto"/>
              </w:rPr>
            </w:pPr>
          </w:p>
        </w:tc>
      </w:tr>
      <w:tr>
        <w:trPr>
          <w:trHeight w:val="200"/>
        </w:trPr>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740" w:type="dxa"/>
            <w:vAlign w:val="bottom"/>
            <w:gridSpan w:val="4"/>
          </w:tcPr>
          <w:p>
            <w:pPr>
              <w:ind w:left="700"/>
              <w:spacing w:after="0"/>
              <w:rPr>
                <w:sz w:val="20"/>
                <w:szCs w:val="20"/>
                <w:color w:val="auto"/>
              </w:rPr>
            </w:pPr>
            <w:r>
              <w:rPr>
                <w:rFonts w:ascii="Arial" w:cs="Arial" w:eastAsia="Arial" w:hAnsi="Arial"/>
                <w:sz w:val="17"/>
                <w:szCs w:val="17"/>
                <w:color w:val="auto"/>
              </w:rPr>
              <w:t>Name:</w:t>
            </w:r>
          </w:p>
        </w:tc>
      </w:tr>
      <w:tr>
        <w:trPr>
          <w:trHeight w:val="217"/>
        </w:trPr>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740" w:type="dxa"/>
            <w:vAlign w:val="bottom"/>
            <w:gridSpan w:val="4"/>
          </w:tcPr>
          <w:p>
            <w:pPr>
              <w:ind w:left="700"/>
              <w:spacing w:after="0"/>
              <w:rPr>
                <w:sz w:val="20"/>
                <w:szCs w:val="20"/>
                <w:color w:val="auto"/>
              </w:rPr>
            </w:pPr>
            <w:r>
              <w:rPr>
                <w:rFonts w:ascii="Arial" w:cs="Arial" w:eastAsia="Arial" w:hAnsi="Arial"/>
                <w:sz w:val="17"/>
                <w:szCs w:val="17"/>
                <w:color w:val="auto"/>
              </w:rPr>
              <w:t>Title:</w:t>
            </w:r>
          </w:p>
        </w:tc>
      </w:tr>
      <w:tr>
        <w:trPr>
          <w:trHeight w:val="360"/>
        </w:trPr>
        <w:tc>
          <w:tcPr>
            <w:tcW w:w="2760" w:type="dxa"/>
            <w:vAlign w:val="bottom"/>
            <w:gridSpan w:val="3"/>
          </w:tcPr>
          <w:p>
            <w:pPr>
              <w:spacing w:after="0"/>
              <w:rPr>
                <w:sz w:val="20"/>
                <w:szCs w:val="20"/>
                <w:color w:val="auto"/>
              </w:rPr>
            </w:pPr>
            <w:r>
              <w:rPr>
                <w:rFonts w:ascii="Arial" w:cs="Arial" w:eastAsia="Arial" w:hAnsi="Arial"/>
                <w:sz w:val="17"/>
                <w:szCs w:val="17"/>
                <w:color w:val="auto"/>
              </w:rPr>
              <w:t>ADMINISTRATIVE AGENT:</w:t>
            </w:r>
          </w:p>
        </w:tc>
        <w:tc>
          <w:tcPr>
            <w:tcW w:w="5740" w:type="dxa"/>
            <w:vAlign w:val="bottom"/>
            <w:gridSpan w:val="4"/>
          </w:tcPr>
          <w:p>
            <w:pPr>
              <w:ind w:left="660"/>
              <w:spacing w:after="0"/>
              <w:rPr>
                <w:sz w:val="20"/>
                <w:szCs w:val="20"/>
                <w:color w:val="auto"/>
              </w:rPr>
            </w:pPr>
            <w:r>
              <w:rPr>
                <w:rFonts w:ascii="Arial" w:cs="Arial" w:eastAsia="Arial" w:hAnsi="Arial"/>
                <w:sz w:val="17"/>
                <w:szCs w:val="17"/>
                <w:color w:val="auto"/>
              </w:rPr>
              <w:t>BANK OF AMERICA, N.A.,</w:t>
            </w:r>
          </w:p>
        </w:tc>
      </w:tr>
      <w:tr>
        <w:trPr>
          <w:trHeight w:val="218"/>
        </w:trPr>
        <w:tc>
          <w:tcPr>
            <w:tcW w:w="1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5740" w:type="dxa"/>
            <w:vAlign w:val="bottom"/>
            <w:gridSpan w:val="4"/>
          </w:tcPr>
          <w:p>
            <w:pPr>
              <w:ind w:left="700"/>
              <w:spacing w:after="0"/>
              <w:rPr>
                <w:sz w:val="20"/>
                <w:szCs w:val="20"/>
                <w:color w:val="auto"/>
              </w:rPr>
            </w:pPr>
            <w:r>
              <w:rPr>
                <w:rFonts w:ascii="Arial" w:cs="Arial" w:eastAsia="Arial" w:hAnsi="Arial"/>
                <w:sz w:val="17"/>
                <w:szCs w:val="17"/>
                <w:color w:val="auto"/>
              </w:rPr>
              <w:t>as Administrative Agent</w:t>
            </w:r>
          </w:p>
        </w:tc>
      </w:tr>
      <w:tr>
        <w:trPr>
          <w:trHeight w:val="360"/>
        </w:trPr>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ind w:left="700"/>
              <w:spacing w:after="0"/>
              <w:rPr>
                <w:sz w:val="20"/>
                <w:szCs w:val="20"/>
                <w:color w:val="auto"/>
              </w:rPr>
            </w:pPr>
            <w:r>
              <w:rPr>
                <w:rFonts w:ascii="Arial" w:cs="Arial" w:eastAsia="Arial" w:hAnsi="Arial"/>
                <w:sz w:val="17"/>
                <w:szCs w:val="17"/>
                <w:color w:val="auto"/>
              </w:rPr>
              <w:t>By:</w:t>
            </w:r>
          </w:p>
        </w:tc>
        <w:tc>
          <w:tcPr>
            <w:tcW w:w="1760" w:type="dxa"/>
            <w:vAlign w:val="bottom"/>
            <w:tcBorders>
              <w:bottom w:val="single" w:sz="8" w:color="auto"/>
            </w:tcBorders>
          </w:tcPr>
          <w:p>
            <w:pPr>
              <w:spacing w:after="0"/>
              <w:rPr>
                <w:sz w:val="24"/>
                <w:szCs w:val="24"/>
                <w:color w:val="auto"/>
              </w:rPr>
            </w:pPr>
          </w:p>
        </w:tc>
        <w:tc>
          <w:tcPr>
            <w:tcW w:w="3000" w:type="dxa"/>
            <w:vAlign w:val="bottom"/>
            <w:gridSpan w:val="2"/>
          </w:tcPr>
          <w:p>
            <w:pPr>
              <w:spacing w:after="0"/>
              <w:rPr>
                <w:sz w:val="24"/>
                <w:szCs w:val="24"/>
                <w:color w:val="auto"/>
              </w:rPr>
            </w:pPr>
          </w:p>
        </w:tc>
      </w:tr>
      <w:tr>
        <w:trPr>
          <w:trHeight w:val="200"/>
        </w:trPr>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740" w:type="dxa"/>
            <w:vAlign w:val="bottom"/>
            <w:gridSpan w:val="4"/>
          </w:tcPr>
          <w:p>
            <w:pPr>
              <w:ind w:left="700"/>
              <w:spacing w:after="0"/>
              <w:rPr>
                <w:sz w:val="20"/>
                <w:szCs w:val="20"/>
                <w:color w:val="auto"/>
              </w:rPr>
            </w:pPr>
            <w:r>
              <w:rPr>
                <w:rFonts w:ascii="Arial" w:cs="Arial" w:eastAsia="Arial" w:hAnsi="Arial"/>
                <w:sz w:val="17"/>
                <w:szCs w:val="17"/>
                <w:color w:val="auto"/>
              </w:rPr>
              <w:t>Name:</w:t>
            </w:r>
          </w:p>
        </w:tc>
      </w:tr>
      <w:tr>
        <w:trPr>
          <w:trHeight w:val="217"/>
        </w:trPr>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740" w:type="dxa"/>
            <w:vAlign w:val="bottom"/>
            <w:gridSpan w:val="4"/>
          </w:tcPr>
          <w:p>
            <w:pPr>
              <w:ind w:left="700"/>
              <w:spacing w:after="0"/>
              <w:rPr>
                <w:sz w:val="20"/>
                <w:szCs w:val="20"/>
                <w:color w:val="auto"/>
              </w:rPr>
            </w:pPr>
            <w:r>
              <w:rPr>
                <w:rFonts w:ascii="Arial" w:cs="Arial" w:eastAsia="Arial" w:hAnsi="Arial"/>
                <w:sz w:val="17"/>
                <w:szCs w:val="17"/>
                <w:color w:val="auto"/>
              </w:rPr>
              <w:t>Title:</w:t>
            </w:r>
          </w:p>
        </w:tc>
      </w:tr>
    </w:tbl>
    <w:p>
      <w:pPr>
        <w:sectPr>
          <w:pgSz w:w="11900" w:h="16838" w:orient="portrait"/>
          <w:cols w:equalWidth="0" w:num="1">
            <w:col w:w="10219"/>
          </w:cols>
          <w:pgMar w:left="240" w:top="296" w:right="1440" w:bottom="1440" w:gutter="0" w:footer="0" w:header="0"/>
        </w:sectPr>
      </w:pPr>
    </w:p>
    <w:bookmarkStart w:id="177" w:name="page178"/>
    <w:bookmarkEnd w:id="177"/>
    <w:p>
      <w:pPr>
        <w:ind w:left="10460"/>
        <w:spacing w:after="0"/>
        <w:rPr>
          <w:sz w:val="20"/>
          <w:szCs w:val="20"/>
          <w:color w:val="auto"/>
        </w:rPr>
      </w:pPr>
      <w:r>
        <w:rPr>
          <w:rFonts w:ascii="Arial" w:cs="Arial" w:eastAsia="Arial" w:hAnsi="Arial"/>
          <w:sz w:val="17"/>
          <w:szCs w:val="17"/>
          <w:b w:val="1"/>
          <w:bCs w:val="1"/>
          <w:i w:val="1"/>
          <w:iCs w:val="1"/>
          <w:color w:val="auto"/>
        </w:rPr>
        <w:t>EXHIBIT 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ADD-ON COMPANY TERM LENDER JOINDER AGREEMENT</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THIS ADD-ON COMPANY TERM LENDER JOINDER AGREEMENT, dated as of [_________, 20__] (this “</w:t>
      </w:r>
      <w:r>
        <w:rPr>
          <w:rFonts w:ascii="Arial" w:cs="Arial" w:eastAsia="Arial" w:hAnsi="Arial"/>
          <w:sz w:val="16"/>
          <w:szCs w:val="16"/>
          <w:u w:val="single" w:color="auto"/>
          <w:color w:val="auto"/>
        </w:rPr>
        <w:t>Agreement</w:t>
      </w:r>
      <w:r>
        <w:rPr>
          <w:rFonts w:ascii="Arial" w:cs="Arial" w:eastAsia="Arial" w:hAnsi="Arial"/>
          <w:sz w:val="16"/>
          <w:szCs w:val="16"/>
          <w:color w:val="auto"/>
        </w:rPr>
        <w:t>”), is by and among each of the</w:t>
      </w:r>
    </w:p>
    <w:p>
      <w:pPr>
        <w:spacing w:after="0" w:line="2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Persons identified as “Add-On Company Term Lenders” on the signature pages hereto (each, an “</w:t>
      </w:r>
      <w:r>
        <w:rPr>
          <w:rFonts w:ascii="Arial" w:cs="Arial" w:eastAsia="Arial" w:hAnsi="Arial"/>
          <w:sz w:val="16"/>
          <w:szCs w:val="16"/>
          <w:u w:val="single" w:color="auto"/>
          <w:color w:val="auto"/>
        </w:rPr>
        <w:t>Add-On Company Term Lender</w:t>
      </w:r>
      <w:r>
        <w:rPr>
          <w:rFonts w:ascii="Arial" w:cs="Arial" w:eastAsia="Arial" w:hAnsi="Arial"/>
          <w:sz w:val="16"/>
          <w:szCs w:val="16"/>
          <w:color w:val="auto"/>
        </w:rPr>
        <w:t>”), Gentherm Incorporated, a Michigan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Gentherm GmbH, a German limited liability company (“</w:t>
      </w:r>
      <w:r>
        <w:rPr>
          <w:rFonts w:ascii="Arial" w:cs="Arial" w:eastAsia="Arial" w:hAnsi="Arial"/>
          <w:sz w:val="16"/>
          <w:szCs w:val="16"/>
          <w:u w:val="single" w:color="auto"/>
          <w:color w:val="auto"/>
        </w:rPr>
        <w:t>Gentherm Germany</w:t>
      </w:r>
      <w:r>
        <w:rPr>
          <w:rFonts w:ascii="Arial" w:cs="Arial" w:eastAsia="Arial" w:hAnsi="Arial"/>
          <w:sz w:val="16"/>
          <w:szCs w:val="16"/>
          <w:color w:val="auto"/>
        </w:rPr>
        <w:t>”), Gentherm (Texas), Inc., a Texas corporation (“</w:t>
      </w:r>
      <w:r>
        <w:rPr>
          <w:rFonts w:ascii="Arial" w:cs="Arial" w:eastAsia="Arial" w:hAnsi="Arial"/>
          <w:sz w:val="16"/>
          <w:szCs w:val="16"/>
          <w:u w:val="single" w:color="auto"/>
          <w:color w:val="auto"/>
        </w:rPr>
        <w:t>Gentherm Texas</w:t>
      </w:r>
      <w:r>
        <w:rPr>
          <w:rFonts w:ascii="Arial" w:cs="Arial" w:eastAsia="Arial" w:hAnsi="Arial"/>
          <w:sz w:val="16"/>
          <w:szCs w:val="16"/>
          <w:color w:val="auto"/>
        </w:rPr>
        <w:t>” and, together with the Company, the “</w:t>
      </w:r>
      <w:r>
        <w:rPr>
          <w:rFonts w:ascii="Arial" w:cs="Arial" w:eastAsia="Arial" w:hAnsi="Arial"/>
          <w:sz w:val="16"/>
          <w:szCs w:val="16"/>
          <w:u w:val="single" w:color="auto"/>
          <w:color w:val="auto"/>
        </w:rPr>
        <w:t>U.S. Borrowers</w:t>
      </w:r>
      <w:r>
        <w:rPr>
          <w:rFonts w:ascii="Arial" w:cs="Arial" w:eastAsia="Arial" w:hAnsi="Arial"/>
          <w:sz w:val="16"/>
          <w:szCs w:val="16"/>
          <w:color w:val="auto"/>
        </w:rPr>
        <w:t>”), Gentherm Canada Ltd., an Ontario corporation (“</w:t>
      </w:r>
      <w:r>
        <w:rPr>
          <w:rFonts w:ascii="Arial" w:cs="Arial" w:eastAsia="Arial" w:hAnsi="Arial"/>
          <w:sz w:val="16"/>
          <w:szCs w:val="16"/>
          <w:u w:val="single" w:color="auto"/>
          <w:color w:val="auto"/>
        </w:rPr>
        <w:t>Gentherm Canada</w:t>
      </w:r>
      <w:r>
        <w:rPr>
          <w:rFonts w:ascii="Arial" w:cs="Arial" w:eastAsia="Arial" w:hAnsi="Arial"/>
          <w:sz w:val="16"/>
          <w:szCs w:val="16"/>
          <w:color w:val="auto"/>
        </w:rPr>
        <w:t>”), Global Thermoelectric Inc., an Alberta corporation (“</w:t>
      </w:r>
      <w:r>
        <w:rPr>
          <w:rFonts w:ascii="Arial" w:cs="Arial" w:eastAsia="Arial" w:hAnsi="Arial"/>
          <w:sz w:val="16"/>
          <w:szCs w:val="16"/>
          <w:u w:val="single" w:color="auto"/>
          <w:color w:val="auto"/>
        </w:rPr>
        <w:t>Global</w:t>
      </w:r>
      <w:r>
        <w:rPr>
          <w:rFonts w:ascii="Arial" w:cs="Arial" w:eastAsia="Arial" w:hAnsi="Arial"/>
          <w:sz w:val="16"/>
          <w:szCs w:val="16"/>
          <w:color w:val="auto"/>
        </w:rPr>
        <w:t>” and, together with Gentherm Canada, the “</w:t>
      </w:r>
      <w:r>
        <w:rPr>
          <w:rFonts w:ascii="Arial" w:cs="Arial" w:eastAsia="Arial" w:hAnsi="Arial"/>
          <w:sz w:val="16"/>
          <w:szCs w:val="16"/>
          <w:u w:val="single" w:color="auto"/>
          <w:color w:val="auto"/>
        </w:rPr>
        <w:t>Canadian Borrowers</w:t>
      </w:r>
      <w:r>
        <w:rPr>
          <w:rFonts w:ascii="Arial" w:cs="Arial" w:eastAsia="Arial" w:hAnsi="Arial"/>
          <w:sz w:val="16"/>
          <w:szCs w:val="16"/>
          <w:color w:val="auto"/>
        </w:rPr>
        <w:t>” and, together with Gentherm Canada, the U.S. Borrowers and Gentherm Germany, the “</w:t>
      </w:r>
      <w:r>
        <w:rPr>
          <w:rFonts w:ascii="Arial" w:cs="Arial" w:eastAsia="Arial" w:hAnsi="Arial"/>
          <w:sz w:val="16"/>
          <w:szCs w:val="16"/>
          <w:u w:val="single" w:color="auto"/>
          <w:color w:val="auto"/>
        </w:rPr>
        <w:t>Borrowers</w:t>
      </w:r>
      <w:r>
        <w:rPr>
          <w:rFonts w:ascii="Arial" w:cs="Arial" w:eastAsia="Arial" w:hAnsi="Arial"/>
          <w:sz w:val="16"/>
          <w:szCs w:val="16"/>
          <w:color w:val="auto"/>
        </w:rPr>
        <w:t>” and each, a “</w:t>
      </w:r>
      <w:r>
        <w:rPr>
          <w:rFonts w:ascii="Arial" w:cs="Arial" w:eastAsia="Arial" w:hAnsi="Arial"/>
          <w:sz w:val="16"/>
          <w:szCs w:val="16"/>
          <w:u w:val="single" w:color="auto"/>
          <w:color w:val="auto"/>
        </w:rPr>
        <w:t>Borrower</w:t>
      </w:r>
      <w:r>
        <w:rPr>
          <w:rFonts w:ascii="Arial" w:cs="Arial" w:eastAsia="Arial" w:hAnsi="Arial"/>
          <w:sz w:val="16"/>
          <w:szCs w:val="16"/>
          <w:color w:val="auto"/>
        </w:rPr>
        <w:t>”), the Guarantors party hereto, and Bank of America, N.A., as Administrative Agent. Capitalized terms used but not otherwise defined herein have the meanings provided in the Credit Agreement.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 I T N E S S E T H</w:t>
      </w:r>
    </w:p>
    <w:p>
      <w:pPr>
        <w:spacing w:after="0" w:line="191" w:lineRule="exact"/>
        <w:rPr>
          <w:sz w:val="20"/>
          <w:szCs w:val="20"/>
          <w:color w:val="auto"/>
        </w:rPr>
      </w:pPr>
    </w:p>
    <w:p>
      <w:pPr>
        <w:jc w:val="both"/>
        <w:ind w:firstLine="763"/>
        <w:spacing w:after="0" w:line="253" w:lineRule="auto"/>
        <w:rPr>
          <w:sz w:val="20"/>
          <w:szCs w:val="20"/>
          <w:color w:val="auto"/>
        </w:rPr>
      </w:pPr>
      <w:r>
        <w:rPr>
          <w:rFonts w:ascii="Arial" w:cs="Arial" w:eastAsia="Arial" w:hAnsi="Arial"/>
          <w:sz w:val="17"/>
          <w:szCs w:val="17"/>
          <w:color w:val="auto"/>
        </w:rPr>
        <w:t>WHEREAS, pursuant to that Credit Agreement, dated as of August 7, 2014 (as amended, restated, amended and restated, modified, supplemented, increased or extended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the Borrowers, the Lenders from time to time party thereto and Bank of America, N.A., as Administrative Agent, Swing Line Lender and L/C Issuer, the Lenders have agreed to provide the Borrowers with a revolving credit facility and term loan facilities;</w:t>
      </w:r>
    </w:p>
    <w:p>
      <w:pPr>
        <w:spacing w:after="0" w:line="160" w:lineRule="exact"/>
        <w:rPr>
          <w:sz w:val="20"/>
          <w:szCs w:val="20"/>
          <w:color w:val="auto"/>
        </w:rPr>
      </w:pPr>
    </w:p>
    <w:p>
      <w:pPr>
        <w:jc w:val="both"/>
        <w:ind w:firstLine="763"/>
        <w:spacing w:after="0" w:line="271" w:lineRule="auto"/>
        <w:rPr>
          <w:sz w:val="20"/>
          <w:szCs w:val="20"/>
          <w:color w:val="auto"/>
        </w:rPr>
      </w:pPr>
      <w:r>
        <w:rPr>
          <w:rFonts w:ascii="Arial" w:cs="Arial" w:eastAsia="Arial" w:hAnsi="Arial"/>
          <w:sz w:val="17"/>
          <w:szCs w:val="17"/>
          <w:color w:val="auto"/>
        </w:rPr>
        <w:t xml:space="preserve">WHEREAS, pursuant to </w:t>
      </w:r>
      <w:r>
        <w:rPr>
          <w:rFonts w:ascii="Arial" w:cs="Arial" w:eastAsia="Arial" w:hAnsi="Arial"/>
          <w:sz w:val="17"/>
          <w:szCs w:val="17"/>
          <w:u w:val="single" w:color="auto"/>
          <w:color w:val="auto"/>
        </w:rPr>
        <w:t>Section 2.01(d)</w:t>
      </w:r>
      <w:r>
        <w:rPr>
          <w:rFonts w:ascii="Arial" w:cs="Arial" w:eastAsia="Arial" w:hAnsi="Arial"/>
          <w:sz w:val="17"/>
          <w:szCs w:val="17"/>
          <w:color w:val="auto"/>
        </w:rPr>
        <w:t xml:space="preserve"> of the Credit Agreement, the Company has requested that each Add-On Company Term Lender provide a portion of the Add-On Company Term Loan under the Credit Agreement; and</w:t>
      </w:r>
    </w:p>
    <w:p>
      <w:pPr>
        <w:spacing w:after="0" w:line="145"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WHEREAS, each Add-On Company Term Lender has agreed to provide a portion of the Add-On Company Term Loan on the terms and conditions set forth herein and to become an “Add-On Company Term Lender” under the Credit Agreement in connection therewith;</w:t>
      </w:r>
    </w:p>
    <w:p>
      <w:pPr>
        <w:spacing w:after="0" w:line="145" w:lineRule="exact"/>
        <w:rPr>
          <w:sz w:val="20"/>
          <w:szCs w:val="20"/>
          <w:color w:val="auto"/>
        </w:rPr>
      </w:pPr>
    </w:p>
    <w:p>
      <w:pPr>
        <w:jc w:val="both"/>
        <w:ind w:right="20" w:firstLine="763"/>
        <w:spacing w:after="0" w:line="271" w:lineRule="auto"/>
        <w:rPr>
          <w:sz w:val="20"/>
          <w:szCs w:val="20"/>
          <w:color w:val="auto"/>
        </w:rPr>
      </w:pPr>
      <w:r>
        <w:rPr>
          <w:rFonts w:ascii="Arial" w:cs="Arial" w:eastAsia="Arial" w:hAnsi="Arial"/>
          <w:sz w:val="17"/>
          <w:szCs w:val="17"/>
          <w:color w:val="auto"/>
        </w:rPr>
        <w:t>NOW, THEREFORE, in consideration of the premises and other good and valuable consideration, the receipt and sufficiency of which are hereby acknowledged, the parties hereto agree as follows:</w:t>
      </w:r>
    </w:p>
    <w:p>
      <w:pPr>
        <w:spacing w:after="0" w:line="145" w:lineRule="exact"/>
        <w:rPr>
          <w:sz w:val="20"/>
          <w:szCs w:val="20"/>
          <w:color w:val="auto"/>
        </w:rPr>
      </w:pPr>
    </w:p>
    <w:p>
      <w:pPr>
        <w:jc w:val="both"/>
        <w:ind w:firstLine="757"/>
        <w:spacing w:after="0" w:line="292" w:lineRule="auto"/>
        <w:tabs>
          <w:tab w:leader="none" w:pos="941" w:val="left"/>
        </w:tabs>
        <w:numPr>
          <w:ilvl w:val="0"/>
          <w:numId w:val="199"/>
        </w:numPr>
        <w:rPr>
          <w:rFonts w:ascii="Arial" w:cs="Arial" w:eastAsia="Arial" w:hAnsi="Arial"/>
          <w:sz w:val="15"/>
          <w:szCs w:val="15"/>
          <w:color w:val="auto"/>
        </w:rPr>
      </w:pPr>
      <w:r>
        <w:rPr>
          <w:rFonts w:ascii="Arial" w:cs="Arial" w:eastAsia="Arial" w:hAnsi="Arial"/>
          <w:sz w:val="15"/>
          <w:szCs w:val="15"/>
          <w:color w:val="auto"/>
        </w:rPr>
        <w:t xml:space="preserve">Each Add-On Company Term Lender severally agrees to make its portion of the Add-On Company Term Loan in a single advance to the Company on the date hereof in the amount of its respective Add-On Company Term Commitment;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after giving effect to such advances, the Outstanding Amount of the Add-On Company Term Loan shall not exceed the aggregate amount of the Add-On Company Term Commitments of the Add-On Company Term Lenders. The Add-On Company Term Commitment and Applicable Percentage for each of the Add-On Company Term Lenders shall be as set forth on </w:t>
      </w:r>
      <w:r>
        <w:rPr>
          <w:rFonts w:ascii="Arial" w:cs="Arial" w:eastAsia="Arial" w:hAnsi="Arial"/>
          <w:sz w:val="15"/>
          <w:szCs w:val="15"/>
          <w:u w:val="single" w:color="auto"/>
          <w:color w:val="auto"/>
        </w:rPr>
        <w:t>Schedule 2.01</w:t>
      </w:r>
      <w:r>
        <w:rPr>
          <w:rFonts w:ascii="Arial" w:cs="Arial" w:eastAsia="Arial" w:hAnsi="Arial"/>
          <w:sz w:val="15"/>
          <w:szCs w:val="15"/>
          <w:color w:val="auto"/>
        </w:rPr>
        <w:t xml:space="preserve"> attached hereto. The existing </w:t>
      </w:r>
      <w:r>
        <w:rPr>
          <w:rFonts w:ascii="Arial" w:cs="Arial" w:eastAsia="Arial" w:hAnsi="Arial"/>
          <w:sz w:val="15"/>
          <w:szCs w:val="15"/>
          <w:u w:val="single" w:color="auto"/>
          <w:color w:val="auto"/>
        </w:rPr>
        <w:t>Schedule 2.01</w:t>
      </w:r>
      <w:r>
        <w:rPr>
          <w:rFonts w:ascii="Arial" w:cs="Arial" w:eastAsia="Arial" w:hAnsi="Arial"/>
          <w:sz w:val="15"/>
          <w:szCs w:val="15"/>
          <w:color w:val="auto"/>
        </w:rPr>
        <w:t xml:space="preserve"> to the Credit Agreement shall be deemed to be amended to include the information set forth on </w:t>
      </w:r>
      <w:r>
        <w:rPr>
          <w:rFonts w:ascii="Arial" w:cs="Arial" w:eastAsia="Arial" w:hAnsi="Arial"/>
          <w:sz w:val="15"/>
          <w:szCs w:val="15"/>
          <w:u w:val="single" w:color="auto"/>
          <w:color w:val="auto"/>
        </w:rPr>
        <w:t>Schedule 2.01</w:t>
      </w:r>
      <w:r>
        <w:rPr>
          <w:rFonts w:ascii="Arial" w:cs="Arial" w:eastAsia="Arial" w:hAnsi="Arial"/>
          <w:sz w:val="15"/>
          <w:szCs w:val="15"/>
          <w:color w:val="auto"/>
        </w:rPr>
        <w:t xml:space="preserve"> attached hereto.</w:t>
      </w:r>
    </w:p>
    <w:p>
      <w:pPr>
        <w:spacing w:after="0" w:line="134" w:lineRule="exact"/>
        <w:rPr>
          <w:rFonts w:ascii="Arial" w:cs="Arial" w:eastAsia="Arial" w:hAnsi="Arial"/>
          <w:sz w:val="15"/>
          <w:szCs w:val="15"/>
          <w:color w:val="auto"/>
        </w:rPr>
      </w:pPr>
    </w:p>
    <w:p>
      <w:pPr>
        <w:ind w:right="20" w:firstLine="757"/>
        <w:spacing w:after="0" w:line="271" w:lineRule="auto"/>
        <w:tabs>
          <w:tab w:leader="none" w:pos="955"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Applicable Rate with respect to the Add-On Company Term Loan shall be (a) [_______%], with respect to Eurocurrency Rate Loans, and (b) [_______%], with respect to Base Rate Loans.</w:t>
      </w:r>
    </w:p>
    <w:p>
      <w:pPr>
        <w:spacing w:after="0" w:line="144" w:lineRule="exact"/>
        <w:rPr>
          <w:rFonts w:ascii="Arial" w:cs="Arial" w:eastAsia="Arial" w:hAnsi="Arial"/>
          <w:sz w:val="17"/>
          <w:szCs w:val="17"/>
          <w:color w:val="auto"/>
        </w:rPr>
      </w:pPr>
    </w:p>
    <w:p>
      <w:pPr>
        <w:ind w:left="920" w:hanging="163"/>
        <w:spacing w:after="0"/>
        <w:tabs>
          <w:tab w:leader="none" w:pos="92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Add-On Company Term Maturity Date shall be [__________].</w:t>
      </w:r>
    </w:p>
    <w:p>
      <w:pPr>
        <w:sectPr>
          <w:pgSz w:w="11900" w:h="16838" w:orient="portrait"/>
          <w:cols w:equalWidth="0" w:num="1">
            <w:col w:w="11440"/>
          </w:cols>
          <w:pgMar w:left="240" w:top="312" w:right="219" w:bottom="1440" w:gutter="0" w:footer="0" w:header="0"/>
        </w:sectPr>
      </w:pPr>
    </w:p>
    <w:bookmarkStart w:id="178" w:name="page179"/>
    <w:bookmarkEnd w:id="178"/>
    <w:p>
      <w:pPr>
        <w:ind w:left="6" w:right="20" w:firstLine="757"/>
        <w:spacing w:after="0" w:line="271" w:lineRule="auto"/>
        <w:tabs>
          <w:tab w:leader="none" w:pos="943"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Company shall repay to the Add-On Company Term Lenders the principal amount of the Add-On Company Term Loan in quarterly installments on the dates set forth below as follows:</w:t>
      </w:r>
    </w:p>
    <w:p>
      <w:pPr>
        <w:spacing w:after="0" w:line="145" w:lineRule="exact"/>
        <w:rPr>
          <w:sz w:val="20"/>
          <w:szCs w:val="20"/>
          <w:color w:val="auto"/>
        </w:rPr>
      </w:pPr>
    </w:p>
    <w:tbl>
      <w:tblPr>
        <w:tblLayout w:type="fixed"/>
        <w:tblInd w:w="1486" w:type="dxa"/>
        <w:tblCellMar>
          <w:top w:w="0" w:type="dxa"/>
          <w:left w:w="0" w:type="dxa"/>
          <w:bottom w:w="0" w:type="dxa"/>
          <w:right w:w="0" w:type="dxa"/>
        </w:tblCellMar>
      </w:tblPr>
      <w:tr>
        <w:trPr>
          <w:trHeight w:val="217"/>
        </w:trPr>
        <w:tc>
          <w:tcPr>
            <w:tcW w:w="2840" w:type="dxa"/>
            <w:vAlign w:val="bottom"/>
          </w:tcPr>
          <w:p>
            <w:pPr>
              <w:ind w:left="940"/>
              <w:spacing w:after="0"/>
              <w:rPr>
                <w:sz w:val="20"/>
                <w:szCs w:val="20"/>
                <w:color w:val="auto"/>
              </w:rPr>
            </w:pPr>
            <w:r>
              <w:rPr>
                <w:rFonts w:ascii="Arial" w:cs="Arial" w:eastAsia="Arial" w:hAnsi="Arial"/>
                <w:sz w:val="17"/>
                <w:szCs w:val="17"/>
                <w:color w:val="auto"/>
              </w:rPr>
              <w:t>Payment Dates</w:t>
            </w:r>
          </w:p>
        </w:tc>
        <w:tc>
          <w:tcPr>
            <w:tcW w:w="3780" w:type="dxa"/>
            <w:vAlign w:val="bottom"/>
          </w:tcPr>
          <w:p>
            <w:pPr>
              <w:jc w:val="center"/>
              <w:ind w:left="74"/>
              <w:spacing w:after="0"/>
              <w:rPr>
                <w:sz w:val="20"/>
                <w:szCs w:val="20"/>
                <w:color w:val="auto"/>
              </w:rPr>
            </w:pPr>
            <w:r>
              <w:rPr>
                <w:rFonts w:ascii="Arial" w:cs="Arial" w:eastAsia="Arial" w:hAnsi="Arial"/>
                <w:sz w:val="17"/>
                <w:szCs w:val="17"/>
                <w:color w:val="auto"/>
                <w:w w:val="93"/>
              </w:rPr>
              <w:t>Principal Amortization Payment</w:t>
            </w:r>
          </w:p>
        </w:tc>
      </w:tr>
      <w:tr>
        <w:trPr>
          <w:trHeight w:val="387"/>
        </w:trPr>
        <w:tc>
          <w:tcPr>
            <w:tcW w:w="2840" w:type="dxa"/>
            <w:vAlign w:val="bottom"/>
          </w:tcPr>
          <w:p>
            <w:pPr>
              <w:spacing w:after="0"/>
              <w:rPr>
                <w:sz w:val="20"/>
                <w:szCs w:val="20"/>
                <w:color w:val="auto"/>
              </w:rPr>
            </w:pPr>
            <w:r>
              <w:rPr>
                <w:rFonts w:ascii="Arial" w:cs="Arial" w:eastAsia="Arial" w:hAnsi="Arial"/>
                <w:sz w:val="17"/>
                <w:szCs w:val="17"/>
                <w:color w:val="auto"/>
              </w:rPr>
              <w:t>[___________]</w:t>
            </w:r>
          </w:p>
        </w:tc>
        <w:tc>
          <w:tcPr>
            <w:tcW w:w="3780" w:type="dxa"/>
            <w:vAlign w:val="bottom"/>
          </w:tcPr>
          <w:p>
            <w:pPr>
              <w:jc w:val="center"/>
              <w:ind w:left="74"/>
              <w:spacing w:after="0"/>
              <w:rPr>
                <w:sz w:val="20"/>
                <w:szCs w:val="20"/>
                <w:color w:val="auto"/>
              </w:rPr>
            </w:pPr>
            <w:r>
              <w:rPr>
                <w:rFonts w:ascii="Arial" w:cs="Arial" w:eastAsia="Arial" w:hAnsi="Arial"/>
                <w:sz w:val="17"/>
                <w:szCs w:val="17"/>
                <w:color w:val="auto"/>
                <w:w w:val="93"/>
              </w:rPr>
              <w:t>$[__________]</w:t>
            </w:r>
          </w:p>
        </w:tc>
      </w:tr>
      <w:tr>
        <w:trPr>
          <w:trHeight w:val="369"/>
        </w:trPr>
        <w:tc>
          <w:tcPr>
            <w:tcW w:w="2840" w:type="dxa"/>
            <w:vAlign w:val="bottom"/>
          </w:tcPr>
          <w:p>
            <w:pPr>
              <w:spacing w:after="0"/>
              <w:rPr>
                <w:sz w:val="20"/>
                <w:szCs w:val="20"/>
                <w:color w:val="auto"/>
              </w:rPr>
            </w:pPr>
            <w:r>
              <w:rPr>
                <w:rFonts w:ascii="Arial" w:cs="Arial" w:eastAsia="Arial" w:hAnsi="Arial"/>
                <w:sz w:val="17"/>
                <w:szCs w:val="17"/>
                <w:color w:val="auto"/>
                <w:w w:val="98"/>
              </w:rPr>
              <w:t>Add-On Company Term Maturity Date</w:t>
            </w:r>
          </w:p>
        </w:tc>
        <w:tc>
          <w:tcPr>
            <w:tcW w:w="3780" w:type="dxa"/>
            <w:vAlign w:val="bottom"/>
          </w:tcPr>
          <w:p>
            <w:pPr>
              <w:jc w:val="center"/>
              <w:ind w:left="74"/>
              <w:spacing w:after="0"/>
              <w:rPr>
                <w:sz w:val="20"/>
                <w:szCs w:val="20"/>
                <w:color w:val="auto"/>
              </w:rPr>
            </w:pPr>
            <w:r>
              <w:rPr>
                <w:rFonts w:ascii="Arial" w:cs="Arial" w:eastAsia="Arial" w:hAnsi="Arial"/>
                <w:sz w:val="17"/>
                <w:szCs w:val="17"/>
                <w:color w:val="auto"/>
                <w:w w:val="94"/>
              </w:rPr>
              <w:t>Outstanding Principal Amount of Add-On Company</w:t>
            </w:r>
          </w:p>
        </w:tc>
      </w:tr>
      <w:tr>
        <w:trPr>
          <w:trHeight w:val="217"/>
        </w:trPr>
        <w:tc>
          <w:tcPr>
            <w:tcW w:w="2840" w:type="dxa"/>
            <w:vAlign w:val="bottom"/>
          </w:tcPr>
          <w:p>
            <w:pPr>
              <w:spacing w:after="0"/>
              <w:rPr>
                <w:sz w:val="18"/>
                <w:szCs w:val="18"/>
                <w:color w:val="auto"/>
              </w:rPr>
            </w:pPr>
          </w:p>
        </w:tc>
        <w:tc>
          <w:tcPr>
            <w:tcW w:w="3780" w:type="dxa"/>
            <w:vAlign w:val="bottom"/>
          </w:tcPr>
          <w:p>
            <w:pPr>
              <w:jc w:val="center"/>
              <w:ind w:left="74"/>
              <w:spacing w:after="0"/>
              <w:rPr>
                <w:sz w:val="20"/>
                <w:szCs w:val="20"/>
                <w:color w:val="auto"/>
              </w:rPr>
            </w:pPr>
            <w:r>
              <w:rPr>
                <w:rFonts w:ascii="Arial" w:cs="Arial" w:eastAsia="Arial" w:hAnsi="Arial"/>
                <w:sz w:val="17"/>
                <w:szCs w:val="17"/>
                <w:color w:val="auto"/>
                <w:w w:val="90"/>
              </w:rPr>
              <w:t>Term Loans</w:t>
            </w:r>
          </w:p>
        </w:tc>
      </w:tr>
    </w:tbl>
    <w:p>
      <w:pPr>
        <w:spacing w:after="0" w:line="357" w:lineRule="exact"/>
        <w:rPr>
          <w:sz w:val="20"/>
          <w:szCs w:val="20"/>
          <w:color w:val="auto"/>
        </w:rPr>
      </w:pPr>
    </w:p>
    <w:p>
      <w:pPr>
        <w:jc w:val="both"/>
        <w:ind w:left="6" w:firstLine="757"/>
        <w:spacing w:after="0" w:line="287" w:lineRule="auto"/>
        <w:tabs>
          <w:tab w:leader="none" w:pos="949" w:val="left"/>
        </w:tabs>
        <w:numPr>
          <w:ilvl w:val="1"/>
          <w:numId w:val="201"/>
        </w:numPr>
        <w:rPr>
          <w:rFonts w:ascii="Arial" w:cs="Arial" w:eastAsia="Arial" w:hAnsi="Arial"/>
          <w:sz w:val="15"/>
          <w:szCs w:val="15"/>
          <w:color w:val="auto"/>
        </w:rPr>
      </w:pPr>
      <w:r>
        <w:rPr>
          <w:rFonts w:ascii="Arial" w:cs="Arial" w:eastAsia="Arial" w:hAnsi="Arial"/>
          <w:sz w:val="15"/>
          <w:szCs w:val="15"/>
          <w:color w:val="auto"/>
        </w:rPr>
        <w:t>Each Add-On Company Term Lender (a) represents and warrants that (i) it has full power and authority, and has taken all action necessary, to execute and deliver this Agreement and to consummate the transactions contemplated hereby and to become an Add-On Company Term Lender under the Credit Agreement,</w:t>
      </w:r>
    </w:p>
    <w:p>
      <w:pPr>
        <w:ind w:left="246" w:hanging="246"/>
        <w:spacing w:after="0"/>
        <w:tabs>
          <w:tab w:leader="none" w:pos="246" w:val="left"/>
        </w:tabs>
        <w:numPr>
          <w:ilvl w:val="0"/>
          <w:numId w:val="202"/>
        </w:numPr>
        <w:rPr>
          <w:rFonts w:ascii="Arial" w:cs="Arial" w:eastAsia="Arial" w:hAnsi="Arial"/>
          <w:sz w:val="15"/>
          <w:szCs w:val="15"/>
          <w:color w:val="auto"/>
        </w:rPr>
      </w:pPr>
      <w:r>
        <w:rPr>
          <w:rFonts w:ascii="Arial" w:cs="Arial" w:eastAsia="Arial" w:hAnsi="Arial"/>
          <w:sz w:val="15"/>
          <w:szCs w:val="15"/>
          <w:color w:val="auto"/>
        </w:rPr>
        <w:t>it meets all requirements of an Eligible Assignee under the Credit Agreement (subject to receipt of such consents as may be required under the Credit Agreement),</w:t>
      </w:r>
    </w:p>
    <w:p>
      <w:pPr>
        <w:spacing w:after="0" w:line="26" w:lineRule="exact"/>
        <w:rPr>
          <w:rFonts w:ascii="Arial" w:cs="Arial" w:eastAsia="Arial" w:hAnsi="Arial"/>
          <w:sz w:val="15"/>
          <w:szCs w:val="15"/>
          <w:color w:val="auto"/>
        </w:rPr>
      </w:pPr>
    </w:p>
    <w:p>
      <w:pPr>
        <w:jc w:val="both"/>
        <w:ind w:left="6" w:hanging="6"/>
        <w:spacing w:after="0" w:line="262" w:lineRule="auto"/>
        <w:tabs>
          <w:tab w:leader="none" w:pos="315"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from and after the date hereof, it shall be bound by the provisions of the Credit Agreement as an Add-On Company Term Lender thereunder and shall have the obligations of an Add-On Company Term Lender thereunder, (iv) it has received a copy of the Credit Agreement, together with copies of the most recent financial statements delivered pursuant to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thereof, as applicable, and such other documents and information as it has deemed appropriate to make its own credit analysis and decision to enter into this Agreement on the basis of which it has made such analysis and decision independently and without reliance on the Administrative Agent or any other Add-On Company Term Lender, and (v) if it is a Foreign Lender, attached hereto is any documentation required to be delivered by it pursuant to the terms of the Credit Agreement; [and] (b) agrees that (i) it will, independently and without reliance on the Administrative Agent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an Add-On Company Term Lender [and (c) ratifies and approves all acts previously taken by the Administrative Agent on such Add-On Company Term Lender’s behalf (including the Administrative Agent acting as a proxy without power of attorney (</w:t>
      </w:r>
      <w:r>
        <w:rPr>
          <w:rFonts w:ascii="Arial" w:cs="Arial" w:eastAsia="Arial" w:hAnsi="Arial"/>
          <w:sz w:val="16"/>
          <w:szCs w:val="16"/>
          <w:i w:val="1"/>
          <w:iCs w:val="1"/>
          <w:color w:val="auto"/>
        </w:rPr>
        <w:t>Vertreter ohne Vertretungsmacht</w:t>
      </w:r>
      <w:r>
        <w:rPr>
          <w:rFonts w:ascii="Arial" w:cs="Arial" w:eastAsia="Arial" w:hAnsi="Arial"/>
          <w:sz w:val="16"/>
          <w:szCs w:val="16"/>
          <w:color w:val="auto"/>
        </w:rPr>
        <w:t>) in connection with any Collateral Document governed by German law)]</w:t>
      </w:r>
      <w:r>
        <w:rPr>
          <w:rFonts w:ascii="Arial" w:cs="Arial" w:eastAsia="Arial" w:hAnsi="Arial"/>
          <w:sz w:val="13"/>
          <w:szCs w:val="13"/>
          <w:color w:val="auto"/>
        </w:rPr>
        <w:t>19</w:t>
      </w:r>
      <w:r>
        <w:rPr>
          <w:rFonts w:ascii="Arial" w:cs="Arial" w:eastAsia="Arial" w:hAnsi="Arial"/>
          <w:sz w:val="16"/>
          <w:szCs w:val="16"/>
          <w:color w:val="auto"/>
        </w:rPr>
        <w:t>.</w:t>
      </w:r>
    </w:p>
    <w:p>
      <w:pPr>
        <w:spacing w:after="0" w:line="156" w:lineRule="exact"/>
        <w:rPr>
          <w:rFonts w:ascii="Arial" w:cs="Arial" w:eastAsia="Arial" w:hAnsi="Arial"/>
          <w:sz w:val="16"/>
          <w:szCs w:val="16"/>
          <w:color w:val="auto"/>
        </w:rPr>
      </w:pPr>
    </w:p>
    <w:p>
      <w:pPr>
        <w:jc w:val="both"/>
        <w:ind w:left="6" w:firstLine="757"/>
        <w:spacing w:after="0" w:line="308" w:lineRule="auto"/>
        <w:tabs>
          <w:tab w:leader="none" w:pos="941" w:val="left"/>
        </w:tabs>
        <w:numPr>
          <w:ilvl w:val="1"/>
          <w:numId w:val="202"/>
        </w:numPr>
        <w:rPr>
          <w:rFonts w:ascii="Arial" w:cs="Arial" w:eastAsia="Arial" w:hAnsi="Arial"/>
          <w:sz w:val="15"/>
          <w:szCs w:val="15"/>
          <w:color w:val="auto"/>
        </w:rPr>
      </w:pPr>
      <w:r>
        <w:rPr>
          <w:rFonts w:ascii="Arial" w:cs="Arial" w:eastAsia="Arial" w:hAnsi="Arial"/>
          <w:sz w:val="15"/>
          <w:szCs w:val="15"/>
          <w:color w:val="auto"/>
        </w:rPr>
        <w:t>Each of the Administrative Agent, the Borrowers, and the Guarantors agrees that, as of the date hereof, each Add-On Company Term Lender shall (a) be a party to the Credit Agreement and the other Loan Documents, (b) be an “Add-On Company Term Lender” for all purposes of the Credit Agreement and the other Loan Documents and (c) have the rights and obligations of an Add-On Company Term Lender under the Credit Agreement and the other Loan Documents.</w:t>
      </w:r>
    </w:p>
    <w:p>
      <w:pPr>
        <w:spacing w:after="0" w:line="121" w:lineRule="exact"/>
        <w:rPr>
          <w:rFonts w:ascii="Arial" w:cs="Arial" w:eastAsia="Arial" w:hAnsi="Arial"/>
          <w:sz w:val="15"/>
          <w:szCs w:val="15"/>
          <w:color w:val="auto"/>
        </w:rPr>
      </w:pPr>
    </w:p>
    <w:p>
      <w:pPr>
        <w:ind w:left="6" w:right="20" w:firstLine="757"/>
        <w:spacing w:after="0" w:line="271" w:lineRule="auto"/>
        <w:tabs>
          <w:tab w:leader="none" w:pos="971" w:val="left"/>
        </w:tabs>
        <w:numPr>
          <w:ilvl w:val="1"/>
          <w:numId w:val="202"/>
        </w:numPr>
        <w:rPr>
          <w:rFonts w:ascii="Arial" w:cs="Arial" w:eastAsia="Arial" w:hAnsi="Arial"/>
          <w:sz w:val="17"/>
          <w:szCs w:val="17"/>
          <w:color w:val="auto"/>
        </w:rPr>
      </w:pPr>
      <w:r>
        <w:rPr>
          <w:rFonts w:ascii="Arial" w:cs="Arial" w:eastAsia="Arial" w:hAnsi="Arial"/>
          <w:sz w:val="17"/>
          <w:szCs w:val="17"/>
          <w:color w:val="auto"/>
        </w:rPr>
        <w:t>The address of each Add-On Company Term Lender for purposes of all notices and other communications is as set forth on the Administrative Questionnaire delivered by such Add-On Company Term Lender to the Administrative Agent.</w:t>
      </w:r>
    </w:p>
    <w:p>
      <w:pPr>
        <w:spacing w:after="0" w:line="144" w:lineRule="exact"/>
        <w:rPr>
          <w:rFonts w:ascii="Arial" w:cs="Arial" w:eastAsia="Arial" w:hAnsi="Arial"/>
          <w:sz w:val="17"/>
          <w:szCs w:val="17"/>
          <w:color w:val="auto"/>
        </w:rPr>
      </w:pPr>
    </w:p>
    <w:p>
      <w:pPr>
        <w:jc w:val="both"/>
        <w:ind w:left="6" w:right="20" w:firstLine="757"/>
        <w:spacing w:after="0" w:line="257" w:lineRule="auto"/>
        <w:tabs>
          <w:tab w:leader="none" w:pos="96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This Agreement may be executed in any number of counterparts and by the various parties hereto in separate counterparts, each of which when so executed shall be deemed to be an original and all of which taken together shall constitute one contract. Delivery of an executed counterpart of this Agreement by telecopier shall be effective as delivery of a manually executed counterpart of this Agreement.</w:t>
      </w:r>
    </w:p>
    <w:p>
      <w:pPr>
        <w:spacing w:after="0" w:line="157" w:lineRule="exact"/>
        <w:rPr>
          <w:rFonts w:ascii="Arial" w:cs="Arial" w:eastAsia="Arial" w:hAnsi="Arial"/>
          <w:sz w:val="17"/>
          <w:szCs w:val="17"/>
          <w:color w:val="auto"/>
        </w:rPr>
      </w:pPr>
    </w:p>
    <w:p>
      <w:pPr>
        <w:ind w:left="926" w:hanging="163"/>
        <w:spacing w:after="0"/>
        <w:tabs>
          <w:tab w:leader="none" w:pos="926"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 OF THE STATE OF NEW YORK.</w:t>
      </w:r>
    </w:p>
    <w:p>
      <w:pPr>
        <w:spacing w:after="0" w:line="390"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pages follow</w:t>
      </w:r>
      <w:r>
        <w:rPr>
          <w:rFonts w:ascii="Arial" w:cs="Arial" w:eastAsia="Arial" w:hAnsi="Arial"/>
          <w:sz w:val="17"/>
          <w:szCs w:val="17"/>
          <w:color w:val="auto"/>
        </w:rPr>
        <w:t>]</w:t>
      </w:r>
    </w:p>
    <w:p>
      <w:pPr>
        <w:spacing w:after="0" w:line="143" w:lineRule="exact"/>
        <w:rPr>
          <w:sz w:val="20"/>
          <w:szCs w:val="20"/>
          <w:color w:val="auto"/>
        </w:rPr>
      </w:pPr>
    </w:p>
    <w:p>
      <w:pPr>
        <w:ind w:left="166" w:hanging="166"/>
        <w:spacing w:after="0"/>
        <w:tabs>
          <w:tab w:leader="none" w:pos="166" w:val="left"/>
        </w:tabs>
        <w:numPr>
          <w:ilvl w:val="0"/>
          <w:numId w:val="203"/>
        </w:numPr>
        <w:rPr>
          <w:rFonts w:ascii="Arial" w:cs="Arial" w:eastAsia="Arial" w:hAnsi="Arial"/>
          <w:sz w:val="13"/>
          <w:szCs w:val="13"/>
          <w:color w:val="auto"/>
        </w:rPr>
      </w:pPr>
      <w:r>
        <w:rPr>
          <w:rFonts w:ascii="Arial" w:cs="Arial" w:eastAsia="Arial" w:hAnsi="Arial"/>
          <w:sz w:val="12"/>
          <w:szCs w:val="12"/>
          <w:color w:val="auto"/>
        </w:rPr>
        <w:t>Bracketed text to be included only if there are any Collateral Documents governed by German law in existence at the time this Add-On Company Term Lender Joinder Agreement is executed.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145161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51610" cy="7620"/>
                    </a:xfrm>
                    <a:prstGeom prst="rect">
                      <a:avLst/>
                    </a:prstGeom>
                    <a:noFill/>
                  </pic:spPr>
                </pic:pic>
              </a:graphicData>
            </a:graphic>
          </wp:anchor>
        </w:drawing>
      </w:r>
    </w:p>
    <w:p>
      <w:pPr>
        <w:sectPr>
          <w:pgSz w:w="11900" w:h="16838" w:orient="portrait"/>
          <w:cols w:equalWidth="0" w:num="1">
            <w:col w:w="11446"/>
          </w:cols>
          <w:pgMar w:left="234" w:top="313" w:right="219" w:bottom="1440" w:gutter="0" w:footer="0" w:header="0"/>
        </w:sectPr>
      </w:pPr>
    </w:p>
    <w:bookmarkStart w:id="179" w:name="page180"/>
    <w:bookmarkEnd w:id="179"/>
    <w:p>
      <w:pPr>
        <w:jc w:val="center"/>
        <w:ind w:right="-60"/>
        <w:spacing w:after="0"/>
        <w:rPr>
          <w:sz w:val="20"/>
          <w:szCs w:val="20"/>
          <w:color w:val="auto"/>
        </w:rPr>
      </w:pPr>
      <w:r>
        <w:rPr>
          <w:rFonts w:ascii="Arial" w:cs="Arial" w:eastAsia="Arial" w:hAnsi="Arial"/>
          <w:sz w:val="15"/>
          <w:szCs w:val="15"/>
          <w:color w:val="auto"/>
        </w:rPr>
        <w:t>IN WITNESS WHEREOF, the parties hereto have caused this Agreement to be duly executed as of the date first above written.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20" w:type="dxa"/>
            <w:vAlign w:val="bottom"/>
            <w:gridSpan w:val="3"/>
          </w:tcPr>
          <w:p>
            <w:pPr>
              <w:spacing w:after="0"/>
              <w:rPr>
                <w:sz w:val="20"/>
                <w:szCs w:val="20"/>
                <w:color w:val="auto"/>
              </w:rPr>
            </w:pPr>
            <w:r>
              <w:rPr>
                <w:rFonts w:ascii="Arial" w:cs="Arial" w:eastAsia="Arial" w:hAnsi="Arial"/>
                <w:sz w:val="17"/>
                <w:szCs w:val="17"/>
                <w:color w:val="auto"/>
              </w:rPr>
              <w:t>ADD-ON COMPANY TERM LENDER:</w:t>
            </w:r>
          </w:p>
        </w:tc>
        <w:tc>
          <w:tcPr>
            <w:tcW w:w="3980" w:type="dxa"/>
            <w:vAlign w:val="bottom"/>
            <w:gridSpan w:val="3"/>
          </w:tcPr>
          <w:p>
            <w:pPr>
              <w:ind w:left="900"/>
              <w:spacing w:after="0"/>
              <w:rPr>
                <w:sz w:val="20"/>
                <w:szCs w:val="20"/>
                <w:color w:val="auto"/>
              </w:rPr>
            </w:pPr>
            <w:r>
              <w:rPr>
                <w:rFonts w:ascii="Arial" w:cs="Arial" w:eastAsia="Arial" w:hAnsi="Arial"/>
                <w:sz w:val="17"/>
                <w:szCs w:val="17"/>
                <w:color w:val="auto"/>
              </w:rPr>
              <w:t>[ADD-ON COMPANY TERM LENDER]</w:t>
            </w:r>
          </w:p>
        </w:tc>
      </w:tr>
      <w:tr>
        <w:trPr>
          <w:trHeight w:val="379"/>
        </w:trPr>
        <w:tc>
          <w:tcPr>
            <w:tcW w:w="106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ind w:left="900"/>
              <w:spacing w:after="0"/>
              <w:rPr>
                <w:sz w:val="20"/>
                <w:szCs w:val="20"/>
                <w:color w:val="auto"/>
              </w:rPr>
            </w:pPr>
            <w:r>
              <w:rPr>
                <w:rFonts w:ascii="Arial" w:cs="Arial" w:eastAsia="Arial" w:hAnsi="Arial"/>
                <w:sz w:val="17"/>
                <w:szCs w:val="17"/>
                <w:color w:val="auto"/>
              </w:rPr>
              <w:t>By:</w:t>
            </w:r>
          </w:p>
        </w:tc>
        <w:tc>
          <w:tcPr>
            <w:tcW w:w="2800" w:type="dxa"/>
            <w:vAlign w:val="bottom"/>
            <w:tcBorders>
              <w:bottom w:val="single" w:sz="8" w:color="auto"/>
            </w:tcBorders>
            <w:gridSpan w:val="2"/>
          </w:tcPr>
          <w:p>
            <w:pPr>
              <w:spacing w:after="0"/>
              <w:rPr>
                <w:sz w:val="24"/>
                <w:szCs w:val="24"/>
                <w:color w:val="auto"/>
              </w:rPr>
            </w:pPr>
          </w:p>
        </w:tc>
      </w:tr>
      <w:tr>
        <w:trPr>
          <w:trHeight w:val="200"/>
        </w:trPr>
        <w:tc>
          <w:tcPr>
            <w:tcW w:w="1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80" w:type="dxa"/>
            <w:vAlign w:val="bottom"/>
            <w:gridSpan w:val="3"/>
          </w:tcPr>
          <w:p>
            <w:pPr>
              <w:ind w:left="900"/>
              <w:spacing w:after="0"/>
              <w:rPr>
                <w:sz w:val="20"/>
                <w:szCs w:val="20"/>
                <w:color w:val="auto"/>
              </w:rPr>
            </w:pPr>
            <w:r>
              <w:rPr>
                <w:rFonts w:ascii="Arial" w:cs="Arial" w:eastAsia="Arial" w:hAnsi="Arial"/>
                <w:sz w:val="17"/>
                <w:szCs w:val="17"/>
                <w:color w:val="auto"/>
              </w:rPr>
              <w:t>Name:</w:t>
            </w:r>
          </w:p>
        </w:tc>
      </w:tr>
      <w:tr>
        <w:trPr>
          <w:trHeight w:val="217"/>
        </w:trPr>
        <w:tc>
          <w:tcPr>
            <w:tcW w:w="10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980" w:type="dxa"/>
            <w:vAlign w:val="bottom"/>
            <w:gridSpan w:val="3"/>
          </w:tcPr>
          <w:p>
            <w:pPr>
              <w:ind w:left="900"/>
              <w:spacing w:after="0"/>
              <w:rPr>
                <w:sz w:val="20"/>
                <w:szCs w:val="20"/>
                <w:color w:val="auto"/>
              </w:rPr>
            </w:pPr>
            <w:r>
              <w:rPr>
                <w:rFonts w:ascii="Arial" w:cs="Arial" w:eastAsia="Arial" w:hAnsi="Arial"/>
                <w:sz w:val="17"/>
                <w:szCs w:val="17"/>
                <w:color w:val="auto"/>
              </w:rPr>
              <w:t>Title:</w:t>
            </w:r>
          </w:p>
        </w:tc>
      </w:tr>
      <w:tr>
        <w:trPr>
          <w:trHeight w:val="360"/>
        </w:trPr>
        <w:tc>
          <w:tcPr>
            <w:tcW w:w="3720" w:type="dxa"/>
            <w:vAlign w:val="bottom"/>
            <w:gridSpan w:val="3"/>
          </w:tcPr>
          <w:p>
            <w:pPr>
              <w:spacing w:after="0"/>
              <w:rPr>
                <w:sz w:val="20"/>
                <w:szCs w:val="20"/>
                <w:color w:val="auto"/>
              </w:rPr>
            </w:pPr>
            <w:r>
              <w:rPr>
                <w:rFonts w:ascii="Arial" w:cs="Arial" w:eastAsia="Arial" w:hAnsi="Arial"/>
                <w:sz w:val="17"/>
                <w:szCs w:val="17"/>
                <w:color w:val="auto"/>
              </w:rPr>
              <w:t>BORROWERS:</w:t>
            </w:r>
          </w:p>
        </w:tc>
        <w:tc>
          <w:tcPr>
            <w:tcW w:w="3980" w:type="dxa"/>
            <w:vAlign w:val="bottom"/>
            <w:gridSpan w:val="3"/>
          </w:tcPr>
          <w:p>
            <w:pPr>
              <w:ind w:left="900"/>
              <w:spacing w:after="0"/>
              <w:rPr>
                <w:sz w:val="20"/>
                <w:szCs w:val="20"/>
                <w:color w:val="auto"/>
              </w:rPr>
            </w:pPr>
            <w:r>
              <w:rPr>
                <w:rFonts w:ascii="Arial" w:cs="Arial" w:eastAsia="Arial" w:hAnsi="Arial"/>
                <w:sz w:val="17"/>
                <w:szCs w:val="17"/>
                <w:color w:val="auto"/>
              </w:rPr>
              <w:t>GENTHERM INCORPORATED</w:t>
            </w:r>
          </w:p>
        </w:tc>
      </w:tr>
      <w:tr>
        <w:trPr>
          <w:trHeight w:val="379"/>
        </w:trPr>
        <w:tc>
          <w:tcPr>
            <w:tcW w:w="1060" w:type="dxa"/>
            <w:vAlign w:val="bottom"/>
            <w:tcBorders>
              <w:top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ind w:left="900"/>
              <w:spacing w:after="0"/>
              <w:rPr>
                <w:sz w:val="20"/>
                <w:szCs w:val="20"/>
                <w:color w:val="auto"/>
              </w:rPr>
            </w:pPr>
            <w:r>
              <w:rPr>
                <w:rFonts w:ascii="Arial" w:cs="Arial" w:eastAsia="Arial" w:hAnsi="Arial"/>
                <w:sz w:val="17"/>
                <w:szCs w:val="17"/>
                <w:color w:val="auto"/>
              </w:rPr>
              <w:t>By:</w:t>
            </w:r>
          </w:p>
        </w:tc>
        <w:tc>
          <w:tcPr>
            <w:tcW w:w="176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r>
      <w:tr>
        <w:trPr>
          <w:trHeight w:val="200"/>
        </w:trPr>
        <w:tc>
          <w:tcPr>
            <w:tcW w:w="1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80" w:type="dxa"/>
            <w:vAlign w:val="bottom"/>
            <w:gridSpan w:val="3"/>
          </w:tcPr>
          <w:p>
            <w:pPr>
              <w:ind w:left="900"/>
              <w:spacing w:after="0"/>
              <w:rPr>
                <w:sz w:val="20"/>
                <w:szCs w:val="20"/>
                <w:color w:val="auto"/>
              </w:rPr>
            </w:pPr>
            <w:r>
              <w:rPr>
                <w:rFonts w:ascii="Arial" w:cs="Arial" w:eastAsia="Arial" w:hAnsi="Arial"/>
                <w:sz w:val="17"/>
                <w:szCs w:val="17"/>
                <w:color w:val="auto"/>
              </w:rPr>
              <w:t>Name:</w:t>
            </w:r>
          </w:p>
        </w:tc>
      </w:tr>
      <w:tr>
        <w:trPr>
          <w:trHeight w:val="217"/>
        </w:trPr>
        <w:tc>
          <w:tcPr>
            <w:tcW w:w="10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980" w:type="dxa"/>
            <w:vAlign w:val="bottom"/>
            <w:gridSpan w:val="3"/>
          </w:tcPr>
          <w:p>
            <w:pPr>
              <w:ind w:left="900"/>
              <w:spacing w:after="0"/>
              <w:rPr>
                <w:sz w:val="20"/>
                <w:szCs w:val="20"/>
                <w:color w:val="auto"/>
              </w:rPr>
            </w:pPr>
            <w:r>
              <w:rPr>
                <w:rFonts w:ascii="Arial" w:cs="Arial" w:eastAsia="Arial" w:hAnsi="Arial"/>
                <w:sz w:val="17"/>
                <w:szCs w:val="17"/>
                <w:color w:val="auto"/>
              </w:rPr>
              <w:t>Title:</w:t>
            </w:r>
          </w:p>
        </w:tc>
      </w:tr>
      <w:tr>
        <w:trPr>
          <w:trHeight w:val="399"/>
        </w:trPr>
        <w:tc>
          <w:tcPr>
            <w:tcW w:w="1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80" w:type="dxa"/>
            <w:vAlign w:val="bottom"/>
            <w:gridSpan w:val="3"/>
          </w:tcPr>
          <w:p>
            <w:pPr>
              <w:ind w:left="860"/>
              <w:spacing w:after="0"/>
              <w:rPr>
                <w:sz w:val="20"/>
                <w:szCs w:val="20"/>
                <w:color w:val="auto"/>
              </w:rPr>
            </w:pPr>
            <w:r>
              <w:rPr>
                <w:rFonts w:ascii="Arial" w:cs="Arial" w:eastAsia="Arial" w:hAnsi="Arial"/>
                <w:sz w:val="17"/>
                <w:szCs w:val="17"/>
                <w:color w:val="auto"/>
              </w:rPr>
              <w:t>GENTHERM GMBH</w:t>
            </w:r>
          </w:p>
        </w:tc>
      </w:tr>
      <w:tr>
        <w:trPr>
          <w:trHeight w:val="360"/>
        </w:trPr>
        <w:tc>
          <w:tcPr>
            <w:tcW w:w="1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ind w:left="900"/>
              <w:spacing w:after="0"/>
              <w:rPr>
                <w:sz w:val="20"/>
                <w:szCs w:val="20"/>
                <w:color w:val="auto"/>
              </w:rPr>
            </w:pPr>
            <w:r>
              <w:rPr>
                <w:rFonts w:ascii="Arial" w:cs="Arial" w:eastAsia="Arial" w:hAnsi="Arial"/>
                <w:sz w:val="17"/>
                <w:szCs w:val="17"/>
                <w:color w:val="auto"/>
              </w:rPr>
              <w:t>By:</w:t>
            </w:r>
          </w:p>
        </w:tc>
        <w:tc>
          <w:tcPr>
            <w:tcW w:w="176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r>
      <w:tr>
        <w:trPr>
          <w:trHeight w:val="200"/>
        </w:trPr>
        <w:tc>
          <w:tcPr>
            <w:tcW w:w="1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80" w:type="dxa"/>
            <w:vAlign w:val="bottom"/>
            <w:gridSpan w:val="3"/>
          </w:tcPr>
          <w:p>
            <w:pPr>
              <w:ind w:left="900"/>
              <w:spacing w:after="0"/>
              <w:rPr>
                <w:sz w:val="20"/>
                <w:szCs w:val="20"/>
                <w:color w:val="auto"/>
              </w:rPr>
            </w:pPr>
            <w:r>
              <w:rPr>
                <w:rFonts w:ascii="Arial" w:cs="Arial" w:eastAsia="Arial" w:hAnsi="Arial"/>
                <w:sz w:val="17"/>
                <w:szCs w:val="17"/>
                <w:color w:val="auto"/>
              </w:rPr>
              <w:t>Name:</w:t>
            </w:r>
          </w:p>
        </w:tc>
      </w:tr>
      <w:tr>
        <w:trPr>
          <w:trHeight w:val="217"/>
        </w:trPr>
        <w:tc>
          <w:tcPr>
            <w:tcW w:w="10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980" w:type="dxa"/>
            <w:vAlign w:val="bottom"/>
            <w:gridSpan w:val="3"/>
          </w:tcPr>
          <w:p>
            <w:pPr>
              <w:ind w:left="900"/>
              <w:spacing w:after="0"/>
              <w:rPr>
                <w:sz w:val="20"/>
                <w:szCs w:val="20"/>
                <w:color w:val="auto"/>
              </w:rPr>
            </w:pPr>
            <w:r>
              <w:rPr>
                <w:rFonts w:ascii="Arial" w:cs="Arial" w:eastAsia="Arial" w:hAnsi="Arial"/>
                <w:sz w:val="17"/>
                <w:szCs w:val="17"/>
                <w:color w:val="auto"/>
              </w:rPr>
              <w:t>Title:</w:t>
            </w:r>
          </w:p>
        </w:tc>
      </w:tr>
      <w:tr>
        <w:trPr>
          <w:trHeight w:val="399"/>
        </w:trPr>
        <w:tc>
          <w:tcPr>
            <w:tcW w:w="1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80" w:type="dxa"/>
            <w:vAlign w:val="bottom"/>
            <w:gridSpan w:val="3"/>
          </w:tcPr>
          <w:p>
            <w:pPr>
              <w:ind w:left="860"/>
              <w:spacing w:after="0"/>
              <w:rPr>
                <w:sz w:val="20"/>
                <w:szCs w:val="20"/>
                <w:color w:val="auto"/>
              </w:rPr>
            </w:pPr>
            <w:r>
              <w:rPr>
                <w:rFonts w:ascii="Arial" w:cs="Arial" w:eastAsia="Arial" w:hAnsi="Arial"/>
                <w:sz w:val="17"/>
                <w:szCs w:val="17"/>
                <w:color w:val="auto"/>
              </w:rPr>
              <w:t>GENTHERM (TEXAS), INC.</w:t>
            </w:r>
          </w:p>
        </w:tc>
      </w:tr>
      <w:tr>
        <w:trPr>
          <w:trHeight w:val="360"/>
        </w:trPr>
        <w:tc>
          <w:tcPr>
            <w:tcW w:w="1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ind w:left="900"/>
              <w:spacing w:after="0"/>
              <w:rPr>
                <w:sz w:val="20"/>
                <w:szCs w:val="20"/>
                <w:color w:val="auto"/>
              </w:rPr>
            </w:pPr>
            <w:r>
              <w:rPr>
                <w:rFonts w:ascii="Arial" w:cs="Arial" w:eastAsia="Arial" w:hAnsi="Arial"/>
                <w:sz w:val="17"/>
                <w:szCs w:val="17"/>
                <w:color w:val="auto"/>
              </w:rPr>
              <w:t>By:</w:t>
            </w:r>
          </w:p>
        </w:tc>
        <w:tc>
          <w:tcPr>
            <w:tcW w:w="176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r>
      <w:tr>
        <w:trPr>
          <w:trHeight w:val="200"/>
        </w:trPr>
        <w:tc>
          <w:tcPr>
            <w:tcW w:w="1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80" w:type="dxa"/>
            <w:vAlign w:val="bottom"/>
            <w:gridSpan w:val="3"/>
          </w:tcPr>
          <w:p>
            <w:pPr>
              <w:ind w:left="900"/>
              <w:spacing w:after="0"/>
              <w:rPr>
                <w:sz w:val="20"/>
                <w:szCs w:val="20"/>
                <w:color w:val="auto"/>
              </w:rPr>
            </w:pPr>
            <w:r>
              <w:rPr>
                <w:rFonts w:ascii="Arial" w:cs="Arial" w:eastAsia="Arial" w:hAnsi="Arial"/>
                <w:sz w:val="17"/>
                <w:szCs w:val="17"/>
                <w:color w:val="auto"/>
              </w:rPr>
              <w:t>Name:</w:t>
            </w:r>
          </w:p>
        </w:tc>
      </w:tr>
      <w:tr>
        <w:trPr>
          <w:trHeight w:val="217"/>
        </w:trPr>
        <w:tc>
          <w:tcPr>
            <w:tcW w:w="10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980" w:type="dxa"/>
            <w:vAlign w:val="bottom"/>
            <w:gridSpan w:val="3"/>
          </w:tcPr>
          <w:p>
            <w:pPr>
              <w:ind w:left="900"/>
              <w:spacing w:after="0"/>
              <w:rPr>
                <w:sz w:val="20"/>
                <w:szCs w:val="20"/>
                <w:color w:val="auto"/>
              </w:rPr>
            </w:pPr>
            <w:r>
              <w:rPr>
                <w:rFonts w:ascii="Arial" w:cs="Arial" w:eastAsia="Arial" w:hAnsi="Arial"/>
                <w:sz w:val="17"/>
                <w:szCs w:val="17"/>
                <w:color w:val="auto"/>
              </w:rPr>
              <w:t>Title:</w:t>
            </w:r>
          </w:p>
        </w:tc>
      </w:tr>
      <w:tr>
        <w:trPr>
          <w:trHeight w:val="399"/>
        </w:trPr>
        <w:tc>
          <w:tcPr>
            <w:tcW w:w="1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80" w:type="dxa"/>
            <w:vAlign w:val="bottom"/>
            <w:gridSpan w:val="3"/>
          </w:tcPr>
          <w:p>
            <w:pPr>
              <w:ind w:left="900"/>
              <w:spacing w:after="0"/>
              <w:rPr>
                <w:sz w:val="20"/>
                <w:szCs w:val="20"/>
                <w:color w:val="auto"/>
              </w:rPr>
            </w:pPr>
            <w:r>
              <w:rPr>
                <w:rFonts w:ascii="Arial" w:cs="Arial" w:eastAsia="Arial" w:hAnsi="Arial"/>
                <w:sz w:val="17"/>
                <w:szCs w:val="17"/>
                <w:color w:val="auto"/>
              </w:rPr>
              <w:t>GLOBAL THERMOELECTRIC INC.</w:t>
            </w:r>
          </w:p>
        </w:tc>
      </w:tr>
      <w:tr>
        <w:trPr>
          <w:trHeight w:val="360"/>
        </w:trPr>
        <w:tc>
          <w:tcPr>
            <w:tcW w:w="1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ind w:left="900"/>
              <w:spacing w:after="0"/>
              <w:rPr>
                <w:sz w:val="20"/>
                <w:szCs w:val="20"/>
                <w:color w:val="auto"/>
              </w:rPr>
            </w:pPr>
            <w:r>
              <w:rPr>
                <w:rFonts w:ascii="Arial" w:cs="Arial" w:eastAsia="Arial" w:hAnsi="Arial"/>
                <w:sz w:val="17"/>
                <w:szCs w:val="17"/>
                <w:color w:val="auto"/>
              </w:rPr>
              <w:t>By:</w:t>
            </w:r>
          </w:p>
        </w:tc>
        <w:tc>
          <w:tcPr>
            <w:tcW w:w="176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r>
      <w:tr>
        <w:trPr>
          <w:trHeight w:val="200"/>
        </w:trPr>
        <w:tc>
          <w:tcPr>
            <w:tcW w:w="1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80" w:type="dxa"/>
            <w:vAlign w:val="bottom"/>
            <w:gridSpan w:val="3"/>
          </w:tcPr>
          <w:p>
            <w:pPr>
              <w:ind w:left="900"/>
              <w:spacing w:after="0"/>
              <w:rPr>
                <w:sz w:val="20"/>
                <w:szCs w:val="20"/>
                <w:color w:val="auto"/>
              </w:rPr>
            </w:pPr>
            <w:r>
              <w:rPr>
                <w:rFonts w:ascii="Arial" w:cs="Arial" w:eastAsia="Arial" w:hAnsi="Arial"/>
                <w:sz w:val="17"/>
                <w:szCs w:val="17"/>
                <w:color w:val="auto"/>
              </w:rPr>
              <w:t>Name:</w:t>
            </w:r>
          </w:p>
        </w:tc>
      </w:tr>
      <w:tr>
        <w:trPr>
          <w:trHeight w:val="217"/>
        </w:trPr>
        <w:tc>
          <w:tcPr>
            <w:tcW w:w="10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980" w:type="dxa"/>
            <w:vAlign w:val="bottom"/>
            <w:gridSpan w:val="3"/>
          </w:tcPr>
          <w:p>
            <w:pPr>
              <w:ind w:left="900"/>
              <w:spacing w:after="0"/>
              <w:rPr>
                <w:sz w:val="20"/>
                <w:szCs w:val="20"/>
                <w:color w:val="auto"/>
              </w:rPr>
            </w:pPr>
            <w:r>
              <w:rPr>
                <w:rFonts w:ascii="Arial" w:cs="Arial" w:eastAsia="Arial" w:hAnsi="Arial"/>
                <w:sz w:val="17"/>
                <w:szCs w:val="17"/>
                <w:color w:val="auto"/>
              </w:rPr>
              <w:t>Title:</w:t>
            </w:r>
          </w:p>
        </w:tc>
      </w:tr>
      <w:tr>
        <w:trPr>
          <w:trHeight w:val="399"/>
        </w:trPr>
        <w:tc>
          <w:tcPr>
            <w:tcW w:w="1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80" w:type="dxa"/>
            <w:vAlign w:val="bottom"/>
            <w:gridSpan w:val="3"/>
          </w:tcPr>
          <w:p>
            <w:pPr>
              <w:ind w:left="900"/>
              <w:spacing w:after="0"/>
              <w:rPr>
                <w:sz w:val="20"/>
                <w:szCs w:val="20"/>
                <w:color w:val="auto"/>
              </w:rPr>
            </w:pPr>
            <w:r>
              <w:rPr>
                <w:rFonts w:ascii="Arial" w:cs="Arial" w:eastAsia="Arial" w:hAnsi="Arial"/>
                <w:sz w:val="17"/>
                <w:szCs w:val="17"/>
                <w:color w:val="auto"/>
              </w:rPr>
              <w:t>GENTHERM CANADA LTD.</w:t>
            </w:r>
          </w:p>
        </w:tc>
      </w:tr>
      <w:tr>
        <w:trPr>
          <w:trHeight w:val="360"/>
        </w:trPr>
        <w:tc>
          <w:tcPr>
            <w:tcW w:w="1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ind w:left="900"/>
              <w:spacing w:after="0"/>
              <w:rPr>
                <w:sz w:val="20"/>
                <w:szCs w:val="20"/>
                <w:color w:val="auto"/>
              </w:rPr>
            </w:pPr>
            <w:r>
              <w:rPr>
                <w:rFonts w:ascii="Arial" w:cs="Arial" w:eastAsia="Arial" w:hAnsi="Arial"/>
                <w:sz w:val="17"/>
                <w:szCs w:val="17"/>
                <w:color w:val="auto"/>
              </w:rPr>
              <w:t>By:</w:t>
            </w:r>
          </w:p>
        </w:tc>
        <w:tc>
          <w:tcPr>
            <w:tcW w:w="176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r>
      <w:tr>
        <w:trPr>
          <w:trHeight w:val="200"/>
        </w:trPr>
        <w:tc>
          <w:tcPr>
            <w:tcW w:w="1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80" w:type="dxa"/>
            <w:vAlign w:val="bottom"/>
            <w:gridSpan w:val="3"/>
          </w:tcPr>
          <w:p>
            <w:pPr>
              <w:ind w:left="900"/>
              <w:spacing w:after="0"/>
              <w:rPr>
                <w:sz w:val="20"/>
                <w:szCs w:val="20"/>
                <w:color w:val="auto"/>
              </w:rPr>
            </w:pPr>
            <w:r>
              <w:rPr>
                <w:rFonts w:ascii="Arial" w:cs="Arial" w:eastAsia="Arial" w:hAnsi="Arial"/>
                <w:sz w:val="17"/>
                <w:szCs w:val="17"/>
                <w:color w:val="auto"/>
              </w:rPr>
              <w:t>Name:</w:t>
            </w:r>
          </w:p>
        </w:tc>
      </w:tr>
      <w:tr>
        <w:trPr>
          <w:trHeight w:val="217"/>
        </w:trPr>
        <w:tc>
          <w:tcPr>
            <w:tcW w:w="10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980" w:type="dxa"/>
            <w:vAlign w:val="bottom"/>
            <w:gridSpan w:val="3"/>
          </w:tcPr>
          <w:p>
            <w:pPr>
              <w:ind w:left="900"/>
              <w:spacing w:after="0"/>
              <w:rPr>
                <w:sz w:val="20"/>
                <w:szCs w:val="20"/>
                <w:color w:val="auto"/>
              </w:rPr>
            </w:pPr>
            <w:r>
              <w:rPr>
                <w:rFonts w:ascii="Arial" w:cs="Arial" w:eastAsia="Arial" w:hAnsi="Arial"/>
                <w:sz w:val="17"/>
                <w:szCs w:val="17"/>
                <w:color w:val="auto"/>
              </w:rPr>
              <w:t>Title:</w:t>
            </w:r>
          </w:p>
        </w:tc>
      </w:tr>
    </w:tbl>
    <w:p>
      <w:pPr>
        <w:sectPr>
          <w:pgSz w:w="11900" w:h="16838" w:orient="portrait"/>
          <w:cols w:equalWidth="0" w:num="1">
            <w:col w:w="10219"/>
          </w:cols>
          <w:pgMar w:left="240" w:top="313" w:right="1440" w:bottom="1440" w:gutter="0" w:footer="0" w:header="0"/>
        </w:sectPr>
      </w:pPr>
    </w:p>
    <w:bookmarkStart w:id="180" w:name="page181"/>
    <w:bookmarkEnd w:id="1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gridSpan w:val="3"/>
          </w:tcPr>
          <w:p>
            <w:pPr>
              <w:spacing w:after="0"/>
              <w:rPr>
                <w:sz w:val="20"/>
                <w:szCs w:val="20"/>
                <w:color w:val="auto"/>
              </w:rPr>
            </w:pPr>
            <w:r>
              <w:rPr>
                <w:rFonts w:ascii="Arial" w:cs="Arial" w:eastAsia="Arial" w:hAnsi="Arial"/>
                <w:sz w:val="17"/>
                <w:szCs w:val="17"/>
                <w:color w:val="auto"/>
              </w:rPr>
              <w:t>GUARANTORS:</w:t>
            </w:r>
          </w:p>
        </w:tc>
        <w:tc>
          <w:tcPr>
            <w:tcW w:w="6320" w:type="dxa"/>
            <w:vAlign w:val="bottom"/>
            <w:gridSpan w:val="4"/>
          </w:tcPr>
          <w:p>
            <w:pPr>
              <w:ind w:left="1280"/>
              <w:spacing w:after="0"/>
              <w:rPr>
                <w:sz w:val="20"/>
                <w:szCs w:val="20"/>
                <w:color w:val="auto"/>
              </w:rPr>
            </w:pPr>
            <w:r>
              <w:rPr>
                <w:rFonts w:ascii="Arial" w:cs="Arial" w:eastAsia="Arial" w:hAnsi="Arial"/>
                <w:sz w:val="17"/>
                <w:szCs w:val="17"/>
                <w:color w:val="auto"/>
              </w:rPr>
              <w:t>WESTRIDGE HAGGERTY LLC</w:t>
            </w:r>
          </w:p>
        </w:tc>
      </w:tr>
      <w:tr>
        <w:trPr>
          <w:trHeight w:val="379"/>
        </w:trPr>
        <w:tc>
          <w:tcPr>
            <w:tcW w:w="116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ind w:left="1280"/>
              <w:spacing w:after="0"/>
              <w:rPr>
                <w:sz w:val="20"/>
                <w:szCs w:val="20"/>
                <w:color w:val="auto"/>
              </w:rPr>
            </w:pPr>
            <w:r>
              <w:rPr>
                <w:rFonts w:ascii="Arial" w:cs="Arial" w:eastAsia="Arial" w:hAnsi="Arial"/>
                <w:sz w:val="17"/>
                <w:szCs w:val="17"/>
                <w:color w:val="auto"/>
              </w:rPr>
              <w:t>By:</w:t>
            </w:r>
          </w:p>
        </w:tc>
        <w:tc>
          <w:tcPr>
            <w:tcW w:w="2800" w:type="dxa"/>
            <w:vAlign w:val="bottom"/>
            <w:tcBorders>
              <w:bottom w:val="single" w:sz="8" w:color="auto"/>
            </w:tcBorders>
            <w:gridSpan w:val="2"/>
          </w:tcPr>
          <w:p>
            <w:pPr>
              <w:spacing w:after="0"/>
              <w:rPr>
                <w:sz w:val="24"/>
                <w:szCs w:val="24"/>
                <w:color w:val="auto"/>
              </w:rPr>
            </w:pPr>
          </w:p>
        </w:tc>
        <w:tc>
          <w:tcPr>
            <w:tcW w:w="1960" w:type="dxa"/>
            <w:vAlign w:val="bottom"/>
          </w:tcPr>
          <w:p>
            <w:pPr>
              <w:spacing w:after="0"/>
              <w:rPr>
                <w:sz w:val="24"/>
                <w:szCs w:val="24"/>
                <w:color w:val="auto"/>
              </w:rPr>
            </w:pPr>
          </w:p>
        </w:tc>
      </w:tr>
      <w:tr>
        <w:trPr>
          <w:trHeight w:val="200"/>
        </w:trPr>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320" w:type="dxa"/>
            <w:vAlign w:val="bottom"/>
            <w:gridSpan w:val="4"/>
          </w:tcPr>
          <w:p>
            <w:pPr>
              <w:ind w:left="1280"/>
              <w:spacing w:after="0"/>
              <w:rPr>
                <w:sz w:val="20"/>
                <w:szCs w:val="20"/>
                <w:color w:val="auto"/>
              </w:rPr>
            </w:pPr>
            <w:r>
              <w:rPr>
                <w:rFonts w:ascii="Arial" w:cs="Arial" w:eastAsia="Arial" w:hAnsi="Arial"/>
                <w:sz w:val="17"/>
                <w:szCs w:val="17"/>
                <w:color w:val="auto"/>
              </w:rPr>
              <w:t>Name:</w:t>
            </w:r>
          </w:p>
        </w:tc>
      </w:tr>
      <w:tr>
        <w:trPr>
          <w:trHeight w:val="217"/>
        </w:trPr>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320" w:type="dxa"/>
            <w:vAlign w:val="bottom"/>
            <w:gridSpan w:val="4"/>
          </w:tcPr>
          <w:p>
            <w:pPr>
              <w:ind w:left="1280"/>
              <w:spacing w:after="0"/>
              <w:rPr>
                <w:sz w:val="20"/>
                <w:szCs w:val="20"/>
                <w:color w:val="auto"/>
              </w:rPr>
            </w:pPr>
            <w:r>
              <w:rPr>
                <w:rFonts w:ascii="Arial" w:cs="Arial" w:eastAsia="Arial" w:hAnsi="Arial"/>
                <w:sz w:val="17"/>
                <w:szCs w:val="17"/>
                <w:color w:val="auto"/>
              </w:rPr>
              <w:t>Title:</w:t>
            </w:r>
          </w:p>
        </w:tc>
      </w:tr>
      <w:tr>
        <w:trPr>
          <w:trHeight w:val="399"/>
        </w:trPr>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320" w:type="dxa"/>
            <w:vAlign w:val="bottom"/>
            <w:gridSpan w:val="4"/>
          </w:tcPr>
          <w:p>
            <w:pPr>
              <w:ind w:left="1280"/>
              <w:spacing w:after="0"/>
              <w:rPr>
                <w:sz w:val="20"/>
                <w:szCs w:val="20"/>
                <w:color w:val="auto"/>
              </w:rPr>
            </w:pPr>
            <w:r>
              <w:rPr>
                <w:rFonts w:ascii="Arial" w:cs="Arial" w:eastAsia="Arial" w:hAnsi="Arial"/>
                <w:sz w:val="17"/>
                <w:szCs w:val="17"/>
                <w:color w:val="auto"/>
              </w:rPr>
              <w:t>GENTHERM HOLDING (MALTA) LIMITED</w:t>
            </w:r>
          </w:p>
        </w:tc>
      </w:tr>
      <w:tr>
        <w:trPr>
          <w:trHeight w:val="360"/>
        </w:trPr>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ind w:left="1280"/>
              <w:spacing w:after="0"/>
              <w:rPr>
                <w:sz w:val="20"/>
                <w:szCs w:val="20"/>
                <w:color w:val="auto"/>
              </w:rPr>
            </w:pPr>
            <w:r>
              <w:rPr>
                <w:rFonts w:ascii="Arial" w:cs="Arial" w:eastAsia="Arial" w:hAnsi="Arial"/>
                <w:sz w:val="17"/>
                <w:szCs w:val="17"/>
                <w:color w:val="auto"/>
              </w:rPr>
              <w:t>By:</w:t>
            </w:r>
          </w:p>
        </w:tc>
        <w:tc>
          <w:tcPr>
            <w:tcW w:w="1760" w:type="dxa"/>
            <w:vAlign w:val="bottom"/>
            <w:tcBorders>
              <w:bottom w:val="single" w:sz="8" w:color="auto"/>
            </w:tcBorders>
          </w:tcPr>
          <w:p>
            <w:pPr>
              <w:spacing w:after="0"/>
              <w:rPr>
                <w:sz w:val="24"/>
                <w:szCs w:val="24"/>
                <w:color w:val="auto"/>
              </w:rPr>
            </w:pPr>
          </w:p>
        </w:tc>
        <w:tc>
          <w:tcPr>
            <w:tcW w:w="3000" w:type="dxa"/>
            <w:vAlign w:val="bottom"/>
            <w:gridSpan w:val="2"/>
          </w:tcPr>
          <w:p>
            <w:pPr>
              <w:spacing w:after="0"/>
              <w:rPr>
                <w:sz w:val="24"/>
                <w:szCs w:val="24"/>
                <w:color w:val="auto"/>
              </w:rPr>
            </w:pPr>
          </w:p>
        </w:tc>
      </w:tr>
      <w:tr>
        <w:trPr>
          <w:trHeight w:val="200"/>
        </w:trPr>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320" w:type="dxa"/>
            <w:vAlign w:val="bottom"/>
            <w:gridSpan w:val="4"/>
          </w:tcPr>
          <w:p>
            <w:pPr>
              <w:ind w:left="1280"/>
              <w:spacing w:after="0"/>
              <w:rPr>
                <w:sz w:val="20"/>
                <w:szCs w:val="20"/>
                <w:color w:val="auto"/>
              </w:rPr>
            </w:pPr>
            <w:r>
              <w:rPr>
                <w:rFonts w:ascii="Arial" w:cs="Arial" w:eastAsia="Arial" w:hAnsi="Arial"/>
                <w:sz w:val="17"/>
                <w:szCs w:val="17"/>
                <w:color w:val="auto"/>
              </w:rPr>
              <w:t>Name:</w:t>
            </w:r>
          </w:p>
        </w:tc>
      </w:tr>
      <w:tr>
        <w:trPr>
          <w:trHeight w:val="217"/>
        </w:trPr>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320" w:type="dxa"/>
            <w:vAlign w:val="bottom"/>
            <w:gridSpan w:val="4"/>
          </w:tcPr>
          <w:p>
            <w:pPr>
              <w:ind w:left="1280"/>
              <w:spacing w:after="0"/>
              <w:rPr>
                <w:sz w:val="20"/>
                <w:szCs w:val="20"/>
                <w:color w:val="auto"/>
              </w:rPr>
            </w:pPr>
            <w:r>
              <w:rPr>
                <w:rFonts w:ascii="Arial" w:cs="Arial" w:eastAsia="Arial" w:hAnsi="Arial"/>
                <w:sz w:val="17"/>
                <w:szCs w:val="17"/>
                <w:color w:val="auto"/>
              </w:rPr>
              <w:t>Title:</w:t>
            </w:r>
          </w:p>
        </w:tc>
      </w:tr>
      <w:tr>
        <w:trPr>
          <w:trHeight w:val="399"/>
        </w:trPr>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320" w:type="dxa"/>
            <w:vAlign w:val="bottom"/>
            <w:gridSpan w:val="4"/>
          </w:tcPr>
          <w:p>
            <w:pPr>
              <w:ind w:left="1240"/>
              <w:spacing w:after="0"/>
              <w:rPr>
                <w:sz w:val="20"/>
                <w:szCs w:val="20"/>
                <w:color w:val="auto"/>
              </w:rPr>
            </w:pPr>
            <w:r>
              <w:rPr>
                <w:rFonts w:ascii="Arial" w:cs="Arial" w:eastAsia="Arial" w:hAnsi="Arial"/>
                <w:sz w:val="17"/>
                <w:szCs w:val="17"/>
                <w:color w:val="auto"/>
              </w:rPr>
              <w:t>GENTHERM AUTOMOTIVE SYSTEMS (MALTA) LIMITED</w:t>
            </w:r>
          </w:p>
        </w:tc>
      </w:tr>
      <w:tr>
        <w:trPr>
          <w:trHeight w:val="360"/>
        </w:trPr>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ind w:left="1280"/>
              <w:spacing w:after="0"/>
              <w:rPr>
                <w:sz w:val="20"/>
                <w:szCs w:val="20"/>
                <w:color w:val="auto"/>
              </w:rPr>
            </w:pPr>
            <w:r>
              <w:rPr>
                <w:rFonts w:ascii="Arial" w:cs="Arial" w:eastAsia="Arial" w:hAnsi="Arial"/>
                <w:sz w:val="17"/>
                <w:szCs w:val="17"/>
                <w:color w:val="auto"/>
              </w:rPr>
              <w:t>By:</w:t>
            </w:r>
          </w:p>
        </w:tc>
        <w:tc>
          <w:tcPr>
            <w:tcW w:w="1760" w:type="dxa"/>
            <w:vAlign w:val="bottom"/>
            <w:tcBorders>
              <w:bottom w:val="single" w:sz="8" w:color="auto"/>
            </w:tcBorders>
          </w:tcPr>
          <w:p>
            <w:pPr>
              <w:spacing w:after="0"/>
              <w:rPr>
                <w:sz w:val="24"/>
                <w:szCs w:val="24"/>
                <w:color w:val="auto"/>
              </w:rPr>
            </w:pPr>
          </w:p>
        </w:tc>
        <w:tc>
          <w:tcPr>
            <w:tcW w:w="3000" w:type="dxa"/>
            <w:vAlign w:val="bottom"/>
            <w:gridSpan w:val="2"/>
          </w:tcPr>
          <w:p>
            <w:pPr>
              <w:spacing w:after="0"/>
              <w:rPr>
                <w:sz w:val="24"/>
                <w:szCs w:val="24"/>
                <w:color w:val="auto"/>
              </w:rPr>
            </w:pPr>
          </w:p>
        </w:tc>
      </w:tr>
      <w:tr>
        <w:trPr>
          <w:trHeight w:val="200"/>
        </w:trPr>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320" w:type="dxa"/>
            <w:vAlign w:val="bottom"/>
            <w:gridSpan w:val="4"/>
          </w:tcPr>
          <w:p>
            <w:pPr>
              <w:ind w:left="1280"/>
              <w:spacing w:after="0"/>
              <w:rPr>
                <w:sz w:val="20"/>
                <w:szCs w:val="20"/>
                <w:color w:val="auto"/>
              </w:rPr>
            </w:pPr>
            <w:r>
              <w:rPr>
                <w:rFonts w:ascii="Arial" w:cs="Arial" w:eastAsia="Arial" w:hAnsi="Arial"/>
                <w:sz w:val="17"/>
                <w:szCs w:val="17"/>
                <w:color w:val="auto"/>
              </w:rPr>
              <w:t>Name:</w:t>
            </w:r>
          </w:p>
        </w:tc>
      </w:tr>
      <w:tr>
        <w:trPr>
          <w:trHeight w:val="217"/>
        </w:trPr>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320" w:type="dxa"/>
            <w:vAlign w:val="bottom"/>
            <w:gridSpan w:val="4"/>
          </w:tcPr>
          <w:p>
            <w:pPr>
              <w:ind w:left="1280"/>
              <w:spacing w:after="0"/>
              <w:rPr>
                <w:sz w:val="20"/>
                <w:szCs w:val="20"/>
                <w:color w:val="auto"/>
              </w:rPr>
            </w:pPr>
            <w:r>
              <w:rPr>
                <w:rFonts w:ascii="Arial" w:cs="Arial" w:eastAsia="Arial" w:hAnsi="Arial"/>
                <w:sz w:val="17"/>
                <w:szCs w:val="17"/>
                <w:color w:val="auto"/>
              </w:rPr>
              <w:t>Title:</w:t>
            </w:r>
          </w:p>
        </w:tc>
      </w:tr>
      <w:tr>
        <w:trPr>
          <w:trHeight w:val="399"/>
        </w:trPr>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320" w:type="dxa"/>
            <w:vAlign w:val="bottom"/>
            <w:gridSpan w:val="4"/>
          </w:tcPr>
          <w:p>
            <w:pPr>
              <w:ind w:left="1240"/>
              <w:spacing w:after="0"/>
              <w:rPr>
                <w:sz w:val="20"/>
                <w:szCs w:val="20"/>
                <w:color w:val="auto"/>
              </w:rPr>
            </w:pPr>
            <w:r>
              <w:rPr>
                <w:rFonts w:ascii="Arial" w:cs="Arial" w:eastAsia="Arial" w:hAnsi="Arial"/>
                <w:sz w:val="17"/>
                <w:szCs w:val="17"/>
                <w:color w:val="auto"/>
                <w:w w:val="97"/>
              </w:rPr>
              <w:t>GENTHERM HUNGARY KORLÁTOLT FELELŐSSÉGŰ TÁRSASÁG</w:t>
            </w:r>
          </w:p>
        </w:tc>
      </w:tr>
      <w:tr>
        <w:trPr>
          <w:trHeight w:val="360"/>
        </w:trPr>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ind w:left="1280"/>
              <w:spacing w:after="0"/>
              <w:rPr>
                <w:sz w:val="20"/>
                <w:szCs w:val="20"/>
                <w:color w:val="auto"/>
              </w:rPr>
            </w:pPr>
            <w:r>
              <w:rPr>
                <w:rFonts w:ascii="Arial" w:cs="Arial" w:eastAsia="Arial" w:hAnsi="Arial"/>
                <w:sz w:val="17"/>
                <w:szCs w:val="17"/>
                <w:color w:val="auto"/>
              </w:rPr>
              <w:t>By:</w:t>
            </w:r>
          </w:p>
        </w:tc>
        <w:tc>
          <w:tcPr>
            <w:tcW w:w="1760" w:type="dxa"/>
            <w:vAlign w:val="bottom"/>
            <w:tcBorders>
              <w:bottom w:val="single" w:sz="8" w:color="auto"/>
            </w:tcBorders>
          </w:tcPr>
          <w:p>
            <w:pPr>
              <w:spacing w:after="0"/>
              <w:rPr>
                <w:sz w:val="24"/>
                <w:szCs w:val="24"/>
                <w:color w:val="auto"/>
              </w:rPr>
            </w:pPr>
          </w:p>
        </w:tc>
        <w:tc>
          <w:tcPr>
            <w:tcW w:w="3000" w:type="dxa"/>
            <w:vAlign w:val="bottom"/>
            <w:gridSpan w:val="2"/>
          </w:tcPr>
          <w:p>
            <w:pPr>
              <w:spacing w:after="0"/>
              <w:rPr>
                <w:sz w:val="24"/>
                <w:szCs w:val="24"/>
                <w:color w:val="auto"/>
              </w:rPr>
            </w:pPr>
          </w:p>
        </w:tc>
      </w:tr>
      <w:tr>
        <w:trPr>
          <w:trHeight w:val="200"/>
        </w:trPr>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320" w:type="dxa"/>
            <w:vAlign w:val="bottom"/>
            <w:gridSpan w:val="4"/>
          </w:tcPr>
          <w:p>
            <w:pPr>
              <w:ind w:left="1280"/>
              <w:spacing w:after="0"/>
              <w:rPr>
                <w:sz w:val="20"/>
                <w:szCs w:val="20"/>
                <w:color w:val="auto"/>
              </w:rPr>
            </w:pPr>
            <w:r>
              <w:rPr>
                <w:rFonts w:ascii="Arial" w:cs="Arial" w:eastAsia="Arial" w:hAnsi="Arial"/>
                <w:sz w:val="17"/>
                <w:szCs w:val="17"/>
                <w:color w:val="auto"/>
              </w:rPr>
              <w:t>Name:</w:t>
            </w:r>
          </w:p>
        </w:tc>
      </w:tr>
      <w:tr>
        <w:trPr>
          <w:trHeight w:val="217"/>
        </w:trPr>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320" w:type="dxa"/>
            <w:vAlign w:val="bottom"/>
            <w:gridSpan w:val="4"/>
          </w:tcPr>
          <w:p>
            <w:pPr>
              <w:ind w:left="1280"/>
              <w:spacing w:after="0"/>
              <w:rPr>
                <w:sz w:val="20"/>
                <w:szCs w:val="20"/>
                <w:color w:val="auto"/>
              </w:rPr>
            </w:pPr>
            <w:r>
              <w:rPr>
                <w:rFonts w:ascii="Arial" w:cs="Arial" w:eastAsia="Arial" w:hAnsi="Arial"/>
                <w:sz w:val="17"/>
                <w:szCs w:val="17"/>
                <w:color w:val="auto"/>
              </w:rPr>
              <w:t>Title:</w:t>
            </w:r>
          </w:p>
        </w:tc>
      </w:tr>
      <w:tr>
        <w:trPr>
          <w:trHeight w:val="360"/>
        </w:trPr>
        <w:tc>
          <w:tcPr>
            <w:tcW w:w="3340" w:type="dxa"/>
            <w:vAlign w:val="bottom"/>
            <w:gridSpan w:val="3"/>
          </w:tcPr>
          <w:p>
            <w:pPr>
              <w:spacing w:after="0"/>
              <w:rPr>
                <w:sz w:val="20"/>
                <w:szCs w:val="20"/>
                <w:color w:val="auto"/>
              </w:rPr>
            </w:pPr>
            <w:r>
              <w:rPr>
                <w:rFonts w:ascii="Arial" w:cs="Arial" w:eastAsia="Arial" w:hAnsi="Arial"/>
                <w:sz w:val="17"/>
                <w:szCs w:val="17"/>
                <w:color w:val="auto"/>
              </w:rPr>
              <w:t>ADMINISTRATIVE AGENT:</w:t>
            </w:r>
          </w:p>
        </w:tc>
        <w:tc>
          <w:tcPr>
            <w:tcW w:w="6320" w:type="dxa"/>
            <w:vAlign w:val="bottom"/>
            <w:gridSpan w:val="4"/>
          </w:tcPr>
          <w:p>
            <w:pPr>
              <w:ind w:left="1240"/>
              <w:spacing w:after="0"/>
              <w:rPr>
                <w:sz w:val="20"/>
                <w:szCs w:val="20"/>
                <w:color w:val="auto"/>
              </w:rPr>
            </w:pPr>
            <w:r>
              <w:rPr>
                <w:rFonts w:ascii="Arial" w:cs="Arial" w:eastAsia="Arial" w:hAnsi="Arial"/>
                <w:sz w:val="17"/>
                <w:szCs w:val="17"/>
                <w:color w:val="auto"/>
              </w:rPr>
              <w:t>BANK OF AMERICA, N.A.,</w:t>
            </w:r>
          </w:p>
        </w:tc>
      </w:tr>
      <w:tr>
        <w:trPr>
          <w:trHeight w:val="218"/>
        </w:trPr>
        <w:tc>
          <w:tcPr>
            <w:tcW w:w="1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6320" w:type="dxa"/>
            <w:vAlign w:val="bottom"/>
            <w:gridSpan w:val="4"/>
          </w:tcPr>
          <w:p>
            <w:pPr>
              <w:ind w:left="1280"/>
              <w:spacing w:after="0"/>
              <w:rPr>
                <w:sz w:val="20"/>
                <w:szCs w:val="20"/>
                <w:color w:val="auto"/>
              </w:rPr>
            </w:pPr>
            <w:r>
              <w:rPr>
                <w:rFonts w:ascii="Arial" w:cs="Arial" w:eastAsia="Arial" w:hAnsi="Arial"/>
                <w:sz w:val="17"/>
                <w:szCs w:val="17"/>
                <w:color w:val="auto"/>
              </w:rPr>
              <w:t>as Administrative Agent</w:t>
            </w:r>
          </w:p>
        </w:tc>
      </w:tr>
      <w:tr>
        <w:trPr>
          <w:trHeight w:val="360"/>
        </w:trPr>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ind w:left="1280"/>
              <w:spacing w:after="0"/>
              <w:rPr>
                <w:sz w:val="20"/>
                <w:szCs w:val="20"/>
                <w:color w:val="auto"/>
              </w:rPr>
            </w:pPr>
            <w:r>
              <w:rPr>
                <w:rFonts w:ascii="Arial" w:cs="Arial" w:eastAsia="Arial" w:hAnsi="Arial"/>
                <w:sz w:val="17"/>
                <w:szCs w:val="17"/>
                <w:color w:val="auto"/>
              </w:rPr>
              <w:t>By:</w:t>
            </w:r>
          </w:p>
        </w:tc>
        <w:tc>
          <w:tcPr>
            <w:tcW w:w="1760" w:type="dxa"/>
            <w:vAlign w:val="bottom"/>
            <w:tcBorders>
              <w:bottom w:val="single" w:sz="8" w:color="auto"/>
            </w:tcBorders>
          </w:tcPr>
          <w:p>
            <w:pPr>
              <w:spacing w:after="0"/>
              <w:rPr>
                <w:sz w:val="24"/>
                <w:szCs w:val="24"/>
                <w:color w:val="auto"/>
              </w:rPr>
            </w:pPr>
          </w:p>
        </w:tc>
        <w:tc>
          <w:tcPr>
            <w:tcW w:w="3000" w:type="dxa"/>
            <w:vAlign w:val="bottom"/>
            <w:gridSpan w:val="2"/>
          </w:tcPr>
          <w:p>
            <w:pPr>
              <w:spacing w:after="0"/>
              <w:rPr>
                <w:sz w:val="24"/>
                <w:szCs w:val="24"/>
                <w:color w:val="auto"/>
              </w:rPr>
            </w:pPr>
          </w:p>
        </w:tc>
      </w:tr>
      <w:tr>
        <w:trPr>
          <w:trHeight w:val="200"/>
        </w:trPr>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320" w:type="dxa"/>
            <w:vAlign w:val="bottom"/>
            <w:gridSpan w:val="4"/>
          </w:tcPr>
          <w:p>
            <w:pPr>
              <w:ind w:left="1280"/>
              <w:spacing w:after="0"/>
              <w:rPr>
                <w:sz w:val="20"/>
                <w:szCs w:val="20"/>
                <w:color w:val="auto"/>
              </w:rPr>
            </w:pPr>
            <w:r>
              <w:rPr>
                <w:rFonts w:ascii="Arial" w:cs="Arial" w:eastAsia="Arial" w:hAnsi="Arial"/>
                <w:sz w:val="17"/>
                <w:szCs w:val="17"/>
                <w:color w:val="auto"/>
              </w:rPr>
              <w:t>Name:</w:t>
            </w:r>
          </w:p>
        </w:tc>
      </w:tr>
      <w:tr>
        <w:trPr>
          <w:trHeight w:val="217"/>
        </w:trPr>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320" w:type="dxa"/>
            <w:vAlign w:val="bottom"/>
            <w:gridSpan w:val="4"/>
          </w:tcPr>
          <w:p>
            <w:pPr>
              <w:ind w:left="1280"/>
              <w:spacing w:after="0"/>
              <w:rPr>
                <w:sz w:val="20"/>
                <w:szCs w:val="20"/>
                <w:color w:val="auto"/>
              </w:rPr>
            </w:pPr>
            <w:r>
              <w:rPr>
                <w:rFonts w:ascii="Arial" w:cs="Arial" w:eastAsia="Arial" w:hAnsi="Arial"/>
                <w:sz w:val="17"/>
                <w:szCs w:val="17"/>
                <w:color w:val="auto"/>
              </w:rPr>
              <w:t>Title:</w:t>
            </w:r>
          </w:p>
        </w:tc>
      </w:tr>
    </w:tbl>
    <w:p>
      <w:pPr>
        <w:sectPr>
          <w:pgSz w:w="11900" w:h="16838" w:orient="portrait"/>
          <w:cols w:equalWidth="0" w:num="1">
            <w:col w:w="10219"/>
          </w:cols>
          <w:pgMar w:left="240" w:top="296" w:right="1440" w:bottom="1440" w:gutter="0" w:footer="0" w:header="0"/>
        </w:sectPr>
      </w:pPr>
    </w:p>
    <w:bookmarkStart w:id="181" w:name="page182"/>
    <w:bookmarkEnd w:id="181"/>
    <w:p>
      <w:pPr>
        <w:jc w:val="right"/>
        <w:spacing w:after="0"/>
        <w:rPr>
          <w:sz w:val="20"/>
          <w:szCs w:val="20"/>
          <w:color w:val="auto"/>
        </w:rPr>
      </w:pPr>
      <w:r>
        <w:rPr>
          <w:rFonts w:ascii="Arial" w:cs="Arial" w:eastAsia="Arial" w:hAnsi="Arial"/>
          <w:sz w:val="17"/>
          <w:szCs w:val="17"/>
          <w:b w:val="1"/>
          <w:bCs w:val="1"/>
          <w:i w:val="1"/>
          <w:iCs w:val="1"/>
          <w:color w:val="auto"/>
        </w:rPr>
        <w:t>EXHIBIT J</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FORM OF GERMAN SHARE PLEDGE AGREEMENT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Registrant hereby agrees to furnish supplementally a copy of this omitted Exhibit to the Commission upon request.]</w:t>
      </w:r>
    </w:p>
    <w:p>
      <w:pPr>
        <w:sectPr>
          <w:pgSz w:w="11900" w:h="16838" w:orient="portrait"/>
          <w:cols w:equalWidth="0" w:num="1">
            <w:col w:w="11280"/>
          </w:cols>
          <w:pgMar w:left="240" w:top="313" w:right="379" w:bottom="1440" w:gutter="0" w:footer="0" w:header="0"/>
        </w:sectPr>
      </w:pPr>
    </w:p>
    <w:bookmarkStart w:id="182" w:name="page183"/>
    <w:bookmarkEnd w:id="182"/>
    <w:p>
      <w:pPr>
        <w:jc w:val="right"/>
        <w:spacing w:after="0"/>
        <w:rPr>
          <w:sz w:val="20"/>
          <w:szCs w:val="20"/>
          <w:color w:val="auto"/>
        </w:rPr>
      </w:pPr>
      <w:r>
        <w:rPr>
          <w:rFonts w:ascii="Arial" w:cs="Arial" w:eastAsia="Arial" w:hAnsi="Arial"/>
          <w:sz w:val="17"/>
          <w:szCs w:val="17"/>
          <w:b w:val="1"/>
          <w:bCs w:val="1"/>
          <w:i w:val="1"/>
          <w:iCs w:val="1"/>
          <w:color w:val="auto"/>
        </w:rPr>
        <w:t>EXHIBIT K</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FORM OF GERMAN PARALLEL DEBT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Registrant hereby agrees to furnish supplementally a copy of this omitted Exhibit to the Commission upon request.]</w:t>
      </w:r>
    </w:p>
    <w:p>
      <w:pPr>
        <w:sectPr>
          <w:pgSz w:w="11900" w:h="16838" w:orient="portrait"/>
          <w:cols w:equalWidth="0" w:num="1">
            <w:col w:w="11280"/>
          </w:cols>
          <w:pgMar w:left="240" w:top="313" w:right="379" w:bottom="1440" w:gutter="0" w:footer="0" w:header="0"/>
        </w:sectPr>
      </w:pPr>
    </w:p>
    <w:bookmarkStart w:id="183" w:name="page184"/>
    <w:bookmarkEnd w:id="183"/>
    <w:p>
      <w:pPr>
        <w:jc w:val="right"/>
        <w:spacing w:after="0"/>
        <w:rPr>
          <w:sz w:val="20"/>
          <w:szCs w:val="20"/>
          <w:color w:val="auto"/>
        </w:rPr>
      </w:pPr>
      <w:r>
        <w:rPr>
          <w:rFonts w:ascii="Arial" w:cs="Arial" w:eastAsia="Arial" w:hAnsi="Arial"/>
          <w:sz w:val="16"/>
          <w:szCs w:val="16"/>
          <w:b w:val="1"/>
          <w:bCs w:val="1"/>
          <w:color w:val="auto"/>
        </w:rPr>
        <w:t>Exhibit 10.2</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PLEDGE AND SECURITY AGREEMENT</w:t>
      </w:r>
    </w:p>
    <w:p>
      <w:pPr>
        <w:spacing w:after="0" w:line="195" w:lineRule="exact"/>
        <w:rPr>
          <w:sz w:val="20"/>
          <w:szCs w:val="20"/>
          <w:color w:val="auto"/>
        </w:rPr>
      </w:pPr>
    </w:p>
    <w:p>
      <w:pPr>
        <w:jc w:val="both"/>
        <w:ind w:firstLine="519"/>
        <w:spacing w:after="0" w:line="249" w:lineRule="auto"/>
        <w:rPr>
          <w:sz w:val="20"/>
          <w:szCs w:val="20"/>
          <w:color w:val="auto"/>
        </w:rPr>
      </w:pPr>
      <w:r>
        <w:rPr>
          <w:rFonts w:ascii="Arial" w:cs="Arial" w:eastAsia="Arial" w:hAnsi="Arial"/>
          <w:sz w:val="16"/>
          <w:szCs w:val="16"/>
          <w:color w:val="auto"/>
        </w:rPr>
        <w:t>This PLEDGE AND SECURITY AGREEMENT, dated as of August 7, 2014 (as amended, restated, extended, supplemented or otherwise modified from time to time, this “</w:t>
      </w:r>
      <w:r>
        <w:rPr>
          <w:rFonts w:ascii="Arial" w:cs="Arial" w:eastAsia="Arial" w:hAnsi="Arial"/>
          <w:sz w:val="16"/>
          <w:szCs w:val="16"/>
          <w:u w:val="single" w:color="auto"/>
          <w:color w:val="auto"/>
        </w:rPr>
        <w:t>Security Agreement</w:t>
      </w:r>
      <w:r>
        <w:rPr>
          <w:rFonts w:ascii="Arial" w:cs="Arial" w:eastAsia="Arial" w:hAnsi="Arial"/>
          <w:sz w:val="16"/>
          <w:szCs w:val="16"/>
          <w:color w:val="auto"/>
        </w:rPr>
        <w:t>”), is made by GENTHERM INCORPORATED, a Michigan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and each Guarantor (terms used in the preamble and the recitals have the definitions set forth in or incorporated by reference in </w:t>
      </w:r>
      <w:r>
        <w:rPr>
          <w:rFonts w:ascii="Arial" w:cs="Arial" w:eastAsia="Arial" w:hAnsi="Arial"/>
          <w:sz w:val="16"/>
          <w:szCs w:val="16"/>
          <w:u w:val="single" w:color="auto"/>
          <w:color w:val="auto"/>
        </w:rPr>
        <w:t>Article I</w:t>
      </w:r>
      <w:r>
        <w:rPr>
          <w:rFonts w:ascii="Arial" w:cs="Arial" w:eastAsia="Arial" w:hAnsi="Arial"/>
          <w:sz w:val="16"/>
          <w:szCs w:val="16"/>
          <w:color w:val="auto"/>
        </w:rPr>
        <w:t>) from time to time party to this Security Agreement (each individually, a “</w:t>
      </w:r>
      <w:r>
        <w:rPr>
          <w:rFonts w:ascii="Arial" w:cs="Arial" w:eastAsia="Arial" w:hAnsi="Arial"/>
          <w:sz w:val="16"/>
          <w:szCs w:val="16"/>
          <w:u w:val="single" w:color="auto"/>
          <w:color w:val="auto"/>
        </w:rPr>
        <w:t>Grantor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Grantors</w:t>
      </w:r>
      <w:r>
        <w:rPr>
          <w:rFonts w:ascii="Arial" w:cs="Arial" w:eastAsia="Arial" w:hAnsi="Arial"/>
          <w:sz w:val="16"/>
          <w:szCs w:val="16"/>
          <w:color w:val="auto"/>
        </w:rPr>
        <w:t>”), in favor of BANK OF AMERICA, N.A., as the administrative agent (together with its successor(s) thereto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each of the Secured Parties.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 I T N E S S E T H:</w:t>
      </w:r>
    </w:p>
    <w:p>
      <w:pPr>
        <w:spacing w:after="0" w:line="191" w:lineRule="exact"/>
        <w:rPr>
          <w:sz w:val="20"/>
          <w:szCs w:val="20"/>
          <w:color w:val="auto"/>
        </w:rPr>
      </w:pPr>
    </w:p>
    <w:p>
      <w:pPr>
        <w:jc w:val="both"/>
        <w:ind w:firstLine="519"/>
        <w:spacing w:after="0" w:line="268" w:lineRule="auto"/>
        <w:rPr>
          <w:sz w:val="20"/>
          <w:szCs w:val="20"/>
          <w:color w:val="auto"/>
        </w:rPr>
      </w:pPr>
      <w:r>
        <w:rPr>
          <w:rFonts w:ascii="Arial" w:cs="Arial" w:eastAsia="Arial" w:hAnsi="Arial"/>
          <w:sz w:val="15"/>
          <w:szCs w:val="15"/>
          <w:color w:val="auto"/>
        </w:rPr>
        <w:t>WHEREAS, pursuant to that certain Credit Agreement, dated as of the date hereof (as amended, restated, extended, supplemented or otherwise modified from time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among the Company, Gentherm GmbH, a German limited liability company (“</w:t>
      </w:r>
      <w:r>
        <w:rPr>
          <w:rFonts w:ascii="Arial" w:cs="Arial" w:eastAsia="Arial" w:hAnsi="Arial"/>
          <w:sz w:val="15"/>
          <w:szCs w:val="15"/>
          <w:u w:val="single" w:color="auto"/>
          <w:color w:val="auto"/>
        </w:rPr>
        <w:t>Gentherm Germany</w:t>
      </w:r>
      <w:r>
        <w:rPr>
          <w:rFonts w:ascii="Arial" w:cs="Arial" w:eastAsia="Arial" w:hAnsi="Arial"/>
          <w:sz w:val="15"/>
          <w:szCs w:val="15"/>
          <w:color w:val="auto"/>
        </w:rPr>
        <w:t>”), Gentherm (Texas), Inc., a Texas corporation (“</w:t>
      </w:r>
      <w:r>
        <w:rPr>
          <w:rFonts w:ascii="Arial" w:cs="Arial" w:eastAsia="Arial" w:hAnsi="Arial"/>
          <w:sz w:val="15"/>
          <w:szCs w:val="15"/>
          <w:u w:val="single" w:color="auto"/>
          <w:color w:val="auto"/>
        </w:rPr>
        <w:t>Gentherm Texas</w:t>
      </w:r>
      <w:r>
        <w:rPr>
          <w:rFonts w:ascii="Arial" w:cs="Arial" w:eastAsia="Arial" w:hAnsi="Arial"/>
          <w:sz w:val="15"/>
          <w:szCs w:val="15"/>
          <w:color w:val="auto"/>
        </w:rPr>
        <w:t>” and, together with the Company, the “</w:t>
      </w:r>
      <w:r>
        <w:rPr>
          <w:rFonts w:ascii="Arial" w:cs="Arial" w:eastAsia="Arial" w:hAnsi="Arial"/>
          <w:sz w:val="15"/>
          <w:szCs w:val="15"/>
          <w:u w:val="single" w:color="auto"/>
          <w:color w:val="auto"/>
        </w:rPr>
        <w:t>U.S. Borrowers</w:t>
      </w:r>
      <w:r>
        <w:rPr>
          <w:rFonts w:ascii="Arial" w:cs="Arial" w:eastAsia="Arial" w:hAnsi="Arial"/>
          <w:sz w:val="15"/>
          <w:szCs w:val="15"/>
          <w:color w:val="auto"/>
        </w:rPr>
        <w:t>”), Gentherm Canada Ltd., an Ontario corporation (“</w:t>
      </w:r>
      <w:r>
        <w:rPr>
          <w:rFonts w:ascii="Arial" w:cs="Arial" w:eastAsia="Arial" w:hAnsi="Arial"/>
          <w:sz w:val="15"/>
          <w:szCs w:val="15"/>
          <w:u w:val="single" w:color="auto"/>
          <w:color w:val="auto"/>
        </w:rPr>
        <w:t>Gentherm Canada</w:t>
      </w:r>
      <w:r>
        <w:rPr>
          <w:rFonts w:ascii="Arial" w:cs="Arial" w:eastAsia="Arial" w:hAnsi="Arial"/>
          <w:sz w:val="15"/>
          <w:szCs w:val="15"/>
          <w:color w:val="auto"/>
        </w:rPr>
        <w:t>”), Global Thermoelectric Inc., an Alberta corporation (“</w:t>
      </w:r>
      <w:r>
        <w:rPr>
          <w:rFonts w:ascii="Arial" w:cs="Arial" w:eastAsia="Arial" w:hAnsi="Arial"/>
          <w:sz w:val="15"/>
          <w:szCs w:val="15"/>
          <w:u w:val="single" w:color="auto"/>
          <w:color w:val="auto"/>
        </w:rPr>
        <w:t>Global</w:t>
      </w:r>
      <w:r>
        <w:rPr>
          <w:rFonts w:ascii="Arial" w:cs="Arial" w:eastAsia="Arial" w:hAnsi="Arial"/>
          <w:sz w:val="15"/>
          <w:szCs w:val="15"/>
          <w:color w:val="auto"/>
        </w:rPr>
        <w:t>” and, together with Gentherm Canada, the “</w:t>
      </w:r>
      <w:r>
        <w:rPr>
          <w:rFonts w:ascii="Arial" w:cs="Arial" w:eastAsia="Arial" w:hAnsi="Arial"/>
          <w:sz w:val="15"/>
          <w:szCs w:val="15"/>
          <w:u w:val="single" w:color="auto"/>
          <w:color w:val="auto"/>
        </w:rPr>
        <w:t>Canadian Borrowers</w:t>
      </w:r>
      <w:r>
        <w:rPr>
          <w:rFonts w:ascii="Arial" w:cs="Arial" w:eastAsia="Arial" w:hAnsi="Arial"/>
          <w:sz w:val="15"/>
          <w:szCs w:val="15"/>
          <w:color w:val="auto"/>
        </w:rPr>
        <w:t>” and, together with Gentherm Canada, the U.S. Borrowers and Gentherm Germany, the “</w:t>
      </w:r>
      <w:r>
        <w:rPr>
          <w:rFonts w:ascii="Arial" w:cs="Arial" w:eastAsia="Arial" w:hAnsi="Arial"/>
          <w:sz w:val="15"/>
          <w:szCs w:val="15"/>
          <w:u w:val="single" w:color="auto"/>
          <w:color w:val="auto"/>
        </w:rPr>
        <w:t>Borrowers</w:t>
      </w:r>
      <w:r>
        <w:rPr>
          <w:rFonts w:ascii="Arial" w:cs="Arial" w:eastAsia="Arial" w:hAnsi="Arial"/>
          <w:sz w:val="15"/>
          <w:szCs w:val="15"/>
          <w:color w:val="auto"/>
        </w:rPr>
        <w:t>” and each, a “</w:t>
      </w:r>
      <w:r>
        <w:rPr>
          <w:rFonts w:ascii="Arial" w:cs="Arial" w:eastAsia="Arial" w:hAnsi="Arial"/>
          <w:sz w:val="15"/>
          <w:szCs w:val="15"/>
          <w:u w:val="single" w:color="auto"/>
          <w:color w:val="auto"/>
        </w:rPr>
        <w:t>Borrower</w:t>
      </w:r>
      <w:r>
        <w:rPr>
          <w:rFonts w:ascii="Arial" w:cs="Arial" w:eastAsia="Arial" w:hAnsi="Arial"/>
          <w:sz w:val="15"/>
          <w:szCs w:val="15"/>
          <w:color w:val="auto"/>
        </w:rPr>
        <w:t>”), each lender from time to time party thereto and Bank of America, N.A., as Administrative Agent, Swing Line Lender and L/C Issuer, the Lenders have extended Commitments to make Loans to and maintain Loans with the Borrowers; and</w:t>
      </w:r>
    </w:p>
    <w:p>
      <w:pPr>
        <w:spacing w:after="0" w:line="157" w:lineRule="exact"/>
        <w:rPr>
          <w:sz w:val="20"/>
          <w:szCs w:val="20"/>
          <w:color w:val="auto"/>
        </w:rPr>
      </w:pPr>
    </w:p>
    <w:p>
      <w:pPr>
        <w:jc w:val="both"/>
        <w:ind w:firstLine="519"/>
        <w:spacing w:after="0" w:line="264" w:lineRule="auto"/>
        <w:rPr>
          <w:sz w:val="20"/>
          <w:szCs w:val="20"/>
          <w:color w:val="auto"/>
        </w:rPr>
      </w:pPr>
      <w:r>
        <w:rPr>
          <w:rFonts w:ascii="Arial" w:cs="Arial" w:eastAsia="Arial" w:hAnsi="Arial"/>
          <w:sz w:val="16"/>
          <w:szCs w:val="16"/>
          <w:color w:val="auto"/>
        </w:rPr>
        <w:t>WHEREAS, as a condition precedent to making and maintaining the Loans under the Credit Agreement, each Grantor is required to execute and deliver this Security Agreement;</w:t>
      </w:r>
    </w:p>
    <w:p>
      <w:pPr>
        <w:spacing w:after="0" w:line="158" w:lineRule="exact"/>
        <w:rPr>
          <w:sz w:val="20"/>
          <w:szCs w:val="20"/>
          <w:color w:val="auto"/>
        </w:rPr>
      </w:pPr>
    </w:p>
    <w:p>
      <w:pPr>
        <w:jc w:val="both"/>
        <w:ind w:firstLine="519"/>
        <w:spacing w:after="0" w:line="254" w:lineRule="auto"/>
        <w:rPr>
          <w:sz w:val="20"/>
          <w:szCs w:val="20"/>
          <w:color w:val="auto"/>
        </w:rPr>
      </w:pPr>
      <w:r>
        <w:rPr>
          <w:rFonts w:ascii="Arial" w:cs="Arial" w:eastAsia="Arial" w:hAnsi="Arial"/>
          <w:sz w:val="16"/>
          <w:szCs w:val="16"/>
          <w:color w:val="auto"/>
        </w:rPr>
        <w:t>NOW, THEREFORE, for good and valuable consideration, the receipt and sufficiency of which are hereby acknowledged, and in order to induce the Lenders and the L/C Issuer to make and maintain the Credit Extensions and to induce the Secured Parties to enter into Secured Swap Agreements and Secured Treasury Management Agreements, each Grantor agrees, for the benefit of each Secured Party, as follows: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DEFINITIONS</w:t>
      </w:r>
    </w:p>
    <w:p>
      <w:pPr>
        <w:spacing w:after="0" w:line="191" w:lineRule="exact"/>
        <w:rPr>
          <w:sz w:val="20"/>
          <w:szCs w:val="20"/>
          <w:color w:val="auto"/>
        </w:rPr>
      </w:pPr>
    </w:p>
    <w:p>
      <w:pPr>
        <w:jc w:val="both"/>
        <w:ind w:right="20" w:firstLine="519"/>
        <w:spacing w:after="0" w:line="269" w:lineRule="auto"/>
        <w:rPr>
          <w:sz w:val="20"/>
          <w:szCs w:val="20"/>
          <w:color w:val="auto"/>
        </w:rPr>
      </w:pPr>
      <w:r>
        <w:rPr>
          <w:rFonts w:ascii="Arial" w:cs="Arial" w:eastAsia="Arial" w:hAnsi="Arial"/>
          <w:sz w:val="16"/>
          <w:szCs w:val="16"/>
          <w:b w:val="1"/>
          <w:bCs w:val="1"/>
          <w:color w:val="auto"/>
        </w:rPr>
        <w:t xml:space="preserve">SECTION 1.1. </w:t>
      </w:r>
      <w:r>
        <w:rPr>
          <w:rFonts w:ascii="Arial" w:cs="Arial" w:eastAsia="Arial" w:hAnsi="Arial"/>
          <w:sz w:val="16"/>
          <w:szCs w:val="16"/>
          <w:b w:val="1"/>
          <w:bCs w:val="1"/>
          <w:u w:val="single" w:color="auto"/>
          <w:color w:val="auto"/>
        </w:rPr>
        <w:t>Certain Terms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terms (whether or not underscored) when used in this Security Agreement, including its preamble and recitals, shall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meanings (such definitions to be equally applicable to the singular and plural forms thereof):</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the preamble</w:t>
      </w:r>
      <w:r>
        <w:rPr>
          <w:rFonts w:ascii="Arial" w:cs="Arial" w:eastAsia="Arial" w:hAnsi="Arial"/>
          <w:sz w:val="16"/>
          <w:szCs w:val="16"/>
          <w:color w:val="auto"/>
        </w:rPr>
        <w:t>.</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w:t>
      </w:r>
      <w:r>
        <w:rPr>
          <w:rFonts w:ascii="Arial" w:cs="Arial" w:eastAsia="Arial" w:hAnsi="Arial"/>
          <w:sz w:val="16"/>
          <w:szCs w:val="16"/>
          <w:color w:val="auto"/>
        </w:rPr>
        <w:t>.</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Account</w:t>
      </w:r>
      <w:r>
        <w:rPr>
          <w:rFonts w:ascii="Arial" w:cs="Arial" w:eastAsia="Arial" w:hAnsi="Arial"/>
          <w:sz w:val="16"/>
          <w:szCs w:val="16"/>
          <w:color w:val="auto"/>
        </w:rPr>
        <w:t xml:space="preserve">” is defined in clause (b) of </w:t>
      </w:r>
      <w:r>
        <w:rPr>
          <w:rFonts w:ascii="Arial" w:cs="Arial" w:eastAsia="Arial" w:hAnsi="Arial"/>
          <w:sz w:val="16"/>
          <w:szCs w:val="16"/>
          <w:u w:val="single" w:color="auto"/>
          <w:color w:val="auto"/>
        </w:rPr>
        <w:t>Section 4.3</w:t>
      </w:r>
      <w:r>
        <w:rPr>
          <w:rFonts w:ascii="Arial" w:cs="Arial" w:eastAsia="Arial" w:hAnsi="Arial"/>
          <w:sz w:val="16"/>
          <w:szCs w:val="16"/>
          <w:color w:val="auto"/>
        </w:rPr>
        <w:t>.</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 is defined in the </w:t>
      </w:r>
      <w:r>
        <w:rPr>
          <w:rFonts w:ascii="Arial" w:cs="Arial" w:eastAsia="Arial" w:hAnsi="Arial"/>
          <w:sz w:val="16"/>
          <w:szCs w:val="16"/>
          <w:u w:val="single" w:color="auto"/>
          <w:color w:val="auto"/>
        </w:rPr>
        <w:t>preamble.</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Computer Hardware and Software Collateral</w:t>
      </w:r>
      <w:r>
        <w:rPr>
          <w:rFonts w:ascii="Arial" w:cs="Arial" w:eastAsia="Arial" w:hAnsi="Arial"/>
          <w:sz w:val="16"/>
          <w:szCs w:val="16"/>
          <w:color w:val="auto"/>
        </w:rPr>
        <w:t>” means all of the Grantors’ right, title and interest throughout the world in and to:</w:t>
      </w:r>
    </w:p>
    <w:p>
      <w:pPr>
        <w:spacing w:after="0" w:line="97" w:lineRule="exact"/>
        <w:rPr>
          <w:sz w:val="20"/>
          <w:szCs w:val="20"/>
          <w:color w:val="auto"/>
        </w:rPr>
      </w:pPr>
    </w:p>
    <w:p>
      <w:pPr>
        <w:jc w:val="both"/>
        <w:ind w:left="520" w:right="20" w:firstLine="488"/>
        <w:spacing w:after="0" w:line="341" w:lineRule="auto"/>
        <w:tabs>
          <w:tab w:leader="none" w:pos="1250" w:val="left"/>
        </w:tabs>
        <w:numPr>
          <w:ilvl w:val="0"/>
          <w:numId w:val="204"/>
        </w:numPr>
        <w:rPr>
          <w:rFonts w:ascii="Arial" w:cs="Arial" w:eastAsia="Arial" w:hAnsi="Arial"/>
          <w:sz w:val="13"/>
          <w:szCs w:val="13"/>
          <w:color w:val="auto"/>
        </w:rPr>
      </w:pPr>
      <w:r>
        <w:rPr>
          <w:rFonts w:ascii="Arial" w:cs="Arial" w:eastAsia="Arial" w:hAnsi="Arial"/>
          <w:sz w:val="13"/>
          <w:szCs w:val="13"/>
          <w:color w:val="auto"/>
        </w:rPr>
        <w:t>all computer and other electronic data processing hardware, integrated computer systems, central processing units, memory units, display terminals, printers, features, computer elements, card readers, tape drives, hard and soft disk drives, cables, electrical supply hardware, generators, power equalizers, accessories and all peripheral devices and other related computer hardware, including all operating system software, utilities and application programs in whatsoever form;</w:t>
      </w:r>
    </w:p>
    <w:p>
      <w:pPr>
        <w:spacing w:after="0" w:line="19" w:lineRule="exact"/>
        <w:rPr>
          <w:rFonts w:ascii="Arial" w:cs="Arial" w:eastAsia="Arial" w:hAnsi="Arial"/>
          <w:sz w:val="13"/>
          <w:szCs w:val="13"/>
          <w:color w:val="auto"/>
        </w:rPr>
      </w:pPr>
    </w:p>
    <w:p>
      <w:pPr>
        <w:ind w:left="520" w:right="20" w:firstLine="488"/>
        <w:spacing w:after="0" w:line="264" w:lineRule="auto"/>
        <w:tabs>
          <w:tab w:leader="none" w:pos="1258"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all software programs (including source code, object code and all related applications and data files), designed for use on the computers and electronic data processing hardware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w:t>
      </w:r>
    </w:p>
    <w:p>
      <w:pPr>
        <w:spacing w:after="0" w:line="64" w:lineRule="exact"/>
        <w:rPr>
          <w:rFonts w:ascii="Arial" w:cs="Arial" w:eastAsia="Arial" w:hAnsi="Arial"/>
          <w:sz w:val="16"/>
          <w:szCs w:val="16"/>
          <w:color w:val="auto"/>
        </w:rPr>
      </w:pPr>
    </w:p>
    <w:p>
      <w:pPr>
        <w:ind w:left="1220" w:hanging="212"/>
        <w:spacing w:after="0"/>
        <w:tabs>
          <w:tab w:leader="none" w:pos="122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all firmware associated therewith;</w:t>
      </w:r>
    </w:p>
    <w:p>
      <w:pPr>
        <w:spacing w:after="0" w:line="97" w:lineRule="exact"/>
        <w:rPr>
          <w:rFonts w:ascii="Arial" w:cs="Arial" w:eastAsia="Arial" w:hAnsi="Arial"/>
          <w:sz w:val="16"/>
          <w:szCs w:val="16"/>
          <w:color w:val="auto"/>
        </w:rPr>
      </w:pPr>
    </w:p>
    <w:p>
      <w:pPr>
        <w:ind w:left="520" w:right="20" w:firstLine="488"/>
        <w:spacing w:after="0" w:line="264" w:lineRule="auto"/>
        <w:tabs>
          <w:tab w:leader="none" w:pos="1263"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all documentation (including flow charts, logic diagrams, manuals, guides, specifications, training materials, charts and pseudo codes) with respect to such hardware, software and firmware described in the preceding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(c)</w:t>
      </w:r>
      <w:r>
        <w:rPr>
          <w:rFonts w:ascii="Arial" w:cs="Arial" w:eastAsia="Arial" w:hAnsi="Arial"/>
          <w:sz w:val="16"/>
          <w:szCs w:val="16"/>
          <w:color w:val="auto"/>
        </w:rPr>
        <w:t>; and</w:t>
      </w:r>
    </w:p>
    <w:p>
      <w:pPr>
        <w:sectPr>
          <w:pgSz w:w="11900" w:h="16838" w:orient="portrait"/>
          <w:cols w:equalWidth="0" w:num="1">
            <w:col w:w="11440"/>
          </w:cols>
          <w:pgMar w:left="240" w:top="334" w:right="219" w:bottom="1440" w:gutter="0" w:footer="0" w:header="0"/>
        </w:sectPr>
      </w:pPr>
    </w:p>
    <w:bookmarkStart w:id="184" w:name="page185"/>
    <w:bookmarkEnd w:id="184"/>
    <w:p>
      <w:pPr>
        <w:jc w:val="both"/>
        <w:ind w:left="520" w:firstLine="489"/>
        <w:spacing w:after="0" w:line="254" w:lineRule="auto"/>
        <w:tabs>
          <w:tab w:leader="none" w:pos="1248"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all rights with respect to all of the foregoing, including copyrights, licenses, options, warranties, service contracts, program services, test rights, maintenance rights, support rights, improvement rights, renewal rights and indemnifications and any substitutions, replacements, improvements, error corrections, updates, additions or model conversions of any of the foregoing.</w:t>
      </w:r>
    </w:p>
    <w:p>
      <w:pPr>
        <w:spacing w:after="0" w:line="166" w:lineRule="exact"/>
        <w:rPr>
          <w:sz w:val="20"/>
          <w:szCs w:val="20"/>
          <w:color w:val="auto"/>
        </w:rPr>
      </w:pPr>
    </w:p>
    <w:p>
      <w:pPr>
        <w:ind w:right="20" w:firstLine="519"/>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 Agreement</w:t>
      </w:r>
      <w:r>
        <w:rPr>
          <w:rFonts w:ascii="Arial" w:cs="Arial" w:eastAsia="Arial" w:hAnsi="Arial"/>
          <w:sz w:val="16"/>
          <w:szCs w:val="16"/>
          <w:color w:val="auto"/>
        </w:rPr>
        <w:t>” means an authenticated record in form and substance reasonably satisfactory to the Administrative Agent that provides for the Administrative Agent to have “control” (as defined in the UCC) over certain Collateral.</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Copyright Collateral</w:t>
      </w:r>
      <w:r>
        <w:rPr>
          <w:rFonts w:ascii="Arial" w:cs="Arial" w:eastAsia="Arial" w:hAnsi="Arial"/>
          <w:sz w:val="16"/>
          <w:szCs w:val="16"/>
          <w:color w:val="auto"/>
        </w:rPr>
        <w:t>” means all of the Grantors’ right, title and interest throughout the world in and to:</w:t>
      </w:r>
    </w:p>
    <w:p>
      <w:pPr>
        <w:spacing w:after="0" w:line="97" w:lineRule="exact"/>
        <w:rPr>
          <w:sz w:val="20"/>
          <w:szCs w:val="20"/>
          <w:color w:val="auto"/>
        </w:rPr>
      </w:pPr>
    </w:p>
    <w:p>
      <w:pPr>
        <w:jc w:val="both"/>
        <w:ind w:left="520" w:firstLine="488"/>
        <w:spacing w:after="0" w:line="254" w:lineRule="auto"/>
        <w:tabs>
          <w:tab w:leader="none" w:pos="1245" w:val="left"/>
        </w:tabs>
        <w:numPr>
          <w:ilvl w:val="1"/>
          <w:numId w:val="206"/>
        </w:numPr>
        <w:rPr>
          <w:rFonts w:ascii="Arial" w:cs="Arial" w:eastAsia="Arial" w:hAnsi="Arial"/>
          <w:sz w:val="16"/>
          <w:szCs w:val="16"/>
          <w:color w:val="auto"/>
        </w:rPr>
      </w:pPr>
      <w:r>
        <w:rPr>
          <w:rFonts w:ascii="Arial" w:cs="Arial" w:eastAsia="Arial" w:hAnsi="Arial"/>
          <w:sz w:val="16"/>
          <w:szCs w:val="16"/>
          <w:color w:val="auto"/>
        </w:rPr>
        <w:t>all copyrights, registered or unregistered and whether published or unpublished, now or hereafter in force including copyrights registered in the United States Copyright Office and corresponding offices in other countries of the world, and registrations and recordings thereof and all applications for registration thereof, whether pending or in preparation and all extensions and renewals of the foregoing (“</w:t>
      </w:r>
      <w:r>
        <w:rPr>
          <w:rFonts w:ascii="Arial" w:cs="Arial" w:eastAsia="Arial" w:hAnsi="Arial"/>
          <w:sz w:val="16"/>
          <w:szCs w:val="16"/>
          <w:u w:val="single" w:color="auto"/>
          <w:color w:val="auto"/>
        </w:rPr>
        <w:t>Copyrights</w:t>
      </w:r>
      <w:r>
        <w:rPr>
          <w:rFonts w:ascii="Arial" w:cs="Arial" w:eastAsia="Arial" w:hAnsi="Arial"/>
          <w:sz w:val="16"/>
          <w:szCs w:val="16"/>
          <w:color w:val="auto"/>
        </w:rPr>
        <w:t>”);</w:t>
      </w:r>
    </w:p>
    <w:p>
      <w:pPr>
        <w:spacing w:after="0" w:line="72" w:lineRule="exact"/>
        <w:rPr>
          <w:rFonts w:ascii="Arial" w:cs="Arial" w:eastAsia="Arial" w:hAnsi="Arial"/>
          <w:sz w:val="16"/>
          <w:szCs w:val="16"/>
          <w:color w:val="auto"/>
        </w:rPr>
      </w:pPr>
    </w:p>
    <w:p>
      <w:pPr>
        <w:ind w:left="1240" w:hanging="232"/>
        <w:spacing w:after="0"/>
        <w:tabs>
          <w:tab w:leader="none" w:pos="1240" w:val="left"/>
        </w:tabs>
        <w:numPr>
          <w:ilvl w:val="1"/>
          <w:numId w:val="206"/>
        </w:numPr>
        <w:rPr>
          <w:rFonts w:ascii="Arial" w:cs="Arial" w:eastAsia="Arial" w:hAnsi="Arial"/>
          <w:sz w:val="13"/>
          <w:szCs w:val="13"/>
          <w:color w:val="auto"/>
        </w:rPr>
      </w:pPr>
      <w:r>
        <w:rPr>
          <w:rFonts w:ascii="Arial" w:cs="Arial" w:eastAsia="Arial" w:hAnsi="Arial"/>
          <w:sz w:val="13"/>
          <w:szCs w:val="13"/>
          <w:color w:val="auto"/>
        </w:rPr>
        <w:t>all express or implied Copyright licenses and other agreements for the grant by or to such Grantor of any right to use any items of the type referred to in clause</w:t>
      </w:r>
    </w:p>
    <w:p>
      <w:pPr>
        <w:spacing w:after="0" w:line="49" w:lineRule="exact"/>
        <w:rPr>
          <w:rFonts w:ascii="Arial" w:cs="Arial" w:eastAsia="Arial" w:hAnsi="Arial"/>
          <w:sz w:val="13"/>
          <w:szCs w:val="13"/>
          <w:color w:val="auto"/>
        </w:rPr>
      </w:pPr>
    </w:p>
    <w:p>
      <w:pPr>
        <w:ind w:left="720" w:hanging="208"/>
        <w:spacing w:after="0"/>
        <w:tabs>
          <w:tab w:leader="none" w:pos="72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above (each a “</w:t>
      </w:r>
      <w:r>
        <w:rPr>
          <w:rFonts w:ascii="Arial" w:cs="Arial" w:eastAsia="Arial" w:hAnsi="Arial"/>
          <w:sz w:val="16"/>
          <w:szCs w:val="16"/>
          <w:u w:val="single" w:color="auto"/>
          <w:color w:val="auto"/>
        </w:rPr>
        <w:t>Copyright License</w:t>
      </w:r>
      <w:r>
        <w:rPr>
          <w:rFonts w:ascii="Arial" w:cs="Arial" w:eastAsia="Arial" w:hAnsi="Arial"/>
          <w:sz w:val="16"/>
          <w:szCs w:val="16"/>
          <w:color w:val="auto"/>
        </w:rPr>
        <w:t>”), to the extent permitted by any such Copyright License;</w:t>
      </w:r>
    </w:p>
    <w:p>
      <w:pPr>
        <w:spacing w:after="0" w:line="85" w:lineRule="exact"/>
        <w:rPr>
          <w:rFonts w:ascii="Arial" w:cs="Arial" w:eastAsia="Arial" w:hAnsi="Arial"/>
          <w:sz w:val="16"/>
          <w:szCs w:val="16"/>
          <w:color w:val="auto"/>
        </w:rPr>
      </w:pPr>
    </w:p>
    <w:p>
      <w:pPr>
        <w:ind w:left="520" w:firstLine="488"/>
        <w:spacing w:after="0" w:line="264" w:lineRule="auto"/>
        <w:tabs>
          <w:tab w:leader="none" w:pos="1247" w:val="left"/>
        </w:tabs>
        <w:numPr>
          <w:ilvl w:val="1"/>
          <w:numId w:val="207"/>
        </w:numPr>
        <w:rPr>
          <w:rFonts w:ascii="Arial" w:cs="Arial" w:eastAsia="Arial" w:hAnsi="Arial"/>
          <w:sz w:val="16"/>
          <w:szCs w:val="16"/>
          <w:color w:val="auto"/>
        </w:rPr>
      </w:pPr>
      <w:r>
        <w:rPr>
          <w:rFonts w:ascii="Arial" w:cs="Arial" w:eastAsia="Arial" w:hAnsi="Arial"/>
          <w:sz w:val="16"/>
          <w:szCs w:val="16"/>
          <w:color w:val="auto"/>
        </w:rPr>
        <w:t>the right to sue for past, present and future infringements of any of the Copyrights owned by such Grantor, and for breach or enforcement of any Copyright License; and</w:t>
      </w:r>
    </w:p>
    <w:p>
      <w:pPr>
        <w:spacing w:after="0" w:line="64" w:lineRule="exact"/>
        <w:rPr>
          <w:rFonts w:ascii="Arial" w:cs="Arial" w:eastAsia="Arial" w:hAnsi="Arial"/>
          <w:sz w:val="16"/>
          <w:szCs w:val="16"/>
          <w:color w:val="auto"/>
        </w:rPr>
      </w:pPr>
    </w:p>
    <w:p>
      <w:pPr>
        <w:ind w:left="1220" w:hanging="212"/>
        <w:spacing w:after="0"/>
        <w:tabs>
          <w:tab w:leader="none" w:pos="1220" w:val="left"/>
        </w:tabs>
        <w:numPr>
          <w:ilvl w:val="1"/>
          <w:numId w:val="207"/>
        </w:numPr>
        <w:rPr>
          <w:rFonts w:ascii="Arial" w:cs="Arial" w:eastAsia="Arial" w:hAnsi="Arial"/>
          <w:sz w:val="13"/>
          <w:szCs w:val="13"/>
          <w:color w:val="auto"/>
        </w:rPr>
      </w:pPr>
      <w:r>
        <w:rPr>
          <w:rFonts w:ascii="Arial" w:cs="Arial" w:eastAsia="Arial" w:hAnsi="Arial"/>
          <w:sz w:val="13"/>
          <w:szCs w:val="13"/>
          <w:color w:val="auto"/>
        </w:rPr>
        <w:t>all proceeds of, and rights associated with, the foregoing (including Proceeds, licenses, royalties, income, payments, claims, damages and proceeds of infringement</w:t>
      </w:r>
    </w:p>
    <w:p>
      <w:pPr>
        <w:spacing w:after="0" w:line="49"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6"/>
          <w:szCs w:val="16"/>
          <w:color w:val="auto"/>
        </w:rPr>
        <w:t>suits).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w:t>
      </w:r>
      <w:r>
        <w:rPr>
          <w:rFonts w:ascii="Arial" w:cs="Arial" w:eastAsia="Arial" w:hAnsi="Arial"/>
          <w:sz w:val="16"/>
          <w:szCs w:val="16"/>
          <w:color w:val="auto"/>
        </w:rPr>
        <w:t>” is defined in the first recital.</w:t>
      </w:r>
    </w:p>
    <w:p>
      <w:pPr>
        <w:spacing w:after="0" w:line="191" w:lineRule="exact"/>
        <w:rPr>
          <w:sz w:val="20"/>
          <w:szCs w:val="20"/>
          <w:color w:val="auto"/>
        </w:rPr>
      </w:pPr>
    </w:p>
    <w:p>
      <w:pPr>
        <w:jc w:val="both"/>
        <w:ind w:right="20" w:firstLine="519"/>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Distributions</w:t>
      </w:r>
      <w:r>
        <w:rPr>
          <w:rFonts w:ascii="Arial" w:cs="Arial" w:eastAsia="Arial" w:hAnsi="Arial"/>
          <w:sz w:val="16"/>
          <w:szCs w:val="16"/>
          <w:color w:val="auto"/>
        </w:rPr>
        <w:t>” means all dividends paid on Equity Interests, liquidating dividends paid on Equity Interests, shares (or other designations) of Equity Interests resulting from (or in connection with the exercise of) stock splits, reclassifications, warrants, options, non-cash dividends, mergers, consolidations, and all other distributions (whether similar or dissimilar to the foregoing) on or with respect to any Equity Interests constituting Collateral.</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Equity</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7.14</w:t>
      </w:r>
      <w:r>
        <w:rPr>
          <w:rFonts w:ascii="Arial" w:cs="Arial" w:eastAsia="Arial" w:hAnsi="Arial"/>
          <w:sz w:val="16"/>
          <w:szCs w:val="16"/>
          <w:color w:val="auto"/>
        </w:rPr>
        <w:t>.</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Jurisdiction</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7.14</w:t>
      </w:r>
      <w:r>
        <w:rPr>
          <w:rFonts w:ascii="Arial" w:cs="Arial" w:eastAsia="Arial" w:hAnsi="Arial"/>
          <w:sz w:val="16"/>
          <w:szCs w:val="16"/>
          <w:color w:val="auto"/>
        </w:rPr>
        <w:t>.</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Located Assets</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7.14</w:t>
      </w:r>
      <w:r>
        <w:rPr>
          <w:rFonts w:ascii="Arial" w:cs="Arial" w:eastAsia="Arial" w:hAnsi="Arial"/>
          <w:sz w:val="16"/>
          <w:szCs w:val="16"/>
          <w:color w:val="auto"/>
        </w:rPr>
        <w:t>.</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Perfection</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7.14</w:t>
      </w:r>
      <w:r>
        <w:rPr>
          <w:rFonts w:ascii="Arial" w:cs="Arial" w:eastAsia="Arial" w:hAnsi="Arial"/>
          <w:sz w:val="16"/>
          <w:szCs w:val="16"/>
          <w:color w:val="auto"/>
        </w:rPr>
        <w:t>.</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Jurisdiction</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7.14</w:t>
      </w:r>
      <w:r>
        <w:rPr>
          <w:rFonts w:ascii="Arial" w:cs="Arial" w:eastAsia="Arial" w:hAnsi="Arial"/>
          <w:sz w:val="16"/>
          <w:szCs w:val="16"/>
          <w:color w:val="auto"/>
        </w:rPr>
        <w:t>.</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Filing Statements</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3.7(b)</w:t>
      </w:r>
      <w:r>
        <w:rPr>
          <w:rFonts w:ascii="Arial" w:cs="Arial" w:eastAsia="Arial" w:hAnsi="Arial"/>
          <w:sz w:val="16"/>
          <w:szCs w:val="16"/>
          <w:color w:val="auto"/>
        </w:rPr>
        <w:t>.</w:t>
      </w:r>
    </w:p>
    <w:p>
      <w:pPr>
        <w:spacing w:after="0" w:line="191" w:lineRule="exact"/>
        <w:rPr>
          <w:sz w:val="20"/>
          <w:szCs w:val="20"/>
          <w:color w:val="auto"/>
        </w:rPr>
      </w:pPr>
    </w:p>
    <w:p>
      <w:pPr>
        <w:jc w:val="both"/>
        <w:ind w:firstLine="519"/>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General Intangibles</w:t>
      </w:r>
      <w:r>
        <w:rPr>
          <w:rFonts w:ascii="Arial" w:cs="Arial" w:eastAsia="Arial" w:hAnsi="Arial"/>
          <w:sz w:val="16"/>
          <w:szCs w:val="16"/>
          <w:color w:val="auto"/>
        </w:rPr>
        <w:t>” means all “general intangibles” and all “payment intangibles”, each as defined in the UCC, and shall include all interest rate or currency protection or hedging arrangements, all tax refunds, all licenses, permits, concessions and authorizations and all Intellectual Property Collateral (in each case, regardless of whether characterized as general intangibles under the UCC).</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Grantor</w:t>
      </w:r>
      <w:r>
        <w:rPr>
          <w:rFonts w:ascii="Arial" w:cs="Arial" w:eastAsia="Arial" w:hAnsi="Arial"/>
          <w:sz w:val="16"/>
          <w:szCs w:val="16"/>
          <w:color w:val="auto"/>
        </w:rPr>
        <w:t>” and “</w:t>
      </w:r>
      <w:r>
        <w:rPr>
          <w:rFonts w:ascii="Arial" w:cs="Arial" w:eastAsia="Arial" w:hAnsi="Arial"/>
          <w:sz w:val="16"/>
          <w:szCs w:val="16"/>
          <w:u w:val="single" w:color="auto"/>
          <w:color w:val="auto"/>
        </w:rPr>
        <w:t>Grantors</w:t>
      </w:r>
      <w:r>
        <w:rPr>
          <w:rFonts w:ascii="Arial" w:cs="Arial" w:eastAsia="Arial" w:hAnsi="Arial"/>
          <w:sz w:val="16"/>
          <w:szCs w:val="16"/>
          <w:color w:val="auto"/>
        </w:rPr>
        <w:t xml:space="preserve">” are defined in the </w:t>
      </w:r>
      <w:r>
        <w:rPr>
          <w:rFonts w:ascii="Arial" w:cs="Arial" w:eastAsia="Arial" w:hAnsi="Arial"/>
          <w:sz w:val="16"/>
          <w:szCs w:val="16"/>
          <w:u w:val="single" w:color="auto"/>
          <w:color w:val="auto"/>
        </w:rPr>
        <w:t>preamble</w:t>
      </w:r>
      <w:r>
        <w:rPr>
          <w:rFonts w:ascii="Arial" w:cs="Arial" w:eastAsia="Arial" w:hAnsi="Arial"/>
          <w:sz w:val="16"/>
          <w:szCs w:val="16"/>
          <w:color w:val="auto"/>
        </w:rPr>
        <w:t>.</w:t>
      </w:r>
    </w:p>
    <w:p>
      <w:pPr>
        <w:spacing w:after="0" w:line="191" w:lineRule="exact"/>
        <w:rPr>
          <w:sz w:val="20"/>
          <w:szCs w:val="20"/>
          <w:color w:val="auto"/>
        </w:rPr>
      </w:pPr>
    </w:p>
    <w:p>
      <w:pPr>
        <w:jc w:val="both"/>
        <w:ind w:right="20" w:firstLine="519"/>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Trademarks, Patents, Copyrights, Trade Secrets and all other similar types of intellectual property under any Law, statutory provision or common Law doctrine in the United States or anywhere else in the world.</w:t>
      </w:r>
    </w:p>
    <w:p>
      <w:pPr>
        <w:spacing w:after="0" w:line="158" w:lineRule="exact"/>
        <w:rPr>
          <w:sz w:val="20"/>
          <w:szCs w:val="20"/>
          <w:color w:val="auto"/>
        </w:rPr>
      </w:pPr>
    </w:p>
    <w:p>
      <w:pPr>
        <w:jc w:val="both"/>
        <w:ind w:firstLine="519"/>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 Collateral</w:t>
      </w:r>
      <w:r>
        <w:rPr>
          <w:rFonts w:ascii="Arial" w:cs="Arial" w:eastAsia="Arial" w:hAnsi="Arial"/>
          <w:sz w:val="16"/>
          <w:szCs w:val="16"/>
          <w:color w:val="auto"/>
        </w:rPr>
        <w:t>” means, collectively, the Computer Hardware and Software Collateral, the Copyright Collateral, the Patent Collateral, the Trademark Collateral and the Trade Secrets Collateral.</w:t>
      </w:r>
    </w:p>
    <w:p>
      <w:pPr>
        <w:spacing w:after="0" w:line="158" w:lineRule="exact"/>
        <w:rPr>
          <w:sz w:val="20"/>
          <w:szCs w:val="20"/>
          <w:color w:val="auto"/>
        </w:rPr>
      </w:pPr>
    </w:p>
    <w:p>
      <w:pPr>
        <w:jc w:val="both"/>
        <w:ind w:right="20" w:firstLine="519"/>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Owned Intellectual Property Collateral</w:t>
      </w:r>
      <w:r>
        <w:rPr>
          <w:rFonts w:ascii="Arial" w:cs="Arial" w:eastAsia="Arial" w:hAnsi="Arial"/>
          <w:sz w:val="16"/>
          <w:szCs w:val="16"/>
          <w:color w:val="auto"/>
        </w:rPr>
        <w:t>” means all Intellectual Property that is owned by and used in the business of each Grantor that is (a) not licensed to a Grantor pursuant to a Trademark License, Patent License or Copyright License; and (b) not in the public domain.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40"/>
          </w:cols>
          <w:pgMar w:left="240" w:top="432" w:right="219" w:bottom="1440" w:gutter="0" w:footer="0" w:header="0"/>
        </w:sectPr>
      </w:pPr>
    </w:p>
    <w:bookmarkStart w:id="185" w:name="page186"/>
    <w:bookmarkEnd w:id="185"/>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 Collateral</w:t>
      </w:r>
      <w:r>
        <w:rPr>
          <w:rFonts w:ascii="Arial" w:cs="Arial" w:eastAsia="Arial" w:hAnsi="Arial"/>
          <w:sz w:val="16"/>
          <w:szCs w:val="16"/>
          <w:color w:val="auto"/>
        </w:rPr>
        <w:t>” means all of the Grantors’ right, title and interest throughout the world in and to:</w:t>
      </w:r>
    </w:p>
    <w:p>
      <w:pPr>
        <w:spacing w:after="0" w:line="97" w:lineRule="exact"/>
        <w:rPr>
          <w:sz w:val="20"/>
          <w:szCs w:val="20"/>
          <w:color w:val="auto"/>
        </w:rPr>
      </w:pPr>
    </w:p>
    <w:p>
      <w:pPr>
        <w:ind w:left="520" w:right="20" w:firstLine="488"/>
        <w:spacing w:after="0" w:line="376" w:lineRule="auto"/>
        <w:tabs>
          <w:tab w:leader="none" w:pos="1232" w:val="left"/>
        </w:tabs>
        <w:numPr>
          <w:ilvl w:val="0"/>
          <w:numId w:val="208"/>
        </w:numPr>
        <w:rPr>
          <w:rFonts w:ascii="Arial" w:cs="Arial" w:eastAsia="Arial" w:hAnsi="Arial"/>
          <w:sz w:val="13"/>
          <w:szCs w:val="13"/>
          <w:color w:val="auto"/>
        </w:rPr>
      </w:pPr>
      <w:r>
        <w:rPr>
          <w:rFonts w:ascii="Arial" w:cs="Arial" w:eastAsia="Arial" w:hAnsi="Arial"/>
          <w:sz w:val="13"/>
          <w:szCs w:val="13"/>
          <w:color w:val="auto"/>
        </w:rPr>
        <w:t>inventions and discoveries, whether patentable or not, all letters patent and applications for letters patent throughout the world, including all patent applications in preparation for filing and all reissues, divisionals, continuations, continuations-in-part, extensions, renewals and reexaminations of any of the foregoing (“</w:t>
      </w:r>
      <w:r>
        <w:rPr>
          <w:rFonts w:ascii="Arial" w:cs="Arial" w:eastAsia="Arial" w:hAnsi="Arial"/>
          <w:sz w:val="13"/>
          <w:szCs w:val="13"/>
          <w:u w:val="single" w:color="auto"/>
          <w:color w:val="auto"/>
        </w:rPr>
        <w:t>Patents</w:t>
      </w:r>
      <w:r>
        <w:rPr>
          <w:rFonts w:ascii="Arial" w:cs="Arial" w:eastAsia="Arial" w:hAnsi="Arial"/>
          <w:sz w:val="13"/>
          <w:szCs w:val="13"/>
          <w:color w:val="auto"/>
        </w:rPr>
        <w:t>”);</w:t>
      </w:r>
    </w:p>
    <w:p>
      <w:pPr>
        <w:ind w:left="520" w:right="20" w:firstLine="488"/>
        <w:spacing w:after="0" w:line="264" w:lineRule="auto"/>
        <w:tabs>
          <w:tab w:leader="none" w:pos="1239" w:val="left"/>
        </w:tabs>
        <w:numPr>
          <w:ilvl w:val="0"/>
          <w:numId w:val="208"/>
        </w:numPr>
        <w:rPr>
          <w:rFonts w:ascii="Arial" w:cs="Arial" w:eastAsia="Arial" w:hAnsi="Arial"/>
          <w:sz w:val="16"/>
          <w:szCs w:val="16"/>
          <w:color w:val="auto"/>
        </w:rPr>
      </w:pPr>
      <w:r>
        <w:rPr>
          <w:rFonts w:ascii="Arial" w:cs="Arial" w:eastAsia="Arial" w:hAnsi="Arial"/>
          <w:sz w:val="16"/>
          <w:szCs w:val="16"/>
          <w:color w:val="auto"/>
        </w:rPr>
        <w:t>all Patent licenses, and other agreements for the grant by or to such Grantor of any right to use any items of the type referred to in clause (a) above (each a “</w:t>
      </w:r>
      <w:r>
        <w:rPr>
          <w:rFonts w:ascii="Arial" w:cs="Arial" w:eastAsia="Arial" w:hAnsi="Arial"/>
          <w:sz w:val="16"/>
          <w:szCs w:val="16"/>
          <w:u w:val="single" w:color="auto"/>
          <w:color w:val="auto"/>
        </w:rPr>
        <w:t>Patent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License</w:t>
      </w:r>
      <w:r>
        <w:rPr>
          <w:rFonts w:ascii="Arial" w:cs="Arial" w:eastAsia="Arial" w:hAnsi="Arial"/>
          <w:sz w:val="16"/>
          <w:szCs w:val="16"/>
          <w:color w:val="auto"/>
        </w:rPr>
        <w:t>”), to the extent permitted by any such Patent License;</w:t>
      </w:r>
    </w:p>
    <w:p>
      <w:pPr>
        <w:spacing w:after="0" w:line="64" w:lineRule="exact"/>
        <w:rPr>
          <w:rFonts w:ascii="Arial" w:cs="Arial" w:eastAsia="Arial" w:hAnsi="Arial"/>
          <w:sz w:val="16"/>
          <w:szCs w:val="16"/>
          <w:color w:val="auto"/>
        </w:rPr>
      </w:pPr>
    </w:p>
    <w:p>
      <w:pPr>
        <w:ind w:left="1220" w:hanging="212"/>
        <w:spacing w:after="0"/>
        <w:tabs>
          <w:tab w:leader="none" w:pos="1220" w:val="left"/>
        </w:tabs>
        <w:numPr>
          <w:ilvl w:val="0"/>
          <w:numId w:val="208"/>
        </w:numPr>
        <w:rPr>
          <w:rFonts w:ascii="Arial" w:cs="Arial" w:eastAsia="Arial" w:hAnsi="Arial"/>
          <w:sz w:val="13"/>
          <w:szCs w:val="13"/>
          <w:color w:val="auto"/>
        </w:rPr>
      </w:pPr>
      <w:r>
        <w:rPr>
          <w:rFonts w:ascii="Arial" w:cs="Arial" w:eastAsia="Arial" w:hAnsi="Arial"/>
          <w:sz w:val="13"/>
          <w:szCs w:val="13"/>
          <w:color w:val="auto"/>
        </w:rPr>
        <w:t>the right to sue third parties for past, present and future infringements of any Patent or Patent application, and for breach or enforcement of any Patent License; and</w:t>
      </w:r>
    </w:p>
    <w:p>
      <w:pPr>
        <w:spacing w:after="0" w:line="131" w:lineRule="exact"/>
        <w:rPr>
          <w:rFonts w:ascii="Arial" w:cs="Arial" w:eastAsia="Arial" w:hAnsi="Arial"/>
          <w:sz w:val="13"/>
          <w:szCs w:val="13"/>
          <w:color w:val="auto"/>
        </w:rPr>
      </w:pPr>
    </w:p>
    <w:p>
      <w:pPr>
        <w:ind w:left="1220" w:hanging="212"/>
        <w:spacing w:after="0"/>
        <w:tabs>
          <w:tab w:leader="none" w:pos="1220" w:val="left"/>
        </w:tabs>
        <w:numPr>
          <w:ilvl w:val="0"/>
          <w:numId w:val="208"/>
        </w:numPr>
        <w:rPr>
          <w:rFonts w:ascii="Arial" w:cs="Arial" w:eastAsia="Arial" w:hAnsi="Arial"/>
          <w:sz w:val="13"/>
          <w:szCs w:val="13"/>
          <w:color w:val="auto"/>
        </w:rPr>
      </w:pPr>
      <w:r>
        <w:rPr>
          <w:rFonts w:ascii="Arial" w:cs="Arial" w:eastAsia="Arial" w:hAnsi="Arial"/>
          <w:sz w:val="13"/>
          <w:szCs w:val="13"/>
          <w:color w:val="auto"/>
        </w:rPr>
        <w:t>all proceeds of, and rights associated with, the foregoing (including Proceeds, licenses, royalties, income, payments, claims, damages and proceeds of infringement</w:t>
      </w:r>
    </w:p>
    <w:p>
      <w:pPr>
        <w:spacing w:after="0" w:line="49"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6"/>
          <w:szCs w:val="16"/>
          <w:color w:val="auto"/>
        </w:rPr>
        <w:t>suits).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all Liens permitted by Section 7.01 of the Credit Agreement.</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6.2(a)</w:t>
      </w:r>
      <w:r>
        <w:rPr>
          <w:rFonts w:ascii="Arial" w:cs="Arial" w:eastAsia="Arial" w:hAnsi="Arial"/>
          <w:sz w:val="16"/>
          <w:szCs w:val="16"/>
          <w:color w:val="auto"/>
        </w:rPr>
        <w:t>.</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Agreement</w:t>
      </w:r>
      <w:r>
        <w:rPr>
          <w:rFonts w:ascii="Arial" w:cs="Arial" w:eastAsia="Arial" w:hAnsi="Arial"/>
          <w:sz w:val="16"/>
          <w:szCs w:val="16"/>
          <w:color w:val="auto"/>
        </w:rPr>
        <w:t xml:space="preserve">” is defined in the </w:t>
      </w:r>
      <w:r>
        <w:rPr>
          <w:rFonts w:ascii="Arial" w:cs="Arial" w:eastAsia="Arial" w:hAnsi="Arial"/>
          <w:sz w:val="16"/>
          <w:szCs w:val="16"/>
          <w:u w:val="single" w:color="auto"/>
          <w:color w:val="auto"/>
        </w:rPr>
        <w:t>preamble</w:t>
      </w:r>
      <w:r>
        <w:rPr>
          <w:rFonts w:ascii="Arial" w:cs="Arial" w:eastAsia="Arial" w:hAnsi="Arial"/>
          <w:sz w:val="16"/>
          <w:szCs w:val="16"/>
          <w:color w:val="auto"/>
        </w:rPr>
        <w:t>.</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Agreement Supplement</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7.6</w:t>
      </w:r>
      <w:r>
        <w:rPr>
          <w:rFonts w:ascii="Arial" w:cs="Arial" w:eastAsia="Arial" w:hAnsi="Arial"/>
          <w:sz w:val="16"/>
          <w:szCs w:val="16"/>
          <w:color w:val="auto"/>
        </w:rPr>
        <w:t>.</w:t>
      </w:r>
    </w:p>
    <w:p>
      <w:pPr>
        <w:spacing w:after="0" w:line="191" w:lineRule="exact"/>
        <w:rPr>
          <w:sz w:val="20"/>
          <w:szCs w:val="20"/>
          <w:color w:val="auto"/>
        </w:rPr>
      </w:pPr>
    </w:p>
    <w:p>
      <w:pPr>
        <w:jc w:val="both"/>
        <w:ind w:firstLine="519"/>
        <w:spacing w:after="0" w:line="24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Date</w:t>
      </w:r>
      <w:r>
        <w:rPr>
          <w:rFonts w:ascii="Arial" w:cs="Arial" w:eastAsia="Arial" w:hAnsi="Arial"/>
          <w:sz w:val="16"/>
          <w:szCs w:val="16"/>
          <w:color w:val="auto"/>
        </w:rPr>
        <w:t>” means the date on which all Obligations (other than any contingent claims for indemnification or expense reimbursement not yet asserted) have been indefeasibly paid in full in cash, all Letters of Credit have been terminated or expired (other than Letters of Credit as to which other arrangements satisfactory to the Administrative Agent and the L/C Issuer shall have been made; provided that Cash Collateralization of 102% of the undrawn amount of any Letter of Credit shall constitute a satisfactory arrangement), all Secured Swap Agreements have been terminated or have been otherwise provided for on terms reasonably satisfactory to the parties thereto and the Aggregate Revolving Commitments shall have been terminated.</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Trademark Collateral</w:t>
      </w:r>
      <w:r>
        <w:rPr>
          <w:rFonts w:ascii="Arial" w:cs="Arial" w:eastAsia="Arial" w:hAnsi="Arial"/>
          <w:sz w:val="16"/>
          <w:szCs w:val="16"/>
          <w:color w:val="auto"/>
        </w:rPr>
        <w:t>” means all of the Grantors’ right, title and interest throughout the world in and to:</w:t>
      </w:r>
    </w:p>
    <w:p>
      <w:pPr>
        <w:spacing w:after="0" w:line="97" w:lineRule="exact"/>
        <w:rPr>
          <w:sz w:val="20"/>
          <w:szCs w:val="20"/>
          <w:color w:val="auto"/>
        </w:rPr>
      </w:pPr>
    </w:p>
    <w:p>
      <w:pPr>
        <w:jc w:val="both"/>
        <w:ind w:left="520" w:firstLine="488"/>
        <w:spacing w:after="0" w:line="321" w:lineRule="auto"/>
        <w:tabs>
          <w:tab w:leader="none" w:pos="1248" w:val="left"/>
        </w:tabs>
        <w:numPr>
          <w:ilvl w:val="1"/>
          <w:numId w:val="209"/>
        </w:numPr>
        <w:rPr>
          <w:rFonts w:ascii="Arial" w:cs="Arial" w:eastAsia="Arial" w:hAnsi="Arial"/>
          <w:sz w:val="13"/>
          <w:szCs w:val="13"/>
          <w:color w:val="auto"/>
        </w:rPr>
      </w:pPr>
      <w:r>
        <w:rPr>
          <w:rFonts w:ascii="Arial" w:cs="Arial" w:eastAsia="Arial" w:hAnsi="Arial"/>
          <w:sz w:val="13"/>
          <w:szCs w:val="13"/>
          <w:color w:val="auto"/>
        </w:rPr>
        <w:t>(i) all trademarks, trade names, corporate names, company names, business names, fictitious business names, trade styles, service marks, certification marks, collective marks, logos and other source or business identifiers, and all goodwill of the business associated therewith, now existing or hereafter adopted or acquired, whether currently in use or not, all registrations and recordings thereof and all applications in connection therewith, whether pending or in preparation for filing, including registrations, recordings and applications in the United States Patent and Trademark Office and corresponding offices in other countries of the world, and all common-Law rights relating to the foregoing, and (ii) the right to obtain all reissues, extensions or renewals of the foregoing (collectively referred to as “</w:t>
      </w:r>
      <w:r>
        <w:rPr>
          <w:rFonts w:ascii="Arial" w:cs="Arial" w:eastAsia="Arial" w:hAnsi="Arial"/>
          <w:sz w:val="13"/>
          <w:szCs w:val="13"/>
          <w:u w:val="single" w:color="auto"/>
          <w:color w:val="auto"/>
        </w:rPr>
        <w:t>Trademarks</w:t>
      </w:r>
      <w:r>
        <w:rPr>
          <w:rFonts w:ascii="Arial" w:cs="Arial" w:eastAsia="Arial" w:hAnsi="Arial"/>
          <w:sz w:val="13"/>
          <w:szCs w:val="13"/>
          <w:color w:val="auto"/>
        </w:rPr>
        <w:t>”);</w:t>
      </w:r>
    </w:p>
    <w:p>
      <w:pPr>
        <w:spacing w:after="0" w:line="31" w:lineRule="exact"/>
        <w:rPr>
          <w:rFonts w:ascii="Arial" w:cs="Arial" w:eastAsia="Arial" w:hAnsi="Arial"/>
          <w:sz w:val="13"/>
          <w:szCs w:val="13"/>
          <w:color w:val="auto"/>
        </w:rPr>
      </w:pPr>
    </w:p>
    <w:p>
      <w:pPr>
        <w:ind w:left="520" w:firstLine="488"/>
        <w:spacing w:after="0" w:line="264" w:lineRule="auto"/>
        <w:tabs>
          <w:tab w:leader="none" w:pos="1248" w:val="left"/>
        </w:tabs>
        <w:numPr>
          <w:ilvl w:val="1"/>
          <w:numId w:val="209"/>
        </w:numPr>
        <w:rPr>
          <w:rFonts w:ascii="Arial" w:cs="Arial" w:eastAsia="Arial" w:hAnsi="Arial"/>
          <w:sz w:val="16"/>
          <w:szCs w:val="16"/>
          <w:color w:val="auto"/>
        </w:rPr>
      </w:pPr>
      <w:r>
        <w:rPr>
          <w:rFonts w:ascii="Arial" w:cs="Arial" w:eastAsia="Arial" w:hAnsi="Arial"/>
          <w:sz w:val="16"/>
          <w:szCs w:val="16"/>
          <w:color w:val="auto"/>
        </w:rPr>
        <w:t>all Trademark licenses and other agreements for the grant by or to such Grantor of any right to use any Trademark (each a “</w:t>
      </w:r>
      <w:r>
        <w:rPr>
          <w:rFonts w:ascii="Arial" w:cs="Arial" w:eastAsia="Arial" w:hAnsi="Arial"/>
          <w:sz w:val="16"/>
          <w:szCs w:val="16"/>
          <w:u w:val="single" w:color="auto"/>
          <w:color w:val="auto"/>
        </w:rPr>
        <w:t>Trademark License</w:t>
      </w:r>
      <w:r>
        <w:rPr>
          <w:rFonts w:ascii="Arial" w:cs="Arial" w:eastAsia="Arial" w:hAnsi="Arial"/>
          <w:sz w:val="16"/>
          <w:szCs w:val="16"/>
          <w:color w:val="auto"/>
        </w:rPr>
        <w:t>”), to the extent permitted by any such Trademark License;</w:t>
      </w:r>
    </w:p>
    <w:p>
      <w:pPr>
        <w:spacing w:after="0" w:line="64" w:lineRule="exact"/>
        <w:rPr>
          <w:rFonts w:ascii="Arial" w:cs="Arial" w:eastAsia="Arial" w:hAnsi="Arial"/>
          <w:sz w:val="16"/>
          <w:szCs w:val="16"/>
          <w:color w:val="auto"/>
        </w:rPr>
      </w:pPr>
    </w:p>
    <w:p>
      <w:pPr>
        <w:ind w:left="1220" w:hanging="212"/>
        <w:spacing w:after="0"/>
        <w:tabs>
          <w:tab w:leader="none" w:pos="1220" w:val="left"/>
        </w:tabs>
        <w:numPr>
          <w:ilvl w:val="1"/>
          <w:numId w:val="209"/>
        </w:numPr>
        <w:rPr>
          <w:rFonts w:ascii="Arial" w:cs="Arial" w:eastAsia="Arial" w:hAnsi="Arial"/>
          <w:sz w:val="13"/>
          <w:szCs w:val="13"/>
          <w:color w:val="auto"/>
        </w:rPr>
      </w:pPr>
      <w:r>
        <w:rPr>
          <w:rFonts w:ascii="Arial" w:cs="Arial" w:eastAsia="Arial" w:hAnsi="Arial"/>
          <w:sz w:val="13"/>
          <w:szCs w:val="13"/>
          <w:color w:val="auto"/>
        </w:rPr>
        <w:t>all of the goodwill of the business connected with the use of, and symbolized by the Trademarks described in clause (a) and, to the extent applicable, clause (b);</w:t>
      </w:r>
    </w:p>
    <w:p>
      <w:pPr>
        <w:spacing w:after="0" w:line="131" w:lineRule="exact"/>
        <w:rPr>
          <w:rFonts w:ascii="Arial" w:cs="Arial" w:eastAsia="Arial" w:hAnsi="Arial"/>
          <w:sz w:val="13"/>
          <w:szCs w:val="13"/>
          <w:color w:val="auto"/>
        </w:rPr>
      </w:pPr>
    </w:p>
    <w:p>
      <w:pPr>
        <w:ind w:left="1240" w:hanging="232"/>
        <w:spacing w:after="0"/>
        <w:tabs>
          <w:tab w:leader="none" w:pos="1240" w:val="left"/>
        </w:tabs>
        <w:numPr>
          <w:ilvl w:val="1"/>
          <w:numId w:val="209"/>
        </w:numPr>
        <w:rPr>
          <w:rFonts w:ascii="Arial" w:cs="Arial" w:eastAsia="Arial" w:hAnsi="Arial"/>
          <w:sz w:val="13"/>
          <w:szCs w:val="13"/>
          <w:color w:val="auto"/>
        </w:rPr>
      </w:pPr>
      <w:r>
        <w:rPr>
          <w:rFonts w:ascii="Arial" w:cs="Arial" w:eastAsia="Arial" w:hAnsi="Arial"/>
          <w:sz w:val="13"/>
          <w:szCs w:val="13"/>
          <w:color w:val="auto"/>
        </w:rPr>
        <w:t>the right to sue third parties for past, present and future infringements or dilution of the Trademarks described in clause (a) and, to the extent applicable, clause</w:t>
      </w:r>
    </w:p>
    <w:p>
      <w:pPr>
        <w:spacing w:after="0" w:line="49" w:lineRule="exact"/>
        <w:rPr>
          <w:rFonts w:ascii="Arial" w:cs="Arial" w:eastAsia="Arial" w:hAnsi="Arial"/>
          <w:sz w:val="13"/>
          <w:szCs w:val="13"/>
          <w:color w:val="auto"/>
        </w:rPr>
      </w:pPr>
    </w:p>
    <w:p>
      <w:pPr>
        <w:ind w:left="740" w:hanging="228"/>
        <w:spacing w:after="0"/>
        <w:tabs>
          <w:tab w:leader="none" w:pos="74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or for any injury to the goodwill associated with the use of any such Trademark or for breach or enforcement of any Trademark License; and</w:t>
      </w:r>
    </w:p>
    <w:p>
      <w:pPr>
        <w:spacing w:after="0" w:line="85" w:lineRule="exact"/>
        <w:rPr>
          <w:rFonts w:ascii="Arial" w:cs="Arial" w:eastAsia="Arial" w:hAnsi="Arial"/>
          <w:sz w:val="16"/>
          <w:szCs w:val="16"/>
          <w:color w:val="auto"/>
        </w:rPr>
      </w:pPr>
    </w:p>
    <w:p>
      <w:pPr>
        <w:ind w:left="1220" w:hanging="212"/>
        <w:spacing w:after="0"/>
        <w:tabs>
          <w:tab w:leader="none" w:pos="1220" w:val="left"/>
        </w:tabs>
        <w:numPr>
          <w:ilvl w:val="1"/>
          <w:numId w:val="210"/>
        </w:numPr>
        <w:rPr>
          <w:rFonts w:ascii="Arial" w:cs="Arial" w:eastAsia="Arial" w:hAnsi="Arial"/>
          <w:sz w:val="13"/>
          <w:szCs w:val="13"/>
          <w:color w:val="auto"/>
        </w:rPr>
      </w:pPr>
      <w:r>
        <w:rPr>
          <w:rFonts w:ascii="Arial" w:cs="Arial" w:eastAsia="Arial" w:hAnsi="Arial"/>
          <w:sz w:val="13"/>
          <w:szCs w:val="13"/>
          <w:color w:val="auto"/>
        </w:rPr>
        <w:t>all proceeds of, and rights associated with, the foregoing (including Proceeds, licenses, royalties, income, payments, claims, damages and proceeds of infringement</w:t>
      </w:r>
    </w:p>
    <w:p>
      <w:pPr>
        <w:spacing w:after="0" w:line="49"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6"/>
          <w:szCs w:val="16"/>
          <w:color w:val="auto"/>
        </w:rPr>
        <w:t>suits).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 Secrets Collateral</w:t>
      </w:r>
      <w:r>
        <w:rPr>
          <w:rFonts w:ascii="Arial" w:cs="Arial" w:eastAsia="Arial" w:hAnsi="Arial"/>
          <w:sz w:val="16"/>
          <w:szCs w:val="16"/>
          <w:color w:val="auto"/>
        </w:rPr>
        <w:t>” means all of the Grantors’ right, title and interest throughout the world in and to:</w:t>
      </w:r>
    </w:p>
    <w:p>
      <w:pPr>
        <w:spacing w:after="0" w:line="97" w:lineRule="exact"/>
        <w:rPr>
          <w:sz w:val="20"/>
          <w:szCs w:val="20"/>
          <w:color w:val="auto"/>
        </w:rPr>
      </w:pPr>
    </w:p>
    <w:p>
      <w:pPr>
        <w:jc w:val="both"/>
        <w:ind w:left="520" w:right="20" w:firstLine="488"/>
        <w:spacing w:after="0" w:line="254" w:lineRule="auto"/>
        <w:tabs>
          <w:tab w:leader="none" w:pos="1247" w:val="left"/>
        </w:tabs>
        <w:numPr>
          <w:ilvl w:val="0"/>
          <w:numId w:val="211"/>
        </w:numPr>
        <w:rPr>
          <w:rFonts w:ascii="Arial" w:cs="Arial" w:eastAsia="Arial" w:hAnsi="Arial"/>
          <w:sz w:val="16"/>
          <w:szCs w:val="16"/>
          <w:color w:val="auto"/>
        </w:rPr>
      </w:pPr>
      <w:r>
        <w:rPr>
          <w:rFonts w:ascii="Arial" w:cs="Arial" w:eastAsia="Arial" w:hAnsi="Arial"/>
          <w:sz w:val="16"/>
          <w:szCs w:val="16"/>
          <w:color w:val="auto"/>
        </w:rPr>
        <w:t>all common Law and statutory trade secrets and all other confidential, proprietary or useful information and all know-how (collectively referred to as “</w:t>
      </w:r>
      <w:r>
        <w:rPr>
          <w:rFonts w:ascii="Arial" w:cs="Arial" w:eastAsia="Arial" w:hAnsi="Arial"/>
          <w:sz w:val="16"/>
          <w:szCs w:val="16"/>
          <w:u w:val="single" w:color="auto"/>
          <w:color w:val="auto"/>
        </w:rPr>
        <w:t>Trade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Secrets</w:t>
      </w:r>
      <w:r>
        <w:rPr>
          <w:rFonts w:ascii="Arial" w:cs="Arial" w:eastAsia="Arial" w:hAnsi="Arial"/>
          <w:sz w:val="16"/>
          <w:szCs w:val="16"/>
          <w:color w:val="auto"/>
        </w:rPr>
        <w:t>”) obtained by or used in or contemplated at any time for use in the business of a Grantor, whether or not such Trade Secret has been reduced to a writing or other tangible form, including all documents and things embodying, incorporating or referring in any way to such Trade Secret;</w:t>
      </w:r>
    </w:p>
    <w:p>
      <w:pPr>
        <w:spacing w:after="0" w:line="72" w:lineRule="exact"/>
        <w:rPr>
          <w:rFonts w:ascii="Arial" w:cs="Arial" w:eastAsia="Arial" w:hAnsi="Arial"/>
          <w:sz w:val="16"/>
          <w:szCs w:val="16"/>
          <w:color w:val="auto"/>
        </w:rPr>
      </w:pPr>
    </w:p>
    <w:p>
      <w:pPr>
        <w:jc w:val="both"/>
        <w:ind w:left="520" w:firstLine="488"/>
        <w:spacing w:after="0" w:line="254" w:lineRule="auto"/>
        <w:tabs>
          <w:tab w:leader="none" w:pos="1244" w:val="left"/>
        </w:tabs>
        <w:numPr>
          <w:ilvl w:val="0"/>
          <w:numId w:val="211"/>
        </w:numPr>
        <w:rPr>
          <w:rFonts w:ascii="Arial" w:cs="Arial" w:eastAsia="Arial" w:hAnsi="Arial"/>
          <w:sz w:val="16"/>
          <w:szCs w:val="16"/>
          <w:color w:val="auto"/>
        </w:rPr>
      </w:pPr>
      <w:r>
        <w:rPr>
          <w:rFonts w:ascii="Arial" w:cs="Arial" w:eastAsia="Arial" w:hAnsi="Arial"/>
          <w:sz w:val="16"/>
          <w:szCs w:val="16"/>
          <w:color w:val="auto"/>
        </w:rPr>
        <w:t>all Trade Secret licenses and other agreements for the grant by or to such Grantor of any right to use any Trade Secret (each a “</w:t>
      </w:r>
      <w:r>
        <w:rPr>
          <w:rFonts w:ascii="Arial" w:cs="Arial" w:eastAsia="Arial" w:hAnsi="Arial"/>
          <w:sz w:val="16"/>
          <w:szCs w:val="16"/>
          <w:u w:val="single" w:color="auto"/>
          <w:color w:val="auto"/>
        </w:rPr>
        <w:t>Trade Secret License</w:t>
      </w:r>
      <w:r>
        <w:rPr>
          <w:rFonts w:ascii="Arial" w:cs="Arial" w:eastAsia="Arial" w:hAnsi="Arial"/>
          <w:sz w:val="16"/>
          <w:szCs w:val="16"/>
          <w:color w:val="auto"/>
        </w:rPr>
        <w:t>”) including the right to sue for and to enjoin and to collect damages for the actual or threatened misappropriation of any Trade Secret and for the breach or enforcement of any such Trade Secret License, to the extent permitted by any such Trade Secret License;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40"/>
          </w:cols>
          <w:pgMar w:left="240" w:top="526" w:right="219" w:bottom="1440" w:gutter="0" w:footer="0" w:header="0"/>
        </w:sectPr>
      </w:pPr>
    </w:p>
    <w:bookmarkStart w:id="186" w:name="page187"/>
    <w:bookmarkEnd w:id="186"/>
    <w:p>
      <w:pPr>
        <w:ind w:left="1000"/>
        <w:spacing w:after="0"/>
        <w:rPr>
          <w:sz w:val="20"/>
          <w:szCs w:val="20"/>
          <w:color w:val="auto"/>
        </w:rPr>
      </w:pPr>
      <w:r>
        <w:rPr>
          <w:rFonts w:ascii="Arial" w:cs="Arial" w:eastAsia="Arial" w:hAnsi="Arial"/>
          <w:sz w:val="13"/>
          <w:szCs w:val="13"/>
          <w:color w:val="auto"/>
        </w:rPr>
        <w:t>(c) all proceeds of, and rights associated with, the foregoing (including Proceeds, licenses, royalties, income, payments, claims, damages and proceeds of infringement</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suits).</w:t>
      </w:r>
    </w:p>
    <w:p>
      <w:pPr>
        <w:spacing w:after="0" w:line="175" w:lineRule="exact"/>
        <w:rPr>
          <w:sz w:val="20"/>
          <w:szCs w:val="20"/>
          <w:color w:val="auto"/>
        </w:rPr>
      </w:pPr>
    </w:p>
    <w:p>
      <w:pPr>
        <w:jc w:val="both"/>
        <w:ind w:firstLine="519"/>
        <w:spacing w:after="0" w:line="269" w:lineRule="auto"/>
        <w:rPr>
          <w:sz w:val="20"/>
          <w:szCs w:val="20"/>
          <w:color w:val="auto"/>
        </w:rPr>
      </w:pPr>
      <w:r>
        <w:rPr>
          <w:rFonts w:ascii="Arial" w:cs="Arial" w:eastAsia="Arial" w:hAnsi="Arial"/>
          <w:sz w:val="16"/>
          <w:szCs w:val="16"/>
          <w:b w:val="1"/>
          <w:bCs w:val="1"/>
          <w:color w:val="auto"/>
        </w:rPr>
        <w:t xml:space="preserve">SECTION 1.2. </w:t>
      </w:r>
      <w:r>
        <w:rPr>
          <w:rFonts w:ascii="Arial" w:cs="Arial" w:eastAsia="Arial" w:hAnsi="Arial"/>
          <w:sz w:val="16"/>
          <w:szCs w:val="16"/>
          <w:b w:val="1"/>
          <w:bCs w:val="1"/>
          <w:u w:val="single" w:color="auto"/>
          <w:color w:val="auto"/>
        </w:rPr>
        <w:t>Credit Agreement Definitions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Unless otherwise defined herein or the context otherwise requires, terms used in this Security Agreement, including its</w:t>
      </w:r>
      <w:r>
        <w:rPr>
          <w:rFonts w:ascii="Arial" w:cs="Arial" w:eastAsia="Arial" w:hAnsi="Arial"/>
          <w:sz w:val="16"/>
          <w:szCs w:val="16"/>
          <w:b w:val="1"/>
          <w:bCs w:val="1"/>
          <w:color w:val="auto"/>
        </w:rPr>
        <w:t xml:space="preserve"> </w:t>
      </w:r>
      <w:r>
        <w:rPr>
          <w:rFonts w:ascii="Arial" w:cs="Arial" w:eastAsia="Arial" w:hAnsi="Arial"/>
          <w:sz w:val="16"/>
          <w:szCs w:val="16"/>
          <w:color w:val="auto"/>
        </w:rPr>
        <w:t>preamble and recitals, have the meanings provided in the Credit Agreement.</w:t>
      </w:r>
    </w:p>
    <w:p>
      <w:pPr>
        <w:spacing w:after="0" w:line="150" w:lineRule="exact"/>
        <w:rPr>
          <w:sz w:val="20"/>
          <w:szCs w:val="20"/>
          <w:color w:val="auto"/>
        </w:rPr>
      </w:pPr>
    </w:p>
    <w:p>
      <w:pPr>
        <w:jc w:val="both"/>
        <w:ind w:firstLine="519"/>
        <w:spacing w:after="0" w:line="253" w:lineRule="auto"/>
        <w:rPr>
          <w:sz w:val="20"/>
          <w:szCs w:val="20"/>
          <w:color w:val="auto"/>
        </w:rPr>
      </w:pPr>
      <w:r>
        <w:rPr>
          <w:rFonts w:ascii="Arial" w:cs="Arial" w:eastAsia="Arial" w:hAnsi="Arial"/>
          <w:sz w:val="16"/>
          <w:szCs w:val="16"/>
          <w:b w:val="1"/>
          <w:bCs w:val="1"/>
          <w:color w:val="auto"/>
        </w:rPr>
        <w:t xml:space="preserve">SECTION 1.3. </w:t>
      </w:r>
      <w:r>
        <w:rPr>
          <w:rFonts w:ascii="Arial" w:cs="Arial" w:eastAsia="Arial" w:hAnsi="Arial"/>
          <w:sz w:val="16"/>
          <w:szCs w:val="16"/>
          <w:b w:val="1"/>
          <w:bCs w:val="1"/>
          <w:u w:val="single" w:color="auto"/>
          <w:color w:val="auto"/>
        </w:rPr>
        <w:t>UCC Definitions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When used herein the terms Account, Certificated Securities, Chattel Paper, Commercial Tort Claim, Commodity Account, Commodity</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 Deposit Account, Document, Electronic Chattel Paper, Equipment, Goods, Instrument, Inventory, Investment Property, Letter-of-Credit Rights, Payment Intangibles, Proceeds, Promissory Notes, Securities Account, Security Entitlement, Supporting Obligations and Uncertificated Securities have the meaning provided in Article 8 or Article 9, as applicable, of the UCC. Letters of Credit has the meaning provided in Section 5-102 of the UCC.</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2.</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SECURITY INTEREST</w:t>
      </w:r>
    </w:p>
    <w:p>
      <w:pPr>
        <w:spacing w:after="0" w:line="191" w:lineRule="exact"/>
        <w:rPr>
          <w:sz w:val="20"/>
          <w:szCs w:val="20"/>
          <w:color w:val="auto"/>
        </w:rPr>
      </w:pPr>
    </w:p>
    <w:p>
      <w:pPr>
        <w:jc w:val="both"/>
        <w:ind w:firstLine="519"/>
        <w:spacing w:after="0" w:line="257" w:lineRule="auto"/>
        <w:rPr>
          <w:sz w:val="20"/>
          <w:szCs w:val="20"/>
          <w:color w:val="auto"/>
        </w:rPr>
      </w:pPr>
      <w:r>
        <w:rPr>
          <w:rFonts w:ascii="Arial" w:cs="Arial" w:eastAsia="Arial" w:hAnsi="Arial"/>
          <w:sz w:val="16"/>
          <w:szCs w:val="16"/>
          <w:b w:val="1"/>
          <w:bCs w:val="1"/>
          <w:color w:val="auto"/>
        </w:rPr>
        <w:t xml:space="preserve">SECTION 2.1. </w:t>
      </w:r>
      <w:r>
        <w:rPr>
          <w:rFonts w:ascii="Arial" w:cs="Arial" w:eastAsia="Arial" w:hAnsi="Arial"/>
          <w:sz w:val="16"/>
          <w:szCs w:val="16"/>
          <w:b w:val="1"/>
          <w:bCs w:val="1"/>
          <w:u w:val="single" w:color="auto"/>
          <w:color w:val="auto"/>
        </w:rPr>
        <w:t>Grant of Security Interest</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Each Grantor hereby grants to the Administrative Agent, for its benefit and the ratable benefit of each other Secured Party, a</w:t>
      </w:r>
      <w:r>
        <w:rPr>
          <w:rFonts w:ascii="Arial" w:cs="Arial" w:eastAsia="Arial" w:hAnsi="Arial"/>
          <w:sz w:val="16"/>
          <w:szCs w:val="16"/>
          <w:b w:val="1"/>
          <w:bCs w:val="1"/>
          <w:color w:val="auto"/>
        </w:rPr>
        <w:t xml:space="preserve"> </w:t>
      </w:r>
      <w:r>
        <w:rPr>
          <w:rFonts w:ascii="Arial" w:cs="Arial" w:eastAsia="Arial" w:hAnsi="Arial"/>
          <w:sz w:val="16"/>
          <w:szCs w:val="16"/>
          <w:color w:val="auto"/>
        </w:rPr>
        <w:t>continuing security interest in all of such Grantor’s right, title and interest in the following property, whether now or hereafter existing, owned or acquired by such Grantor, and wherever located (collectively, the “</w:t>
      </w:r>
      <w:r>
        <w:rPr>
          <w:rFonts w:ascii="Arial" w:cs="Arial" w:eastAsia="Arial" w:hAnsi="Arial"/>
          <w:sz w:val="16"/>
          <w:szCs w:val="16"/>
          <w:u w:val="single" w:color="auto"/>
          <w:color w:val="auto"/>
        </w:rPr>
        <w:t>Collateral</w:t>
      </w:r>
      <w:r>
        <w:rPr>
          <w:rFonts w:ascii="Arial" w:cs="Arial" w:eastAsia="Arial" w:hAnsi="Arial"/>
          <w:sz w:val="16"/>
          <w:szCs w:val="16"/>
          <w:color w:val="auto"/>
        </w:rPr>
        <w:t>”), to secure the payment and performance of the Obligations of such Grantor:</w:t>
      </w:r>
    </w:p>
    <w:p>
      <w:pPr>
        <w:spacing w:after="0" w:line="69" w:lineRule="exact"/>
        <w:rPr>
          <w:sz w:val="20"/>
          <w:szCs w:val="20"/>
          <w:color w:val="auto"/>
        </w:rPr>
      </w:pPr>
    </w:p>
    <w:p>
      <w:pPr>
        <w:ind w:left="1220" w:hanging="212"/>
        <w:spacing w:after="0"/>
        <w:tabs>
          <w:tab w:leader="none" w:pos="122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Accounts;</w:t>
      </w:r>
    </w:p>
    <w:p>
      <w:pPr>
        <w:spacing w:after="0" w:line="97" w:lineRule="exact"/>
        <w:rPr>
          <w:rFonts w:ascii="Arial" w:cs="Arial" w:eastAsia="Arial" w:hAnsi="Arial"/>
          <w:sz w:val="16"/>
          <w:szCs w:val="16"/>
          <w:color w:val="auto"/>
        </w:rPr>
      </w:pPr>
    </w:p>
    <w:p>
      <w:pPr>
        <w:ind w:left="1220" w:hanging="212"/>
        <w:spacing w:after="0"/>
        <w:tabs>
          <w:tab w:leader="none" w:pos="122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Chattel Paper;</w:t>
      </w:r>
    </w:p>
    <w:p>
      <w:pPr>
        <w:spacing w:after="0" w:line="97" w:lineRule="exact"/>
        <w:rPr>
          <w:rFonts w:ascii="Arial" w:cs="Arial" w:eastAsia="Arial" w:hAnsi="Arial"/>
          <w:sz w:val="16"/>
          <w:szCs w:val="16"/>
          <w:color w:val="auto"/>
        </w:rPr>
      </w:pPr>
    </w:p>
    <w:p>
      <w:pPr>
        <w:ind w:left="1220" w:hanging="212"/>
        <w:spacing w:after="0"/>
        <w:tabs>
          <w:tab w:leader="none" w:pos="122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Commercial Tort Claims listed on </w:t>
      </w:r>
      <w:r>
        <w:rPr>
          <w:rFonts w:ascii="Arial" w:cs="Arial" w:eastAsia="Arial" w:hAnsi="Arial"/>
          <w:sz w:val="16"/>
          <w:szCs w:val="16"/>
          <w:u w:val="single" w:color="auto"/>
          <w:color w:val="auto"/>
        </w:rPr>
        <w:t>Item 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(as such schedule may be amended or supplemented from time to time);</w:t>
      </w:r>
    </w:p>
    <w:p>
      <w:pPr>
        <w:spacing w:after="0" w:line="97" w:lineRule="exact"/>
        <w:rPr>
          <w:rFonts w:ascii="Arial" w:cs="Arial" w:eastAsia="Arial" w:hAnsi="Arial"/>
          <w:sz w:val="16"/>
          <w:szCs w:val="16"/>
          <w:color w:val="auto"/>
        </w:rPr>
      </w:pPr>
    </w:p>
    <w:p>
      <w:pPr>
        <w:ind w:left="1220" w:hanging="212"/>
        <w:spacing w:after="0"/>
        <w:tabs>
          <w:tab w:leader="none" w:pos="122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Deposit Accounts;</w:t>
      </w:r>
    </w:p>
    <w:p>
      <w:pPr>
        <w:spacing w:after="0" w:line="97" w:lineRule="exact"/>
        <w:rPr>
          <w:rFonts w:ascii="Arial" w:cs="Arial" w:eastAsia="Arial" w:hAnsi="Arial"/>
          <w:sz w:val="16"/>
          <w:szCs w:val="16"/>
          <w:color w:val="auto"/>
        </w:rPr>
      </w:pPr>
    </w:p>
    <w:p>
      <w:pPr>
        <w:ind w:left="1220" w:hanging="212"/>
        <w:spacing w:after="0"/>
        <w:tabs>
          <w:tab w:leader="none" w:pos="122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Documents;</w:t>
      </w:r>
    </w:p>
    <w:p>
      <w:pPr>
        <w:spacing w:after="0" w:line="97" w:lineRule="exact"/>
        <w:rPr>
          <w:rFonts w:ascii="Arial" w:cs="Arial" w:eastAsia="Arial" w:hAnsi="Arial"/>
          <w:sz w:val="16"/>
          <w:szCs w:val="16"/>
          <w:color w:val="auto"/>
        </w:rPr>
      </w:pPr>
    </w:p>
    <w:p>
      <w:pPr>
        <w:ind w:left="1200" w:hanging="192"/>
        <w:spacing w:after="0"/>
        <w:tabs>
          <w:tab w:leader="none" w:pos="120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Equipment;</w:t>
      </w:r>
    </w:p>
    <w:p>
      <w:pPr>
        <w:spacing w:after="0" w:line="97" w:lineRule="exact"/>
        <w:rPr>
          <w:rFonts w:ascii="Arial" w:cs="Arial" w:eastAsia="Arial" w:hAnsi="Arial"/>
          <w:sz w:val="16"/>
          <w:szCs w:val="16"/>
          <w:color w:val="auto"/>
        </w:rPr>
      </w:pPr>
    </w:p>
    <w:p>
      <w:pPr>
        <w:ind w:left="1220" w:hanging="212"/>
        <w:spacing w:after="0"/>
        <w:tabs>
          <w:tab w:leader="none" w:pos="122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General Intangibles;</w:t>
      </w:r>
    </w:p>
    <w:p>
      <w:pPr>
        <w:spacing w:after="0" w:line="97" w:lineRule="exact"/>
        <w:rPr>
          <w:rFonts w:ascii="Arial" w:cs="Arial" w:eastAsia="Arial" w:hAnsi="Arial"/>
          <w:sz w:val="16"/>
          <w:szCs w:val="16"/>
          <w:color w:val="auto"/>
        </w:rPr>
      </w:pPr>
    </w:p>
    <w:p>
      <w:pPr>
        <w:ind w:left="1220" w:hanging="212"/>
        <w:spacing w:after="0"/>
        <w:tabs>
          <w:tab w:leader="none" w:pos="122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Goods;</w:t>
      </w:r>
    </w:p>
    <w:p>
      <w:pPr>
        <w:spacing w:after="0" w:line="97" w:lineRule="exact"/>
        <w:rPr>
          <w:rFonts w:ascii="Arial" w:cs="Arial" w:eastAsia="Arial" w:hAnsi="Arial"/>
          <w:sz w:val="16"/>
          <w:szCs w:val="16"/>
          <w:color w:val="auto"/>
        </w:rPr>
      </w:pPr>
    </w:p>
    <w:p>
      <w:pPr>
        <w:ind w:left="1200" w:hanging="192"/>
        <w:spacing w:after="0"/>
        <w:tabs>
          <w:tab w:leader="none" w:pos="120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Instruments;</w:t>
      </w:r>
    </w:p>
    <w:p>
      <w:pPr>
        <w:spacing w:after="0" w:line="97" w:lineRule="exact"/>
        <w:rPr>
          <w:rFonts w:ascii="Arial" w:cs="Arial" w:eastAsia="Arial" w:hAnsi="Arial"/>
          <w:sz w:val="16"/>
          <w:szCs w:val="16"/>
          <w:color w:val="auto"/>
        </w:rPr>
      </w:pPr>
    </w:p>
    <w:p>
      <w:pPr>
        <w:ind w:left="1200" w:hanging="192"/>
        <w:spacing w:after="0"/>
        <w:tabs>
          <w:tab w:leader="none" w:pos="120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Inventory;</w:t>
      </w:r>
    </w:p>
    <w:p>
      <w:pPr>
        <w:spacing w:after="0" w:line="97" w:lineRule="exact"/>
        <w:rPr>
          <w:rFonts w:ascii="Arial" w:cs="Arial" w:eastAsia="Arial" w:hAnsi="Arial"/>
          <w:sz w:val="16"/>
          <w:szCs w:val="16"/>
          <w:color w:val="auto"/>
        </w:rPr>
      </w:pPr>
    </w:p>
    <w:p>
      <w:pPr>
        <w:ind w:left="1220" w:hanging="212"/>
        <w:spacing w:after="0"/>
        <w:tabs>
          <w:tab w:leader="none" w:pos="122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Investment Property;</w:t>
      </w:r>
    </w:p>
    <w:p>
      <w:pPr>
        <w:spacing w:after="0" w:line="97" w:lineRule="exact"/>
        <w:rPr>
          <w:rFonts w:ascii="Arial" w:cs="Arial" w:eastAsia="Arial" w:hAnsi="Arial"/>
          <w:sz w:val="16"/>
          <w:szCs w:val="16"/>
          <w:color w:val="auto"/>
        </w:rPr>
      </w:pPr>
    </w:p>
    <w:p>
      <w:pPr>
        <w:ind w:left="1200" w:hanging="192"/>
        <w:spacing w:after="0"/>
        <w:tabs>
          <w:tab w:leader="none" w:pos="120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Intellectual Property Collateral;</w:t>
      </w:r>
    </w:p>
    <w:p>
      <w:pPr>
        <w:spacing w:after="0" w:line="97" w:lineRule="exact"/>
        <w:rPr>
          <w:rFonts w:ascii="Arial" w:cs="Arial" w:eastAsia="Arial" w:hAnsi="Arial"/>
          <w:sz w:val="16"/>
          <w:szCs w:val="16"/>
          <w:color w:val="auto"/>
        </w:rPr>
      </w:pPr>
    </w:p>
    <w:p>
      <w:pPr>
        <w:ind w:left="1280" w:hanging="272"/>
        <w:spacing w:after="0"/>
        <w:tabs>
          <w:tab w:leader="none" w:pos="128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Letter-of-Credit Rights and Letters of Credit;</w:t>
      </w:r>
    </w:p>
    <w:p>
      <w:pPr>
        <w:spacing w:after="0" w:line="97" w:lineRule="exact"/>
        <w:rPr>
          <w:rFonts w:ascii="Arial" w:cs="Arial" w:eastAsia="Arial" w:hAnsi="Arial"/>
          <w:sz w:val="16"/>
          <w:szCs w:val="16"/>
          <w:color w:val="auto"/>
        </w:rPr>
      </w:pPr>
    </w:p>
    <w:p>
      <w:pPr>
        <w:ind w:left="1220" w:hanging="212"/>
        <w:spacing w:after="0"/>
        <w:tabs>
          <w:tab w:leader="none" w:pos="122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Supporting Obligations;</w:t>
      </w:r>
    </w:p>
    <w:p>
      <w:pPr>
        <w:spacing w:after="0" w:line="97" w:lineRule="exact"/>
        <w:rPr>
          <w:rFonts w:ascii="Arial" w:cs="Arial" w:eastAsia="Arial" w:hAnsi="Arial"/>
          <w:sz w:val="16"/>
          <w:szCs w:val="16"/>
          <w:color w:val="auto"/>
        </w:rPr>
      </w:pPr>
    </w:p>
    <w:p>
      <w:pPr>
        <w:ind w:left="520" w:right="20" w:firstLine="488"/>
        <w:spacing w:after="0" w:line="264" w:lineRule="auto"/>
        <w:tabs>
          <w:tab w:leader="none" w:pos="1254"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all books, records, writings, databases, information and other property relating to, used or useful in connection with, evidencing, embodying, incorporating or referring to, any of the foregoing in this Section;</w:t>
      </w:r>
    </w:p>
    <w:p>
      <w:pPr>
        <w:spacing w:after="0" w:line="64" w:lineRule="exact"/>
        <w:rPr>
          <w:rFonts w:ascii="Arial" w:cs="Arial" w:eastAsia="Arial" w:hAnsi="Arial"/>
          <w:sz w:val="16"/>
          <w:szCs w:val="16"/>
          <w:color w:val="auto"/>
        </w:rPr>
      </w:pPr>
    </w:p>
    <w:p>
      <w:pPr>
        <w:ind w:left="520" w:firstLine="488"/>
        <w:spacing w:after="0" w:line="264" w:lineRule="auto"/>
        <w:tabs>
          <w:tab w:leader="none" w:pos="1241"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all Proceeds and products of the foregoing and, to the extent not otherwise included, (i) all payments under insurance (whether or not the Administrative Agent is the loss payee thereof) and (ii) all tort claims; and</w:t>
      </w:r>
    </w:p>
    <w:p>
      <w:pPr>
        <w:spacing w:after="0" w:line="64" w:lineRule="exact"/>
        <w:rPr>
          <w:rFonts w:ascii="Arial" w:cs="Arial" w:eastAsia="Arial" w:hAnsi="Arial"/>
          <w:sz w:val="16"/>
          <w:szCs w:val="16"/>
          <w:color w:val="auto"/>
        </w:rPr>
      </w:pPr>
    </w:p>
    <w:p>
      <w:pPr>
        <w:ind w:left="1220" w:hanging="212"/>
        <w:spacing w:after="0"/>
        <w:tabs>
          <w:tab w:leader="none" w:pos="122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all other property and rights of every kind and description and interests therein.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40"/>
          </w:cols>
          <w:pgMar w:left="240" w:top="432" w:right="219" w:bottom="1440" w:gutter="0" w:footer="0" w:header="0"/>
        </w:sectPr>
      </w:pPr>
    </w:p>
    <w:bookmarkStart w:id="187" w:name="page188"/>
    <w:bookmarkEnd w:id="187"/>
    <w:p>
      <w:pPr>
        <w:jc w:val="both"/>
        <w:ind w:firstLine="519"/>
        <w:spacing w:after="0" w:line="265" w:lineRule="auto"/>
        <w:rPr>
          <w:sz w:val="20"/>
          <w:szCs w:val="20"/>
          <w:color w:val="auto"/>
        </w:rPr>
      </w:pPr>
      <w:r>
        <w:rPr>
          <w:rFonts w:ascii="Arial" w:cs="Arial" w:eastAsia="Arial" w:hAnsi="Arial"/>
          <w:sz w:val="15"/>
          <w:szCs w:val="15"/>
          <w:color w:val="auto"/>
        </w:rPr>
        <w:t>Notwithstanding the foregoing, the term “</w:t>
      </w:r>
      <w:r>
        <w:rPr>
          <w:rFonts w:ascii="Arial" w:cs="Arial" w:eastAsia="Arial" w:hAnsi="Arial"/>
          <w:sz w:val="15"/>
          <w:szCs w:val="15"/>
          <w:u w:val="single" w:color="auto"/>
          <w:color w:val="auto"/>
        </w:rPr>
        <w:t>Collateral</w:t>
      </w:r>
      <w:r>
        <w:rPr>
          <w:rFonts w:ascii="Arial" w:cs="Arial" w:eastAsia="Arial" w:hAnsi="Arial"/>
          <w:sz w:val="15"/>
          <w:szCs w:val="15"/>
          <w:color w:val="auto"/>
        </w:rPr>
        <w:t>” shall not include, and the grant of a security interest as provided hereunder shall not extend to (i) Investment Property consisting of Equity Interests of any Subsidiary that is a first-tier CFC or a first-tier CFC Holdco in excess of 66% of the voting Equity Interests of such entity if such grant of security interest results in material adverse tax consequences for the Company and its Subsidiaries, taken as a whole, (ii) any asset, (x) the granting of a security interest in which would be void or illegal under any applicable governmental Law, rule or regulation, or pursuant thereto would result in, or permit the termination of, such asset or results in a material adverse tax consequence for the Company and its Subsidiaries, taken as a whole, or (y) which contains a valid and enforceable prohibition on the creation of a security interest therein so long as such prohibition remains in effect and is valid notwithstanding Sections 9-406 and 9-408 of the UCC, (iii) any Intellectual Property for which a perfected Lien thereon is not effected either by filing of a Filing Statement or by appropriate evidence of such Lien being filed in either the United States Copyright Office or the United States Patent and Trademark Office or (iv) any personal property (other than personal property described in clause (iii) above) for which the attachment or perfection of a Lien thereon is not governed by the UCC.</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 xml:space="preserve">SECTION 2.2. </w:t>
      </w:r>
      <w:r>
        <w:rPr>
          <w:rFonts w:ascii="Arial" w:cs="Arial" w:eastAsia="Arial" w:hAnsi="Arial"/>
          <w:sz w:val="16"/>
          <w:szCs w:val="16"/>
          <w:b w:val="1"/>
          <w:bCs w:val="1"/>
          <w:u w:val="single" w:color="auto"/>
          <w:color w:val="auto"/>
        </w:rPr>
        <w:t>Grantors Remain Liable</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Anything herein to the contrary notwithstanding:</w:t>
      </w:r>
    </w:p>
    <w:p>
      <w:pPr>
        <w:spacing w:after="0" w:line="101" w:lineRule="exact"/>
        <w:rPr>
          <w:sz w:val="20"/>
          <w:szCs w:val="20"/>
          <w:color w:val="auto"/>
        </w:rPr>
      </w:pPr>
    </w:p>
    <w:p>
      <w:pPr>
        <w:ind w:left="520" w:firstLine="488"/>
        <w:spacing w:after="0" w:line="264" w:lineRule="auto"/>
        <w:tabs>
          <w:tab w:leader="none" w:pos="1232"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Grantors will remain liable under the contracts and agreements included in the Collateral to the extent set forth therein, and will perform all of their duties and obligations under such contracts and agreements to the same extent as if this Security Agreement had not been executed;</w:t>
      </w:r>
    </w:p>
    <w:p>
      <w:pPr>
        <w:spacing w:after="0" w:line="64" w:lineRule="exact"/>
        <w:rPr>
          <w:rFonts w:ascii="Arial" w:cs="Arial" w:eastAsia="Arial" w:hAnsi="Arial"/>
          <w:sz w:val="16"/>
          <w:szCs w:val="16"/>
          <w:color w:val="auto"/>
        </w:rPr>
      </w:pPr>
    </w:p>
    <w:p>
      <w:pPr>
        <w:ind w:left="520" w:firstLine="488"/>
        <w:spacing w:after="0" w:line="264" w:lineRule="auto"/>
        <w:tabs>
          <w:tab w:leader="none" w:pos="1242"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exercise by the Administrative Agent of any of its rights hereunder will not release any Grantor from any of its duties or obligations under any such contracts or agreements included in the Collateral; and</w:t>
      </w:r>
    </w:p>
    <w:p>
      <w:pPr>
        <w:spacing w:after="0" w:line="64" w:lineRule="exact"/>
        <w:rPr>
          <w:rFonts w:ascii="Arial" w:cs="Arial" w:eastAsia="Arial" w:hAnsi="Arial"/>
          <w:sz w:val="16"/>
          <w:szCs w:val="16"/>
          <w:color w:val="auto"/>
        </w:rPr>
      </w:pPr>
    </w:p>
    <w:p>
      <w:pPr>
        <w:jc w:val="both"/>
        <w:ind w:left="520" w:firstLine="488"/>
        <w:spacing w:after="0" w:line="254" w:lineRule="auto"/>
        <w:tabs>
          <w:tab w:leader="none" w:pos="1234" w:val="left"/>
        </w:tabs>
        <w:numPr>
          <w:ilvl w:val="0"/>
          <w:numId w:val="213"/>
        </w:numPr>
        <w:rPr>
          <w:rFonts w:ascii="Arial" w:cs="Arial" w:eastAsia="Arial" w:hAnsi="Arial"/>
          <w:sz w:val="16"/>
          <w:szCs w:val="16"/>
          <w:color w:val="auto"/>
        </w:rPr>
      </w:pPr>
      <w:r>
        <w:rPr>
          <w:rFonts w:ascii="Arial" w:cs="Arial" w:eastAsia="Arial" w:hAnsi="Arial"/>
          <w:sz w:val="16"/>
          <w:szCs w:val="16"/>
          <w:color w:val="auto"/>
        </w:rPr>
        <w:t>no Secured Party will have any obligation or liability under any contracts or agreements included in the Collateral by reason of this Security Agreement, nor will any Secured Party be obligated to perform any of the obligations or duties of any Grantor thereunder or to take any action to collect or enforce any claim for payment assigned hereunder.</w:t>
      </w:r>
    </w:p>
    <w:p>
      <w:pPr>
        <w:spacing w:after="0" w:line="162" w:lineRule="exact"/>
        <w:rPr>
          <w:sz w:val="20"/>
          <w:szCs w:val="20"/>
          <w:color w:val="auto"/>
        </w:rPr>
      </w:pPr>
    </w:p>
    <w:p>
      <w:pPr>
        <w:jc w:val="both"/>
        <w:ind w:firstLine="519"/>
        <w:spacing w:after="0" w:line="253" w:lineRule="auto"/>
        <w:rPr>
          <w:sz w:val="20"/>
          <w:szCs w:val="20"/>
          <w:color w:val="auto"/>
        </w:rPr>
      </w:pPr>
      <w:r>
        <w:rPr>
          <w:rFonts w:ascii="Arial" w:cs="Arial" w:eastAsia="Arial" w:hAnsi="Arial"/>
          <w:sz w:val="16"/>
          <w:szCs w:val="16"/>
          <w:b w:val="1"/>
          <w:bCs w:val="1"/>
          <w:color w:val="auto"/>
        </w:rPr>
        <w:t xml:space="preserve">SECTION 2.3. </w:t>
      </w:r>
      <w:r>
        <w:rPr>
          <w:rFonts w:ascii="Arial" w:cs="Arial" w:eastAsia="Arial" w:hAnsi="Arial"/>
          <w:sz w:val="16"/>
          <w:szCs w:val="16"/>
          <w:b w:val="1"/>
          <w:bCs w:val="1"/>
          <w:u w:val="single" w:color="auto"/>
          <w:color w:val="auto"/>
        </w:rPr>
        <w:t>Distributions on Pledged Equity Interests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that any Distribution with respect to any Equity Interests pledged hereunder is permitted to be paid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accordance with Section 7.06 of the Credit Agreement), such Distribution or payment may be paid directly to the applicable Grantor. If any Distribution is made in contravention of Section 7.06 of the Credit Agreement, such Grantor shall hold the same segregated and in trust for the Administrative Agent until paid to the Administrative Agent in accordance with </w:t>
      </w:r>
      <w:r>
        <w:rPr>
          <w:rFonts w:ascii="Arial" w:cs="Arial" w:eastAsia="Arial" w:hAnsi="Arial"/>
          <w:sz w:val="16"/>
          <w:szCs w:val="16"/>
          <w:u w:val="single" w:color="auto"/>
          <w:color w:val="auto"/>
        </w:rPr>
        <w:t>Section 4.1.5</w:t>
      </w:r>
      <w:r>
        <w:rPr>
          <w:rFonts w:ascii="Arial" w:cs="Arial" w:eastAsia="Arial" w:hAnsi="Arial"/>
          <w:sz w:val="16"/>
          <w:szCs w:val="16"/>
          <w:color w:val="auto"/>
        </w:rPr>
        <w:t>.</w:t>
      </w:r>
    </w:p>
    <w:p>
      <w:pPr>
        <w:spacing w:after="0" w:line="162" w:lineRule="exact"/>
        <w:rPr>
          <w:sz w:val="20"/>
          <w:szCs w:val="20"/>
          <w:color w:val="auto"/>
        </w:rPr>
      </w:pPr>
    </w:p>
    <w:p>
      <w:pPr>
        <w:jc w:val="both"/>
        <w:ind w:right="20" w:firstLine="519"/>
        <w:spacing w:after="0" w:line="253" w:lineRule="auto"/>
        <w:rPr>
          <w:sz w:val="20"/>
          <w:szCs w:val="20"/>
          <w:color w:val="auto"/>
        </w:rPr>
      </w:pPr>
      <w:r>
        <w:rPr>
          <w:rFonts w:ascii="Arial" w:cs="Arial" w:eastAsia="Arial" w:hAnsi="Arial"/>
          <w:sz w:val="16"/>
          <w:szCs w:val="16"/>
          <w:b w:val="1"/>
          <w:bCs w:val="1"/>
          <w:color w:val="auto"/>
        </w:rPr>
        <w:t xml:space="preserve">SECTION 2.4. </w:t>
      </w:r>
      <w:r>
        <w:rPr>
          <w:rFonts w:ascii="Arial" w:cs="Arial" w:eastAsia="Arial" w:hAnsi="Arial"/>
          <w:sz w:val="16"/>
          <w:szCs w:val="16"/>
          <w:b w:val="1"/>
          <w:bCs w:val="1"/>
          <w:u w:val="single" w:color="auto"/>
          <w:color w:val="auto"/>
        </w:rPr>
        <w:t>Security Interest Absolute, etc</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Security Agreement shall in all respects be a continuing, absolute, unconditional and irrevocable grant of security</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and shall remain in full force and effect until the Termination Date has occurred. All rights of the Secured Parties and the security interests granted to the Administrative Agent (for its benefit and the ratable benefit of each other Secured Party) hereunder, and all obligations of the Grantors hereunder, shall, in each case, be absolute, unconditional and irrevocable irrespective of:</w:t>
      </w:r>
    </w:p>
    <w:p>
      <w:pPr>
        <w:spacing w:after="0" w:line="72" w:lineRule="exact"/>
        <w:rPr>
          <w:sz w:val="20"/>
          <w:szCs w:val="20"/>
          <w:color w:val="auto"/>
        </w:rPr>
      </w:pPr>
    </w:p>
    <w:p>
      <w:pPr>
        <w:ind w:left="1220" w:hanging="212"/>
        <w:spacing w:after="0"/>
        <w:tabs>
          <w:tab w:leader="none" w:pos="122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any lack of validity, legality or enforceability of any Loan Document;</w:t>
      </w:r>
    </w:p>
    <w:p>
      <w:pPr>
        <w:spacing w:after="0" w:line="97" w:lineRule="exact"/>
        <w:rPr>
          <w:rFonts w:ascii="Arial" w:cs="Arial" w:eastAsia="Arial" w:hAnsi="Arial"/>
          <w:sz w:val="16"/>
          <w:szCs w:val="16"/>
          <w:color w:val="auto"/>
        </w:rPr>
      </w:pPr>
    </w:p>
    <w:p>
      <w:pPr>
        <w:jc w:val="both"/>
        <w:ind w:left="520" w:right="20" w:firstLine="488"/>
        <w:spacing w:after="0" w:line="254" w:lineRule="auto"/>
        <w:tabs>
          <w:tab w:leader="none" w:pos="1248"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failure of any Secured Party (i) to assert any claim or demand or to enforce any right or remedy against any Loan Party or any other Person (including any other Grantor) under the provisions of any Loan Document or otherwise, or (ii) to exercise any right or remedy against any other guarantor (including any other Grantor) of, or collateral securing, any Obligations;</w:t>
      </w:r>
    </w:p>
    <w:p>
      <w:pPr>
        <w:spacing w:after="0" w:line="72" w:lineRule="exact"/>
        <w:rPr>
          <w:rFonts w:ascii="Arial" w:cs="Arial" w:eastAsia="Arial" w:hAnsi="Arial"/>
          <w:sz w:val="16"/>
          <w:szCs w:val="16"/>
          <w:color w:val="auto"/>
        </w:rPr>
      </w:pPr>
    </w:p>
    <w:p>
      <w:pPr>
        <w:jc w:val="both"/>
        <w:ind w:left="520" w:firstLine="488"/>
        <w:spacing w:after="0" w:line="251" w:lineRule="auto"/>
        <w:tabs>
          <w:tab w:leader="none" w:pos="1228" w:val="left"/>
        </w:tabs>
        <w:numPr>
          <w:ilvl w:val="0"/>
          <w:numId w:val="214"/>
        </w:numPr>
        <w:rPr>
          <w:rFonts w:ascii="Arial" w:cs="Arial" w:eastAsia="Arial" w:hAnsi="Arial"/>
          <w:sz w:val="16"/>
          <w:szCs w:val="16"/>
          <w:color w:val="auto"/>
        </w:rPr>
      </w:pPr>
      <w:r>
        <w:rPr>
          <w:rFonts w:ascii="Arial" w:cs="Arial" w:eastAsia="Arial" w:hAnsi="Arial"/>
          <w:sz w:val="16"/>
          <w:szCs w:val="16"/>
          <w:color w:val="auto"/>
        </w:rPr>
        <w:t>any change in the time, manner or place of payment of, or in any other term of, all or any part of the Obligations, or any other extension, compromise or renewal of any Obligations, by operation of law or otherwise; and to the fullest extent permitted by applicable Law, each Grantor waives any defense arising out of any such extension, compromise or renewal even though such extension, compromise or renewal may operate, pursuant to applicable Law, to impair or extinguish any right or remedy of any Grantor against any Collateral;</w:t>
      </w:r>
    </w:p>
    <w:p>
      <w:pPr>
        <w:spacing w:after="0" w:line="74" w:lineRule="exact"/>
        <w:rPr>
          <w:rFonts w:ascii="Arial" w:cs="Arial" w:eastAsia="Arial" w:hAnsi="Arial"/>
          <w:sz w:val="16"/>
          <w:szCs w:val="16"/>
          <w:color w:val="auto"/>
        </w:rPr>
      </w:pPr>
    </w:p>
    <w:p>
      <w:pPr>
        <w:jc w:val="both"/>
        <w:ind w:left="520" w:firstLine="488"/>
        <w:spacing w:after="0" w:line="251" w:lineRule="auto"/>
        <w:tabs>
          <w:tab w:leader="none" w:pos="1239" w:val="left"/>
        </w:tabs>
        <w:numPr>
          <w:ilvl w:val="0"/>
          <w:numId w:val="214"/>
        </w:numPr>
        <w:rPr>
          <w:rFonts w:ascii="Arial" w:cs="Arial" w:eastAsia="Arial" w:hAnsi="Arial"/>
          <w:sz w:val="16"/>
          <w:szCs w:val="16"/>
          <w:color w:val="auto"/>
        </w:rPr>
      </w:pPr>
      <w:r>
        <w:rPr>
          <w:rFonts w:ascii="Arial" w:cs="Arial" w:eastAsia="Arial" w:hAnsi="Arial"/>
          <w:sz w:val="16"/>
          <w:szCs w:val="16"/>
          <w:color w:val="auto"/>
        </w:rPr>
        <w:t>any reduction, limitation, impairment or termination of any Obligations for any reason, including any claim of waiver, release, surrender, alteration or compromise or any defense or setoff, counterclaim, recoupment or termination whatsoever by reason of the invalidity, illegality, nongenuineness, irregularity, compromise, unenforceability of, or any other event or occurrence affecting, any Obligations or otherwise and shall not be subject to (and each Grantor hereby waives any right to or claim of) any of the foregoing;</w:t>
      </w:r>
    </w:p>
    <w:p>
      <w:pPr>
        <w:spacing w:after="0" w:line="74" w:lineRule="exact"/>
        <w:rPr>
          <w:rFonts w:ascii="Arial" w:cs="Arial" w:eastAsia="Arial" w:hAnsi="Arial"/>
          <w:sz w:val="16"/>
          <w:szCs w:val="16"/>
          <w:color w:val="auto"/>
        </w:rPr>
      </w:pPr>
    </w:p>
    <w:p>
      <w:pPr>
        <w:ind w:left="1220" w:hanging="212"/>
        <w:spacing w:after="0"/>
        <w:tabs>
          <w:tab w:leader="none" w:pos="122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any amendment to, rescission, waiver, or other modification of, or any consent to or departure from, any of the terms of any Loan Document;</w:t>
      </w:r>
    </w:p>
    <w:p>
      <w:pPr>
        <w:spacing w:after="0" w:line="97" w:lineRule="exact"/>
        <w:rPr>
          <w:rFonts w:ascii="Arial" w:cs="Arial" w:eastAsia="Arial" w:hAnsi="Arial"/>
          <w:sz w:val="16"/>
          <w:szCs w:val="16"/>
          <w:color w:val="auto"/>
        </w:rPr>
      </w:pPr>
    </w:p>
    <w:p>
      <w:pPr>
        <w:jc w:val="both"/>
        <w:ind w:left="520" w:firstLine="488"/>
        <w:spacing w:after="0" w:line="254" w:lineRule="auto"/>
        <w:tabs>
          <w:tab w:leader="none" w:pos="121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any addition, exchange or release of any collateral or of any Person that is(or will become) a grantor (including the Grantors hereunder) of the Obligations, or any surrender, release, invalidity, impairment or non-perfection of any collateral (or any security interest therein), or any amendment to or waiver or release of or addition to, or consent to or departure from, any other collateral held by any Secured Party securing any of the Obligations;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40"/>
          </w:cols>
          <w:pgMar w:left="240" w:top="526" w:right="219" w:bottom="1440" w:gutter="0" w:footer="0" w:header="0"/>
        </w:sectPr>
      </w:pPr>
    </w:p>
    <w:bookmarkStart w:id="188" w:name="page189"/>
    <w:bookmarkEnd w:id="188"/>
    <w:p>
      <w:pPr>
        <w:ind w:left="1220" w:hanging="212"/>
        <w:spacing w:after="0"/>
        <w:tabs>
          <w:tab w:leader="none" w:pos="1220" w:val="left"/>
        </w:tabs>
        <w:numPr>
          <w:ilvl w:val="0"/>
          <w:numId w:val="215"/>
        </w:numPr>
        <w:rPr>
          <w:rFonts w:ascii="Arial" w:cs="Arial" w:eastAsia="Arial" w:hAnsi="Arial"/>
          <w:sz w:val="15"/>
          <w:szCs w:val="15"/>
          <w:color w:val="auto"/>
        </w:rPr>
      </w:pPr>
      <w:r>
        <w:rPr>
          <w:rFonts w:ascii="Arial" w:cs="Arial" w:eastAsia="Arial" w:hAnsi="Arial"/>
          <w:sz w:val="15"/>
          <w:szCs w:val="15"/>
          <w:color w:val="auto"/>
        </w:rPr>
        <w:t>any change in the corporate existence, structure or ownership of the Grantors or any other Grantor of or other Person liable for any of the Obligations;</w:t>
      </w:r>
    </w:p>
    <w:p>
      <w:pPr>
        <w:spacing w:after="0" w:line="108" w:lineRule="exact"/>
        <w:rPr>
          <w:rFonts w:ascii="Arial" w:cs="Arial" w:eastAsia="Arial" w:hAnsi="Arial"/>
          <w:sz w:val="15"/>
          <w:szCs w:val="15"/>
          <w:color w:val="auto"/>
        </w:rPr>
      </w:pPr>
    </w:p>
    <w:p>
      <w:pPr>
        <w:ind w:left="520" w:firstLine="488"/>
        <w:spacing w:after="0" w:line="264" w:lineRule="auto"/>
        <w:tabs>
          <w:tab w:leader="none" w:pos="124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any insolvency, bankruptcy, reorganization or other similar proceeding under any Debtor Relief Law affecting any Loan Party or its assets or any resulting release or discharge of any obligation of any Loan Party; or</w:t>
      </w:r>
    </w:p>
    <w:p>
      <w:pPr>
        <w:spacing w:after="0" w:line="64" w:lineRule="exact"/>
        <w:rPr>
          <w:rFonts w:ascii="Arial" w:cs="Arial" w:eastAsia="Arial" w:hAnsi="Arial"/>
          <w:sz w:val="16"/>
          <w:szCs w:val="16"/>
          <w:color w:val="auto"/>
        </w:rPr>
      </w:pPr>
    </w:p>
    <w:p>
      <w:pPr>
        <w:ind w:left="1200" w:hanging="192"/>
        <w:spacing w:after="0"/>
        <w:tabs>
          <w:tab w:leader="none" w:pos="1200" w:val="left"/>
        </w:tabs>
        <w:numPr>
          <w:ilvl w:val="0"/>
          <w:numId w:val="215"/>
        </w:numPr>
        <w:rPr>
          <w:rFonts w:ascii="Arial" w:cs="Arial" w:eastAsia="Arial" w:hAnsi="Arial"/>
          <w:sz w:val="13"/>
          <w:szCs w:val="13"/>
          <w:color w:val="auto"/>
        </w:rPr>
      </w:pPr>
      <w:r>
        <w:rPr>
          <w:rFonts w:ascii="Arial" w:cs="Arial" w:eastAsia="Arial" w:hAnsi="Arial"/>
          <w:sz w:val="13"/>
          <w:szCs w:val="13"/>
          <w:color w:val="auto"/>
        </w:rPr>
        <w:t>any other circumstance which might otherwise constitute a defense available to, or a legal or equitable discharge of, any Loan Party, any surety or any guarantor.</w:t>
      </w:r>
    </w:p>
    <w:p>
      <w:pPr>
        <w:spacing w:after="0" w:line="222" w:lineRule="exact"/>
        <w:rPr>
          <w:sz w:val="20"/>
          <w:szCs w:val="20"/>
          <w:color w:val="auto"/>
        </w:rPr>
      </w:pPr>
    </w:p>
    <w:p>
      <w:pPr>
        <w:jc w:val="both"/>
        <w:ind w:firstLine="519"/>
        <w:spacing w:after="0" w:line="310" w:lineRule="auto"/>
        <w:rPr>
          <w:sz w:val="20"/>
          <w:szCs w:val="20"/>
          <w:color w:val="auto"/>
        </w:rPr>
      </w:pPr>
      <w:r>
        <w:rPr>
          <w:rFonts w:ascii="Arial" w:cs="Arial" w:eastAsia="Arial" w:hAnsi="Arial"/>
          <w:sz w:val="13"/>
          <w:szCs w:val="13"/>
          <w:b w:val="1"/>
          <w:bCs w:val="1"/>
          <w:color w:val="auto"/>
        </w:rPr>
        <w:t xml:space="preserve">SECTION 2.5. </w:t>
      </w:r>
      <w:r>
        <w:rPr>
          <w:rFonts w:ascii="Arial" w:cs="Arial" w:eastAsia="Arial" w:hAnsi="Arial"/>
          <w:sz w:val="13"/>
          <w:szCs w:val="13"/>
          <w:b w:val="1"/>
          <w:bCs w:val="1"/>
          <w:u w:val="single" w:color="auto"/>
          <w:color w:val="auto"/>
        </w:rPr>
        <w:t>Postponement of Subrogation</w:t>
      </w:r>
      <w:r>
        <w:rPr>
          <w:rFonts w:ascii="Arial" w:cs="Arial" w:eastAsia="Arial" w:hAnsi="Arial"/>
          <w:sz w:val="13"/>
          <w:szCs w:val="13"/>
          <w:u w:val="single" w:color="auto"/>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Each Grantor agrees that it will not exercise any rights against another Grantor which it may acquire by way of rights of</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subrogation under any Loan Document to which it is a party nor shall any Grantor seek or be entitled to seek any contribution or reimbursement from any Loan Party, in respect of any payment made under any Loan Document, in connection with any Collateral or otherwise, until following the Termination Date. Any amount paid to such Grantor on account of any such subrogation rights prior to the Termination Date shall be held in trust for the benefit of the Secured Parties and shall immediately be paid and turned over to the Administrative Agent for the benefit of the Secured Parties in the exact form received by such Grantor (duly endorsed in favor of the Administrative Agent, if required), to be credited and applied against the Obligations, whether matured or unmatured, in accordance with </w:t>
      </w:r>
      <w:r>
        <w:rPr>
          <w:rFonts w:ascii="Arial" w:cs="Arial" w:eastAsia="Arial" w:hAnsi="Arial"/>
          <w:sz w:val="13"/>
          <w:szCs w:val="13"/>
          <w:u w:val="single" w:color="auto"/>
          <w:color w:val="auto"/>
        </w:rPr>
        <w:t>Section 6.1</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such Grantor has made payment to the Secured Parties of all or any part of the Obligations and the Termination Date has occurred, then at such Grantor’s request, the Administrative Agent (on behalf of the Secured Parties) will, at the expense of such Grantor, execute and deliver to such Grantor appropriate documents (without recourse and without representation or warranty) necessary to evidence the transfer by subrogation to such Grantor of an interest in the Obligations resulting from such payment. In furtherance of the foregoing, at all times prior to the Termination Date, such Grantor shall refrain from taking any action or commencing any proceeding against any Loan Party (or its successors or assigns, whether in connection with any proceeding under any Debtor Relief Law or otherwise) to recover any amounts in respect of payments made under this Security Agreement to any Secured Party.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3.</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REPRESENTATIONS AND WARRANTIES</w:t>
      </w:r>
    </w:p>
    <w:p>
      <w:pPr>
        <w:spacing w:after="0" w:line="195" w:lineRule="exact"/>
        <w:rPr>
          <w:sz w:val="20"/>
          <w:szCs w:val="20"/>
          <w:color w:val="auto"/>
        </w:rPr>
      </w:pPr>
    </w:p>
    <w:p>
      <w:pPr>
        <w:jc w:val="both"/>
        <w:ind w:right="20" w:firstLine="519"/>
        <w:spacing w:after="0" w:line="264" w:lineRule="auto"/>
        <w:rPr>
          <w:sz w:val="20"/>
          <w:szCs w:val="20"/>
          <w:color w:val="auto"/>
        </w:rPr>
      </w:pPr>
      <w:r>
        <w:rPr>
          <w:rFonts w:ascii="Arial" w:cs="Arial" w:eastAsia="Arial" w:hAnsi="Arial"/>
          <w:sz w:val="16"/>
          <w:szCs w:val="16"/>
          <w:color w:val="auto"/>
        </w:rPr>
        <w:t>In order to induce the Secured Parties to enter into the Credit Agreement and make and maintain Credit Extensions thereunder and enter into Secured Treasury Management Agreements and Secured Swap Agreements, the Grantors represent and warrant to each Secured Party as set forth below.</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 xml:space="preserve">SECTION 3.1. </w:t>
      </w:r>
      <w:r>
        <w:rPr>
          <w:rFonts w:ascii="Arial" w:cs="Arial" w:eastAsia="Arial" w:hAnsi="Arial"/>
          <w:sz w:val="16"/>
          <w:szCs w:val="16"/>
          <w:b w:val="1"/>
          <w:bCs w:val="1"/>
          <w:u w:val="single" w:color="auto"/>
          <w:color w:val="auto"/>
        </w:rPr>
        <w:t>As to Equity Interests of the Grantors’ Subsidiaries, Investment Property</w:t>
      </w:r>
      <w:r>
        <w:rPr>
          <w:rFonts w:ascii="Arial" w:cs="Arial" w:eastAsia="Arial" w:hAnsi="Arial"/>
          <w:sz w:val="16"/>
          <w:szCs w:val="16"/>
          <w:color w:val="auto"/>
        </w:rPr>
        <w:t>.</w:t>
      </w:r>
    </w:p>
    <w:p>
      <w:pPr>
        <w:spacing w:after="0" w:line="101" w:lineRule="exact"/>
        <w:rPr>
          <w:sz w:val="20"/>
          <w:szCs w:val="20"/>
          <w:color w:val="auto"/>
        </w:rPr>
      </w:pPr>
    </w:p>
    <w:p>
      <w:pPr>
        <w:ind w:left="1220" w:hanging="212"/>
        <w:spacing w:after="0"/>
        <w:tabs>
          <w:tab w:leader="none" w:pos="122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With respect to any Material Subsidiary of any Grantor that is:</w:t>
      </w:r>
    </w:p>
    <w:p>
      <w:pPr>
        <w:spacing w:after="0" w:line="97" w:lineRule="exact"/>
        <w:rPr>
          <w:rFonts w:ascii="Arial" w:cs="Arial" w:eastAsia="Arial" w:hAnsi="Arial"/>
          <w:sz w:val="16"/>
          <w:szCs w:val="16"/>
          <w:color w:val="auto"/>
        </w:rPr>
      </w:pPr>
    </w:p>
    <w:p>
      <w:pPr>
        <w:ind w:left="1040" w:right="20" w:firstLine="462"/>
        <w:spacing w:after="0" w:line="376" w:lineRule="auto"/>
        <w:tabs>
          <w:tab w:leader="none" w:pos="1706" w:val="left"/>
        </w:tabs>
        <w:numPr>
          <w:ilvl w:val="1"/>
          <w:numId w:val="216"/>
        </w:numPr>
        <w:rPr>
          <w:rFonts w:ascii="Arial" w:cs="Arial" w:eastAsia="Arial" w:hAnsi="Arial"/>
          <w:sz w:val="13"/>
          <w:szCs w:val="13"/>
          <w:color w:val="auto"/>
        </w:rPr>
      </w:pPr>
      <w:r>
        <w:rPr>
          <w:rFonts w:ascii="Arial" w:cs="Arial" w:eastAsia="Arial" w:hAnsi="Arial"/>
          <w:sz w:val="13"/>
          <w:szCs w:val="13"/>
          <w:color w:val="auto"/>
        </w:rPr>
        <w:t>a corporation, business trust, joint stock company or similar Person, all Equity Interests issued by such Subsidiary are duly authorized and validly issued, fully paid and non-assessable (or equivalent thereof to the extent applicable in the jurisdiction in which Equity Interests are issued), and represented by a certificate;</w:t>
      </w:r>
    </w:p>
    <w:p>
      <w:pPr>
        <w:ind w:left="1040" w:right="20" w:firstLine="462"/>
        <w:spacing w:after="0" w:line="264" w:lineRule="auto"/>
        <w:tabs>
          <w:tab w:leader="none" w:pos="1743" w:val="left"/>
        </w:tabs>
        <w:numPr>
          <w:ilvl w:val="1"/>
          <w:numId w:val="216"/>
        </w:numPr>
        <w:rPr>
          <w:rFonts w:ascii="Arial" w:cs="Arial" w:eastAsia="Arial" w:hAnsi="Arial"/>
          <w:sz w:val="16"/>
          <w:szCs w:val="16"/>
          <w:color w:val="auto"/>
        </w:rPr>
      </w:pPr>
      <w:r>
        <w:rPr>
          <w:rFonts w:ascii="Arial" w:cs="Arial" w:eastAsia="Arial" w:hAnsi="Arial"/>
          <w:sz w:val="16"/>
          <w:szCs w:val="16"/>
          <w:color w:val="auto"/>
        </w:rPr>
        <w:t>a limited liability company organized under the laws of any State of the United States, no Equity Interest issued by such Subsidiary expressly provides that such Equity Interest is a security governed by Article 8 of the UCC; and</w:t>
      </w:r>
    </w:p>
    <w:p>
      <w:pPr>
        <w:spacing w:after="0" w:line="64" w:lineRule="exact"/>
        <w:rPr>
          <w:rFonts w:ascii="Arial" w:cs="Arial" w:eastAsia="Arial" w:hAnsi="Arial"/>
          <w:sz w:val="16"/>
          <w:szCs w:val="16"/>
          <w:color w:val="auto"/>
        </w:rPr>
      </w:pPr>
    </w:p>
    <w:p>
      <w:pPr>
        <w:jc w:val="both"/>
        <w:ind w:left="1040" w:right="20" w:firstLine="462"/>
        <w:spacing w:after="0" w:line="341" w:lineRule="auto"/>
        <w:tabs>
          <w:tab w:leader="none" w:pos="1795" w:val="left"/>
        </w:tabs>
        <w:numPr>
          <w:ilvl w:val="1"/>
          <w:numId w:val="216"/>
        </w:numPr>
        <w:rPr>
          <w:rFonts w:ascii="Arial" w:cs="Arial" w:eastAsia="Arial" w:hAnsi="Arial"/>
          <w:sz w:val="13"/>
          <w:szCs w:val="13"/>
          <w:color w:val="auto"/>
        </w:rPr>
      </w:pPr>
      <w:r>
        <w:rPr>
          <w:rFonts w:ascii="Arial" w:cs="Arial" w:eastAsia="Arial" w:hAnsi="Arial"/>
          <w:sz w:val="13"/>
          <w:szCs w:val="13"/>
          <w:color w:val="auto"/>
        </w:rPr>
        <w:t xml:space="preserve">a partnership or limited liability company, no Equity Interest issued by such Subsidiary (A) is dealt in or traded on securities exchanges or in securities markets, or (B) is held in a Securities Account, except, with respect to this </w:t>
      </w:r>
      <w:r>
        <w:rPr>
          <w:rFonts w:ascii="Arial" w:cs="Arial" w:eastAsia="Arial" w:hAnsi="Arial"/>
          <w:sz w:val="13"/>
          <w:szCs w:val="13"/>
          <w:u w:val="single" w:color="auto"/>
          <w:color w:val="auto"/>
        </w:rPr>
        <w:t>clause (a)(iii)</w:t>
      </w:r>
      <w:r>
        <w:rPr>
          <w:rFonts w:ascii="Arial" w:cs="Arial" w:eastAsia="Arial" w:hAnsi="Arial"/>
          <w:sz w:val="13"/>
          <w:szCs w:val="13"/>
          <w:color w:val="auto"/>
        </w:rPr>
        <w:t>, Equity Interests (1) for which the Administrative Agent is the registered owner or (2) that are subject to a Control Agreement entered into by such Grantor, the Administrative Agent and the issuer of such Equity Interest.</w:t>
      </w:r>
    </w:p>
    <w:p>
      <w:pPr>
        <w:spacing w:after="0" w:line="19" w:lineRule="exact"/>
        <w:rPr>
          <w:rFonts w:ascii="Arial" w:cs="Arial" w:eastAsia="Arial" w:hAnsi="Arial"/>
          <w:sz w:val="13"/>
          <w:szCs w:val="13"/>
          <w:color w:val="auto"/>
        </w:rPr>
      </w:pPr>
    </w:p>
    <w:p>
      <w:pPr>
        <w:ind w:left="520" w:firstLine="488"/>
        <w:spacing w:after="0" w:line="298" w:lineRule="auto"/>
        <w:tabs>
          <w:tab w:leader="none" w:pos="1242" w:val="left"/>
        </w:tabs>
        <w:numPr>
          <w:ilvl w:val="0"/>
          <w:numId w:val="216"/>
        </w:numPr>
        <w:rPr>
          <w:rFonts w:ascii="Arial" w:cs="Arial" w:eastAsia="Arial" w:hAnsi="Arial"/>
          <w:sz w:val="15"/>
          <w:szCs w:val="15"/>
          <w:color w:val="auto"/>
        </w:rPr>
      </w:pPr>
      <w:r>
        <w:rPr>
          <w:rFonts w:ascii="Arial" w:cs="Arial" w:eastAsia="Arial" w:hAnsi="Arial"/>
          <w:sz w:val="15"/>
          <w:szCs w:val="15"/>
          <w:color w:val="auto"/>
        </w:rPr>
        <w:t>Each Grantor has delivered all Certificated Securities constituting Collateral held by such Grantor on the Closing Date to the Administrative Agent, together with duly executed undated blank stock powers, or other equivalent instruments of transfer reasonably acceptable to the Administrative Agent.</w:t>
      </w:r>
    </w:p>
    <w:p>
      <w:pPr>
        <w:spacing w:after="0" w:line="40" w:lineRule="exact"/>
        <w:rPr>
          <w:rFonts w:ascii="Arial" w:cs="Arial" w:eastAsia="Arial" w:hAnsi="Arial"/>
          <w:sz w:val="15"/>
          <w:szCs w:val="15"/>
          <w:color w:val="auto"/>
        </w:rPr>
      </w:pPr>
    </w:p>
    <w:p>
      <w:pPr>
        <w:jc w:val="both"/>
        <w:ind w:left="520" w:right="20" w:firstLine="488"/>
        <w:spacing w:after="0" w:line="251" w:lineRule="auto"/>
        <w:tabs>
          <w:tab w:leader="none" w:pos="123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With respect to Uncertificated Securities constituting Collateral (other than Uncertificated Securities credited to a Securities Account) owned by any Grantor, such Grantor has caused the issuer thereof either to (i) register the Administrative Agent as the registered owner of such security or (ii) agree in an authenticated record with such Grantor and the Administrative Agent that such issuer will comply with instructions with respect to such security originated by the Administrative Agent without further consent of such Grantor.</w:t>
      </w:r>
    </w:p>
    <w:p>
      <w:pPr>
        <w:spacing w:after="0" w:line="74" w:lineRule="exact"/>
        <w:rPr>
          <w:rFonts w:ascii="Arial" w:cs="Arial" w:eastAsia="Arial" w:hAnsi="Arial"/>
          <w:sz w:val="16"/>
          <w:szCs w:val="16"/>
          <w:color w:val="auto"/>
        </w:rPr>
      </w:pPr>
    </w:p>
    <w:p>
      <w:pPr>
        <w:ind w:left="1220" w:hanging="212"/>
        <w:spacing w:after="0"/>
        <w:tabs>
          <w:tab w:leader="none" w:pos="1220" w:val="left"/>
        </w:tabs>
        <w:numPr>
          <w:ilvl w:val="0"/>
          <w:numId w:val="216"/>
        </w:numPr>
        <w:rPr>
          <w:rFonts w:ascii="Arial" w:cs="Arial" w:eastAsia="Arial" w:hAnsi="Arial"/>
          <w:sz w:val="15"/>
          <w:szCs w:val="15"/>
          <w:color w:val="auto"/>
        </w:rPr>
      </w:pPr>
      <w:r>
        <w:rPr>
          <w:rFonts w:ascii="Arial" w:cs="Arial" w:eastAsia="Arial" w:hAnsi="Arial"/>
          <w:sz w:val="15"/>
          <w:szCs w:val="15"/>
          <w:color w:val="auto"/>
        </w:rPr>
        <w:t xml:space="preserve">The percentage of the issued and outstanding Equity Interests of each Subsidiary pledged by each Grantor hereunder is as set forth on </w:t>
      </w:r>
      <w:r>
        <w:rPr>
          <w:rFonts w:ascii="Arial" w:cs="Arial" w:eastAsia="Arial" w:hAnsi="Arial"/>
          <w:sz w:val="15"/>
          <w:szCs w:val="15"/>
          <w:u w:val="single" w:color="auto"/>
          <w:color w:val="auto"/>
        </w:rPr>
        <w:t>Schedule I</w:t>
      </w:r>
      <w:r>
        <w:rPr>
          <w:rFonts w:ascii="Arial" w:cs="Arial" w:eastAsia="Arial" w:hAnsi="Arial"/>
          <w:sz w:val="15"/>
          <w:szCs w:val="15"/>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40"/>
          </w:cols>
          <w:pgMar w:left="240" w:top="432" w:right="219" w:bottom="1440" w:gutter="0" w:footer="0" w:header="0"/>
        </w:sectPr>
      </w:pPr>
    </w:p>
    <w:bookmarkStart w:id="189" w:name="page190"/>
    <w:bookmarkEnd w:id="189"/>
    <w:p>
      <w:pPr>
        <w:ind w:left="520"/>
        <w:spacing w:after="0"/>
        <w:rPr>
          <w:sz w:val="20"/>
          <w:szCs w:val="20"/>
          <w:color w:val="auto"/>
        </w:rPr>
      </w:pPr>
      <w:r>
        <w:rPr>
          <w:rFonts w:ascii="Arial" w:cs="Arial" w:eastAsia="Arial" w:hAnsi="Arial"/>
          <w:sz w:val="16"/>
          <w:szCs w:val="16"/>
          <w:b w:val="1"/>
          <w:bCs w:val="1"/>
          <w:color w:val="auto"/>
        </w:rPr>
        <w:t xml:space="preserve">SECTION 3.2. </w:t>
      </w:r>
      <w:r>
        <w:rPr>
          <w:rFonts w:ascii="Arial" w:cs="Arial" w:eastAsia="Arial" w:hAnsi="Arial"/>
          <w:sz w:val="16"/>
          <w:szCs w:val="16"/>
          <w:b w:val="1"/>
          <w:bCs w:val="1"/>
          <w:u w:val="single" w:color="auto"/>
          <w:color w:val="auto"/>
        </w:rPr>
        <w:t>Grantor Name, Location, etc</w:t>
      </w:r>
      <w:r>
        <w:rPr>
          <w:rFonts w:ascii="Arial" w:cs="Arial" w:eastAsia="Arial" w:hAnsi="Arial"/>
          <w:sz w:val="16"/>
          <w:szCs w:val="16"/>
          <w:color w:val="auto"/>
        </w:rPr>
        <w:t>.</w:t>
      </w:r>
    </w:p>
    <w:p>
      <w:pPr>
        <w:spacing w:after="0" w:line="101" w:lineRule="exact"/>
        <w:rPr>
          <w:sz w:val="20"/>
          <w:szCs w:val="20"/>
          <w:color w:val="auto"/>
        </w:rPr>
      </w:pPr>
    </w:p>
    <w:p>
      <w:pPr>
        <w:ind w:left="1220" w:hanging="212"/>
        <w:spacing w:after="0"/>
        <w:tabs>
          <w:tab w:leader="none" w:pos="122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The jurisdiction in which each Grantor is located for purposes of Sections 9-301 and 9-307 of the UCC is set forth in </w:t>
      </w:r>
      <w:r>
        <w:rPr>
          <w:rFonts w:ascii="Arial" w:cs="Arial" w:eastAsia="Arial" w:hAnsi="Arial"/>
          <w:sz w:val="16"/>
          <w:szCs w:val="16"/>
          <w:u w:val="single" w:color="auto"/>
          <w:color w:val="auto"/>
        </w:rPr>
        <w:t>Item 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II</w:t>
      </w:r>
      <w:r>
        <w:rPr>
          <w:rFonts w:ascii="Arial" w:cs="Arial" w:eastAsia="Arial" w:hAnsi="Arial"/>
          <w:sz w:val="16"/>
          <w:szCs w:val="16"/>
          <w:color w:val="auto"/>
        </w:rPr>
        <w:t>.</w:t>
      </w:r>
    </w:p>
    <w:p>
      <w:pPr>
        <w:spacing w:after="0" w:line="97" w:lineRule="exact"/>
        <w:rPr>
          <w:rFonts w:ascii="Arial" w:cs="Arial" w:eastAsia="Arial" w:hAnsi="Arial"/>
          <w:sz w:val="16"/>
          <w:szCs w:val="16"/>
          <w:color w:val="auto"/>
        </w:rPr>
      </w:pPr>
    </w:p>
    <w:p>
      <w:pPr>
        <w:ind w:left="520" w:right="20" w:firstLine="488"/>
        <w:spacing w:after="0" w:line="264" w:lineRule="auto"/>
        <w:tabs>
          <w:tab w:leader="none" w:pos="1248"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Each location as to which a secured party would have filed a UCC financing statement in the five years prior to the date hereof to perfect a security interest in Equipment, Inventory and General Intangibles owned by such Grantor is set forth in </w:t>
      </w:r>
      <w:r>
        <w:rPr>
          <w:rFonts w:ascii="Arial" w:cs="Arial" w:eastAsia="Arial" w:hAnsi="Arial"/>
          <w:sz w:val="16"/>
          <w:szCs w:val="16"/>
          <w:u w:val="single" w:color="auto"/>
          <w:color w:val="auto"/>
        </w:rPr>
        <w:t>Item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II</w:t>
      </w:r>
      <w:r>
        <w:rPr>
          <w:rFonts w:ascii="Arial" w:cs="Arial" w:eastAsia="Arial" w:hAnsi="Arial"/>
          <w:sz w:val="16"/>
          <w:szCs w:val="16"/>
          <w:color w:val="auto"/>
        </w:rPr>
        <w:t>.</w:t>
      </w:r>
    </w:p>
    <w:p>
      <w:pPr>
        <w:spacing w:after="0" w:line="64" w:lineRule="exact"/>
        <w:rPr>
          <w:rFonts w:ascii="Arial" w:cs="Arial" w:eastAsia="Arial" w:hAnsi="Arial"/>
          <w:sz w:val="16"/>
          <w:szCs w:val="16"/>
          <w:color w:val="auto"/>
        </w:rPr>
      </w:pPr>
    </w:p>
    <w:p>
      <w:pPr>
        <w:ind w:left="1220" w:hanging="212"/>
        <w:spacing w:after="0"/>
        <w:tabs>
          <w:tab w:leader="none" w:pos="122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The Grantors do not have any trade names other than those set forth in </w:t>
      </w:r>
      <w:r>
        <w:rPr>
          <w:rFonts w:ascii="Arial" w:cs="Arial" w:eastAsia="Arial" w:hAnsi="Arial"/>
          <w:sz w:val="16"/>
          <w:szCs w:val="16"/>
          <w:u w:val="single" w:color="auto"/>
          <w:color w:val="auto"/>
        </w:rPr>
        <w:t>Item C</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w:t>
      </w:r>
    </w:p>
    <w:p>
      <w:pPr>
        <w:spacing w:after="0" w:line="97" w:lineRule="exact"/>
        <w:rPr>
          <w:rFonts w:ascii="Arial" w:cs="Arial" w:eastAsia="Arial" w:hAnsi="Arial"/>
          <w:sz w:val="16"/>
          <w:szCs w:val="16"/>
          <w:color w:val="auto"/>
        </w:rPr>
      </w:pPr>
    </w:p>
    <w:p>
      <w:pPr>
        <w:jc w:val="both"/>
        <w:ind w:left="520" w:firstLine="488"/>
        <w:spacing w:after="0" w:line="254" w:lineRule="auto"/>
        <w:tabs>
          <w:tab w:leader="none" w:pos="1243"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During the twelve months preceding the date hereof, no Grantor has been known by any legal name different from the one set forth on the signature page hereto, nor has such Grantor been the subject of any merger or other corporate reorganization or otherwise acquired assets outside of the ordinary course of business, except as set forth in </w:t>
      </w:r>
      <w:r>
        <w:rPr>
          <w:rFonts w:ascii="Arial" w:cs="Arial" w:eastAsia="Arial" w:hAnsi="Arial"/>
          <w:sz w:val="16"/>
          <w:szCs w:val="16"/>
          <w:u w:val="single" w:color="auto"/>
          <w:color w:val="auto"/>
        </w:rPr>
        <w:t>Item D</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w:t>
      </w:r>
    </w:p>
    <w:p>
      <w:pPr>
        <w:spacing w:after="0" w:line="72" w:lineRule="exact"/>
        <w:rPr>
          <w:rFonts w:ascii="Arial" w:cs="Arial" w:eastAsia="Arial" w:hAnsi="Arial"/>
          <w:sz w:val="16"/>
          <w:szCs w:val="16"/>
          <w:color w:val="auto"/>
        </w:rPr>
      </w:pPr>
    </w:p>
    <w:p>
      <w:pPr>
        <w:ind w:left="520" w:right="20" w:firstLine="488"/>
        <w:spacing w:after="0" w:line="264" w:lineRule="auto"/>
        <w:tabs>
          <w:tab w:leader="none" w:pos="1244"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Each Grantor’s state issued organizational identification number and federal taxpayer identification number is (and, during the four months preceding the date hereof, such Grantor has not had a federal taxpayer identification number different from that) set forth in </w:t>
      </w:r>
      <w:r>
        <w:rPr>
          <w:rFonts w:ascii="Arial" w:cs="Arial" w:eastAsia="Arial" w:hAnsi="Arial"/>
          <w:sz w:val="16"/>
          <w:szCs w:val="16"/>
          <w:u w:val="single" w:color="auto"/>
          <w:color w:val="auto"/>
        </w:rPr>
        <w:t>Item E</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w:t>
      </w:r>
    </w:p>
    <w:p>
      <w:pPr>
        <w:spacing w:after="0" w:line="64" w:lineRule="exact"/>
        <w:rPr>
          <w:rFonts w:ascii="Arial" w:cs="Arial" w:eastAsia="Arial" w:hAnsi="Arial"/>
          <w:sz w:val="16"/>
          <w:szCs w:val="16"/>
          <w:color w:val="auto"/>
        </w:rPr>
      </w:pPr>
    </w:p>
    <w:p>
      <w:pPr>
        <w:ind w:left="1200" w:hanging="192"/>
        <w:spacing w:after="0"/>
        <w:tabs>
          <w:tab w:leader="none" w:pos="1200" w:val="left"/>
        </w:tabs>
        <w:numPr>
          <w:ilvl w:val="0"/>
          <w:numId w:val="217"/>
        </w:numPr>
        <w:rPr>
          <w:rFonts w:ascii="Arial" w:cs="Arial" w:eastAsia="Arial" w:hAnsi="Arial"/>
          <w:sz w:val="15"/>
          <w:szCs w:val="15"/>
          <w:color w:val="auto"/>
        </w:rPr>
      </w:pPr>
      <w:r>
        <w:rPr>
          <w:rFonts w:ascii="Arial" w:cs="Arial" w:eastAsia="Arial" w:hAnsi="Arial"/>
          <w:sz w:val="15"/>
          <w:szCs w:val="15"/>
          <w:color w:val="auto"/>
        </w:rPr>
        <w:t xml:space="preserve">No Grantor is a party to any federal, state or local government contract that is material to its business except as set forth in </w:t>
      </w:r>
      <w:r>
        <w:rPr>
          <w:rFonts w:ascii="Arial" w:cs="Arial" w:eastAsia="Arial" w:hAnsi="Arial"/>
          <w:sz w:val="15"/>
          <w:szCs w:val="15"/>
          <w:u w:val="single" w:color="auto"/>
          <w:color w:val="auto"/>
        </w:rPr>
        <w:t>Item F</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Schedule II</w:t>
      </w:r>
      <w:r>
        <w:rPr>
          <w:rFonts w:ascii="Arial" w:cs="Arial" w:eastAsia="Arial" w:hAnsi="Arial"/>
          <w:sz w:val="15"/>
          <w:szCs w:val="15"/>
          <w:color w:val="auto"/>
        </w:rPr>
        <w:t xml:space="preserve"> hereto.</w:t>
      </w:r>
    </w:p>
    <w:p>
      <w:pPr>
        <w:spacing w:after="0" w:line="108" w:lineRule="exact"/>
        <w:rPr>
          <w:rFonts w:ascii="Arial" w:cs="Arial" w:eastAsia="Arial" w:hAnsi="Arial"/>
          <w:sz w:val="15"/>
          <w:szCs w:val="15"/>
          <w:color w:val="auto"/>
        </w:rPr>
      </w:pPr>
    </w:p>
    <w:p>
      <w:pPr>
        <w:ind w:left="520" w:firstLine="488"/>
        <w:spacing w:after="0" w:line="264" w:lineRule="auto"/>
        <w:tabs>
          <w:tab w:leader="none" w:pos="126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No Grantor maintains any Deposit Accounts, Securities Accounts or Commodity Accounts with any Person, in each case, except as set forth on </w:t>
      </w:r>
      <w:r>
        <w:rPr>
          <w:rFonts w:ascii="Arial" w:cs="Arial" w:eastAsia="Arial" w:hAnsi="Arial"/>
          <w:sz w:val="16"/>
          <w:szCs w:val="16"/>
          <w:u w:val="single" w:color="auto"/>
          <w:color w:val="auto"/>
        </w:rPr>
        <w:t>Item G</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II.</w:t>
      </w:r>
    </w:p>
    <w:p>
      <w:pPr>
        <w:spacing w:after="0" w:line="64" w:lineRule="exact"/>
        <w:rPr>
          <w:rFonts w:ascii="Arial" w:cs="Arial" w:eastAsia="Arial" w:hAnsi="Arial"/>
          <w:sz w:val="16"/>
          <w:szCs w:val="16"/>
          <w:color w:val="auto"/>
        </w:rPr>
      </w:pPr>
    </w:p>
    <w:p>
      <w:pPr>
        <w:ind w:left="1220" w:hanging="212"/>
        <w:spacing w:after="0"/>
        <w:tabs>
          <w:tab w:leader="none" w:pos="122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No Grantor is the beneficiary of any Letters of Credit, except as set forth on </w:t>
      </w:r>
      <w:r>
        <w:rPr>
          <w:rFonts w:ascii="Arial" w:cs="Arial" w:eastAsia="Arial" w:hAnsi="Arial"/>
          <w:sz w:val="16"/>
          <w:szCs w:val="16"/>
          <w:u w:val="single" w:color="auto"/>
          <w:color w:val="auto"/>
        </w:rPr>
        <w:t>Item H</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II</w:t>
      </w:r>
      <w:r>
        <w:rPr>
          <w:rFonts w:ascii="Arial" w:cs="Arial" w:eastAsia="Arial" w:hAnsi="Arial"/>
          <w:sz w:val="16"/>
          <w:szCs w:val="16"/>
          <w:color w:val="auto"/>
        </w:rPr>
        <w:t>.</w:t>
      </w:r>
    </w:p>
    <w:p>
      <w:pPr>
        <w:spacing w:after="0" w:line="97" w:lineRule="exact"/>
        <w:rPr>
          <w:rFonts w:ascii="Arial" w:cs="Arial" w:eastAsia="Arial" w:hAnsi="Arial"/>
          <w:sz w:val="16"/>
          <w:szCs w:val="16"/>
          <w:color w:val="auto"/>
        </w:rPr>
      </w:pPr>
    </w:p>
    <w:p>
      <w:pPr>
        <w:ind w:left="1200" w:hanging="192"/>
        <w:spacing w:after="0"/>
        <w:tabs>
          <w:tab w:leader="none" w:pos="1200" w:val="left"/>
        </w:tabs>
        <w:numPr>
          <w:ilvl w:val="0"/>
          <w:numId w:val="217"/>
        </w:numPr>
        <w:rPr>
          <w:rFonts w:ascii="Arial" w:cs="Arial" w:eastAsia="Arial" w:hAnsi="Arial"/>
          <w:sz w:val="13"/>
          <w:szCs w:val="13"/>
          <w:color w:val="auto"/>
        </w:rPr>
      </w:pPr>
      <w:r>
        <w:rPr>
          <w:rFonts w:ascii="Arial" w:cs="Arial" w:eastAsia="Arial" w:hAnsi="Arial"/>
          <w:sz w:val="13"/>
          <w:szCs w:val="13"/>
          <w:color w:val="auto"/>
        </w:rPr>
        <w:t xml:space="preserve">No Grantor has any Commercial Tort Claims in which a suit has been filed by such Grantor in excess of $500,000, except as set forth on </w:t>
      </w:r>
      <w:r>
        <w:rPr>
          <w:rFonts w:ascii="Arial" w:cs="Arial" w:eastAsia="Arial" w:hAnsi="Arial"/>
          <w:sz w:val="13"/>
          <w:szCs w:val="13"/>
          <w:u w:val="single" w:color="auto"/>
          <w:color w:val="auto"/>
        </w:rPr>
        <w:t>Item I</w:t>
      </w:r>
      <w:r>
        <w:rPr>
          <w:rFonts w:ascii="Arial" w:cs="Arial" w:eastAsia="Arial" w:hAnsi="Arial"/>
          <w:sz w:val="13"/>
          <w:szCs w:val="13"/>
          <w:color w:val="auto"/>
        </w:rPr>
        <w:t xml:space="preserve"> of </w:t>
      </w:r>
      <w:r>
        <w:rPr>
          <w:rFonts w:ascii="Arial" w:cs="Arial" w:eastAsia="Arial" w:hAnsi="Arial"/>
          <w:sz w:val="13"/>
          <w:szCs w:val="13"/>
          <w:u w:val="single" w:color="auto"/>
          <w:color w:val="auto"/>
        </w:rPr>
        <w:t>Schedule II</w:t>
      </w:r>
      <w:r>
        <w:rPr>
          <w:rFonts w:ascii="Arial" w:cs="Arial" w:eastAsia="Arial" w:hAnsi="Arial"/>
          <w:sz w:val="13"/>
          <w:szCs w:val="13"/>
          <w:color w:val="auto"/>
        </w:rPr>
        <w:t>.</w:t>
      </w:r>
    </w:p>
    <w:p>
      <w:pPr>
        <w:spacing w:after="0" w:line="131" w:lineRule="exact"/>
        <w:rPr>
          <w:rFonts w:ascii="Arial" w:cs="Arial" w:eastAsia="Arial" w:hAnsi="Arial"/>
          <w:sz w:val="13"/>
          <w:szCs w:val="13"/>
          <w:color w:val="auto"/>
        </w:rPr>
      </w:pPr>
    </w:p>
    <w:p>
      <w:pPr>
        <w:ind w:left="1200" w:hanging="192"/>
        <w:spacing w:after="0"/>
        <w:tabs>
          <w:tab w:leader="none" w:pos="120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name set forth on the signature page attached hereto is the true and correct legal name (as defined in the UCC) of each Grantor.</w:t>
      </w:r>
    </w:p>
    <w:p>
      <w:pPr>
        <w:spacing w:after="0" w:line="97" w:lineRule="exact"/>
        <w:rPr>
          <w:rFonts w:ascii="Arial" w:cs="Arial" w:eastAsia="Arial" w:hAnsi="Arial"/>
          <w:sz w:val="16"/>
          <w:szCs w:val="16"/>
          <w:color w:val="auto"/>
        </w:rPr>
      </w:pPr>
    </w:p>
    <w:p>
      <w:pPr>
        <w:jc w:val="both"/>
        <w:ind w:left="520" w:right="20" w:firstLine="488"/>
        <w:spacing w:after="0" w:line="341" w:lineRule="auto"/>
        <w:tabs>
          <w:tab w:leader="none" w:pos="1240" w:val="left"/>
        </w:tabs>
        <w:numPr>
          <w:ilvl w:val="0"/>
          <w:numId w:val="217"/>
        </w:numPr>
        <w:rPr>
          <w:rFonts w:ascii="Arial" w:cs="Arial" w:eastAsia="Arial" w:hAnsi="Arial"/>
          <w:sz w:val="13"/>
          <w:szCs w:val="13"/>
          <w:color w:val="auto"/>
        </w:rPr>
      </w:pPr>
      <w:r>
        <w:rPr>
          <w:rFonts w:ascii="Arial" w:cs="Arial" w:eastAsia="Arial" w:hAnsi="Arial"/>
          <w:sz w:val="13"/>
          <w:szCs w:val="13"/>
          <w:color w:val="auto"/>
        </w:rPr>
        <w:t>Each Grantor has used its commercially reasonable efforts to obtain a legal, valid and enforceable consent of each issuer of any Letter of Credit to the assignment of the Proceeds of such Letter of Credit to the Administrative Agent and no Grantor has consented to, and is otherwise aware of, any Person (other than the Administrative Agent pursuant hereto) having control (within the meaning of Section 9-107 of the UCC) over, or any other interest in any of such Grantor’s rights in respect thereof.</w:t>
      </w:r>
    </w:p>
    <w:p>
      <w:pPr>
        <w:spacing w:after="0" w:line="109" w:lineRule="exact"/>
        <w:rPr>
          <w:sz w:val="20"/>
          <w:szCs w:val="20"/>
          <w:color w:val="auto"/>
        </w:rPr>
      </w:pPr>
    </w:p>
    <w:p>
      <w:pPr>
        <w:jc w:val="both"/>
        <w:ind w:firstLine="519"/>
        <w:spacing w:after="0" w:line="269" w:lineRule="auto"/>
        <w:rPr>
          <w:sz w:val="20"/>
          <w:szCs w:val="20"/>
          <w:color w:val="auto"/>
        </w:rPr>
      </w:pPr>
      <w:r>
        <w:rPr>
          <w:rFonts w:ascii="Arial" w:cs="Arial" w:eastAsia="Arial" w:hAnsi="Arial"/>
          <w:sz w:val="15"/>
          <w:szCs w:val="15"/>
          <w:b w:val="1"/>
          <w:bCs w:val="1"/>
          <w:color w:val="auto"/>
        </w:rPr>
        <w:t xml:space="preserve">SECTION 3.3. </w:t>
      </w:r>
      <w:r>
        <w:rPr>
          <w:rFonts w:ascii="Arial" w:cs="Arial" w:eastAsia="Arial" w:hAnsi="Arial"/>
          <w:sz w:val="15"/>
          <w:szCs w:val="15"/>
          <w:b w:val="1"/>
          <w:bCs w:val="1"/>
          <w:u w:val="single" w:color="auto"/>
          <w:color w:val="auto"/>
        </w:rPr>
        <w:t>Ownership, No Liens, etc</w:t>
      </w:r>
      <w:r>
        <w:rPr>
          <w:rFonts w:ascii="Arial" w:cs="Arial" w:eastAsia="Arial" w:hAnsi="Arial"/>
          <w:sz w:val="15"/>
          <w:szCs w:val="15"/>
          <w:u w:val="single" w:color="auto"/>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Each Grantor has rights in or the power to transfer the Collateral, and each Grantor owns its Collateral free and clear of any Lien,</w:t>
      </w:r>
      <w:r>
        <w:rPr>
          <w:rFonts w:ascii="Arial" w:cs="Arial" w:eastAsia="Arial" w:hAnsi="Arial"/>
          <w:sz w:val="15"/>
          <w:szCs w:val="15"/>
          <w:b w:val="1"/>
          <w:bCs w:val="1"/>
          <w:color w:val="auto"/>
        </w:rPr>
        <w:t xml:space="preserve"> </w:t>
      </w:r>
      <w:r>
        <w:rPr>
          <w:rFonts w:ascii="Arial" w:cs="Arial" w:eastAsia="Arial" w:hAnsi="Arial"/>
          <w:sz w:val="15"/>
          <w:szCs w:val="15"/>
          <w:color w:val="auto"/>
        </w:rPr>
        <w:t>except for any security interest (a) in the case of the Equity Interests of each Subsidiary pledged hereunder, created by this Security Agreement and (b) in all other Collateral (other than the Equity Interests of each Subsidiary pledged hereunder) that is a Permitted Lien. No effective financing statement or other filing similar in effect covering all or any part of the Collateral is on file in any recording office, except those filed in favor of the Administrative Agent relating to this Security Agreement, Permitted Liens (but only in the case of Collateral other than the Equity Interests of each Subsidiary pledged hereunder) or as to which a duly authorized termination statement relating to such financing statement or other instrument has been delivered to the Administrative Agent on the Closing Date.</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 xml:space="preserve">SECTION 3.4. </w:t>
      </w:r>
      <w:r>
        <w:rPr>
          <w:rFonts w:ascii="Arial" w:cs="Arial" w:eastAsia="Arial" w:hAnsi="Arial"/>
          <w:sz w:val="16"/>
          <w:szCs w:val="16"/>
          <w:b w:val="1"/>
          <w:bCs w:val="1"/>
          <w:u w:val="single" w:color="auto"/>
          <w:color w:val="auto"/>
        </w:rPr>
        <w:t>Possession of Inventory, Control; etc</w:t>
      </w:r>
      <w:r>
        <w:rPr>
          <w:rFonts w:ascii="Arial" w:cs="Arial" w:eastAsia="Arial" w:hAnsi="Arial"/>
          <w:sz w:val="16"/>
          <w:szCs w:val="16"/>
          <w:color w:val="auto"/>
        </w:rPr>
        <w:t>.</w:t>
      </w:r>
    </w:p>
    <w:p>
      <w:pPr>
        <w:spacing w:after="0" w:line="101" w:lineRule="exact"/>
        <w:rPr>
          <w:sz w:val="20"/>
          <w:szCs w:val="20"/>
          <w:color w:val="auto"/>
        </w:rPr>
      </w:pPr>
    </w:p>
    <w:p>
      <w:pPr>
        <w:jc w:val="both"/>
        <w:ind w:left="520" w:firstLine="488"/>
        <w:spacing w:after="0" w:line="311" w:lineRule="auto"/>
        <w:tabs>
          <w:tab w:leader="none" w:pos="1231" w:val="left"/>
        </w:tabs>
        <w:numPr>
          <w:ilvl w:val="0"/>
          <w:numId w:val="218"/>
        </w:numPr>
        <w:rPr>
          <w:rFonts w:ascii="Arial" w:cs="Arial" w:eastAsia="Arial" w:hAnsi="Arial"/>
          <w:sz w:val="13"/>
          <w:szCs w:val="13"/>
          <w:color w:val="auto"/>
        </w:rPr>
      </w:pPr>
      <w:r>
        <w:rPr>
          <w:rFonts w:ascii="Arial" w:cs="Arial" w:eastAsia="Arial" w:hAnsi="Arial"/>
          <w:sz w:val="13"/>
          <w:szCs w:val="13"/>
          <w:color w:val="auto"/>
        </w:rPr>
        <w:t xml:space="preserve">Each Grantor has, and agrees that it will maintain, exclusive possession of its Documents, Instruments, Promissory Notes, Goods, Equipment and Inventory, other than (i) Equipment and Inventory in transit in the ordinary course of business, (ii) Equipment and Inventory that is in the possession or control of a warehouseman, bailee agent or other Person (other than a Person controlled by or under common control with the applicable Grantor) that has been notified of the security interest created in favor of the Secured Parties pursuant to this Security Agreement, and on or prior to the Closing Date, or such later date as the Administrative Agent shall agree, has authenticated a record acknowledging that it holds possession of such Collateral for the Secured Parties’ benefit and waives any Lien held by it against such Collateral, and (iii) Instruments or Promissory Notes that have been delivered to the Administrative Agent pursuant to </w:t>
      </w:r>
      <w:r>
        <w:rPr>
          <w:rFonts w:ascii="Arial" w:cs="Arial" w:eastAsia="Arial" w:hAnsi="Arial"/>
          <w:sz w:val="13"/>
          <w:szCs w:val="13"/>
          <w:u w:val="single" w:color="auto"/>
          <w:color w:val="auto"/>
        </w:rPr>
        <w:t>Section 3.5</w:t>
      </w:r>
      <w:r>
        <w:rPr>
          <w:rFonts w:ascii="Arial" w:cs="Arial" w:eastAsia="Arial" w:hAnsi="Arial"/>
          <w:sz w:val="13"/>
          <w:szCs w:val="13"/>
          <w:color w:val="auto"/>
        </w:rPr>
        <w:t xml:space="preserve">. In the case of Equipment or Inventory described in </w:t>
      </w:r>
      <w:r>
        <w:rPr>
          <w:rFonts w:ascii="Arial" w:cs="Arial" w:eastAsia="Arial" w:hAnsi="Arial"/>
          <w:sz w:val="13"/>
          <w:szCs w:val="13"/>
          <w:u w:val="single" w:color="auto"/>
          <w:color w:val="auto"/>
        </w:rPr>
        <w:t>clause (ii)</w:t>
      </w:r>
      <w:r>
        <w:rPr>
          <w:rFonts w:ascii="Arial" w:cs="Arial" w:eastAsia="Arial" w:hAnsi="Arial"/>
          <w:sz w:val="13"/>
          <w:szCs w:val="13"/>
          <w:color w:val="auto"/>
        </w:rPr>
        <w:t xml:space="preserve"> above, no lessor or warehouseman of any premises or warehouse upon or in which such Equipment or Inventory is located has (i) issued any warehouse receipt or other receipt in the nature of a warehouse receipt in respect of any such Equipment or Inventory, (ii) issued any Document for any such Equipment or Inventory, (iii) received notification of any Secured Party’s interest (other than the security interest granted hereunder) in any such Equipment or Inventory or (iv) any Lien on any such Equipment or Inventory.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40"/>
          </w:cols>
          <w:pgMar w:left="240" w:top="522" w:right="219" w:bottom="1440" w:gutter="0" w:footer="0" w:header="0"/>
        </w:sectPr>
      </w:pPr>
    </w:p>
    <w:bookmarkStart w:id="190" w:name="page191"/>
    <w:bookmarkEnd w:id="190"/>
    <w:p>
      <w:pPr>
        <w:jc w:val="both"/>
        <w:ind w:left="520" w:right="20" w:firstLine="488"/>
        <w:spacing w:after="0" w:line="254" w:lineRule="auto"/>
        <w:tabs>
          <w:tab w:leader="none" w:pos="1261" w:val="left"/>
        </w:tabs>
        <w:numPr>
          <w:ilvl w:val="0"/>
          <w:numId w:val="219"/>
        </w:numPr>
        <w:rPr>
          <w:rFonts w:ascii="Arial" w:cs="Arial" w:eastAsia="Arial" w:hAnsi="Arial"/>
          <w:sz w:val="16"/>
          <w:szCs w:val="16"/>
          <w:color w:val="auto"/>
        </w:rPr>
      </w:pPr>
      <w:r>
        <w:rPr>
          <w:rFonts w:ascii="Arial" w:cs="Arial" w:eastAsia="Arial" w:hAnsi="Arial"/>
          <w:sz w:val="16"/>
          <w:szCs w:val="16"/>
          <w:color w:val="auto"/>
        </w:rPr>
        <w:t>Each Grantor is the sole entitlement holder of its Securities Accounts and Commodity Accounts and no other Person (other than the Administrative Agent pursuant to this Security Agreement or any other Person with respect to Permitted Liens) has control or possession of, or any other interest in, any of such accounts or any other securities or property credited thereto.</w:t>
      </w:r>
    </w:p>
    <w:p>
      <w:pPr>
        <w:spacing w:after="0" w:line="162" w:lineRule="exact"/>
        <w:rPr>
          <w:sz w:val="20"/>
          <w:szCs w:val="20"/>
          <w:color w:val="auto"/>
        </w:rPr>
      </w:pPr>
    </w:p>
    <w:p>
      <w:pPr>
        <w:jc w:val="both"/>
        <w:ind w:firstLine="519"/>
        <w:spacing w:after="0" w:line="282" w:lineRule="auto"/>
        <w:rPr>
          <w:sz w:val="20"/>
          <w:szCs w:val="20"/>
          <w:color w:val="auto"/>
        </w:rPr>
      </w:pPr>
      <w:r>
        <w:rPr>
          <w:rFonts w:ascii="Arial" w:cs="Arial" w:eastAsia="Arial" w:hAnsi="Arial"/>
          <w:sz w:val="15"/>
          <w:szCs w:val="15"/>
          <w:b w:val="1"/>
          <w:bCs w:val="1"/>
          <w:color w:val="auto"/>
        </w:rPr>
        <w:t xml:space="preserve">SECTION 3.5. </w:t>
      </w:r>
      <w:r>
        <w:rPr>
          <w:rFonts w:ascii="Arial" w:cs="Arial" w:eastAsia="Arial" w:hAnsi="Arial"/>
          <w:sz w:val="15"/>
          <w:szCs w:val="15"/>
          <w:b w:val="1"/>
          <w:bCs w:val="1"/>
          <w:u w:val="single" w:color="auto"/>
          <w:color w:val="auto"/>
        </w:rPr>
        <w:t>Negotiable Documents, Instruments and Chattel Paper</w:t>
      </w:r>
      <w:r>
        <w:rPr>
          <w:rFonts w:ascii="Arial" w:cs="Arial" w:eastAsia="Arial" w:hAnsi="Arial"/>
          <w:sz w:val="15"/>
          <w:szCs w:val="15"/>
          <w:u w:val="single" w:color="auto"/>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Each Grantor has delivered to the Administrative Agent possession of all originals of all</w:t>
      </w:r>
      <w:r>
        <w:rPr>
          <w:rFonts w:ascii="Arial" w:cs="Arial" w:eastAsia="Arial" w:hAnsi="Arial"/>
          <w:sz w:val="15"/>
          <w:szCs w:val="15"/>
          <w:b w:val="1"/>
          <w:bCs w:val="1"/>
          <w:color w:val="auto"/>
        </w:rPr>
        <w:t xml:space="preserve"> </w:t>
      </w:r>
      <w:r>
        <w:rPr>
          <w:rFonts w:ascii="Arial" w:cs="Arial" w:eastAsia="Arial" w:hAnsi="Arial"/>
          <w:sz w:val="15"/>
          <w:szCs w:val="15"/>
          <w:color w:val="auto"/>
        </w:rPr>
        <w:t>Documents, Instruments, Promissory Notes, and tangible Chattel Paper constituting Collateral and owned or held by such Grantor on the Closing Date duly endorsed and accompanied by duly executed instruments of transfer or assignment, all in form and substance reasonably satisfactory to the Administrative Agent.</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 xml:space="preserve">SECTION 3.6. </w:t>
      </w:r>
      <w:r>
        <w:rPr>
          <w:rFonts w:ascii="Arial" w:cs="Arial" w:eastAsia="Arial" w:hAnsi="Arial"/>
          <w:sz w:val="16"/>
          <w:szCs w:val="16"/>
          <w:b w:val="1"/>
          <w:bCs w:val="1"/>
          <w:u w:val="single" w:color="auto"/>
          <w:color w:val="auto"/>
        </w:rPr>
        <w:t>Intellectual Property Collateral</w:t>
      </w:r>
      <w:r>
        <w:rPr>
          <w:rFonts w:ascii="Arial" w:cs="Arial" w:eastAsia="Arial" w:hAnsi="Arial"/>
          <w:sz w:val="16"/>
          <w:szCs w:val="16"/>
          <w:color w:val="auto"/>
        </w:rPr>
        <w:t>. Except as disclosed to the Administrative Agent, in respect of each Grantor:</w:t>
      </w:r>
    </w:p>
    <w:p>
      <w:pPr>
        <w:spacing w:after="0" w:line="101" w:lineRule="exact"/>
        <w:rPr>
          <w:sz w:val="20"/>
          <w:szCs w:val="20"/>
          <w:color w:val="auto"/>
        </w:rPr>
      </w:pPr>
    </w:p>
    <w:p>
      <w:pPr>
        <w:ind w:left="520" w:right="20" w:firstLine="488"/>
        <w:spacing w:after="0" w:line="264" w:lineRule="auto"/>
        <w:tabs>
          <w:tab w:leader="none" w:pos="1233"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to the best of such Grantor’s knowledge after due and diligent investigation and inquiry, the Owned Intellectual Property Collateral is valid, subsisting, unexpired and enforceable and has not been abandoned or adjudged invalid or unenforceable, in whole or in part;</w:t>
      </w:r>
    </w:p>
    <w:p>
      <w:pPr>
        <w:spacing w:after="0" w:line="64" w:lineRule="exact"/>
        <w:rPr>
          <w:rFonts w:ascii="Arial" w:cs="Arial" w:eastAsia="Arial" w:hAnsi="Arial"/>
          <w:sz w:val="16"/>
          <w:szCs w:val="16"/>
          <w:color w:val="auto"/>
        </w:rPr>
      </w:pPr>
    </w:p>
    <w:p>
      <w:pPr>
        <w:jc w:val="both"/>
        <w:ind w:left="520" w:firstLine="488"/>
        <w:spacing w:after="0" w:line="270" w:lineRule="auto"/>
        <w:tabs>
          <w:tab w:leader="none" w:pos="1240" w:val="left"/>
        </w:tabs>
        <w:numPr>
          <w:ilvl w:val="0"/>
          <w:numId w:val="220"/>
        </w:numPr>
        <w:rPr>
          <w:rFonts w:ascii="Arial" w:cs="Arial" w:eastAsia="Arial" w:hAnsi="Arial"/>
          <w:sz w:val="15"/>
          <w:szCs w:val="15"/>
          <w:color w:val="auto"/>
        </w:rPr>
      </w:pPr>
      <w:r>
        <w:rPr>
          <w:rFonts w:ascii="Arial" w:cs="Arial" w:eastAsia="Arial" w:hAnsi="Arial"/>
          <w:sz w:val="15"/>
          <w:szCs w:val="15"/>
          <w:color w:val="auto"/>
        </w:rPr>
        <w:t>such Grantor is the sole and exclusive owner of the entire right, title and interest in and to the Owned Intellectual Property Collateral (subject to Permitted Liens), and, to such Grantor’s knowledge, (A) with respect to any Owned Intellectual Property Collateral that is material to the business of such Grantor, no claim has been made that such Grantor is or may be, in conflict with, infringing, misappropriating, diluting, misusing or otherwise violating any of the rights of any third party or that challenges the ownership, use, protectability, registerability, validity or enforceability of such Owned Intellectual Property Collateral or any other Intellectual Property Collateral that is material to the business of such Grantor and (B) there is no valid basis for any such claims;</w:t>
      </w:r>
    </w:p>
    <w:p>
      <w:pPr>
        <w:spacing w:after="0" w:line="61" w:lineRule="exact"/>
        <w:rPr>
          <w:rFonts w:ascii="Arial" w:cs="Arial" w:eastAsia="Arial" w:hAnsi="Arial"/>
          <w:sz w:val="15"/>
          <w:szCs w:val="15"/>
          <w:color w:val="auto"/>
        </w:rPr>
      </w:pPr>
    </w:p>
    <w:p>
      <w:pPr>
        <w:jc w:val="both"/>
        <w:ind w:left="520" w:firstLine="488"/>
        <w:spacing w:after="0" w:line="341" w:lineRule="auto"/>
        <w:tabs>
          <w:tab w:leader="none" w:pos="1237" w:val="left"/>
        </w:tabs>
        <w:numPr>
          <w:ilvl w:val="0"/>
          <w:numId w:val="220"/>
        </w:numPr>
        <w:rPr>
          <w:rFonts w:ascii="Arial" w:cs="Arial" w:eastAsia="Arial" w:hAnsi="Arial"/>
          <w:sz w:val="13"/>
          <w:szCs w:val="13"/>
          <w:color w:val="auto"/>
        </w:rPr>
      </w:pPr>
      <w:r>
        <w:rPr>
          <w:rFonts w:ascii="Arial" w:cs="Arial" w:eastAsia="Arial" w:hAnsi="Arial"/>
          <w:sz w:val="13"/>
          <w:szCs w:val="13"/>
          <w:color w:val="auto"/>
        </w:rPr>
        <w:t>such Grantor has made all filings and recordations that it has reasonably deemed appropriate to protect its interest in any Owned Intellectual Property Collateral that is material to the business of such Grantor, including recordations of all of its interests in the Patent Collateral, the Trademark Collateral and the Copyright Collateral in the United States Patent and Trademark Office, the United States Copyright Office and corresponding offices in other countries of the world, as appropriate;</w:t>
      </w:r>
    </w:p>
    <w:p>
      <w:pPr>
        <w:spacing w:after="0" w:line="19" w:lineRule="exact"/>
        <w:rPr>
          <w:rFonts w:ascii="Arial" w:cs="Arial" w:eastAsia="Arial" w:hAnsi="Arial"/>
          <w:sz w:val="13"/>
          <w:szCs w:val="13"/>
          <w:color w:val="auto"/>
        </w:rPr>
      </w:pPr>
    </w:p>
    <w:p>
      <w:pPr>
        <w:jc w:val="both"/>
        <w:ind w:left="520" w:firstLine="488"/>
        <w:spacing w:after="0" w:line="248" w:lineRule="auto"/>
        <w:tabs>
          <w:tab w:leader="none" w:pos="1253" w:val="left"/>
        </w:tabs>
        <w:numPr>
          <w:ilvl w:val="0"/>
          <w:numId w:val="220"/>
        </w:numPr>
        <w:rPr>
          <w:rFonts w:ascii="Arial" w:cs="Arial" w:eastAsia="Arial" w:hAnsi="Arial"/>
          <w:sz w:val="16"/>
          <w:szCs w:val="16"/>
          <w:color w:val="auto"/>
        </w:rPr>
      </w:pPr>
      <w:r>
        <w:rPr>
          <w:rFonts w:ascii="Arial" w:cs="Arial" w:eastAsia="Arial" w:hAnsi="Arial"/>
          <w:sz w:val="16"/>
          <w:szCs w:val="16"/>
          <w:color w:val="auto"/>
        </w:rPr>
        <w:t>such Grantor has taken all reasonable steps to safeguard its Trade Secrets and to its knowledge (A) none of the Trade Secrets of such Grantor has been used, divulged, disclosed or appropriated for the benefit of any other Person other than such Grantor; (B) no employee, independent contractor or agent of such Grantor has misappropriated any Trade Secrets of any other Person in the course of the performance of his or her duties as an employee, independent contractor or agent of such Grantor; and (C) no employee, independent contractor or agent of such Grantor is in default or breach of any term of any employment agreement, non-disclosure agreement, assignment of inventions agreement or similar agreement or contract relating in any way to the protection, ownership, development, use or transfer of such Grantor’s Intellectual Property Collateral;</w:t>
      </w:r>
    </w:p>
    <w:p>
      <w:pPr>
        <w:spacing w:after="0" w:line="78" w:lineRule="exact"/>
        <w:rPr>
          <w:rFonts w:ascii="Arial" w:cs="Arial" w:eastAsia="Arial" w:hAnsi="Arial"/>
          <w:sz w:val="16"/>
          <w:szCs w:val="16"/>
          <w:color w:val="auto"/>
        </w:rPr>
      </w:pPr>
    </w:p>
    <w:p>
      <w:pPr>
        <w:jc w:val="both"/>
        <w:ind w:left="520" w:right="20" w:firstLine="488"/>
        <w:spacing w:after="0" w:line="279" w:lineRule="auto"/>
        <w:tabs>
          <w:tab w:leader="none" w:pos="1254" w:val="left"/>
        </w:tabs>
        <w:numPr>
          <w:ilvl w:val="0"/>
          <w:numId w:val="220"/>
        </w:numPr>
        <w:rPr>
          <w:rFonts w:ascii="Arial" w:cs="Arial" w:eastAsia="Arial" w:hAnsi="Arial"/>
          <w:sz w:val="15"/>
          <w:szCs w:val="15"/>
          <w:color w:val="auto"/>
        </w:rPr>
      </w:pPr>
      <w:r>
        <w:rPr>
          <w:rFonts w:ascii="Arial" w:cs="Arial" w:eastAsia="Arial" w:hAnsi="Arial"/>
          <w:sz w:val="15"/>
          <w:szCs w:val="15"/>
          <w:color w:val="auto"/>
        </w:rPr>
        <w:t>no action by such Grantor is currently pending which asserts that any third party is infringing, misappropriating, diluting, misusing or voiding any Owned Intellectual Property Collateral that is material to the business of such Grantor and, to such Grantor’s knowledge, no third party is infringing upon, misappropriating, diluting, misusing or voiding any Intellectual Property owned or used by such Grantor in any material respect, or any of its respective licensees;</w:t>
      </w:r>
    </w:p>
    <w:p>
      <w:pPr>
        <w:spacing w:after="0" w:line="54" w:lineRule="exact"/>
        <w:rPr>
          <w:rFonts w:ascii="Arial" w:cs="Arial" w:eastAsia="Arial" w:hAnsi="Arial"/>
          <w:sz w:val="15"/>
          <w:szCs w:val="15"/>
          <w:color w:val="auto"/>
        </w:rPr>
      </w:pPr>
    </w:p>
    <w:p>
      <w:pPr>
        <w:ind w:left="520" w:right="20" w:firstLine="488"/>
        <w:spacing w:after="0" w:line="264" w:lineRule="auto"/>
        <w:tabs>
          <w:tab w:leader="none" w:pos="1212" w:val="left"/>
        </w:tabs>
        <w:numPr>
          <w:ilvl w:val="0"/>
          <w:numId w:val="220"/>
        </w:numPr>
        <w:rPr>
          <w:rFonts w:ascii="Arial" w:cs="Arial" w:eastAsia="Arial" w:hAnsi="Arial"/>
          <w:sz w:val="16"/>
          <w:szCs w:val="16"/>
          <w:color w:val="auto"/>
        </w:rPr>
      </w:pPr>
      <w:r>
        <w:rPr>
          <w:rFonts w:ascii="Arial" w:cs="Arial" w:eastAsia="Arial" w:hAnsi="Arial"/>
          <w:sz w:val="16"/>
          <w:szCs w:val="16"/>
          <w:color w:val="auto"/>
        </w:rPr>
        <w:t>no settlement or consents, covenants not to sue, nonassertion assurances, or releases have been entered into by such Grantor or to which such Grantor is bound that adversely affects its rights to own or use any Intellectual Property Collateral that is material to the business of such Grantor;</w:t>
      </w:r>
    </w:p>
    <w:p>
      <w:pPr>
        <w:spacing w:after="0" w:line="64" w:lineRule="exact"/>
        <w:rPr>
          <w:rFonts w:ascii="Arial" w:cs="Arial" w:eastAsia="Arial" w:hAnsi="Arial"/>
          <w:sz w:val="16"/>
          <w:szCs w:val="16"/>
          <w:color w:val="auto"/>
        </w:rPr>
      </w:pPr>
    </w:p>
    <w:p>
      <w:pPr>
        <w:ind w:left="520" w:right="20" w:firstLine="488"/>
        <w:spacing w:after="0" w:line="376" w:lineRule="auto"/>
        <w:tabs>
          <w:tab w:leader="none" w:pos="1245" w:val="left"/>
        </w:tabs>
        <w:numPr>
          <w:ilvl w:val="0"/>
          <w:numId w:val="220"/>
        </w:numPr>
        <w:rPr>
          <w:rFonts w:ascii="Arial" w:cs="Arial" w:eastAsia="Arial" w:hAnsi="Arial"/>
          <w:sz w:val="13"/>
          <w:szCs w:val="13"/>
          <w:color w:val="auto"/>
        </w:rPr>
      </w:pPr>
      <w:r>
        <w:rPr>
          <w:rFonts w:ascii="Arial" w:cs="Arial" w:eastAsia="Arial" w:hAnsi="Arial"/>
          <w:sz w:val="13"/>
          <w:szCs w:val="13"/>
          <w:color w:val="auto"/>
        </w:rPr>
        <w:t>except for the Permitted Liens, such Grantor has not made a previous assignment, sale, transfer or agreement constituting a present or future assignment, sale or transfer of any Intellectual Property Collateral for purposes of granting a security interest or as collateral that has not been terminated or released;</w:t>
      </w:r>
    </w:p>
    <w:p>
      <w:pPr>
        <w:jc w:val="both"/>
        <w:ind w:left="520" w:firstLine="488"/>
        <w:spacing w:after="0" w:line="254" w:lineRule="auto"/>
        <w:tabs>
          <w:tab w:leader="none" w:pos="124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such Grantor uses adequate standards of quality in the manufacture, distribution, and sale of all products sold by it and in the provision of all services rendered by it under or in connection with any Trademarks and has taken all commercially reasonable action necessary to ensure that all licensees of any Trademarks owned by such Grantor use such adequate standards of quality;</w:t>
      </w:r>
    </w:p>
    <w:p>
      <w:pPr>
        <w:spacing w:after="0" w:line="72" w:lineRule="exact"/>
        <w:rPr>
          <w:rFonts w:ascii="Arial" w:cs="Arial" w:eastAsia="Arial" w:hAnsi="Arial"/>
          <w:sz w:val="16"/>
          <w:szCs w:val="16"/>
          <w:color w:val="auto"/>
        </w:rPr>
      </w:pPr>
    </w:p>
    <w:p>
      <w:pPr>
        <w:ind w:left="520" w:firstLine="488"/>
        <w:spacing w:after="0" w:line="264" w:lineRule="auto"/>
        <w:tabs>
          <w:tab w:leader="none" w:pos="1218"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consummation of the transactions contemplated by the Loan Documents will not result in the termination or material impairment of any of the Intellectual Property Collateral;</w:t>
      </w:r>
    </w:p>
    <w:p>
      <w:pPr>
        <w:spacing w:after="0" w:line="64" w:lineRule="exact"/>
        <w:rPr>
          <w:rFonts w:ascii="Arial" w:cs="Arial" w:eastAsia="Arial" w:hAnsi="Arial"/>
          <w:sz w:val="16"/>
          <w:szCs w:val="16"/>
          <w:color w:val="auto"/>
        </w:rPr>
      </w:pPr>
    </w:p>
    <w:p>
      <w:pPr>
        <w:jc w:val="both"/>
        <w:ind w:left="520" w:firstLine="488"/>
        <w:spacing w:after="0" w:line="254" w:lineRule="auto"/>
        <w:tabs>
          <w:tab w:leader="none" w:pos="1206" w:val="left"/>
        </w:tabs>
        <w:numPr>
          <w:ilvl w:val="0"/>
          <w:numId w:val="220"/>
        </w:numPr>
        <w:rPr>
          <w:rFonts w:ascii="Arial" w:cs="Arial" w:eastAsia="Arial" w:hAnsi="Arial"/>
          <w:sz w:val="16"/>
          <w:szCs w:val="16"/>
          <w:color w:val="auto"/>
        </w:rPr>
      </w:pPr>
      <w:r>
        <w:rPr>
          <w:rFonts w:ascii="Arial" w:cs="Arial" w:eastAsia="Arial" w:hAnsi="Arial"/>
          <w:sz w:val="16"/>
          <w:szCs w:val="16"/>
          <w:color w:val="auto"/>
        </w:rPr>
        <w:t>all employees, independent contractors and agents who have contributed to the creation or development of any Owned Intellectual Property Collateral have been a party to an enforceable “work for hire” and assignment agreement with such Grantor in accordance with applicable Laws, according and granting exclusive ownership of such Owned Intellectual Property Collateral to such Grantor; and</w:t>
      </w:r>
    </w:p>
    <w:p>
      <w:pPr>
        <w:spacing w:after="0" w:line="72" w:lineRule="exact"/>
        <w:rPr>
          <w:rFonts w:ascii="Arial" w:cs="Arial" w:eastAsia="Arial" w:hAnsi="Arial"/>
          <w:sz w:val="16"/>
          <w:szCs w:val="16"/>
          <w:color w:val="auto"/>
        </w:rPr>
      </w:pPr>
    </w:p>
    <w:p>
      <w:pPr>
        <w:ind w:left="520" w:right="20" w:firstLine="488"/>
        <w:spacing w:after="0" w:line="264" w:lineRule="auto"/>
        <w:tabs>
          <w:tab w:leader="none" w:pos="1249" w:val="left"/>
        </w:tabs>
        <w:numPr>
          <w:ilvl w:val="0"/>
          <w:numId w:val="220"/>
        </w:numPr>
        <w:rPr>
          <w:rFonts w:ascii="Arial" w:cs="Arial" w:eastAsia="Arial" w:hAnsi="Arial"/>
          <w:sz w:val="16"/>
          <w:szCs w:val="16"/>
          <w:color w:val="auto"/>
        </w:rPr>
      </w:pPr>
      <w:r>
        <w:rPr>
          <w:rFonts w:ascii="Arial" w:cs="Arial" w:eastAsia="Arial" w:hAnsi="Arial"/>
          <w:sz w:val="16"/>
          <w:szCs w:val="16"/>
          <w:color w:val="auto"/>
        </w:rPr>
        <w:t>such Grantor owns directly or is entitled to use by license or otherwise, all Intellectual Property used in, reasonably necessary for or material to the conduct of such Grantor’s business.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40"/>
          </w:cols>
          <w:pgMar w:left="240" w:top="432" w:right="219" w:bottom="1440" w:gutter="0" w:footer="0" w:header="0"/>
        </w:sectPr>
      </w:pPr>
    </w:p>
    <w:bookmarkStart w:id="191" w:name="page192"/>
    <w:bookmarkEnd w:id="191"/>
    <w:p>
      <w:pPr>
        <w:ind w:left="520"/>
        <w:spacing w:after="0"/>
        <w:rPr>
          <w:sz w:val="20"/>
          <w:szCs w:val="20"/>
          <w:color w:val="auto"/>
        </w:rPr>
      </w:pPr>
      <w:r>
        <w:rPr>
          <w:rFonts w:ascii="Arial" w:cs="Arial" w:eastAsia="Arial" w:hAnsi="Arial"/>
          <w:sz w:val="16"/>
          <w:szCs w:val="16"/>
          <w:b w:val="1"/>
          <w:bCs w:val="1"/>
          <w:color w:val="auto"/>
        </w:rPr>
        <w:t xml:space="preserve">SECTION 3.7. </w:t>
      </w:r>
      <w:r>
        <w:rPr>
          <w:rFonts w:ascii="Arial" w:cs="Arial" w:eastAsia="Arial" w:hAnsi="Arial"/>
          <w:sz w:val="16"/>
          <w:szCs w:val="16"/>
          <w:b w:val="1"/>
          <w:bCs w:val="1"/>
          <w:u w:val="single" w:color="auto"/>
          <w:color w:val="auto"/>
        </w:rPr>
        <w:t>Validity, etc</w:t>
      </w:r>
      <w:r>
        <w:rPr>
          <w:rFonts w:ascii="Arial" w:cs="Arial" w:eastAsia="Arial" w:hAnsi="Arial"/>
          <w:sz w:val="16"/>
          <w:szCs w:val="16"/>
          <w:color w:val="auto"/>
        </w:rPr>
        <w:t>.</w:t>
      </w:r>
    </w:p>
    <w:p>
      <w:pPr>
        <w:spacing w:after="0" w:line="101" w:lineRule="exact"/>
        <w:rPr>
          <w:sz w:val="20"/>
          <w:szCs w:val="20"/>
          <w:color w:val="auto"/>
        </w:rPr>
      </w:pPr>
    </w:p>
    <w:p>
      <w:pPr>
        <w:ind w:left="1220" w:hanging="212"/>
        <w:spacing w:after="0"/>
        <w:tabs>
          <w:tab w:leader="none" w:pos="122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This Security Agreement creates a valid security interest in the Collateral securing the payment of the Obligations.</w:t>
      </w:r>
    </w:p>
    <w:p>
      <w:pPr>
        <w:spacing w:after="0" w:line="97" w:lineRule="exact"/>
        <w:rPr>
          <w:rFonts w:ascii="Arial" w:cs="Arial" w:eastAsia="Arial" w:hAnsi="Arial"/>
          <w:sz w:val="16"/>
          <w:szCs w:val="16"/>
          <w:color w:val="auto"/>
        </w:rPr>
      </w:pPr>
    </w:p>
    <w:p>
      <w:pPr>
        <w:jc w:val="both"/>
        <w:ind w:left="520" w:right="20" w:firstLine="488"/>
        <w:spacing w:after="0" w:line="254" w:lineRule="auto"/>
        <w:tabs>
          <w:tab w:leader="none" w:pos="1244" w:val="left"/>
        </w:tabs>
        <w:numPr>
          <w:ilvl w:val="0"/>
          <w:numId w:val="221"/>
        </w:numPr>
        <w:rPr>
          <w:rFonts w:ascii="Arial" w:cs="Arial" w:eastAsia="Arial" w:hAnsi="Arial"/>
          <w:sz w:val="16"/>
          <w:szCs w:val="16"/>
          <w:color w:val="auto"/>
        </w:rPr>
      </w:pPr>
      <w:r>
        <w:rPr>
          <w:rFonts w:ascii="Arial" w:cs="Arial" w:eastAsia="Arial" w:hAnsi="Arial"/>
          <w:sz w:val="16"/>
          <w:szCs w:val="16"/>
          <w:color w:val="auto"/>
        </w:rPr>
        <w:t xml:space="preserve">Each Grantor has filed or caused to be filed all UCC-1 financing statements in the filing office for each Grantor’s jurisdiction of organization listed in </w:t>
      </w:r>
      <w:r>
        <w:rPr>
          <w:rFonts w:ascii="Arial" w:cs="Arial" w:eastAsia="Arial" w:hAnsi="Arial"/>
          <w:sz w:val="16"/>
          <w:szCs w:val="16"/>
          <w:u w:val="single" w:color="auto"/>
          <w:color w:val="auto"/>
        </w:rPr>
        <w:t>Item 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(collectively, the “</w:t>
      </w:r>
      <w:r>
        <w:rPr>
          <w:rFonts w:ascii="Arial" w:cs="Arial" w:eastAsia="Arial" w:hAnsi="Arial"/>
          <w:sz w:val="16"/>
          <w:szCs w:val="16"/>
          <w:u w:val="single" w:color="auto"/>
          <w:color w:val="auto"/>
        </w:rPr>
        <w:t>Filing Statements</w:t>
      </w:r>
      <w:r>
        <w:rPr>
          <w:rFonts w:ascii="Arial" w:cs="Arial" w:eastAsia="Arial" w:hAnsi="Arial"/>
          <w:sz w:val="16"/>
          <w:szCs w:val="16"/>
          <w:color w:val="auto"/>
        </w:rPr>
        <w:t>”) (or has authenticated and delivered to the Administrative Agent the Filing Statements suitable for filing in such offices) and has taken all other:</w:t>
      </w:r>
    </w:p>
    <w:p>
      <w:pPr>
        <w:spacing w:after="0" w:line="72" w:lineRule="exact"/>
        <w:rPr>
          <w:rFonts w:ascii="Arial" w:cs="Arial" w:eastAsia="Arial" w:hAnsi="Arial"/>
          <w:sz w:val="16"/>
          <w:szCs w:val="16"/>
          <w:color w:val="auto"/>
        </w:rPr>
      </w:pPr>
    </w:p>
    <w:p>
      <w:pPr>
        <w:ind w:left="1040" w:firstLine="462"/>
        <w:spacing w:after="0" w:line="264" w:lineRule="auto"/>
        <w:tabs>
          <w:tab w:leader="none" w:pos="1711" w:val="left"/>
        </w:tabs>
        <w:numPr>
          <w:ilvl w:val="1"/>
          <w:numId w:val="221"/>
        </w:numPr>
        <w:rPr>
          <w:rFonts w:ascii="Arial" w:cs="Arial" w:eastAsia="Arial" w:hAnsi="Arial"/>
          <w:sz w:val="16"/>
          <w:szCs w:val="16"/>
          <w:color w:val="auto"/>
        </w:rPr>
      </w:pPr>
      <w:r>
        <w:rPr>
          <w:rFonts w:ascii="Arial" w:cs="Arial" w:eastAsia="Arial" w:hAnsi="Arial"/>
          <w:sz w:val="16"/>
          <w:szCs w:val="16"/>
          <w:color w:val="auto"/>
        </w:rPr>
        <w:t xml:space="preserve">actions necessary to obtain control of the Collateral as provided in Sections 9-104, 9-105, 9-106 and 9-107 of the UCC,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entering into and delivering any Control Agreement shall be deemed reasonably necessary; and</w:t>
      </w:r>
    </w:p>
    <w:p>
      <w:pPr>
        <w:spacing w:after="0" w:line="64" w:lineRule="exact"/>
        <w:rPr>
          <w:rFonts w:ascii="Arial" w:cs="Arial" w:eastAsia="Arial" w:hAnsi="Arial"/>
          <w:sz w:val="16"/>
          <w:szCs w:val="16"/>
          <w:color w:val="auto"/>
        </w:rPr>
      </w:pPr>
    </w:p>
    <w:p>
      <w:pPr>
        <w:ind w:left="1040" w:right="20" w:firstLine="462"/>
        <w:spacing w:after="0" w:line="264" w:lineRule="auto"/>
        <w:tabs>
          <w:tab w:leader="none" w:pos="175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actions requested by the Administrative Agent reasonably necessary to perfect the Administrative Agent’s security interest with respect to any Collateral evidenced by a certificate of ownership.</w:t>
      </w:r>
    </w:p>
    <w:p>
      <w:pPr>
        <w:spacing w:after="0" w:line="64" w:lineRule="exact"/>
        <w:rPr>
          <w:rFonts w:ascii="Arial" w:cs="Arial" w:eastAsia="Arial" w:hAnsi="Arial"/>
          <w:sz w:val="16"/>
          <w:szCs w:val="16"/>
          <w:color w:val="auto"/>
        </w:rPr>
      </w:pPr>
    </w:p>
    <w:p>
      <w:pPr>
        <w:jc w:val="both"/>
        <w:ind w:left="520" w:firstLine="488"/>
        <w:spacing w:after="0" w:line="327" w:lineRule="auto"/>
        <w:tabs>
          <w:tab w:leader="none" w:pos="1248" w:val="left"/>
        </w:tabs>
        <w:numPr>
          <w:ilvl w:val="0"/>
          <w:numId w:val="221"/>
        </w:numPr>
        <w:rPr>
          <w:rFonts w:ascii="Arial" w:cs="Arial" w:eastAsia="Arial" w:hAnsi="Arial"/>
          <w:sz w:val="13"/>
          <w:szCs w:val="13"/>
          <w:color w:val="auto"/>
        </w:rPr>
      </w:pPr>
      <w:r>
        <w:rPr>
          <w:rFonts w:ascii="Arial" w:cs="Arial" w:eastAsia="Arial" w:hAnsi="Arial"/>
          <w:sz w:val="13"/>
          <w:szCs w:val="13"/>
          <w:color w:val="auto"/>
        </w:rPr>
        <w:t>Upon the filing of the Filing Statements with the appropriate agencies therefor the security interests created under this Security Agreement shall constitute a perfected security interest in the Collateral described on such Filing Statements in favor of the Administrative Agent on behalf of the Secured Parties to the extent that a security interest therein may be perfected by filing pursuant to the relevant UCC, prior to all other Liens, except for Permitted Liens that are senior by operation of Law (in which case such security interest shall be second in priority of right only to the Permitted Liens until the obligations secured by such Permitted Liens have been satisfied).</w:t>
      </w:r>
    </w:p>
    <w:p>
      <w:pPr>
        <w:spacing w:after="0" w:line="119" w:lineRule="exact"/>
        <w:rPr>
          <w:sz w:val="20"/>
          <w:szCs w:val="20"/>
          <w:color w:val="auto"/>
        </w:rPr>
      </w:pPr>
    </w:p>
    <w:p>
      <w:pPr>
        <w:ind w:firstLine="519"/>
        <w:spacing w:after="0" w:line="269" w:lineRule="auto"/>
        <w:rPr>
          <w:sz w:val="20"/>
          <w:szCs w:val="20"/>
          <w:color w:val="auto"/>
        </w:rPr>
      </w:pPr>
      <w:r>
        <w:rPr>
          <w:rFonts w:ascii="Arial" w:cs="Arial" w:eastAsia="Arial" w:hAnsi="Arial"/>
          <w:sz w:val="16"/>
          <w:szCs w:val="16"/>
          <w:b w:val="1"/>
          <w:bCs w:val="1"/>
          <w:color w:val="auto"/>
        </w:rPr>
        <w:t xml:space="preserve">SECTION 3.8. </w:t>
      </w:r>
      <w:r>
        <w:rPr>
          <w:rFonts w:ascii="Arial" w:cs="Arial" w:eastAsia="Arial" w:hAnsi="Arial"/>
          <w:sz w:val="16"/>
          <w:szCs w:val="16"/>
          <w:b w:val="1"/>
          <w:bCs w:val="1"/>
          <w:u w:val="single" w:color="auto"/>
          <w:color w:val="auto"/>
        </w:rPr>
        <w:t>Authorization, Approval, etc</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have been obtained or made and are in full force and effect, no authorization, approval or other action by, and no</w:t>
      </w:r>
      <w:r>
        <w:rPr>
          <w:rFonts w:ascii="Arial" w:cs="Arial" w:eastAsia="Arial" w:hAnsi="Arial"/>
          <w:sz w:val="16"/>
          <w:szCs w:val="16"/>
          <w:b w:val="1"/>
          <w:bCs w:val="1"/>
          <w:color w:val="auto"/>
        </w:rPr>
        <w:t xml:space="preserve"> </w:t>
      </w:r>
      <w:r>
        <w:rPr>
          <w:rFonts w:ascii="Arial" w:cs="Arial" w:eastAsia="Arial" w:hAnsi="Arial"/>
          <w:sz w:val="16"/>
          <w:szCs w:val="16"/>
          <w:color w:val="auto"/>
        </w:rPr>
        <w:t>notice to or filing with, any Governmental Authority or any other third party is required either:</w:t>
      </w:r>
    </w:p>
    <w:p>
      <w:pPr>
        <w:spacing w:after="0" w:line="60" w:lineRule="exact"/>
        <w:rPr>
          <w:sz w:val="20"/>
          <w:szCs w:val="20"/>
          <w:color w:val="auto"/>
        </w:rPr>
      </w:pPr>
    </w:p>
    <w:p>
      <w:pPr>
        <w:ind w:left="1220" w:hanging="212"/>
        <w:spacing w:after="0"/>
        <w:tabs>
          <w:tab w:leader="none" w:pos="1220" w:val="left"/>
        </w:tabs>
        <w:numPr>
          <w:ilvl w:val="0"/>
          <w:numId w:val="222"/>
        </w:numPr>
        <w:rPr>
          <w:rFonts w:ascii="Arial" w:cs="Arial" w:eastAsia="Arial" w:hAnsi="Arial"/>
          <w:sz w:val="13"/>
          <w:szCs w:val="13"/>
          <w:color w:val="auto"/>
        </w:rPr>
      </w:pPr>
      <w:r>
        <w:rPr>
          <w:rFonts w:ascii="Arial" w:cs="Arial" w:eastAsia="Arial" w:hAnsi="Arial"/>
          <w:sz w:val="13"/>
          <w:szCs w:val="13"/>
          <w:color w:val="auto"/>
        </w:rPr>
        <w:t>for the grant by the Grantors of the security interest granted hereby or for the execution, delivery and performance of this Security Agreement by the Grantors;</w:t>
      </w:r>
    </w:p>
    <w:p>
      <w:pPr>
        <w:spacing w:after="0" w:line="131" w:lineRule="exact"/>
        <w:rPr>
          <w:rFonts w:ascii="Arial" w:cs="Arial" w:eastAsia="Arial" w:hAnsi="Arial"/>
          <w:sz w:val="13"/>
          <w:szCs w:val="13"/>
          <w:color w:val="auto"/>
        </w:rPr>
      </w:pPr>
    </w:p>
    <w:p>
      <w:pPr>
        <w:jc w:val="both"/>
        <w:ind w:left="520" w:firstLine="488"/>
        <w:spacing w:after="0" w:line="270" w:lineRule="auto"/>
        <w:tabs>
          <w:tab w:leader="none" w:pos="1242" w:val="left"/>
        </w:tabs>
        <w:numPr>
          <w:ilvl w:val="0"/>
          <w:numId w:val="222"/>
        </w:numPr>
        <w:rPr>
          <w:rFonts w:ascii="Arial" w:cs="Arial" w:eastAsia="Arial" w:hAnsi="Arial"/>
          <w:sz w:val="15"/>
          <w:szCs w:val="15"/>
          <w:color w:val="auto"/>
        </w:rPr>
      </w:pPr>
      <w:r>
        <w:rPr>
          <w:rFonts w:ascii="Arial" w:cs="Arial" w:eastAsia="Arial" w:hAnsi="Arial"/>
          <w:sz w:val="15"/>
          <w:szCs w:val="15"/>
          <w:color w:val="auto"/>
        </w:rPr>
        <w:t>for the perfection or maintenance of the security interests hereunder including the first priority (subject to Permitted Liens that are senior by operation of Law (in which case such security interest shall be second in priority of right only to the Permitted Liens until the obligations secured by such Permitted Liens have been satisfied)) nature of such security interest (except with respect to the Filing Statements or, with respect to Intellectual Property Collateral, the recordation of any agreements with the United States Patent and Trademark Office or the United States Copyright Office or, with respect to motor vehicles, the notation or registration of liens on the related certificates of title) or the exercise by the Administrative Agent of its rights and remedies hereunder; or</w:t>
      </w:r>
    </w:p>
    <w:p>
      <w:pPr>
        <w:spacing w:after="0" w:line="61" w:lineRule="exact"/>
        <w:rPr>
          <w:rFonts w:ascii="Arial" w:cs="Arial" w:eastAsia="Arial" w:hAnsi="Arial"/>
          <w:sz w:val="15"/>
          <w:szCs w:val="15"/>
          <w:color w:val="auto"/>
        </w:rPr>
      </w:pPr>
    </w:p>
    <w:p>
      <w:pPr>
        <w:jc w:val="both"/>
        <w:ind w:left="520" w:right="20" w:firstLine="488"/>
        <w:spacing w:after="0" w:line="341" w:lineRule="auto"/>
        <w:tabs>
          <w:tab w:leader="none" w:pos="1243" w:val="left"/>
        </w:tabs>
        <w:numPr>
          <w:ilvl w:val="0"/>
          <w:numId w:val="222"/>
        </w:numPr>
        <w:rPr>
          <w:rFonts w:ascii="Arial" w:cs="Arial" w:eastAsia="Arial" w:hAnsi="Arial"/>
          <w:sz w:val="13"/>
          <w:szCs w:val="13"/>
          <w:color w:val="auto"/>
        </w:rPr>
      </w:pPr>
      <w:r>
        <w:rPr>
          <w:rFonts w:ascii="Arial" w:cs="Arial" w:eastAsia="Arial" w:hAnsi="Arial"/>
          <w:sz w:val="13"/>
          <w:szCs w:val="13"/>
          <w:color w:val="auto"/>
        </w:rPr>
        <w:t>for the exercise by the Administrative Agent of the voting or other rights provided for in this Security Agreement, or, except (i) with respect to any securities issued by a Subsidiary of the Grantors, as may be required in connection with a disposition of such securities by Laws affecting the offering and sale of securities generally, the remedies in respect of the Collateral pursuant to this Security Agreement and (ii) any “change of control” or similar filings required by state licensing agencies.</w:t>
      </w:r>
    </w:p>
    <w:p>
      <w:pPr>
        <w:spacing w:after="0" w:line="109" w:lineRule="exact"/>
        <w:rPr>
          <w:sz w:val="20"/>
          <w:szCs w:val="20"/>
          <w:color w:val="auto"/>
        </w:rPr>
      </w:pPr>
    </w:p>
    <w:p>
      <w:pPr>
        <w:jc w:val="both"/>
        <w:ind w:firstLine="519"/>
        <w:spacing w:after="0" w:line="250" w:lineRule="auto"/>
        <w:rPr>
          <w:sz w:val="20"/>
          <w:szCs w:val="20"/>
          <w:color w:val="auto"/>
        </w:rPr>
      </w:pPr>
      <w:r>
        <w:rPr>
          <w:rFonts w:ascii="Arial" w:cs="Arial" w:eastAsia="Arial" w:hAnsi="Arial"/>
          <w:sz w:val="16"/>
          <w:szCs w:val="16"/>
          <w:b w:val="1"/>
          <w:bCs w:val="1"/>
          <w:color w:val="auto"/>
        </w:rPr>
        <w:t xml:space="preserve">SECTION 3.9. </w:t>
      </w:r>
      <w:r>
        <w:rPr>
          <w:rFonts w:ascii="Arial" w:cs="Arial" w:eastAsia="Arial" w:hAnsi="Arial"/>
          <w:sz w:val="16"/>
          <w:szCs w:val="16"/>
          <w:b w:val="1"/>
          <w:bCs w:val="1"/>
          <w:u w:val="single" w:color="auto"/>
          <w:color w:val="auto"/>
        </w:rPr>
        <w:t>Best Interests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It is in the best interests of each Grantor (other than the Company) to execute this Security Agreement inasmuch as such Grantor will, as a</w:t>
      </w:r>
      <w:r>
        <w:rPr>
          <w:rFonts w:ascii="Arial" w:cs="Arial" w:eastAsia="Arial" w:hAnsi="Arial"/>
          <w:sz w:val="16"/>
          <w:szCs w:val="16"/>
          <w:b w:val="1"/>
          <w:bCs w:val="1"/>
          <w:color w:val="auto"/>
        </w:rPr>
        <w:t xml:space="preserve"> </w:t>
      </w:r>
      <w:r>
        <w:rPr>
          <w:rFonts w:ascii="Arial" w:cs="Arial" w:eastAsia="Arial" w:hAnsi="Arial"/>
          <w:sz w:val="16"/>
          <w:szCs w:val="16"/>
          <w:color w:val="auto"/>
        </w:rPr>
        <w:t>result of being a Subsidiary of the Company, derive substantial direct and indirect benefits from the Credit Extensions made from time to time to the Borrowers by the Lenders pursuant to the Credit Agreement and the execution and delivery of the Secured Treasury Management Agreements and Secured Swap Agreements among the Loan Parties and certain Secured Parties, and each Grantor agrees that the Secured Parties are relying on this representation in agreeing to make such Credit Extensions pursuant to the Credit Agreement to the Borrowers.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4.</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COVENANTS</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3"/>
          <w:szCs w:val="13"/>
          <w:color w:val="auto"/>
        </w:rPr>
        <w:t>Each Grantor covenants and agrees that, until following the Termination Date, such Grantor will perform, comply with and be bound by the obligations set forth below.</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 xml:space="preserve">SECTION 4.1. </w:t>
      </w:r>
      <w:r>
        <w:rPr>
          <w:rFonts w:ascii="Arial" w:cs="Arial" w:eastAsia="Arial" w:hAnsi="Arial"/>
          <w:sz w:val="16"/>
          <w:szCs w:val="16"/>
          <w:b w:val="1"/>
          <w:bCs w:val="1"/>
          <w:u w:val="single" w:color="auto"/>
          <w:color w:val="auto"/>
        </w:rPr>
        <w:t>As to Investment Property; Deposit Accounts, etc</w:t>
      </w:r>
      <w:r>
        <w:rPr>
          <w:rFonts w:ascii="Arial" w:cs="Arial" w:eastAsia="Arial" w:hAnsi="Arial"/>
          <w:sz w:val="16"/>
          <w:szCs w:val="16"/>
          <w:color w:val="auto"/>
        </w:rPr>
        <w:t>.</w:t>
      </w:r>
    </w:p>
    <w:p>
      <w:pPr>
        <w:spacing w:after="0" w:line="10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Equity Interests of the Grantors’ Subsidiaries.</w:t>
      </w:r>
      <w:r>
        <w:rPr>
          <w:rFonts w:ascii="Arial" w:cs="Arial" w:eastAsia="Arial" w:hAnsi="Arial"/>
          <w:sz w:val="16"/>
          <w:szCs w:val="16"/>
          <w:color w:val="auto"/>
        </w:rPr>
        <w:t xml:space="preserve"> No Grantor will allow any of its Subsidiaries:</w:t>
      </w:r>
    </w:p>
    <w:p>
      <w:pPr>
        <w:spacing w:after="0" w:line="97" w:lineRule="exact"/>
        <w:rPr>
          <w:sz w:val="20"/>
          <w:szCs w:val="20"/>
          <w:color w:val="auto"/>
        </w:rPr>
      </w:pPr>
    </w:p>
    <w:p>
      <w:pPr>
        <w:ind w:left="5680" w:right="2920" w:hanging="4178"/>
        <w:spacing w:after="0" w:line="509" w:lineRule="auto"/>
        <w:tabs>
          <w:tab w:leader="none" w:pos="172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that is a corporation, business trust, joint stock company or similar Person, to issue Uncertificated Securities; 9</w:t>
      </w:r>
    </w:p>
    <w:p>
      <w:pPr>
        <w:sectPr>
          <w:pgSz w:w="11900" w:h="16838" w:orient="portrait"/>
          <w:cols w:equalWidth="0" w:num="1">
            <w:col w:w="11440"/>
          </w:cols>
          <w:pgMar w:left="240" w:top="522" w:right="219" w:bottom="1440" w:gutter="0" w:footer="0" w:header="0"/>
        </w:sectPr>
      </w:pPr>
    </w:p>
    <w:bookmarkStart w:id="192" w:name="page193"/>
    <w:bookmarkEnd w:id="192"/>
    <w:p>
      <w:pPr>
        <w:jc w:val="both"/>
        <w:ind w:left="520" w:firstLine="462"/>
        <w:spacing w:after="0" w:line="307" w:lineRule="auto"/>
        <w:tabs>
          <w:tab w:leader="none" w:pos="1233" w:val="left"/>
        </w:tabs>
        <w:numPr>
          <w:ilvl w:val="1"/>
          <w:numId w:val="224"/>
        </w:numPr>
        <w:rPr>
          <w:rFonts w:ascii="Arial" w:cs="Arial" w:eastAsia="Arial" w:hAnsi="Arial"/>
          <w:sz w:val="13"/>
          <w:szCs w:val="13"/>
          <w:color w:val="auto"/>
        </w:rPr>
      </w:pPr>
      <w:r>
        <w:rPr>
          <w:rFonts w:ascii="Arial" w:cs="Arial" w:eastAsia="Arial" w:hAnsi="Arial"/>
          <w:sz w:val="13"/>
          <w:szCs w:val="13"/>
          <w:color w:val="auto"/>
        </w:rPr>
        <w:t xml:space="preserve">that is a partnership or limited liability company, to (i) issue Equity Interests that are to be dealt in or traded on securities exchanges or in securities markets, (ii) expressly provide in its Organization Documents that its Equity Interests are securities governed by Article 8 of the UCC, or (iii) place such Subsidiary’s Equity Interests in a Securities Account, except, with respect to this </w:t>
      </w:r>
      <w:r>
        <w:rPr>
          <w:rFonts w:ascii="Arial" w:cs="Arial" w:eastAsia="Arial" w:hAnsi="Arial"/>
          <w:sz w:val="13"/>
          <w:szCs w:val="13"/>
          <w:u w:val="single" w:color="auto"/>
          <w:color w:val="auto"/>
        </w:rPr>
        <w:t>clause (b)</w:t>
      </w:r>
      <w:r>
        <w:rPr>
          <w:rFonts w:ascii="Arial" w:cs="Arial" w:eastAsia="Arial" w:hAnsi="Arial"/>
          <w:sz w:val="13"/>
          <w:szCs w:val="13"/>
          <w:color w:val="auto"/>
        </w:rPr>
        <w:t>, Equity Interests (1) for which the Administrative Agent is the registered owner or</w:t>
      </w:r>
    </w:p>
    <w:p>
      <w:pPr>
        <w:ind w:left="740" w:hanging="230"/>
        <w:spacing w:after="0"/>
        <w:tabs>
          <w:tab w:leader="none" w:pos="74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that are subject to a Control Agreement entered into by such Grantor, the Administrative Agent and the issuer of such Equity Interests; and</w:t>
      </w:r>
    </w:p>
    <w:p>
      <w:pPr>
        <w:spacing w:after="0" w:line="85" w:lineRule="exact"/>
        <w:rPr>
          <w:rFonts w:ascii="Arial" w:cs="Arial" w:eastAsia="Arial" w:hAnsi="Arial"/>
          <w:sz w:val="16"/>
          <w:szCs w:val="16"/>
          <w:color w:val="auto"/>
        </w:rPr>
      </w:pPr>
    </w:p>
    <w:p>
      <w:pPr>
        <w:ind w:left="520" w:right="20" w:firstLine="462"/>
        <w:spacing w:after="0" w:line="264" w:lineRule="auto"/>
        <w:tabs>
          <w:tab w:leader="none" w:pos="1212" w:val="left"/>
        </w:tabs>
        <w:numPr>
          <w:ilvl w:val="1"/>
          <w:numId w:val="225"/>
        </w:numPr>
        <w:rPr>
          <w:rFonts w:ascii="Arial" w:cs="Arial" w:eastAsia="Arial" w:hAnsi="Arial"/>
          <w:sz w:val="16"/>
          <w:szCs w:val="16"/>
          <w:color w:val="auto"/>
        </w:rPr>
      </w:pPr>
      <w:r>
        <w:rPr>
          <w:rFonts w:ascii="Arial" w:cs="Arial" w:eastAsia="Arial" w:hAnsi="Arial"/>
          <w:sz w:val="16"/>
          <w:szCs w:val="16"/>
          <w:color w:val="auto"/>
        </w:rPr>
        <w:t>to issue Equity Interests in addition to or in substitution for the Equity Interests pledged hereunder, except to such Grantor (and such Equity Interests are promptly pledged and delivered to the Administrative Agent pursuant to the terms of this Security Agreement).</w:t>
      </w:r>
    </w:p>
    <w:p>
      <w:pPr>
        <w:spacing w:after="0" w:line="6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 xml:space="preserve">SECTION 4.1.2. </w:t>
      </w:r>
      <w:r>
        <w:rPr>
          <w:rFonts w:ascii="Arial" w:cs="Arial" w:eastAsia="Arial" w:hAnsi="Arial"/>
          <w:sz w:val="16"/>
          <w:szCs w:val="16"/>
          <w:u w:val="single" w:color="auto"/>
          <w:color w:val="auto"/>
        </w:rPr>
        <w:t>Certificated and Uncertificated Securities</w:t>
      </w:r>
      <w:r>
        <w:rPr>
          <w:rFonts w:ascii="Arial" w:cs="Arial" w:eastAsia="Arial" w:hAnsi="Arial"/>
          <w:sz w:val="16"/>
          <w:szCs w:val="16"/>
          <w:color w:val="auto"/>
        </w:rPr>
        <w:t>.</w:t>
      </w:r>
    </w:p>
    <w:p>
      <w:pPr>
        <w:spacing w:after="0" w:line="97" w:lineRule="exact"/>
        <w:rPr>
          <w:sz w:val="20"/>
          <w:szCs w:val="20"/>
          <w:color w:val="auto"/>
        </w:rPr>
      </w:pPr>
    </w:p>
    <w:p>
      <w:pPr>
        <w:ind w:left="520" w:right="20" w:firstLine="462"/>
        <w:spacing w:after="0" w:line="298" w:lineRule="auto"/>
        <w:tabs>
          <w:tab w:leader="none" w:pos="1216" w:val="left"/>
        </w:tabs>
        <w:numPr>
          <w:ilvl w:val="0"/>
          <w:numId w:val="226"/>
        </w:numPr>
        <w:rPr>
          <w:rFonts w:ascii="Arial" w:cs="Arial" w:eastAsia="Arial" w:hAnsi="Arial"/>
          <w:sz w:val="15"/>
          <w:szCs w:val="15"/>
          <w:color w:val="auto"/>
        </w:rPr>
      </w:pPr>
      <w:r>
        <w:rPr>
          <w:rFonts w:ascii="Arial" w:cs="Arial" w:eastAsia="Arial" w:hAnsi="Arial"/>
          <w:sz w:val="15"/>
          <w:szCs w:val="15"/>
          <w:color w:val="auto"/>
        </w:rPr>
        <w:t>Such Grantor will deliver all Certificated Securities that constitute Collateral owned or held by such Grantor to the Administrative Agent, together with duly executed undated blank stock powers, or other equivalent instruments of transfer reasonably acceptable to the Administrative Agent.</w:t>
      </w:r>
    </w:p>
    <w:p>
      <w:pPr>
        <w:spacing w:after="0" w:line="40" w:lineRule="exact"/>
        <w:rPr>
          <w:rFonts w:ascii="Arial" w:cs="Arial" w:eastAsia="Arial" w:hAnsi="Arial"/>
          <w:sz w:val="15"/>
          <w:szCs w:val="15"/>
          <w:color w:val="auto"/>
        </w:rPr>
      </w:pPr>
    </w:p>
    <w:p>
      <w:pPr>
        <w:jc w:val="both"/>
        <w:ind w:left="520" w:firstLine="462"/>
        <w:spacing w:after="0" w:line="273" w:lineRule="auto"/>
        <w:tabs>
          <w:tab w:leader="none" w:pos="1246" w:val="left"/>
        </w:tabs>
        <w:numPr>
          <w:ilvl w:val="0"/>
          <w:numId w:val="226"/>
        </w:numPr>
        <w:rPr>
          <w:rFonts w:ascii="Arial" w:cs="Arial" w:eastAsia="Arial" w:hAnsi="Arial"/>
          <w:sz w:val="15"/>
          <w:szCs w:val="15"/>
          <w:color w:val="auto"/>
        </w:rPr>
      </w:pPr>
      <w:r>
        <w:rPr>
          <w:rFonts w:ascii="Arial" w:cs="Arial" w:eastAsia="Arial" w:hAnsi="Arial"/>
          <w:sz w:val="15"/>
          <w:szCs w:val="15"/>
          <w:color w:val="auto"/>
        </w:rPr>
        <w:t>Such Grantor will cause the issuer of any and all Uncertificated Securities (other than Uncertificated Securities credited to a Securities Account) constituting Investment Property and Collateral owned or held by such Grantor, to either (i) register the Administrative Agent as the registered owner thereof on the books and records of the issuer or (ii) execute a Control Agreement relating to such Investment Property pursuant to which the issuer agrees to comply with the Administrative Agent’s instructions with respect to such Uncertificated Securities without further consent by such Grantor.</w:t>
      </w:r>
    </w:p>
    <w:p>
      <w:pPr>
        <w:spacing w:after="0" w:line="59" w:lineRule="exact"/>
        <w:rPr>
          <w:sz w:val="20"/>
          <w:szCs w:val="20"/>
          <w:color w:val="auto"/>
        </w:rPr>
      </w:pPr>
    </w:p>
    <w:p>
      <w:pPr>
        <w:jc w:val="both"/>
        <w:ind w:firstLine="496"/>
        <w:spacing w:after="0" w:line="270" w:lineRule="auto"/>
        <w:rPr>
          <w:sz w:val="20"/>
          <w:szCs w:val="20"/>
          <w:color w:val="auto"/>
        </w:rPr>
      </w:pPr>
      <w:r>
        <w:rPr>
          <w:rFonts w:ascii="Arial" w:cs="Arial" w:eastAsia="Arial" w:hAnsi="Arial"/>
          <w:sz w:val="15"/>
          <w:szCs w:val="15"/>
          <w:color w:val="auto"/>
        </w:rPr>
        <w:t xml:space="preserve">SECTION 4.1.3. </w:t>
      </w:r>
      <w:r>
        <w:rPr>
          <w:rFonts w:ascii="Arial" w:cs="Arial" w:eastAsia="Arial" w:hAnsi="Arial"/>
          <w:sz w:val="15"/>
          <w:szCs w:val="15"/>
          <w:u w:val="single" w:color="auto"/>
          <w:color w:val="auto"/>
        </w:rPr>
        <w:t>Deposit Accounts, Securities Accounts and Commodity Accounts</w:t>
      </w:r>
      <w:r>
        <w:rPr>
          <w:rFonts w:ascii="Arial" w:cs="Arial" w:eastAsia="Arial" w:hAnsi="Arial"/>
          <w:sz w:val="15"/>
          <w:szCs w:val="15"/>
          <w:color w:val="auto"/>
        </w:rPr>
        <w:t xml:space="preserve">. Such Grantor will, upon the request of the Administrative Agent, enter into and deliver Control Agreements with respect to (a) any Deposit Accounts maintained with any depositary institution other than the depositary institution acting as Administrative Agent and (b) any Securities Accounts, Commodity Accounts, Commodity Contracts or Securities Entitlements constituting Investment Property owned or held by any Grantor;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Grantor shall not be required to enter into and deliver Control Agreements for any Deposit Account maintained exclusively for the purpose of payroll, 401(k) and other retirement plans and employee benefits and healthcare benefits.</w:t>
      </w:r>
    </w:p>
    <w:p>
      <w:pPr>
        <w:spacing w:after="0" w:line="61" w:lineRule="exact"/>
        <w:rPr>
          <w:sz w:val="20"/>
          <w:szCs w:val="20"/>
          <w:color w:val="auto"/>
        </w:rPr>
      </w:pPr>
    </w:p>
    <w:p>
      <w:pPr>
        <w:jc w:val="both"/>
        <w:ind w:firstLine="496"/>
        <w:spacing w:after="0" w:line="249" w:lineRule="auto"/>
        <w:rPr>
          <w:sz w:val="20"/>
          <w:szCs w:val="20"/>
          <w:color w:val="auto"/>
        </w:rPr>
      </w:pPr>
      <w:r>
        <w:rPr>
          <w:rFonts w:ascii="Arial" w:cs="Arial" w:eastAsia="Arial" w:hAnsi="Arial"/>
          <w:sz w:val="16"/>
          <w:szCs w:val="16"/>
          <w:color w:val="auto"/>
        </w:rPr>
        <w:t xml:space="preserve">SECTION 4.1.4. </w:t>
      </w:r>
      <w:r>
        <w:rPr>
          <w:rFonts w:ascii="Arial" w:cs="Arial" w:eastAsia="Arial" w:hAnsi="Arial"/>
          <w:sz w:val="16"/>
          <w:szCs w:val="16"/>
          <w:u w:val="single" w:color="auto"/>
          <w:color w:val="auto"/>
        </w:rPr>
        <w:t>Negotiable Documents, Instruments and Chattel Paper.</w:t>
      </w:r>
      <w:r>
        <w:rPr>
          <w:rFonts w:ascii="Arial" w:cs="Arial" w:eastAsia="Arial" w:hAnsi="Arial"/>
          <w:sz w:val="16"/>
          <w:szCs w:val="16"/>
          <w:color w:val="auto"/>
        </w:rPr>
        <w:t xml:space="preserve"> Each Grantor agrees that it will, promptly following receipt thereof, deliver to the Administrative Agent possession of all originals of negotiable Documents, Instruments, Promissory Notes and Chattel Paper that it acquires following the Closing Date duly endorsed and accompanied by duly executed instruments of transfer or assignment, all in form and substance reasonably satisfactory to the Administrative Agent. No Grantor shall create any tangible Chattel Paper without placing a legend on such tangible Chattel Paper reasonably acceptable to the Administrative Agent indicating that the Administrative Agent has a security interest in such Chattel Paper.</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5"/>
          <w:szCs w:val="15"/>
          <w:color w:val="auto"/>
        </w:rPr>
        <w:t xml:space="preserve">SECTION 4.1.5. </w:t>
      </w:r>
      <w:r>
        <w:rPr>
          <w:rFonts w:ascii="Arial" w:cs="Arial" w:eastAsia="Arial" w:hAnsi="Arial"/>
          <w:sz w:val="15"/>
          <w:szCs w:val="15"/>
          <w:u w:val="single" w:color="auto"/>
          <w:color w:val="auto"/>
        </w:rPr>
        <w:t>Distributions; Voting Rights; etc.</w:t>
      </w:r>
      <w:r>
        <w:rPr>
          <w:rFonts w:ascii="Arial" w:cs="Arial" w:eastAsia="Arial" w:hAnsi="Arial"/>
          <w:sz w:val="15"/>
          <w:szCs w:val="15"/>
          <w:color w:val="auto"/>
        </w:rPr>
        <w:t xml:space="preserve"> Each Grantor agrees promptly upon receipt of notice of the occurrence of an Event of Default from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Agent and without any request therefor by the Administrative Agent, so long as such Event of Default shall continue:</w:t>
      </w:r>
    </w:p>
    <w:p>
      <w:pPr>
        <w:spacing w:after="0" w:line="86" w:lineRule="exact"/>
        <w:rPr>
          <w:sz w:val="20"/>
          <w:szCs w:val="20"/>
          <w:color w:val="auto"/>
        </w:rPr>
      </w:pPr>
    </w:p>
    <w:p>
      <w:pPr>
        <w:jc w:val="both"/>
        <w:ind w:left="520" w:right="20" w:firstLine="462"/>
        <w:spacing w:after="0" w:line="279" w:lineRule="auto"/>
        <w:tabs>
          <w:tab w:leader="none" w:pos="1211" w:val="left"/>
        </w:tabs>
        <w:numPr>
          <w:ilvl w:val="0"/>
          <w:numId w:val="227"/>
        </w:numPr>
        <w:rPr>
          <w:rFonts w:ascii="Arial" w:cs="Arial" w:eastAsia="Arial" w:hAnsi="Arial"/>
          <w:sz w:val="15"/>
          <w:szCs w:val="15"/>
          <w:color w:val="auto"/>
        </w:rPr>
      </w:pPr>
      <w:r>
        <w:rPr>
          <w:rFonts w:ascii="Arial" w:cs="Arial" w:eastAsia="Arial" w:hAnsi="Arial"/>
          <w:sz w:val="15"/>
          <w:szCs w:val="15"/>
          <w:color w:val="auto"/>
        </w:rPr>
        <w:t>to deliver (properly endorsed where required hereby or requested by the Administrative Agent) to the Administrative Agent all Distributions with respect to Investment Property that is Collateral, all interest, principal, other cash payments on Payment Intangibles, and all Proceeds of the Collateral, in each case thereafter received by such Grantor, all of which shall be held by the Administrative Agent as additional Collateral; and</w:t>
      </w:r>
    </w:p>
    <w:p>
      <w:pPr>
        <w:spacing w:after="0" w:line="54" w:lineRule="exact"/>
        <w:rPr>
          <w:rFonts w:ascii="Arial" w:cs="Arial" w:eastAsia="Arial" w:hAnsi="Arial"/>
          <w:sz w:val="15"/>
          <w:szCs w:val="15"/>
          <w:color w:val="auto"/>
        </w:rPr>
      </w:pPr>
    </w:p>
    <w:p>
      <w:pPr>
        <w:ind w:left="1200" w:hanging="218"/>
        <w:spacing w:after="0"/>
        <w:tabs>
          <w:tab w:leader="none" w:pos="120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with respect to Collateral consisting of general partner interests or limited liability company interests:</w:t>
      </w:r>
    </w:p>
    <w:p>
      <w:pPr>
        <w:spacing w:after="0" w:line="97" w:lineRule="exact"/>
        <w:rPr>
          <w:rFonts w:ascii="Arial" w:cs="Arial" w:eastAsia="Arial" w:hAnsi="Arial"/>
          <w:sz w:val="16"/>
          <w:szCs w:val="16"/>
          <w:color w:val="auto"/>
        </w:rPr>
      </w:pPr>
    </w:p>
    <w:p>
      <w:pPr>
        <w:ind w:left="1780" w:hanging="178"/>
        <w:spacing w:after="0"/>
        <w:tabs>
          <w:tab w:leader="none" w:pos="178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to promptly modify its Organization Documents to admit the Administrative Agent as a general partner or member, as applicable;</w:t>
      </w:r>
    </w:p>
    <w:p>
      <w:pPr>
        <w:spacing w:after="0" w:line="97" w:lineRule="exact"/>
        <w:rPr>
          <w:rFonts w:ascii="Arial" w:cs="Arial" w:eastAsia="Arial" w:hAnsi="Arial"/>
          <w:sz w:val="16"/>
          <w:szCs w:val="16"/>
          <w:color w:val="auto"/>
        </w:rPr>
      </w:pPr>
    </w:p>
    <w:p>
      <w:pPr>
        <w:jc w:val="both"/>
        <w:ind w:left="1160" w:firstLine="442"/>
        <w:spacing w:after="0" w:line="251" w:lineRule="auto"/>
        <w:tabs>
          <w:tab w:leader="none" w:pos="1846" w:val="left"/>
        </w:tabs>
        <w:numPr>
          <w:ilvl w:val="1"/>
          <w:numId w:val="227"/>
        </w:numPr>
        <w:rPr>
          <w:rFonts w:ascii="Arial" w:cs="Arial" w:eastAsia="Arial" w:hAnsi="Arial"/>
          <w:sz w:val="16"/>
          <w:szCs w:val="16"/>
          <w:color w:val="auto"/>
        </w:rPr>
      </w:pPr>
      <w:r>
        <w:rPr>
          <w:rFonts w:ascii="Arial" w:cs="Arial" w:eastAsia="Arial" w:hAnsi="Arial"/>
          <w:sz w:val="16"/>
          <w:szCs w:val="16"/>
          <w:color w:val="auto"/>
        </w:rPr>
        <w:t>so long as the Administrative Agent has notified such Grantor of the Administrative Agent’s intention to exercise its voting power under this clause, that the Administrative Agent may exercise (to the exclusion of such Grantor) the voting power and all other incidental rights of ownership with respect to such Investment Property and such Grantor hereby grants the Administrative Agent an irrevocable proxy, exercisable under such circumstances, to vote such Investment Property; and</w:t>
      </w:r>
    </w:p>
    <w:p>
      <w:pPr>
        <w:spacing w:after="0" w:line="74" w:lineRule="exact"/>
        <w:rPr>
          <w:rFonts w:ascii="Arial" w:cs="Arial" w:eastAsia="Arial" w:hAnsi="Arial"/>
          <w:sz w:val="16"/>
          <w:szCs w:val="16"/>
          <w:color w:val="auto"/>
        </w:rPr>
      </w:pPr>
    </w:p>
    <w:p>
      <w:pPr>
        <w:ind w:left="1160" w:firstLine="442"/>
        <w:spacing w:after="0" w:line="264" w:lineRule="auto"/>
        <w:tabs>
          <w:tab w:leader="none" w:pos="1896" w:val="left"/>
        </w:tabs>
        <w:numPr>
          <w:ilvl w:val="1"/>
          <w:numId w:val="227"/>
        </w:numPr>
        <w:rPr>
          <w:rFonts w:ascii="Arial" w:cs="Arial" w:eastAsia="Arial" w:hAnsi="Arial"/>
          <w:sz w:val="16"/>
          <w:szCs w:val="16"/>
          <w:color w:val="auto"/>
        </w:rPr>
      </w:pPr>
      <w:r>
        <w:rPr>
          <w:rFonts w:ascii="Arial" w:cs="Arial" w:eastAsia="Arial" w:hAnsi="Arial"/>
          <w:sz w:val="16"/>
          <w:szCs w:val="16"/>
          <w:color w:val="auto"/>
        </w:rPr>
        <w:t>to promptly deliver to the Administrative Agent such additional proxies and other documents as may be reasonably necessary to allow the Administrative Agent to exercise such voting power.</w:t>
      </w:r>
    </w:p>
    <w:p>
      <w:pPr>
        <w:spacing w:after="0" w:line="158"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20"/>
          </w:cols>
          <w:pgMar w:left="760" w:top="432" w:right="219" w:bottom="1440" w:gutter="0" w:footer="0" w:header="0"/>
        </w:sectPr>
      </w:pPr>
    </w:p>
    <w:bookmarkStart w:id="193" w:name="page194"/>
    <w:bookmarkEnd w:id="193"/>
    <w:p>
      <w:pPr>
        <w:jc w:val="both"/>
        <w:ind w:left="520" w:right="20"/>
        <w:spacing w:after="0" w:line="314" w:lineRule="auto"/>
        <w:rPr>
          <w:sz w:val="20"/>
          <w:szCs w:val="20"/>
          <w:color w:val="auto"/>
        </w:rPr>
      </w:pPr>
      <w:r>
        <w:rPr>
          <w:rFonts w:ascii="Arial" w:cs="Arial" w:eastAsia="Arial" w:hAnsi="Arial"/>
          <w:sz w:val="13"/>
          <w:szCs w:val="13"/>
          <w:color w:val="auto"/>
        </w:rPr>
        <w:t xml:space="preserve">All dividends, Distributions, interest, principal, cash payments, Payment Intangibles and Proceeds that may at any time and from time to time be held by such Grantor, but which such Grantor is then obligated to deliver to the Administrative Agent, shall, until delivery to the Administrative Agent, be held by such Grantor separate and apart from its other property in trust for the Administrative Agent. The Administrative Agent agrees that unless an Event of Default shall have occurred and be continuing and the Administrative Agent shall have given the notice referred to in this </w:t>
      </w:r>
      <w:r>
        <w:rPr>
          <w:rFonts w:ascii="Arial" w:cs="Arial" w:eastAsia="Arial" w:hAnsi="Arial"/>
          <w:sz w:val="13"/>
          <w:szCs w:val="13"/>
          <w:u w:val="single" w:color="auto"/>
          <w:color w:val="auto"/>
        </w:rPr>
        <w:t>Section 4.1.5</w:t>
      </w:r>
      <w:r>
        <w:rPr>
          <w:rFonts w:ascii="Arial" w:cs="Arial" w:eastAsia="Arial" w:hAnsi="Arial"/>
          <w:sz w:val="13"/>
          <w:szCs w:val="13"/>
          <w:color w:val="auto"/>
        </w:rPr>
        <w:t xml:space="preserve">, such Grantor will have the exclusive voting power with respect to any Investment Property constituting Collateral and the Administrative Agent will, upon the written request of such Grantor, promptly deliver such proxies and other documents, if any, as shall be reasonably requested by such Grantor which are necessary to allow such Grantor to exercise that voting power;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vote shall be cast, or consent, waiver, or ratification given, or action taken by such Grantor that would impair the value of any such Collateral or be inconsistent with or violate any provision of any Loan Document.</w:t>
      </w:r>
    </w:p>
    <w:p>
      <w:pPr>
        <w:spacing w:after="0" w:line="37" w:lineRule="exact"/>
        <w:rPr>
          <w:sz w:val="20"/>
          <w:szCs w:val="20"/>
          <w:color w:val="auto"/>
        </w:rPr>
      </w:pPr>
    </w:p>
    <w:p>
      <w:pPr>
        <w:jc w:val="both"/>
        <w:ind w:left="520" w:right="20" w:firstLine="496"/>
        <w:spacing w:after="0" w:line="251" w:lineRule="auto"/>
        <w:rPr>
          <w:sz w:val="20"/>
          <w:szCs w:val="20"/>
          <w:color w:val="auto"/>
        </w:rPr>
      </w:pPr>
      <w:r>
        <w:rPr>
          <w:rFonts w:ascii="Arial" w:cs="Arial" w:eastAsia="Arial" w:hAnsi="Arial"/>
          <w:sz w:val="16"/>
          <w:szCs w:val="16"/>
          <w:color w:val="auto"/>
        </w:rPr>
        <w:t xml:space="preserve">SECTION 4.1.6. </w:t>
      </w:r>
      <w:r>
        <w:rPr>
          <w:rFonts w:ascii="Arial" w:cs="Arial" w:eastAsia="Arial" w:hAnsi="Arial"/>
          <w:sz w:val="16"/>
          <w:szCs w:val="16"/>
          <w:u w:val="single" w:color="auto"/>
          <w:color w:val="auto"/>
        </w:rPr>
        <w:t>Continuous Pledge.</w:t>
      </w:r>
      <w:r>
        <w:rPr>
          <w:rFonts w:ascii="Arial" w:cs="Arial" w:eastAsia="Arial" w:hAnsi="Arial"/>
          <w:sz w:val="16"/>
          <w:szCs w:val="16"/>
          <w:color w:val="auto"/>
        </w:rPr>
        <w:t xml:space="preserve"> Each Grantor will at all times keep pledged to the Administrative Agent pursuant hereto, on a first-priority, perfected basis all Investment Property, all Distributions with respect thereto, all Payment Intangibles to the extent they are evidenced by a Document, Instrument, Promissory Note or Chattel Paper, and all interest and principal with respect to such Payment Intangibles, and all Proceeds and rights from time to time received by or distributable to such Grantor in respect of any of the foregoing Collateral.</w:t>
      </w:r>
    </w:p>
    <w:p>
      <w:pPr>
        <w:spacing w:after="0" w:line="164" w:lineRule="exact"/>
        <w:rPr>
          <w:sz w:val="20"/>
          <w:szCs w:val="20"/>
          <w:color w:val="auto"/>
        </w:rPr>
      </w:pPr>
    </w:p>
    <w:p>
      <w:pPr>
        <w:ind w:right="20" w:firstLine="519"/>
        <w:spacing w:after="0" w:line="269" w:lineRule="auto"/>
        <w:rPr>
          <w:sz w:val="20"/>
          <w:szCs w:val="20"/>
          <w:color w:val="auto"/>
        </w:rPr>
      </w:pPr>
      <w:r>
        <w:rPr>
          <w:rFonts w:ascii="Arial" w:cs="Arial" w:eastAsia="Arial" w:hAnsi="Arial"/>
          <w:sz w:val="16"/>
          <w:szCs w:val="16"/>
          <w:b w:val="1"/>
          <w:bCs w:val="1"/>
          <w:color w:val="auto"/>
        </w:rPr>
        <w:t xml:space="preserve">SECTION 4.2. </w:t>
      </w:r>
      <w:r>
        <w:rPr>
          <w:rFonts w:ascii="Arial" w:cs="Arial" w:eastAsia="Arial" w:hAnsi="Arial"/>
          <w:sz w:val="16"/>
          <w:szCs w:val="16"/>
          <w:b w:val="1"/>
          <w:bCs w:val="1"/>
          <w:u w:val="single" w:color="auto"/>
          <w:color w:val="auto"/>
        </w:rPr>
        <w:t>Change of Name, etc</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No Grantor will change its name or place of incorporation or organization or federal taxpayer identification number except upon 30</w:t>
      </w:r>
      <w:r>
        <w:rPr>
          <w:rFonts w:ascii="Arial" w:cs="Arial" w:eastAsia="Arial" w:hAnsi="Arial"/>
          <w:sz w:val="16"/>
          <w:szCs w:val="16"/>
          <w:b w:val="1"/>
          <w:bCs w:val="1"/>
          <w:color w:val="auto"/>
        </w:rPr>
        <w:t xml:space="preserve"> </w:t>
      </w:r>
      <w:r>
        <w:rPr>
          <w:rFonts w:ascii="Arial" w:cs="Arial" w:eastAsia="Arial" w:hAnsi="Arial"/>
          <w:sz w:val="16"/>
          <w:szCs w:val="16"/>
          <w:color w:val="auto"/>
        </w:rPr>
        <w:t>days’ prior written notice to the Administrative Agent.</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 xml:space="preserve">SECTION 4.3. </w:t>
      </w:r>
      <w:r>
        <w:rPr>
          <w:rFonts w:ascii="Arial" w:cs="Arial" w:eastAsia="Arial" w:hAnsi="Arial"/>
          <w:sz w:val="16"/>
          <w:szCs w:val="16"/>
          <w:b w:val="1"/>
          <w:bCs w:val="1"/>
          <w:u w:val="single" w:color="auto"/>
          <w:color w:val="auto"/>
        </w:rPr>
        <w:t>As to Accounts</w:t>
      </w:r>
      <w:r>
        <w:rPr>
          <w:rFonts w:ascii="Arial" w:cs="Arial" w:eastAsia="Arial" w:hAnsi="Arial"/>
          <w:sz w:val="16"/>
          <w:szCs w:val="16"/>
          <w:color w:val="auto"/>
        </w:rPr>
        <w:t>.</w:t>
      </w:r>
    </w:p>
    <w:p>
      <w:pPr>
        <w:spacing w:after="0" w:line="101" w:lineRule="exact"/>
        <w:rPr>
          <w:sz w:val="20"/>
          <w:szCs w:val="20"/>
          <w:color w:val="auto"/>
        </w:rPr>
      </w:pPr>
    </w:p>
    <w:p>
      <w:pPr>
        <w:ind w:left="1220" w:hanging="212"/>
        <w:spacing w:after="0"/>
        <w:tabs>
          <w:tab w:leader="none" w:pos="122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Each Grantor shall have the right to collect all Accounts so long as no Event of Default shall have occurred and be continuing.</w:t>
      </w:r>
    </w:p>
    <w:p>
      <w:pPr>
        <w:spacing w:after="0" w:line="97" w:lineRule="exact"/>
        <w:rPr>
          <w:rFonts w:ascii="Arial" w:cs="Arial" w:eastAsia="Arial" w:hAnsi="Arial"/>
          <w:sz w:val="16"/>
          <w:szCs w:val="16"/>
          <w:color w:val="auto"/>
        </w:rPr>
      </w:pPr>
    </w:p>
    <w:p>
      <w:pPr>
        <w:jc w:val="both"/>
        <w:ind w:left="520" w:firstLine="488"/>
        <w:spacing w:after="0" w:line="317" w:lineRule="auto"/>
        <w:tabs>
          <w:tab w:leader="none" w:pos="1263" w:val="left"/>
        </w:tabs>
        <w:numPr>
          <w:ilvl w:val="0"/>
          <w:numId w:val="228"/>
        </w:numPr>
        <w:rPr>
          <w:rFonts w:ascii="Arial" w:cs="Arial" w:eastAsia="Arial" w:hAnsi="Arial"/>
          <w:sz w:val="13"/>
          <w:szCs w:val="13"/>
          <w:color w:val="auto"/>
        </w:rPr>
      </w:pPr>
      <w:r>
        <w:rPr>
          <w:rFonts w:ascii="Arial" w:cs="Arial" w:eastAsia="Arial" w:hAnsi="Arial"/>
          <w:sz w:val="13"/>
          <w:szCs w:val="13"/>
          <w:color w:val="auto"/>
        </w:rPr>
        <w:t>Upon (i) the occurrence and during the continuance of an Event of Default and (ii) the delivery of written notice (unless an Event of Default pursuant to Section 8.01(f) of the Credit Agreement shall have occurred, in which case, no such notice shall be required) by the Administrative Agent to each Grantor, all Proceeds of Collateral received by such Grantor shall be delivered in kind to the Administrative Agent for deposit in a Deposit Account of such Grantor maintained with the depositary institution acting as Administrative Agent (together with any other Accounts pursuant to which any portion of the Collateral is deposited with the depositary institution acting as Administrative Agent, the “</w:t>
      </w:r>
      <w:r>
        <w:rPr>
          <w:rFonts w:ascii="Arial" w:cs="Arial" w:eastAsia="Arial" w:hAnsi="Arial"/>
          <w:sz w:val="13"/>
          <w:szCs w:val="13"/>
          <w:u w:val="single" w:color="auto"/>
          <w:color w:val="auto"/>
        </w:rPr>
        <w:t>Collateral Accounts</w:t>
      </w:r>
      <w:r>
        <w:rPr>
          <w:rFonts w:ascii="Arial" w:cs="Arial" w:eastAsia="Arial" w:hAnsi="Arial"/>
          <w:sz w:val="13"/>
          <w:szCs w:val="13"/>
          <w:color w:val="auto"/>
        </w:rPr>
        <w:t>”), and such Grantor shall not commingle any of such Proceeds, and shall hold separate and apart from all other property, all such Proceeds in express trust for the benefit of the Administrative Agent until delivery thereof is made to the Administrative Agent.</w:t>
      </w:r>
    </w:p>
    <w:p>
      <w:pPr>
        <w:spacing w:after="0" w:line="34" w:lineRule="exact"/>
        <w:rPr>
          <w:rFonts w:ascii="Arial" w:cs="Arial" w:eastAsia="Arial" w:hAnsi="Arial"/>
          <w:sz w:val="13"/>
          <w:szCs w:val="13"/>
          <w:color w:val="auto"/>
        </w:rPr>
      </w:pPr>
    </w:p>
    <w:p>
      <w:pPr>
        <w:ind w:left="520" w:firstLine="488"/>
        <w:spacing w:after="0" w:line="264" w:lineRule="auto"/>
        <w:tabs>
          <w:tab w:leader="none" w:pos="1243" w:val="left"/>
        </w:tabs>
        <w:numPr>
          <w:ilvl w:val="0"/>
          <w:numId w:val="228"/>
        </w:numPr>
        <w:rPr>
          <w:rFonts w:ascii="Arial" w:cs="Arial" w:eastAsia="Arial" w:hAnsi="Arial"/>
          <w:sz w:val="16"/>
          <w:szCs w:val="16"/>
          <w:color w:val="auto"/>
        </w:rPr>
      </w:pPr>
      <w:r>
        <w:rPr>
          <w:rFonts w:ascii="Arial" w:cs="Arial" w:eastAsia="Arial" w:hAnsi="Arial"/>
          <w:sz w:val="16"/>
          <w:szCs w:val="16"/>
          <w:color w:val="auto"/>
        </w:rPr>
        <w:t xml:space="preserve">Following the delivery of notice pursuant to </w:t>
      </w:r>
      <w:r>
        <w:rPr>
          <w:rFonts w:ascii="Arial" w:cs="Arial" w:eastAsia="Arial" w:hAnsi="Arial"/>
          <w:sz w:val="16"/>
          <w:szCs w:val="16"/>
          <w:u w:val="single" w:color="auto"/>
          <w:color w:val="auto"/>
        </w:rPr>
        <w:t>clause (b)(ii)</w:t>
      </w:r>
      <w:r>
        <w:rPr>
          <w:rFonts w:ascii="Arial" w:cs="Arial" w:eastAsia="Arial" w:hAnsi="Arial"/>
          <w:sz w:val="16"/>
          <w:szCs w:val="16"/>
          <w:color w:val="auto"/>
        </w:rPr>
        <w:t>, the Administrative Agent shall have the right to apply any amount in the Collateral Account to the payment of any Obligations which are due and payable.</w:t>
      </w:r>
    </w:p>
    <w:p>
      <w:pPr>
        <w:spacing w:after="0" w:line="64" w:lineRule="exact"/>
        <w:rPr>
          <w:rFonts w:ascii="Arial" w:cs="Arial" w:eastAsia="Arial" w:hAnsi="Arial"/>
          <w:sz w:val="16"/>
          <w:szCs w:val="16"/>
          <w:color w:val="auto"/>
        </w:rPr>
      </w:pPr>
    </w:p>
    <w:p>
      <w:pPr>
        <w:jc w:val="both"/>
        <w:ind w:left="520" w:firstLine="488"/>
        <w:spacing w:after="0" w:line="254" w:lineRule="auto"/>
        <w:tabs>
          <w:tab w:leader="none" w:pos="1261" w:val="left"/>
        </w:tabs>
        <w:numPr>
          <w:ilvl w:val="0"/>
          <w:numId w:val="228"/>
        </w:numPr>
        <w:rPr>
          <w:rFonts w:ascii="Arial" w:cs="Arial" w:eastAsia="Arial" w:hAnsi="Arial"/>
          <w:sz w:val="16"/>
          <w:szCs w:val="16"/>
          <w:color w:val="auto"/>
        </w:rPr>
      </w:pPr>
      <w:r>
        <w:rPr>
          <w:rFonts w:ascii="Arial" w:cs="Arial" w:eastAsia="Arial" w:hAnsi="Arial"/>
          <w:sz w:val="16"/>
          <w:szCs w:val="16"/>
          <w:color w:val="auto"/>
        </w:rPr>
        <w:t>With respect to each Collateral Account, it is hereby confirmed and agreed that (i) deposits in such Collateral Account are subject to a security interest as contemplated hereby, (ii) such Collateral Account shall be under the control of the Administrative Agent and (iii) the Administrative Agent shall have the sole right of withdrawal over such Collateral Account.</w:t>
      </w:r>
    </w:p>
    <w:p>
      <w:pPr>
        <w:spacing w:after="0" w:line="72" w:lineRule="exact"/>
        <w:rPr>
          <w:rFonts w:ascii="Arial" w:cs="Arial" w:eastAsia="Arial" w:hAnsi="Arial"/>
          <w:sz w:val="16"/>
          <w:szCs w:val="16"/>
          <w:color w:val="auto"/>
        </w:rPr>
      </w:pPr>
    </w:p>
    <w:p>
      <w:pPr>
        <w:ind w:left="520" w:firstLine="488"/>
        <w:spacing w:after="0" w:line="264" w:lineRule="auto"/>
        <w:tabs>
          <w:tab w:leader="none" w:pos="124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Administrative Agent will make available to the applicable Grantor all amounts in any Collateral Account upon the request of such Grantor, so long as no Event of Default has occurred and is then continuing (as certified by the Company to the Administrative Agent).</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 xml:space="preserve">SECTION 4.4. </w:t>
      </w:r>
      <w:r>
        <w:rPr>
          <w:rFonts w:ascii="Arial" w:cs="Arial" w:eastAsia="Arial" w:hAnsi="Arial"/>
          <w:sz w:val="16"/>
          <w:szCs w:val="16"/>
          <w:b w:val="1"/>
          <w:bCs w:val="1"/>
          <w:u w:val="single" w:color="auto"/>
          <w:color w:val="auto"/>
        </w:rPr>
        <w:t>As to Grantors’ Use of Collateral</w:t>
      </w:r>
      <w:r>
        <w:rPr>
          <w:rFonts w:ascii="Arial" w:cs="Arial" w:eastAsia="Arial" w:hAnsi="Arial"/>
          <w:sz w:val="16"/>
          <w:szCs w:val="16"/>
          <w:color w:val="auto"/>
        </w:rPr>
        <w:t>.</w:t>
      </w:r>
    </w:p>
    <w:p>
      <w:pPr>
        <w:spacing w:after="0" w:line="101" w:lineRule="exact"/>
        <w:rPr>
          <w:sz w:val="20"/>
          <w:szCs w:val="20"/>
          <w:color w:val="auto"/>
        </w:rPr>
      </w:pPr>
    </w:p>
    <w:p>
      <w:pPr>
        <w:jc w:val="both"/>
        <w:ind w:left="520" w:firstLine="488"/>
        <w:spacing w:after="0" w:line="267" w:lineRule="auto"/>
        <w:tabs>
          <w:tab w:leader="none" w:pos="1236" w:val="left"/>
        </w:tabs>
        <w:numPr>
          <w:ilvl w:val="0"/>
          <w:numId w:val="229"/>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clause (b)</w:t>
      </w:r>
      <w:r>
        <w:rPr>
          <w:rFonts w:ascii="Arial" w:cs="Arial" w:eastAsia="Arial" w:hAnsi="Arial"/>
          <w:sz w:val="15"/>
          <w:szCs w:val="15"/>
          <w:color w:val="auto"/>
        </w:rPr>
        <w:t>, each Grantor (i) may in the ordinary course of its business, at its own expense, sell, lease or furnish under contracts of service any of the Inventory normally held by such Grantor for such purpose, and use and consume, in the ordinary course of its business, any raw materials, work in process or materials normally held by such Grantor for such purpose, (ii) will, at its own expense, endeavor to collect, as and when due, all amounts due with respect to any of the Collateral, including the taking of such action with respect to such collection as the Administrative Agent may request following the occurrence and during the continuance of an Event of Default or, in the absence of such request, as such Grantor may deem advisable, and (iii) may grant, in the ordinary course of business, to any party obligated on any of the Collateral, any rebate, refund or allowance to which such party may be lawfully entitled, and may accept, in connection therewith, the return of Goods, the sale or lease of which shall have given rise to such Collateral.</w:t>
      </w:r>
    </w:p>
    <w:p>
      <w:pPr>
        <w:spacing w:after="0" w:line="63" w:lineRule="exact"/>
        <w:rPr>
          <w:rFonts w:ascii="Arial" w:cs="Arial" w:eastAsia="Arial" w:hAnsi="Arial"/>
          <w:sz w:val="15"/>
          <w:szCs w:val="15"/>
          <w:color w:val="auto"/>
        </w:rPr>
      </w:pPr>
    </w:p>
    <w:p>
      <w:pPr>
        <w:jc w:val="both"/>
        <w:ind w:left="520" w:firstLine="488"/>
        <w:spacing w:after="0" w:line="249" w:lineRule="auto"/>
        <w:tabs>
          <w:tab w:leader="none" w:pos="1256"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At any time following the occurrence and during the continuance of an Event of Default, whether before or after the maturity of any of the Obligations, the Administrative Agent may (i) revoke any or all of the rights of each Grantor set forth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(ii) notify any parties obligated on any of the Collateral to make payment to the Administrative Agent of any amounts due or to become due thereunder and (iii) enforce collection of any of the Collateral by suit or otherwise and surrender, release, or exchange all or any part thereof, or compromise or extend or renew for any period (whether or not longer than the original period) any indebtedness thereunder or evidenced thereby.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40"/>
          </w:cols>
          <w:pgMar w:left="240" w:top="432" w:right="219" w:bottom="1440" w:gutter="0" w:footer="0" w:header="0"/>
        </w:sectPr>
      </w:pPr>
    </w:p>
    <w:bookmarkStart w:id="194" w:name="page195"/>
    <w:bookmarkEnd w:id="194"/>
    <w:p>
      <w:pPr>
        <w:ind w:right="20" w:firstLine="488"/>
        <w:spacing w:after="0" w:line="298" w:lineRule="auto"/>
        <w:tabs>
          <w:tab w:leader="none" w:pos="713" w:val="left"/>
        </w:tabs>
        <w:numPr>
          <w:ilvl w:val="0"/>
          <w:numId w:val="230"/>
        </w:numPr>
        <w:rPr>
          <w:rFonts w:ascii="Arial" w:cs="Arial" w:eastAsia="Arial" w:hAnsi="Arial"/>
          <w:sz w:val="15"/>
          <w:szCs w:val="15"/>
          <w:color w:val="auto"/>
        </w:rPr>
      </w:pPr>
      <w:r>
        <w:rPr>
          <w:rFonts w:ascii="Arial" w:cs="Arial" w:eastAsia="Arial" w:hAnsi="Arial"/>
          <w:sz w:val="15"/>
          <w:szCs w:val="15"/>
          <w:color w:val="auto"/>
        </w:rPr>
        <w:t>Upon the request of the Administrative Agent following the occurrence and during the continuance of an Event of Default, each Grantor will, at its own expense, notify any parties obligated on any of the Collateral to make payment to the Administrative Agent of any amounts due or to become due thereunder.</w:t>
      </w:r>
    </w:p>
    <w:p>
      <w:pPr>
        <w:spacing w:after="0" w:line="40" w:lineRule="exact"/>
        <w:rPr>
          <w:rFonts w:ascii="Arial" w:cs="Arial" w:eastAsia="Arial" w:hAnsi="Arial"/>
          <w:sz w:val="15"/>
          <w:szCs w:val="15"/>
          <w:color w:val="auto"/>
        </w:rPr>
      </w:pPr>
    </w:p>
    <w:p>
      <w:pPr>
        <w:ind w:right="20" w:firstLine="488"/>
        <w:spacing w:after="0" w:line="264" w:lineRule="auto"/>
        <w:tabs>
          <w:tab w:leader="none" w:pos="718" w:val="left"/>
        </w:tabs>
        <w:numPr>
          <w:ilvl w:val="0"/>
          <w:numId w:val="230"/>
        </w:numPr>
        <w:rPr>
          <w:rFonts w:ascii="Arial" w:cs="Arial" w:eastAsia="Arial" w:hAnsi="Arial"/>
          <w:sz w:val="16"/>
          <w:szCs w:val="16"/>
          <w:color w:val="auto"/>
        </w:rPr>
      </w:pPr>
      <w:r>
        <w:rPr>
          <w:rFonts w:ascii="Arial" w:cs="Arial" w:eastAsia="Arial" w:hAnsi="Arial"/>
          <w:sz w:val="16"/>
          <w:szCs w:val="16"/>
          <w:color w:val="auto"/>
        </w:rPr>
        <w:t>At any time following the occurrence and during the continuation of an Event of Default, the Administrative Agent may endorse, in the name of such Grantor, any item, howsoever received by the Administrative Agent, representing any payment on or other Proceeds of any of the Collateral.</w:t>
      </w:r>
    </w:p>
    <w:p>
      <w:pPr>
        <w:spacing w:after="0" w:line="64" w:lineRule="exact"/>
        <w:rPr>
          <w:rFonts w:ascii="Arial" w:cs="Arial" w:eastAsia="Arial" w:hAnsi="Arial"/>
          <w:sz w:val="16"/>
          <w:szCs w:val="16"/>
          <w:color w:val="auto"/>
        </w:rPr>
      </w:pPr>
    </w:p>
    <w:p>
      <w:pPr>
        <w:jc w:val="both"/>
        <w:ind w:firstLine="488"/>
        <w:spacing w:after="0" w:line="254" w:lineRule="auto"/>
        <w:tabs>
          <w:tab w:leader="none" w:pos="714" w:val="left"/>
        </w:tabs>
        <w:numPr>
          <w:ilvl w:val="0"/>
          <w:numId w:val="230"/>
        </w:numPr>
        <w:rPr>
          <w:rFonts w:ascii="Arial" w:cs="Arial" w:eastAsia="Arial" w:hAnsi="Arial"/>
          <w:sz w:val="16"/>
          <w:szCs w:val="16"/>
          <w:color w:val="auto"/>
        </w:rPr>
      </w:pPr>
      <w:r>
        <w:rPr>
          <w:rFonts w:ascii="Arial" w:cs="Arial" w:eastAsia="Arial" w:hAnsi="Arial"/>
          <w:sz w:val="16"/>
          <w:szCs w:val="16"/>
          <w:color w:val="auto"/>
        </w:rPr>
        <w:t xml:space="preserve">No Grantor shall take or omit to take any action the taking or the omission of which would result in any impairment in the collectability of, or any other material impairment or alteration of, any obligation of the maker of any Payment Intangible or other Instrument constituting Collateral, except as otherwise provided in this </w:t>
      </w:r>
      <w:r>
        <w:rPr>
          <w:rFonts w:ascii="Arial" w:cs="Arial" w:eastAsia="Arial" w:hAnsi="Arial"/>
          <w:sz w:val="16"/>
          <w:szCs w:val="16"/>
          <w:u w:val="single" w:color="auto"/>
          <w:color w:val="auto"/>
        </w:rPr>
        <w:t>Section 4.4</w:t>
      </w:r>
      <w:r>
        <w:rPr>
          <w:rFonts w:ascii="Arial" w:cs="Arial" w:eastAsia="Arial" w:hAnsi="Arial"/>
          <w:sz w:val="16"/>
          <w:szCs w:val="16"/>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4.5. </w:t>
      </w:r>
      <w:r>
        <w:rPr>
          <w:rFonts w:ascii="Arial" w:cs="Arial" w:eastAsia="Arial" w:hAnsi="Arial"/>
          <w:sz w:val="16"/>
          <w:szCs w:val="16"/>
          <w:b w:val="1"/>
          <w:bCs w:val="1"/>
          <w:u w:val="single" w:color="auto"/>
          <w:color w:val="auto"/>
        </w:rPr>
        <w:t>As to Intellectual Property Collateral</w:t>
      </w:r>
      <w:r>
        <w:rPr>
          <w:rFonts w:ascii="Arial" w:cs="Arial" w:eastAsia="Arial" w:hAnsi="Arial"/>
          <w:sz w:val="16"/>
          <w:szCs w:val="16"/>
          <w:u w:val="single" w:color="auto"/>
          <w:color w:val="auto"/>
        </w:rPr>
        <w:t>.</w:t>
      </w:r>
    </w:p>
    <w:p>
      <w:pPr>
        <w:spacing w:after="0" w:line="101" w:lineRule="exact"/>
        <w:rPr>
          <w:sz w:val="20"/>
          <w:szCs w:val="20"/>
          <w:color w:val="auto"/>
        </w:rPr>
      </w:pPr>
    </w:p>
    <w:p>
      <w:pPr>
        <w:ind w:right="20" w:firstLine="488"/>
        <w:spacing w:after="0" w:line="264" w:lineRule="auto"/>
        <w:tabs>
          <w:tab w:leader="none" w:pos="732" w:val="left"/>
        </w:tabs>
        <w:numPr>
          <w:ilvl w:val="0"/>
          <w:numId w:val="231"/>
        </w:numPr>
        <w:rPr>
          <w:rFonts w:ascii="Arial" w:cs="Arial" w:eastAsia="Arial" w:hAnsi="Arial"/>
          <w:sz w:val="16"/>
          <w:szCs w:val="16"/>
          <w:color w:val="auto"/>
        </w:rPr>
      </w:pPr>
      <w:r>
        <w:rPr>
          <w:rFonts w:ascii="Arial" w:cs="Arial" w:eastAsia="Arial" w:hAnsi="Arial"/>
          <w:sz w:val="16"/>
          <w:szCs w:val="16"/>
          <w:color w:val="auto"/>
        </w:rPr>
        <w:t>Each Grantor covenants and agrees to comply with the following provisions as such provisions relate to any Intellectual Property Collateral material to the business of such Grantor:</w:t>
      </w:r>
    </w:p>
    <w:p>
      <w:pPr>
        <w:spacing w:after="0" w:line="64" w:lineRule="exact"/>
        <w:rPr>
          <w:rFonts w:ascii="Arial" w:cs="Arial" w:eastAsia="Arial" w:hAnsi="Arial"/>
          <w:sz w:val="16"/>
          <w:szCs w:val="16"/>
          <w:color w:val="auto"/>
        </w:rPr>
      </w:pPr>
    </w:p>
    <w:p>
      <w:pPr>
        <w:jc w:val="both"/>
        <w:ind w:left="520" w:firstLine="462"/>
        <w:spacing w:after="0" w:line="303" w:lineRule="auto"/>
        <w:tabs>
          <w:tab w:leader="none" w:pos="1182" w:val="left"/>
        </w:tabs>
        <w:numPr>
          <w:ilvl w:val="2"/>
          <w:numId w:val="231"/>
        </w:numPr>
        <w:rPr>
          <w:rFonts w:ascii="Arial" w:cs="Arial" w:eastAsia="Arial" w:hAnsi="Arial"/>
          <w:sz w:val="13"/>
          <w:szCs w:val="13"/>
          <w:color w:val="auto"/>
        </w:rPr>
      </w:pPr>
      <w:r>
        <w:rPr>
          <w:rFonts w:ascii="Arial" w:cs="Arial" w:eastAsia="Arial" w:hAnsi="Arial"/>
          <w:sz w:val="13"/>
          <w:szCs w:val="13"/>
          <w:color w:val="auto"/>
        </w:rPr>
        <w:t xml:space="preserve">such Grantor shall not (A) do or fail to perform any act whereby any of the Patent Collateral may lapse or become abandoned or dedicated to the public or unenforceable, (B) itself or permit any of its licensees to (I) fail to continue to use any of the Trademark Collateral in order to maintain the Trademark Collateral in full force free from any claim of abandonment for non-use, (II) fail to maintain as in the past the quality of products and services offered under the Trademark Collateral, (III) fail to employ the Trademark Collateral registered with any federal or state or foreign authority with an appropriate notice of such registration, (IV) adopt or use any other Trademark which is confusingly similar or a colorable imitation of any of the Trademark Collateral, unless rights in such Trademark Collateral inure solely to Grantor and do not infringe or weaken the validity or enforceability of any of the Intellectual Property Collateral or (E) do or permit any act or knowingly omit to do any act whereby any of the Trademark Collateral may lapse or become invalid or unenforceable, or (C) do or permit any act or knowingly omit to do any act whereby any of the Copyright Collateral or any of the Trade Secrets Collateral may lapse or become invalid or unenforceable or placed in the public domain except upon expiration of the end of an unrenewable term of a registration thereof, unless, in the case of any of the foregoing requirements in </w:t>
      </w:r>
      <w:r>
        <w:rPr>
          <w:rFonts w:ascii="Arial" w:cs="Arial" w:eastAsia="Arial" w:hAnsi="Arial"/>
          <w:sz w:val="13"/>
          <w:szCs w:val="13"/>
          <w:u w:val="single" w:color="auto"/>
          <w:color w:val="auto"/>
        </w:rPr>
        <w:t>clauses (A)</w:t>
      </w:r>
      <w:r>
        <w:rPr>
          <w:rFonts w:ascii="Arial" w:cs="Arial" w:eastAsia="Arial" w:hAnsi="Arial"/>
          <w:sz w:val="13"/>
          <w:szCs w:val="13"/>
          <w:color w:val="auto"/>
        </w:rPr>
        <w:t>,</w:t>
      </w:r>
    </w:p>
    <w:p>
      <w:pPr>
        <w:ind w:left="520" w:right="20" w:hanging="10"/>
        <w:spacing w:after="0" w:line="249" w:lineRule="auto"/>
        <w:tabs>
          <w:tab w:leader="none" w:pos="785" w:val="left"/>
        </w:tabs>
        <w:numPr>
          <w:ilvl w:val="1"/>
          <w:numId w:val="231"/>
        </w:numPr>
        <w:rPr>
          <w:rFonts w:ascii="Arial" w:cs="Arial" w:eastAsia="Arial" w:hAnsi="Arial"/>
          <w:sz w:val="16"/>
          <w:szCs w:val="16"/>
          <w:u w:val="single" w:color="auto"/>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(C)</w:t>
      </w:r>
      <w:r>
        <w:rPr>
          <w:rFonts w:ascii="Arial" w:cs="Arial" w:eastAsia="Arial" w:hAnsi="Arial"/>
          <w:sz w:val="16"/>
          <w:szCs w:val="16"/>
          <w:color w:val="auto"/>
        </w:rPr>
        <w:t>, such Grantor shall reasonably and in good faith determine that any of such Intellectual Property Collateral is of negligible economic value to such Grantor, and the loss of such Intellectual Property Collateral would not have a Material Adverse Effect on its business;</w:t>
      </w:r>
    </w:p>
    <w:p>
      <w:pPr>
        <w:spacing w:after="0" w:line="75" w:lineRule="exact"/>
        <w:rPr>
          <w:rFonts w:ascii="Arial" w:cs="Arial" w:eastAsia="Arial" w:hAnsi="Arial"/>
          <w:sz w:val="16"/>
          <w:szCs w:val="16"/>
          <w:u w:val="single" w:color="auto"/>
          <w:color w:val="auto"/>
        </w:rPr>
      </w:pPr>
    </w:p>
    <w:p>
      <w:pPr>
        <w:jc w:val="both"/>
        <w:ind w:left="520" w:firstLine="462"/>
        <w:spacing w:after="0" w:line="270" w:lineRule="auto"/>
        <w:tabs>
          <w:tab w:leader="none" w:pos="1247" w:val="left"/>
        </w:tabs>
        <w:numPr>
          <w:ilvl w:val="2"/>
          <w:numId w:val="232"/>
        </w:numPr>
        <w:rPr>
          <w:rFonts w:ascii="Arial" w:cs="Arial" w:eastAsia="Arial" w:hAnsi="Arial"/>
          <w:sz w:val="15"/>
          <w:szCs w:val="15"/>
          <w:color w:val="auto"/>
        </w:rPr>
      </w:pPr>
      <w:r>
        <w:rPr>
          <w:rFonts w:ascii="Arial" w:cs="Arial" w:eastAsia="Arial" w:hAnsi="Arial"/>
          <w:sz w:val="15"/>
          <w:szCs w:val="15"/>
          <w:color w:val="auto"/>
        </w:rPr>
        <w:t>such Grantor shall promptly notify the Administrative Agent if it knows, or reasonably suspects, that any application or registration relating to any material item of the Intellectual Property Collateral may become abandoned or dedicated to the public or placed in the public domain or become invalid or unenforceable, or of any adverse determination or development (including the institution of, or any such determination or development in, any proceeding in the United States Patent and Trademark Office, the United States Copyright Office or any foreign counterpart thereof or any court) regarding such Grantor’s ownership of any such Intellectual Property Collateral, its right to register the same or to keep and maintain and enforce the same; and</w:t>
      </w:r>
    </w:p>
    <w:p>
      <w:pPr>
        <w:spacing w:after="0" w:line="61" w:lineRule="exact"/>
        <w:rPr>
          <w:rFonts w:ascii="Arial" w:cs="Arial" w:eastAsia="Arial" w:hAnsi="Arial"/>
          <w:sz w:val="15"/>
          <w:szCs w:val="15"/>
          <w:color w:val="auto"/>
        </w:rPr>
      </w:pPr>
    </w:p>
    <w:p>
      <w:pPr>
        <w:jc w:val="both"/>
        <w:ind w:left="520" w:firstLine="462"/>
        <w:spacing w:after="0" w:line="249" w:lineRule="auto"/>
        <w:tabs>
          <w:tab w:leader="none" w:pos="1282" w:val="left"/>
        </w:tabs>
        <w:numPr>
          <w:ilvl w:val="2"/>
          <w:numId w:val="232"/>
        </w:numPr>
        <w:rPr>
          <w:rFonts w:ascii="Arial" w:cs="Arial" w:eastAsia="Arial" w:hAnsi="Arial"/>
          <w:sz w:val="16"/>
          <w:szCs w:val="16"/>
          <w:color w:val="auto"/>
        </w:rPr>
      </w:pPr>
      <w:r>
        <w:rPr>
          <w:rFonts w:ascii="Arial" w:cs="Arial" w:eastAsia="Arial" w:hAnsi="Arial"/>
          <w:sz w:val="16"/>
          <w:szCs w:val="16"/>
          <w:color w:val="auto"/>
        </w:rPr>
        <w:t xml:space="preserve">such Grantor shall take all reasonably necessary steps, including in any proceeding before the United States Patent and Trademark Office, the United States Copyright Office and corresponding offices in other countries of the world, to maintain and pursue any application (and to obtain the relevant registration) filed with respect to, and to maintain any registration of, the Intellectual Property Collateral, including the filing of applications for renewal, affidavits of use, affidavits of incontestability and opposition, interference and cancellation proceedings and the payment of fees and taxes (except to the extent that dedication, abandonment or invalidation is permitted under the foregoing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w:t>
      </w:r>
    </w:p>
    <w:p>
      <w:pPr>
        <w:spacing w:after="0" w:line="77" w:lineRule="exact"/>
        <w:rPr>
          <w:rFonts w:ascii="Arial" w:cs="Arial" w:eastAsia="Arial" w:hAnsi="Arial"/>
          <w:sz w:val="16"/>
          <w:szCs w:val="16"/>
          <w:color w:val="auto"/>
        </w:rPr>
      </w:pPr>
    </w:p>
    <w:p>
      <w:pPr>
        <w:jc w:val="both"/>
        <w:ind w:firstLine="488"/>
        <w:spacing w:after="0" w:line="247" w:lineRule="auto"/>
        <w:tabs>
          <w:tab w:leader="none" w:pos="732" w:val="left"/>
        </w:tabs>
        <w:numPr>
          <w:ilvl w:val="0"/>
          <w:numId w:val="233"/>
        </w:numPr>
        <w:rPr>
          <w:rFonts w:ascii="Arial" w:cs="Arial" w:eastAsia="Arial" w:hAnsi="Arial"/>
          <w:sz w:val="16"/>
          <w:szCs w:val="16"/>
          <w:color w:val="auto"/>
        </w:rPr>
      </w:pPr>
      <w:r>
        <w:rPr>
          <w:rFonts w:ascii="Arial" w:cs="Arial" w:eastAsia="Arial" w:hAnsi="Arial"/>
          <w:sz w:val="16"/>
          <w:szCs w:val="16"/>
          <w:color w:val="auto"/>
        </w:rPr>
        <w:t>Upon the request of the Administrative Agent, each Grantor covenants and agrees to provide a complete and accurate list of (i) (A) all issued and applied-for Patents owned by each Grantor, including those that have been issued by or are on file with the United States Patent and Trademark Office or corresponding offices in other countries of the world and (B) all Patent Licenses, (ii) (A) all registered and applied-for Trademarks owned by each Grantor, including those that are registered, or for which an application for registration has been made, with the United States Patent and Trademark Office or corresponding offices in other countries of the world and (B) all Trademark Licenses, and (iii) (A) all registered and applied-for Copyrights owned by each Grantor, including those that are registered, or for which an application for registration has been made, with the United States Copyright Office or corresponding offices in other countries of the world and (B) all Copyright Licenses, including an indication of which of those Copyright Licenses are exclusive licenses granted to such Grantor in respect of any Copyright that is registered with the United States Copyright Office.</w:t>
      </w:r>
    </w:p>
    <w:p>
      <w:pPr>
        <w:spacing w:after="0" w:line="173"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920"/>
          </w:cols>
          <w:pgMar w:left="760" w:top="432" w:right="219" w:bottom="1440" w:gutter="0" w:footer="0" w:header="0"/>
        </w:sectPr>
      </w:pPr>
    </w:p>
    <w:bookmarkStart w:id="195" w:name="page196"/>
    <w:bookmarkEnd w:id="195"/>
    <w:p>
      <w:pPr>
        <w:ind w:left="520"/>
        <w:spacing w:after="0"/>
        <w:rPr>
          <w:sz w:val="20"/>
          <w:szCs w:val="20"/>
          <w:color w:val="auto"/>
        </w:rPr>
      </w:pPr>
      <w:r>
        <w:rPr>
          <w:rFonts w:ascii="Arial" w:cs="Arial" w:eastAsia="Arial" w:hAnsi="Arial"/>
          <w:sz w:val="16"/>
          <w:szCs w:val="16"/>
          <w:b w:val="1"/>
          <w:bCs w:val="1"/>
          <w:color w:val="auto"/>
        </w:rPr>
        <w:t xml:space="preserve">SECTION 4.6. </w:t>
      </w:r>
      <w:r>
        <w:rPr>
          <w:rFonts w:ascii="Arial" w:cs="Arial" w:eastAsia="Arial" w:hAnsi="Arial"/>
          <w:sz w:val="16"/>
          <w:szCs w:val="16"/>
          <w:b w:val="1"/>
          <w:bCs w:val="1"/>
          <w:u w:val="single" w:color="auto"/>
          <w:color w:val="auto"/>
        </w:rPr>
        <w:t>As to Letter-of-Credit Rights</w:t>
      </w:r>
      <w:r>
        <w:rPr>
          <w:rFonts w:ascii="Arial" w:cs="Arial" w:eastAsia="Arial" w:hAnsi="Arial"/>
          <w:sz w:val="16"/>
          <w:szCs w:val="16"/>
          <w:color w:val="auto"/>
        </w:rPr>
        <w:t>.</w:t>
      </w:r>
    </w:p>
    <w:p>
      <w:pPr>
        <w:spacing w:after="0" w:line="101" w:lineRule="exact"/>
        <w:rPr>
          <w:sz w:val="20"/>
          <w:szCs w:val="20"/>
          <w:color w:val="auto"/>
        </w:rPr>
      </w:pPr>
    </w:p>
    <w:p>
      <w:pPr>
        <w:jc w:val="both"/>
        <w:ind w:left="520" w:firstLine="488"/>
        <w:spacing w:after="0" w:line="249" w:lineRule="auto"/>
        <w:tabs>
          <w:tab w:leader="none" w:pos="1246" w:val="left"/>
        </w:tabs>
        <w:numPr>
          <w:ilvl w:val="0"/>
          <w:numId w:val="234"/>
        </w:numPr>
        <w:rPr>
          <w:rFonts w:ascii="Arial" w:cs="Arial" w:eastAsia="Arial" w:hAnsi="Arial"/>
          <w:sz w:val="16"/>
          <w:szCs w:val="16"/>
          <w:color w:val="auto"/>
        </w:rPr>
      </w:pPr>
      <w:r>
        <w:rPr>
          <w:rFonts w:ascii="Arial" w:cs="Arial" w:eastAsia="Arial" w:hAnsi="Arial"/>
          <w:sz w:val="16"/>
          <w:szCs w:val="16"/>
          <w:color w:val="auto"/>
        </w:rPr>
        <w:t>Each Grantor, by granting a security interest in its Letter-of-Credit Rights to the Administrative Agent, intends to (and hereby does) collaterally assign to the Administrative Agent its rights (including its contingent rights) to the Proceeds of all Letter-of-Credit Rights of which it is or hereafter becomes a beneficiary or assignee. Such Grantor will promptly use its commercially reasonable efforts to cause the issuer of each letter of credit and each nominated person (if any) with respect thereto to consent to such assignment of the Proceeds thereof in a consent agreement in form and substance satisfactory to the Administrative Agent and deliver written evidence of such consent to the Administrative Agent.</w:t>
      </w:r>
    </w:p>
    <w:p>
      <w:pPr>
        <w:spacing w:after="0" w:line="77" w:lineRule="exact"/>
        <w:rPr>
          <w:rFonts w:ascii="Arial" w:cs="Arial" w:eastAsia="Arial" w:hAnsi="Arial"/>
          <w:sz w:val="16"/>
          <w:szCs w:val="16"/>
          <w:color w:val="auto"/>
        </w:rPr>
      </w:pPr>
    </w:p>
    <w:p>
      <w:pPr>
        <w:jc w:val="both"/>
        <w:ind w:left="520" w:firstLine="488"/>
        <w:spacing w:after="0" w:line="273" w:lineRule="auto"/>
        <w:tabs>
          <w:tab w:leader="none" w:pos="1248" w:val="left"/>
        </w:tabs>
        <w:numPr>
          <w:ilvl w:val="0"/>
          <w:numId w:val="234"/>
        </w:numPr>
        <w:rPr>
          <w:rFonts w:ascii="Arial" w:cs="Arial" w:eastAsia="Arial" w:hAnsi="Arial"/>
          <w:sz w:val="15"/>
          <w:szCs w:val="15"/>
          <w:color w:val="auto"/>
        </w:rPr>
      </w:pPr>
      <w:r>
        <w:rPr>
          <w:rFonts w:ascii="Arial" w:cs="Arial" w:eastAsia="Arial" w:hAnsi="Arial"/>
          <w:sz w:val="15"/>
          <w:szCs w:val="15"/>
          <w:color w:val="auto"/>
        </w:rPr>
        <w:t>Upon the occurrence and during the continuance of an Event of Default, such Grantor will, promptly upon request by the Administrative Agent, (i) notify (and such Grantor hereby authorizes the Administrative Agent to notify) the issuer and each nominated person with respect to each of the letters of credit issued in favor of such Grantor that the Proceeds thereof have been assigned to the Administrative Agent hereunder and any payments due or to become due in respect thereof are to be made directly to the Administrative Agent and (ii) arrange for the Administrative Agent to become the transferee beneficiary of such letter of credit.</w:t>
      </w:r>
    </w:p>
    <w:p>
      <w:pPr>
        <w:spacing w:after="0" w:line="149" w:lineRule="exact"/>
        <w:rPr>
          <w:sz w:val="20"/>
          <w:szCs w:val="20"/>
          <w:color w:val="auto"/>
        </w:rPr>
      </w:pPr>
    </w:p>
    <w:p>
      <w:pPr>
        <w:jc w:val="both"/>
        <w:ind w:firstLine="519"/>
        <w:spacing w:after="0" w:line="253" w:lineRule="auto"/>
        <w:rPr>
          <w:sz w:val="20"/>
          <w:szCs w:val="20"/>
          <w:color w:val="auto"/>
        </w:rPr>
      </w:pPr>
      <w:r>
        <w:rPr>
          <w:rFonts w:ascii="Arial" w:cs="Arial" w:eastAsia="Arial" w:hAnsi="Arial"/>
          <w:sz w:val="16"/>
          <w:szCs w:val="16"/>
          <w:b w:val="1"/>
          <w:bCs w:val="1"/>
          <w:color w:val="auto"/>
        </w:rPr>
        <w:t xml:space="preserve">SECTION 4.7. </w:t>
      </w:r>
      <w:r>
        <w:rPr>
          <w:rFonts w:ascii="Arial" w:cs="Arial" w:eastAsia="Arial" w:hAnsi="Arial"/>
          <w:sz w:val="16"/>
          <w:szCs w:val="16"/>
          <w:b w:val="1"/>
          <w:bCs w:val="1"/>
          <w:u w:val="single" w:color="auto"/>
          <w:color w:val="auto"/>
        </w:rPr>
        <w:t>As to Commercial Tort Claims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Each Grantor covenants and agrees that, until the Termination Date, with respect to any Commercial Tort Claim in excess of</w:t>
      </w:r>
      <w:r>
        <w:rPr>
          <w:rFonts w:ascii="Arial" w:cs="Arial" w:eastAsia="Arial" w:hAnsi="Arial"/>
          <w:sz w:val="16"/>
          <w:szCs w:val="16"/>
          <w:b w:val="1"/>
          <w:bCs w:val="1"/>
          <w:color w:val="auto"/>
        </w:rPr>
        <w:t xml:space="preserve"> </w:t>
      </w:r>
      <w:r>
        <w:rPr>
          <w:rFonts w:ascii="Arial" w:cs="Arial" w:eastAsia="Arial" w:hAnsi="Arial"/>
          <w:sz w:val="16"/>
          <w:szCs w:val="16"/>
          <w:color w:val="auto"/>
        </w:rPr>
        <w:t>$500,000 hereafter arising, it shall deliver to the Administrative Agent a supplement in form and substance reasonably satisfactory to the Administrative Agent, together with all supplements to schedules thereto identifying such new Commercial Tort Claims and take all such action reasonably requested by the Administrative Agent to grant to the Administrative Agent and perfect a security interest in such Commercial Tort Claim.</w:t>
      </w:r>
    </w:p>
    <w:p>
      <w:pPr>
        <w:spacing w:after="0" w:line="162" w:lineRule="exact"/>
        <w:rPr>
          <w:sz w:val="20"/>
          <w:szCs w:val="20"/>
          <w:color w:val="auto"/>
        </w:rPr>
      </w:pPr>
    </w:p>
    <w:p>
      <w:pPr>
        <w:jc w:val="both"/>
        <w:ind w:firstLine="519"/>
        <w:spacing w:after="0" w:line="265" w:lineRule="auto"/>
        <w:rPr>
          <w:sz w:val="20"/>
          <w:szCs w:val="20"/>
          <w:color w:val="auto"/>
        </w:rPr>
      </w:pPr>
      <w:r>
        <w:rPr>
          <w:rFonts w:ascii="Arial" w:cs="Arial" w:eastAsia="Arial" w:hAnsi="Arial"/>
          <w:sz w:val="15"/>
          <w:szCs w:val="15"/>
          <w:b w:val="1"/>
          <w:bCs w:val="1"/>
          <w:color w:val="auto"/>
        </w:rPr>
        <w:t xml:space="preserve">SECTION 4.8. </w:t>
      </w:r>
      <w:r>
        <w:rPr>
          <w:rFonts w:ascii="Arial" w:cs="Arial" w:eastAsia="Arial" w:hAnsi="Arial"/>
          <w:sz w:val="15"/>
          <w:szCs w:val="15"/>
          <w:b w:val="1"/>
          <w:bCs w:val="1"/>
          <w:u w:val="single" w:color="auto"/>
          <w:color w:val="auto"/>
        </w:rPr>
        <w:t>Electronic Chattel Paper and Transferable Records</w:t>
      </w:r>
      <w:r>
        <w:rPr>
          <w:rFonts w:ascii="Arial" w:cs="Arial" w:eastAsia="Arial" w:hAnsi="Arial"/>
          <w:sz w:val="15"/>
          <w:szCs w:val="15"/>
          <w:u w:val="single" w:color="auto"/>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If any Grantor at any time holds or acquires an interest in any electronic chattel paper or any</w:t>
      </w:r>
      <w:r>
        <w:rPr>
          <w:rFonts w:ascii="Arial" w:cs="Arial" w:eastAsia="Arial" w:hAnsi="Arial"/>
          <w:sz w:val="15"/>
          <w:szCs w:val="15"/>
          <w:b w:val="1"/>
          <w:bCs w:val="1"/>
          <w:color w:val="auto"/>
        </w:rPr>
        <w:t xml:space="preserve"> </w:t>
      </w:r>
      <w:r>
        <w:rPr>
          <w:rFonts w:ascii="Arial" w:cs="Arial" w:eastAsia="Arial" w:hAnsi="Arial"/>
          <w:sz w:val="15"/>
          <w:szCs w:val="15"/>
          <w:color w:val="auto"/>
        </w:rPr>
        <w:t>“transferable record,” as that term is defined in Section 201 of the U.S. Federal Electronic Signatures in Global and National Commerce Act, or in Section 16 of the U.S. Uniform Electronic Transactions Act as in effect in any relevant jurisdiction, such Grantor shall promptly notify the Administrative Agent thereof and, at the request of the Administrative Agent, shall take such action as the Administrative Agent may reasonably request to vest in the Administrative Agent control under Section 9-105 of the UCC of such electronic chattel paper or control under Section 201 of the Federal Electronic Signatures in Global and National Commerce Act or, as the case may be, Section 16 of the Uniform Electronic Transactions Act, as so in effect in such jurisdiction, of such transferable record. The Administrative Agent agrees with such Grantor that the Administrative Agent will arrange, pursuant to procedures reasonably satisfactory to the Administrative Agent and so long as such procedures will not result in the Administrative Agent’s loss of control, for the Grantor to make alterations to the electronic chattel paper or transferable record permitted under Section 9-105 of the UCC or, as the case may be, Section 201 of the U.S. Federal Electronic Signatures in Global and National Commerce Act or Section 16 of the U.S. Uniform Electronic Transactions Act for a party in control to allow without loss of control, unless an Event of Default has occurred and is continuing or would occur after taking into account any action by such Grantor with respect to such electronic chattel paper or transferable record.</w:t>
      </w:r>
    </w:p>
    <w:p>
      <w:pPr>
        <w:spacing w:after="0" w:line="156" w:lineRule="exact"/>
        <w:rPr>
          <w:sz w:val="20"/>
          <w:szCs w:val="20"/>
          <w:color w:val="auto"/>
        </w:rPr>
      </w:pPr>
    </w:p>
    <w:p>
      <w:pPr>
        <w:jc w:val="both"/>
        <w:ind w:firstLine="519"/>
        <w:spacing w:after="0" w:line="253" w:lineRule="auto"/>
        <w:rPr>
          <w:sz w:val="20"/>
          <w:szCs w:val="20"/>
          <w:color w:val="auto"/>
        </w:rPr>
      </w:pPr>
      <w:r>
        <w:rPr>
          <w:rFonts w:ascii="Arial" w:cs="Arial" w:eastAsia="Arial" w:hAnsi="Arial"/>
          <w:sz w:val="16"/>
          <w:szCs w:val="16"/>
          <w:b w:val="1"/>
          <w:bCs w:val="1"/>
          <w:color w:val="auto"/>
        </w:rPr>
        <w:t xml:space="preserve">SECTION 4.9. </w:t>
      </w:r>
      <w:r>
        <w:rPr>
          <w:rFonts w:ascii="Arial" w:cs="Arial" w:eastAsia="Arial" w:hAnsi="Arial"/>
          <w:sz w:val="16"/>
          <w:szCs w:val="16"/>
          <w:b w:val="1"/>
          <w:bCs w:val="1"/>
          <w:u w:val="single" w:color="auto"/>
          <w:color w:val="auto"/>
        </w:rPr>
        <w:t>Further Assurances, etc</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Each Grantor agrees that, from time to time at its own expense, it will promptly execute and deliver all further instruments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and take all further action, that may be reasonably necessary or that the Administrative Agent may reasonably request, in order to perfect, preserve and protect any security interest granted or purported to be granted hereby or to enable the Administrative Agent to exercise and enforce its rights and remedies hereunder with respect to any Collateral. Without limiting the generality of the foregoing, such Grantor will:</w:t>
      </w:r>
    </w:p>
    <w:p>
      <w:pPr>
        <w:spacing w:after="0" w:line="72" w:lineRule="exact"/>
        <w:rPr>
          <w:sz w:val="20"/>
          <w:szCs w:val="20"/>
          <w:color w:val="auto"/>
        </w:rPr>
      </w:pPr>
    </w:p>
    <w:p>
      <w:pPr>
        <w:jc w:val="both"/>
        <w:ind w:left="520" w:right="20" w:firstLine="488"/>
        <w:spacing w:after="0" w:line="251" w:lineRule="auto"/>
        <w:tabs>
          <w:tab w:leader="none" w:pos="1254" w:val="left"/>
        </w:tabs>
        <w:numPr>
          <w:ilvl w:val="0"/>
          <w:numId w:val="235"/>
        </w:numPr>
        <w:rPr>
          <w:rFonts w:ascii="Arial" w:cs="Arial" w:eastAsia="Arial" w:hAnsi="Arial"/>
          <w:sz w:val="16"/>
          <w:szCs w:val="16"/>
          <w:color w:val="auto"/>
        </w:rPr>
      </w:pPr>
      <w:r>
        <w:rPr>
          <w:rFonts w:ascii="Arial" w:cs="Arial" w:eastAsia="Arial" w:hAnsi="Arial"/>
          <w:sz w:val="16"/>
          <w:szCs w:val="16"/>
          <w:color w:val="auto"/>
        </w:rPr>
        <w:t>from time to time upon the request of the Administrative Agent, promptly deliver to the Administrative Agent such stock powers, instruments and similar documents, reasonably satisfactory in form and substance to the Administrative Agent, with respect to such Collateral as the Administrative Agent may reasonably request and will, from time to time upon the request of the Administrative Agent, after the occurrence and during the continuance of any Event of Default, promptly transfer any securities constituting Collateral into the name of any nominee designated by the Administrative Agent;</w:t>
      </w:r>
    </w:p>
    <w:p>
      <w:pPr>
        <w:spacing w:after="0" w:line="74" w:lineRule="exact"/>
        <w:rPr>
          <w:rFonts w:ascii="Arial" w:cs="Arial" w:eastAsia="Arial" w:hAnsi="Arial"/>
          <w:sz w:val="16"/>
          <w:szCs w:val="16"/>
          <w:color w:val="auto"/>
        </w:rPr>
      </w:pPr>
    </w:p>
    <w:p>
      <w:pPr>
        <w:jc w:val="both"/>
        <w:ind w:left="520" w:right="20" w:firstLine="488"/>
        <w:spacing w:after="0" w:line="327" w:lineRule="auto"/>
        <w:tabs>
          <w:tab w:leader="none" w:pos="1241" w:val="left"/>
        </w:tabs>
        <w:numPr>
          <w:ilvl w:val="0"/>
          <w:numId w:val="235"/>
        </w:numPr>
        <w:rPr>
          <w:rFonts w:ascii="Arial" w:cs="Arial" w:eastAsia="Arial" w:hAnsi="Arial"/>
          <w:sz w:val="13"/>
          <w:szCs w:val="13"/>
          <w:color w:val="auto"/>
        </w:rPr>
      </w:pPr>
      <w:r>
        <w:rPr>
          <w:rFonts w:ascii="Arial" w:cs="Arial" w:eastAsia="Arial" w:hAnsi="Arial"/>
          <w:sz w:val="13"/>
          <w:szCs w:val="13"/>
          <w:color w:val="auto"/>
        </w:rPr>
        <w:t>file (and hereby authorize the Administrative Agent to file) such Filing Statements or continuation statements, or amendments thereto, and such other instruments or notices (including any assignment of claim form under or pursuant to the federal assignment of claims statute, 31 U.S.C. § 3726, any successor or amended version thereof or any regulation promulgated under or pursuant to any version thereof), as may be reasonably necessary or that the Administrative Agent may reasonably request in order to perfect and preserve the security interests and other rights granted or purported to be granted to the Administrative Agent hereby; and</w:t>
      </w:r>
    </w:p>
    <w:p>
      <w:pPr>
        <w:spacing w:after="0" w:line="29" w:lineRule="exact"/>
        <w:rPr>
          <w:rFonts w:ascii="Arial" w:cs="Arial" w:eastAsia="Arial" w:hAnsi="Arial"/>
          <w:sz w:val="13"/>
          <w:szCs w:val="13"/>
          <w:color w:val="auto"/>
        </w:rPr>
      </w:pPr>
    </w:p>
    <w:p>
      <w:pPr>
        <w:ind w:left="520" w:firstLine="488"/>
        <w:spacing w:after="0" w:line="298" w:lineRule="auto"/>
        <w:tabs>
          <w:tab w:leader="none" w:pos="1247" w:val="left"/>
        </w:tabs>
        <w:numPr>
          <w:ilvl w:val="0"/>
          <w:numId w:val="235"/>
        </w:numPr>
        <w:rPr>
          <w:rFonts w:ascii="Arial" w:cs="Arial" w:eastAsia="Arial" w:hAnsi="Arial"/>
          <w:sz w:val="15"/>
          <w:szCs w:val="15"/>
          <w:color w:val="auto"/>
        </w:rPr>
      </w:pPr>
      <w:r>
        <w:rPr>
          <w:rFonts w:ascii="Arial" w:cs="Arial" w:eastAsia="Arial" w:hAnsi="Arial"/>
          <w:sz w:val="15"/>
          <w:szCs w:val="15"/>
          <w:color w:val="auto"/>
        </w:rPr>
        <w:t>furnish to the Administrative Agent, from time to time at the Administrative Agent’s request, statements and schedules further identifying and describing the Collateral and such other reports in connection with the Collateral as the Administrative Agent may reasonably request, all in reasonable detail.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40"/>
          </w:cols>
          <w:pgMar w:left="240" w:top="522" w:right="219" w:bottom="1440" w:gutter="0" w:footer="0" w:header="0"/>
        </w:sectPr>
      </w:pPr>
    </w:p>
    <w:bookmarkStart w:id="196" w:name="page197"/>
    <w:bookmarkEnd w:id="196"/>
    <w:p>
      <w:pPr>
        <w:jc w:val="both"/>
        <w:ind w:firstLine="519"/>
        <w:spacing w:after="0" w:line="270" w:lineRule="auto"/>
        <w:rPr>
          <w:sz w:val="20"/>
          <w:szCs w:val="20"/>
          <w:color w:val="auto"/>
        </w:rPr>
      </w:pPr>
      <w:r>
        <w:rPr>
          <w:rFonts w:ascii="Arial" w:cs="Arial" w:eastAsia="Arial" w:hAnsi="Arial"/>
          <w:sz w:val="15"/>
          <w:szCs w:val="15"/>
          <w:color w:val="auto"/>
        </w:rPr>
        <w:t>With respect to the foregoing and the grant of the security interest hereunder, each Grantor hereby authorizes the Administrative Agent to file one or more financing or continuation statements, and amendments thereto, relative to all or any part of the Collateral. Each Grantor agrees that a carbon, photographic or other reproduction of this Security Agreement or any UCC financing statement covering the Collateral or any part thereof shall be sufficient as a UCC financing statement where permitted by Law. Each Grantor hereby authorizes the Administrative Agent to file financing statements describing as the collateral covered thereby “all of the debtor’s personal property or assets” or words to that effect, notwithstanding that such wording may be broader in scope than the Collateral described in this Security Agreement.</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5.</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ADMINISTRATIVE AGENT</w:t>
      </w:r>
    </w:p>
    <w:p>
      <w:pPr>
        <w:spacing w:after="0" w:line="191" w:lineRule="exact"/>
        <w:rPr>
          <w:sz w:val="20"/>
          <w:szCs w:val="20"/>
          <w:color w:val="auto"/>
        </w:rPr>
      </w:pPr>
    </w:p>
    <w:p>
      <w:pPr>
        <w:jc w:val="both"/>
        <w:ind w:right="20" w:firstLine="519"/>
        <w:spacing w:after="0" w:line="253" w:lineRule="auto"/>
        <w:rPr>
          <w:sz w:val="20"/>
          <w:szCs w:val="20"/>
          <w:color w:val="auto"/>
        </w:rPr>
      </w:pPr>
      <w:r>
        <w:rPr>
          <w:rFonts w:ascii="Arial" w:cs="Arial" w:eastAsia="Arial" w:hAnsi="Arial"/>
          <w:sz w:val="16"/>
          <w:szCs w:val="16"/>
          <w:b w:val="1"/>
          <w:bCs w:val="1"/>
          <w:color w:val="auto"/>
        </w:rPr>
        <w:t xml:space="preserve">SECTION 5.1. </w:t>
      </w:r>
      <w:r>
        <w:rPr>
          <w:rFonts w:ascii="Arial" w:cs="Arial" w:eastAsia="Arial" w:hAnsi="Arial"/>
          <w:sz w:val="16"/>
          <w:szCs w:val="16"/>
          <w:b w:val="1"/>
          <w:bCs w:val="1"/>
          <w:u w:val="single" w:color="auto"/>
          <w:color w:val="auto"/>
        </w:rPr>
        <w:t>Administrative Agent Appointed Attorney-in-Fact</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Each Grantor hereby irrevocably appoints the Administrative Agent its attorney-in-fact, with full</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authority in the place and stead of such Grantor and in the name of such Grantor or otherwise, from time to time in the Administrative Agent’s discretion, following the occurrence and during the continuance of an Event of Default, to take any action and to execute any instrument which the Administrative Agent may deem necessary or advisable to accomplish the purposes of this Security Agreement, including:</w:t>
      </w:r>
    </w:p>
    <w:p>
      <w:pPr>
        <w:spacing w:after="0" w:line="72" w:lineRule="exact"/>
        <w:rPr>
          <w:sz w:val="20"/>
          <w:szCs w:val="20"/>
          <w:color w:val="auto"/>
        </w:rPr>
      </w:pPr>
    </w:p>
    <w:p>
      <w:pPr>
        <w:ind w:left="520" w:right="20" w:firstLine="488"/>
        <w:spacing w:after="0" w:line="264" w:lineRule="auto"/>
        <w:tabs>
          <w:tab w:leader="none" w:pos="1235"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to ask, demand, collect, sue for, recover, compromise, receive and give acquittance and receipts for moneys due and to become due under or in respect of any of the Collateral;</w:t>
      </w:r>
    </w:p>
    <w:p>
      <w:pPr>
        <w:spacing w:after="0" w:line="64" w:lineRule="exact"/>
        <w:rPr>
          <w:rFonts w:ascii="Arial" w:cs="Arial" w:eastAsia="Arial" w:hAnsi="Arial"/>
          <w:sz w:val="16"/>
          <w:szCs w:val="16"/>
          <w:color w:val="auto"/>
        </w:rPr>
      </w:pPr>
    </w:p>
    <w:p>
      <w:pPr>
        <w:ind w:left="1220" w:hanging="212"/>
        <w:spacing w:after="0"/>
        <w:tabs>
          <w:tab w:leader="none" w:pos="122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 xml:space="preserve">to receive, endorse, and collect any drafts or other Instruments, Documents and Chattel Paper, in connection with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w:t>
      </w:r>
    </w:p>
    <w:p>
      <w:pPr>
        <w:spacing w:after="0" w:line="97" w:lineRule="exact"/>
        <w:rPr>
          <w:rFonts w:ascii="Arial" w:cs="Arial" w:eastAsia="Arial" w:hAnsi="Arial"/>
          <w:sz w:val="16"/>
          <w:szCs w:val="16"/>
          <w:color w:val="auto"/>
        </w:rPr>
      </w:pPr>
    </w:p>
    <w:p>
      <w:pPr>
        <w:ind w:left="520" w:firstLine="488"/>
        <w:spacing w:after="0" w:line="264" w:lineRule="auto"/>
        <w:tabs>
          <w:tab w:leader="none" w:pos="1232"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to file any claims or take any action or institute any proceedings which the Administrative Agent may deem necessary or desirable for the collection of any of the Collateral or otherwise to enforce the rights of the Administrative Agent with respect to any of the Collateral; and</w:t>
      </w:r>
    </w:p>
    <w:p>
      <w:pPr>
        <w:spacing w:after="0" w:line="64" w:lineRule="exact"/>
        <w:rPr>
          <w:rFonts w:ascii="Arial" w:cs="Arial" w:eastAsia="Arial" w:hAnsi="Arial"/>
          <w:sz w:val="16"/>
          <w:szCs w:val="16"/>
          <w:color w:val="auto"/>
        </w:rPr>
      </w:pPr>
    </w:p>
    <w:p>
      <w:pPr>
        <w:ind w:left="1220" w:hanging="212"/>
        <w:spacing w:after="0"/>
        <w:tabs>
          <w:tab w:leader="none" w:pos="122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to perform the affirmative obligations of such Grantor hereunder.</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Each Grantor hereby acknowledges, consents and agrees that the power of attorney granted pursuant to this Section is irrevocable and coupled with an interest.</w:t>
      </w:r>
    </w:p>
    <w:p>
      <w:pPr>
        <w:spacing w:after="0" w:line="187" w:lineRule="exact"/>
        <w:rPr>
          <w:sz w:val="20"/>
          <w:szCs w:val="20"/>
          <w:color w:val="auto"/>
        </w:rPr>
      </w:pPr>
    </w:p>
    <w:p>
      <w:pPr>
        <w:jc w:val="both"/>
        <w:ind w:firstLine="519"/>
        <w:spacing w:after="0" w:line="282" w:lineRule="auto"/>
        <w:rPr>
          <w:sz w:val="20"/>
          <w:szCs w:val="20"/>
          <w:color w:val="auto"/>
        </w:rPr>
      </w:pPr>
      <w:r>
        <w:rPr>
          <w:rFonts w:ascii="Arial" w:cs="Arial" w:eastAsia="Arial" w:hAnsi="Arial"/>
          <w:sz w:val="15"/>
          <w:szCs w:val="15"/>
          <w:b w:val="1"/>
          <w:bCs w:val="1"/>
          <w:color w:val="auto"/>
        </w:rPr>
        <w:t xml:space="preserve">SECTION 5.2. </w:t>
      </w:r>
      <w:r>
        <w:rPr>
          <w:rFonts w:ascii="Arial" w:cs="Arial" w:eastAsia="Arial" w:hAnsi="Arial"/>
          <w:sz w:val="15"/>
          <w:szCs w:val="15"/>
          <w:b w:val="1"/>
          <w:bCs w:val="1"/>
          <w:u w:val="single" w:color="auto"/>
          <w:color w:val="auto"/>
        </w:rPr>
        <w:t>Administrative Agent Has No Duty</w:t>
      </w:r>
      <w:r>
        <w:rPr>
          <w:rFonts w:ascii="Arial" w:cs="Arial" w:eastAsia="Arial" w:hAnsi="Arial"/>
          <w:sz w:val="15"/>
          <w:szCs w:val="15"/>
          <w:u w:val="single" w:color="auto"/>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The powers conferred on the Administrative Agent hereunder are solely to protect its interest (on behalf of the Secured</w:t>
      </w:r>
      <w:r>
        <w:rPr>
          <w:rFonts w:ascii="Arial" w:cs="Arial" w:eastAsia="Arial" w:hAnsi="Arial"/>
          <w:sz w:val="15"/>
          <w:szCs w:val="15"/>
          <w:b w:val="1"/>
          <w:bCs w:val="1"/>
          <w:color w:val="auto"/>
        </w:rPr>
        <w:t xml:space="preserve"> </w:t>
      </w:r>
      <w:r>
        <w:rPr>
          <w:rFonts w:ascii="Arial" w:cs="Arial" w:eastAsia="Arial" w:hAnsi="Arial"/>
          <w:sz w:val="15"/>
          <w:szCs w:val="15"/>
          <w:color w:val="auto"/>
        </w:rPr>
        <w:t>Parties) in the Collateral and shall not impose any duty on it to exercise any of such powers. Except for reasonable care of any Collateral in its possession and the accounting for moneys actually received by it hereunder, the Administrative Agent shall have no duty as to any Collateral or responsibility for:</w:t>
      </w:r>
    </w:p>
    <w:p>
      <w:pPr>
        <w:spacing w:after="0" w:line="52" w:lineRule="exact"/>
        <w:rPr>
          <w:sz w:val="20"/>
          <w:szCs w:val="20"/>
          <w:color w:val="auto"/>
        </w:rPr>
      </w:pPr>
    </w:p>
    <w:p>
      <w:pPr>
        <w:ind w:left="520" w:firstLine="488"/>
        <w:spacing w:after="0" w:line="264" w:lineRule="auto"/>
        <w:tabs>
          <w:tab w:leader="none" w:pos="1233"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ascertaining or taking action with respect to calls, conversions, exchanges, maturities, tenders or other matters relative to any Investment Property, whether or not the Administrative Agent has or is deemed to have knowledge of such matters; or</w:t>
      </w:r>
    </w:p>
    <w:p>
      <w:pPr>
        <w:spacing w:after="0" w:line="64" w:lineRule="exact"/>
        <w:rPr>
          <w:rFonts w:ascii="Arial" w:cs="Arial" w:eastAsia="Arial" w:hAnsi="Arial"/>
          <w:sz w:val="16"/>
          <w:szCs w:val="16"/>
          <w:color w:val="auto"/>
        </w:rPr>
      </w:pPr>
    </w:p>
    <w:p>
      <w:pPr>
        <w:ind w:left="1220" w:hanging="212"/>
        <w:spacing w:after="0"/>
        <w:tabs>
          <w:tab w:leader="none" w:pos="122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taking any necessary steps to preserve rights against prior parties or any other rights pertaining to any Collateral.</w:t>
      </w:r>
    </w:p>
    <w:p>
      <w:pPr>
        <w:spacing w:after="0" w:line="187" w:lineRule="exact"/>
        <w:rPr>
          <w:sz w:val="20"/>
          <w:szCs w:val="20"/>
          <w:color w:val="auto"/>
        </w:rPr>
      </w:pPr>
    </w:p>
    <w:p>
      <w:pPr>
        <w:jc w:val="both"/>
        <w:ind w:firstLine="519"/>
        <w:spacing w:after="0" w:line="271" w:lineRule="auto"/>
        <w:rPr>
          <w:sz w:val="20"/>
          <w:szCs w:val="20"/>
          <w:color w:val="auto"/>
        </w:rPr>
      </w:pPr>
      <w:r>
        <w:rPr>
          <w:rFonts w:ascii="Arial" w:cs="Arial" w:eastAsia="Arial" w:hAnsi="Arial"/>
          <w:sz w:val="15"/>
          <w:szCs w:val="15"/>
          <w:b w:val="1"/>
          <w:bCs w:val="1"/>
          <w:color w:val="auto"/>
        </w:rPr>
        <w:t xml:space="preserve">SECTION 5.3. </w:t>
      </w:r>
      <w:r>
        <w:rPr>
          <w:rFonts w:ascii="Arial" w:cs="Arial" w:eastAsia="Arial" w:hAnsi="Arial"/>
          <w:sz w:val="15"/>
          <w:szCs w:val="15"/>
          <w:b w:val="1"/>
          <w:bCs w:val="1"/>
          <w:u w:val="single" w:color="auto"/>
          <w:color w:val="auto"/>
        </w:rPr>
        <w:t>Reasonable Care</w:t>
      </w:r>
      <w:r>
        <w:rPr>
          <w:rFonts w:ascii="Arial" w:cs="Arial" w:eastAsia="Arial" w:hAnsi="Arial"/>
          <w:sz w:val="15"/>
          <w:szCs w:val="15"/>
          <w:u w:val="single" w:color="auto"/>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The Administrative Agent is required to exercise reasonable care in the custody and preservation of any of the Collateral in its possession;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Administrative Agent shall be deemed to have exercised reasonable care in the custody and preservation of (a) any of the Collateral in its physical possession, if it handles the custody and preservation of the Collateral in the same manner as it deals with similar property for its own account and (b) any other Collateral, if it takes such action for that purpose as each Grantor reasonably requests in writing at times other than upon the occurrence and during the continuance of any Event of Default, but failure of the Administrative Agent to comply with any such request at any time shall not in itself be deemed a failure to exercise reasonable care.</w:t>
      </w:r>
    </w:p>
    <w:p>
      <w:pPr>
        <w:spacing w:after="0" w:line="245"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ARTICLE 6.</w:t>
      </w:r>
    </w:p>
    <w:p>
      <w:pPr>
        <w:spacing w:after="0" w:line="97"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REMEDIES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 xml:space="preserve">SECTION 6.1. </w:t>
      </w:r>
      <w:r>
        <w:rPr>
          <w:rFonts w:ascii="Arial" w:cs="Arial" w:eastAsia="Arial" w:hAnsi="Arial"/>
          <w:sz w:val="16"/>
          <w:szCs w:val="16"/>
          <w:b w:val="1"/>
          <w:bCs w:val="1"/>
          <w:u w:val="single" w:color="auto"/>
          <w:color w:val="auto"/>
        </w:rPr>
        <w:t>Certain Remedies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If any Event of Default shall have occurred and be continuing:</w:t>
      </w:r>
    </w:p>
    <w:p>
      <w:pPr>
        <w:spacing w:after="0" w:line="101" w:lineRule="exact"/>
        <w:rPr>
          <w:sz w:val="20"/>
          <w:szCs w:val="20"/>
          <w:color w:val="auto"/>
        </w:rPr>
      </w:pPr>
    </w:p>
    <w:p>
      <w:pPr>
        <w:ind w:left="520" w:firstLine="488"/>
        <w:spacing w:after="0" w:line="298" w:lineRule="auto"/>
        <w:tabs>
          <w:tab w:leader="none" w:pos="1231" w:val="left"/>
        </w:tabs>
        <w:numPr>
          <w:ilvl w:val="0"/>
          <w:numId w:val="238"/>
        </w:numPr>
        <w:rPr>
          <w:rFonts w:ascii="Arial" w:cs="Arial" w:eastAsia="Arial" w:hAnsi="Arial"/>
          <w:sz w:val="15"/>
          <w:szCs w:val="15"/>
          <w:color w:val="auto"/>
        </w:rPr>
      </w:pPr>
      <w:r>
        <w:rPr>
          <w:rFonts w:ascii="Arial" w:cs="Arial" w:eastAsia="Arial" w:hAnsi="Arial"/>
          <w:sz w:val="15"/>
          <w:szCs w:val="15"/>
          <w:color w:val="auto"/>
        </w:rPr>
        <w:t>The Administrative Agent may exercise in respect of the Collateral, in addition to other rights and remedies provided for herein or otherwise available to it, all the rights and remedies of a secured party on default under the UCC (whether or not the UCC applies to the affected Collateral) and also may:</w:t>
      </w:r>
    </w:p>
    <w:p>
      <w:pPr>
        <w:spacing w:after="0" w:line="40" w:lineRule="exact"/>
        <w:rPr>
          <w:rFonts w:ascii="Arial" w:cs="Arial" w:eastAsia="Arial" w:hAnsi="Arial"/>
          <w:sz w:val="15"/>
          <w:szCs w:val="15"/>
          <w:color w:val="auto"/>
        </w:rPr>
      </w:pPr>
    </w:p>
    <w:p>
      <w:pPr>
        <w:ind w:left="1680" w:hanging="178"/>
        <w:spacing w:after="0"/>
        <w:tabs>
          <w:tab w:leader="none" w:pos="168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take possession of any Collateral not already in its possession without demand and without legal process;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40"/>
          </w:cols>
          <w:pgMar w:left="240" w:top="526" w:right="219" w:bottom="1440" w:gutter="0" w:footer="0" w:header="0"/>
        </w:sectPr>
      </w:pPr>
    </w:p>
    <w:bookmarkStart w:id="197" w:name="page198"/>
    <w:bookmarkEnd w:id="197"/>
    <w:p>
      <w:pPr>
        <w:jc w:val="both"/>
        <w:ind w:left="1040" w:firstLine="462"/>
        <w:spacing w:after="0" w:line="254" w:lineRule="auto"/>
        <w:tabs>
          <w:tab w:leader="none" w:pos="1744" w:val="left"/>
        </w:tabs>
        <w:numPr>
          <w:ilvl w:val="1"/>
          <w:numId w:val="239"/>
        </w:numPr>
        <w:rPr>
          <w:rFonts w:ascii="Arial" w:cs="Arial" w:eastAsia="Arial" w:hAnsi="Arial"/>
          <w:sz w:val="16"/>
          <w:szCs w:val="16"/>
          <w:color w:val="auto"/>
        </w:rPr>
      </w:pPr>
      <w:r>
        <w:rPr>
          <w:rFonts w:ascii="Arial" w:cs="Arial" w:eastAsia="Arial" w:hAnsi="Arial"/>
          <w:sz w:val="16"/>
          <w:szCs w:val="16"/>
          <w:color w:val="auto"/>
        </w:rPr>
        <w:t>require each Grantor to, and each Grantor hereby agrees that it will, at its expense and upon request of the Administrative Agent forthwith, assemble all or part of the Collateral as directed by the Administrative Agent and make it available to the Administrative Agent at a place to be designated by the Administrative Agent that is reasonably convenient to both parties;</w:t>
      </w:r>
    </w:p>
    <w:p>
      <w:pPr>
        <w:spacing w:after="0" w:line="72" w:lineRule="exact"/>
        <w:rPr>
          <w:rFonts w:ascii="Arial" w:cs="Arial" w:eastAsia="Arial" w:hAnsi="Arial"/>
          <w:sz w:val="16"/>
          <w:szCs w:val="16"/>
          <w:color w:val="auto"/>
        </w:rPr>
      </w:pPr>
    </w:p>
    <w:p>
      <w:pPr>
        <w:ind w:left="1780" w:hanging="278"/>
        <w:spacing w:after="0"/>
        <w:tabs>
          <w:tab w:leader="none" w:pos="1780" w:val="left"/>
        </w:tabs>
        <w:numPr>
          <w:ilvl w:val="1"/>
          <w:numId w:val="239"/>
        </w:numPr>
        <w:rPr>
          <w:rFonts w:ascii="Arial" w:cs="Arial" w:eastAsia="Arial" w:hAnsi="Arial"/>
          <w:sz w:val="16"/>
          <w:szCs w:val="16"/>
          <w:color w:val="auto"/>
        </w:rPr>
      </w:pPr>
      <w:r>
        <w:rPr>
          <w:rFonts w:ascii="Arial" w:cs="Arial" w:eastAsia="Arial" w:hAnsi="Arial"/>
          <w:sz w:val="16"/>
          <w:szCs w:val="16"/>
          <w:color w:val="auto"/>
        </w:rPr>
        <w:t>enter onto the property where any Collateral is located and take possession thereof without demand and without legal process;</w:t>
      </w:r>
    </w:p>
    <w:p>
      <w:pPr>
        <w:spacing w:after="0" w:line="97" w:lineRule="exact"/>
        <w:rPr>
          <w:rFonts w:ascii="Arial" w:cs="Arial" w:eastAsia="Arial" w:hAnsi="Arial"/>
          <w:sz w:val="16"/>
          <w:szCs w:val="16"/>
          <w:color w:val="auto"/>
        </w:rPr>
      </w:pPr>
    </w:p>
    <w:p>
      <w:pPr>
        <w:ind w:left="1760" w:hanging="258"/>
        <w:spacing w:after="0"/>
        <w:tabs>
          <w:tab w:leader="none" w:pos="1760" w:val="left"/>
        </w:tabs>
        <w:numPr>
          <w:ilvl w:val="1"/>
          <w:numId w:val="239"/>
        </w:numPr>
        <w:rPr>
          <w:rFonts w:ascii="Arial" w:cs="Arial" w:eastAsia="Arial" w:hAnsi="Arial"/>
          <w:sz w:val="16"/>
          <w:szCs w:val="16"/>
          <w:color w:val="auto"/>
        </w:rPr>
      </w:pPr>
      <w:r>
        <w:rPr>
          <w:rFonts w:ascii="Arial" w:cs="Arial" w:eastAsia="Arial" w:hAnsi="Arial"/>
          <w:sz w:val="16"/>
          <w:szCs w:val="16"/>
          <w:color w:val="auto"/>
        </w:rPr>
        <w:t>deliver any notice of exclusive control under any Control Agreement; and</w:t>
      </w:r>
    </w:p>
    <w:p>
      <w:pPr>
        <w:spacing w:after="0" w:line="97" w:lineRule="exact"/>
        <w:rPr>
          <w:rFonts w:ascii="Arial" w:cs="Arial" w:eastAsia="Arial" w:hAnsi="Arial"/>
          <w:sz w:val="16"/>
          <w:szCs w:val="16"/>
          <w:color w:val="auto"/>
        </w:rPr>
      </w:pPr>
    </w:p>
    <w:p>
      <w:pPr>
        <w:jc w:val="both"/>
        <w:ind w:left="1040" w:firstLine="462"/>
        <w:spacing w:after="0" w:line="266" w:lineRule="auto"/>
        <w:tabs>
          <w:tab w:leader="none" w:pos="1742" w:val="left"/>
        </w:tabs>
        <w:numPr>
          <w:ilvl w:val="1"/>
          <w:numId w:val="239"/>
        </w:numPr>
        <w:rPr>
          <w:rFonts w:ascii="Arial" w:cs="Arial" w:eastAsia="Arial" w:hAnsi="Arial"/>
          <w:sz w:val="15"/>
          <w:szCs w:val="15"/>
          <w:color w:val="auto"/>
        </w:rPr>
      </w:pPr>
      <w:r>
        <w:rPr>
          <w:rFonts w:ascii="Arial" w:cs="Arial" w:eastAsia="Arial" w:hAnsi="Arial"/>
          <w:sz w:val="15"/>
          <w:szCs w:val="15"/>
          <w:color w:val="auto"/>
        </w:rPr>
        <w:t>without notice except as specified below, lease, license, sell or otherwise dispose of the Collateral or any part thereof in one or more parcels at public or private sale, at any of the Administrative Agent’s offices or elsewhere, for cash, on credit or for future delivery, and upon such other terms as the Administrative Agent may deem commercially reasonable. Each Grantor agrees that, to the extent notice of sale shall be required by Law, at least ten days’ prior written notice (unless an Event of Default pursuant to Section 8.01(f) of the Credit Agreement shall have occurred, in which case, no such notice shall be required) to such Grantor of the time and place of any public sale or the time after which any private sale is to be made shall constitute reasonable notification. The Administrative Agent shall not be obligated to make any sale of Collateral regardless of notice of sale having been given. The Administrative Agent may adjourn any public or private sale from time to time by announcement at the time and place fixed therefor, and such sale may, without further notice, be made at the time and place to which it was so adjourned.</w:t>
      </w:r>
    </w:p>
    <w:p>
      <w:pPr>
        <w:spacing w:after="0" w:line="64" w:lineRule="exact"/>
        <w:rPr>
          <w:rFonts w:ascii="Arial" w:cs="Arial" w:eastAsia="Arial" w:hAnsi="Arial"/>
          <w:sz w:val="15"/>
          <w:szCs w:val="15"/>
          <w:color w:val="auto"/>
        </w:rPr>
      </w:pPr>
    </w:p>
    <w:p>
      <w:pPr>
        <w:ind w:left="520" w:right="20" w:firstLine="488"/>
        <w:spacing w:after="0" w:line="264" w:lineRule="auto"/>
        <w:tabs>
          <w:tab w:leader="none" w:pos="1243" w:val="left"/>
        </w:tabs>
        <w:numPr>
          <w:ilvl w:val="0"/>
          <w:numId w:val="240"/>
        </w:numPr>
        <w:rPr>
          <w:rFonts w:ascii="Arial" w:cs="Arial" w:eastAsia="Arial" w:hAnsi="Arial"/>
          <w:sz w:val="16"/>
          <w:szCs w:val="16"/>
          <w:color w:val="auto"/>
        </w:rPr>
      </w:pPr>
      <w:r>
        <w:rPr>
          <w:rFonts w:ascii="Arial" w:cs="Arial" w:eastAsia="Arial" w:hAnsi="Arial"/>
          <w:sz w:val="16"/>
          <w:szCs w:val="16"/>
          <w:color w:val="auto"/>
        </w:rPr>
        <w:t>All cash Proceeds received by the Administrative Agent in respect of any sale of, collection from, or other realization upon, all or any part of the Collateral shall be applied by the Administrative Agent against, all or any part of the Obligations as set forth in Section 8.03 of the Credit Agreement.</w:t>
      </w:r>
    </w:p>
    <w:p>
      <w:pPr>
        <w:spacing w:after="0" w:line="64" w:lineRule="exact"/>
        <w:rPr>
          <w:rFonts w:ascii="Arial" w:cs="Arial" w:eastAsia="Arial" w:hAnsi="Arial"/>
          <w:sz w:val="16"/>
          <w:szCs w:val="16"/>
          <w:color w:val="auto"/>
        </w:rPr>
      </w:pPr>
    </w:p>
    <w:p>
      <w:pPr>
        <w:ind w:left="1220" w:hanging="212"/>
        <w:spacing w:after="0"/>
        <w:tabs>
          <w:tab w:leader="none" w:pos="122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The Administrative Agent may:</w:t>
      </w:r>
    </w:p>
    <w:p>
      <w:pPr>
        <w:spacing w:after="0" w:line="97" w:lineRule="exact"/>
        <w:rPr>
          <w:rFonts w:ascii="Arial" w:cs="Arial" w:eastAsia="Arial" w:hAnsi="Arial"/>
          <w:sz w:val="16"/>
          <w:szCs w:val="16"/>
          <w:color w:val="auto"/>
        </w:rPr>
      </w:pPr>
    </w:p>
    <w:p>
      <w:pPr>
        <w:ind w:left="1040" w:right="20" w:firstLine="462"/>
        <w:spacing w:after="0" w:line="264" w:lineRule="auto"/>
        <w:tabs>
          <w:tab w:leader="none" w:pos="1702" w:val="left"/>
        </w:tabs>
        <w:numPr>
          <w:ilvl w:val="1"/>
          <w:numId w:val="240"/>
        </w:numPr>
        <w:rPr>
          <w:rFonts w:ascii="Arial" w:cs="Arial" w:eastAsia="Arial" w:hAnsi="Arial"/>
          <w:sz w:val="16"/>
          <w:szCs w:val="16"/>
          <w:color w:val="auto"/>
        </w:rPr>
      </w:pPr>
      <w:r>
        <w:rPr>
          <w:rFonts w:ascii="Arial" w:cs="Arial" w:eastAsia="Arial" w:hAnsi="Arial"/>
          <w:sz w:val="16"/>
          <w:szCs w:val="16"/>
          <w:color w:val="auto"/>
        </w:rPr>
        <w:t>transfer all or any part of the Collateral into the name of the Administrative Agent or its nominee, with or without disclosing that such Collateral is subject to the Lien hereunder;</w:t>
      </w:r>
    </w:p>
    <w:p>
      <w:pPr>
        <w:spacing w:after="0" w:line="64" w:lineRule="exact"/>
        <w:rPr>
          <w:rFonts w:ascii="Arial" w:cs="Arial" w:eastAsia="Arial" w:hAnsi="Arial"/>
          <w:sz w:val="16"/>
          <w:szCs w:val="16"/>
          <w:color w:val="auto"/>
        </w:rPr>
      </w:pPr>
    </w:p>
    <w:p>
      <w:pPr>
        <w:ind w:left="1740" w:hanging="238"/>
        <w:spacing w:after="0"/>
        <w:tabs>
          <w:tab w:leader="none" w:pos="1740" w:val="left"/>
        </w:tabs>
        <w:numPr>
          <w:ilvl w:val="1"/>
          <w:numId w:val="240"/>
        </w:numPr>
        <w:rPr>
          <w:rFonts w:ascii="Arial" w:cs="Arial" w:eastAsia="Arial" w:hAnsi="Arial"/>
          <w:sz w:val="15"/>
          <w:szCs w:val="15"/>
          <w:color w:val="auto"/>
        </w:rPr>
      </w:pPr>
      <w:r>
        <w:rPr>
          <w:rFonts w:ascii="Arial" w:cs="Arial" w:eastAsia="Arial" w:hAnsi="Arial"/>
          <w:sz w:val="15"/>
          <w:szCs w:val="15"/>
          <w:color w:val="auto"/>
        </w:rPr>
        <w:t>notify the parties obligated on any of the Collateral to make payment to the Administrative Agent of any amount due or to become due thereunder;</w:t>
      </w:r>
    </w:p>
    <w:p>
      <w:pPr>
        <w:spacing w:after="0" w:line="108" w:lineRule="exact"/>
        <w:rPr>
          <w:rFonts w:ascii="Arial" w:cs="Arial" w:eastAsia="Arial" w:hAnsi="Arial"/>
          <w:sz w:val="15"/>
          <w:szCs w:val="15"/>
          <w:color w:val="auto"/>
        </w:rPr>
      </w:pPr>
    </w:p>
    <w:p>
      <w:pPr>
        <w:ind w:left="1780" w:hanging="278"/>
        <w:spacing w:after="0"/>
        <w:tabs>
          <w:tab w:leader="none" w:pos="1780" w:val="left"/>
        </w:tabs>
        <w:numPr>
          <w:ilvl w:val="1"/>
          <w:numId w:val="240"/>
        </w:numPr>
        <w:rPr>
          <w:rFonts w:ascii="Arial" w:cs="Arial" w:eastAsia="Arial" w:hAnsi="Arial"/>
          <w:sz w:val="16"/>
          <w:szCs w:val="16"/>
          <w:color w:val="auto"/>
        </w:rPr>
      </w:pPr>
      <w:r>
        <w:rPr>
          <w:rFonts w:ascii="Arial" w:cs="Arial" w:eastAsia="Arial" w:hAnsi="Arial"/>
          <w:sz w:val="16"/>
          <w:szCs w:val="16"/>
          <w:color w:val="auto"/>
        </w:rPr>
        <w:t>withdraw, or cause or direct the withdrawal, of all funds with respect to the Collateral Account;</w:t>
      </w:r>
    </w:p>
    <w:p>
      <w:pPr>
        <w:spacing w:after="0" w:line="97" w:lineRule="exact"/>
        <w:rPr>
          <w:rFonts w:ascii="Arial" w:cs="Arial" w:eastAsia="Arial" w:hAnsi="Arial"/>
          <w:sz w:val="16"/>
          <w:szCs w:val="16"/>
          <w:color w:val="auto"/>
        </w:rPr>
      </w:pPr>
    </w:p>
    <w:p>
      <w:pPr>
        <w:ind w:left="1040" w:right="20" w:firstLine="462"/>
        <w:spacing w:after="0" w:line="298" w:lineRule="auto"/>
        <w:tabs>
          <w:tab w:leader="none" w:pos="1789" w:val="left"/>
        </w:tabs>
        <w:numPr>
          <w:ilvl w:val="1"/>
          <w:numId w:val="240"/>
        </w:numPr>
        <w:rPr>
          <w:rFonts w:ascii="Arial" w:cs="Arial" w:eastAsia="Arial" w:hAnsi="Arial"/>
          <w:sz w:val="15"/>
          <w:szCs w:val="15"/>
          <w:color w:val="auto"/>
        </w:rPr>
      </w:pPr>
      <w:r>
        <w:rPr>
          <w:rFonts w:ascii="Arial" w:cs="Arial" w:eastAsia="Arial" w:hAnsi="Arial"/>
          <w:sz w:val="15"/>
          <w:szCs w:val="15"/>
          <w:color w:val="auto"/>
        </w:rPr>
        <w:t>enforce collection of any of the Collateral by suit or otherwise, and surrender, release or exchange all or any part thereof, or compromise or extend or renew for any period (whether or not longer than the original period) any obligations of any nature of any party with respect thereto;</w:t>
      </w:r>
    </w:p>
    <w:p>
      <w:pPr>
        <w:spacing w:after="0" w:line="40" w:lineRule="exact"/>
        <w:rPr>
          <w:rFonts w:ascii="Arial" w:cs="Arial" w:eastAsia="Arial" w:hAnsi="Arial"/>
          <w:sz w:val="15"/>
          <w:szCs w:val="15"/>
          <w:color w:val="auto"/>
        </w:rPr>
      </w:pPr>
    </w:p>
    <w:p>
      <w:pPr>
        <w:ind w:left="1720" w:hanging="218"/>
        <w:spacing w:after="0"/>
        <w:tabs>
          <w:tab w:leader="none" w:pos="1720" w:val="left"/>
        </w:tabs>
        <w:numPr>
          <w:ilvl w:val="1"/>
          <w:numId w:val="240"/>
        </w:numPr>
        <w:rPr>
          <w:rFonts w:ascii="Arial" w:cs="Arial" w:eastAsia="Arial" w:hAnsi="Arial"/>
          <w:sz w:val="16"/>
          <w:szCs w:val="16"/>
          <w:color w:val="auto"/>
        </w:rPr>
      </w:pPr>
      <w:r>
        <w:rPr>
          <w:rFonts w:ascii="Arial" w:cs="Arial" w:eastAsia="Arial" w:hAnsi="Arial"/>
          <w:sz w:val="16"/>
          <w:szCs w:val="16"/>
          <w:color w:val="auto"/>
        </w:rPr>
        <w:t>endorse any checks, drafts, or other writings in any Grantor’s name to allow collection of the Collateral;</w:t>
      </w:r>
    </w:p>
    <w:p>
      <w:pPr>
        <w:spacing w:after="0" w:line="97" w:lineRule="exact"/>
        <w:rPr>
          <w:rFonts w:ascii="Arial" w:cs="Arial" w:eastAsia="Arial" w:hAnsi="Arial"/>
          <w:sz w:val="16"/>
          <w:szCs w:val="16"/>
          <w:color w:val="auto"/>
        </w:rPr>
      </w:pPr>
    </w:p>
    <w:p>
      <w:pPr>
        <w:ind w:left="1760" w:hanging="258"/>
        <w:spacing w:after="0"/>
        <w:tabs>
          <w:tab w:leader="none" w:pos="1760" w:val="left"/>
        </w:tabs>
        <w:numPr>
          <w:ilvl w:val="1"/>
          <w:numId w:val="240"/>
        </w:numPr>
        <w:rPr>
          <w:rFonts w:ascii="Arial" w:cs="Arial" w:eastAsia="Arial" w:hAnsi="Arial"/>
          <w:sz w:val="16"/>
          <w:szCs w:val="16"/>
          <w:color w:val="auto"/>
        </w:rPr>
      </w:pPr>
      <w:r>
        <w:rPr>
          <w:rFonts w:ascii="Arial" w:cs="Arial" w:eastAsia="Arial" w:hAnsi="Arial"/>
          <w:sz w:val="16"/>
          <w:szCs w:val="16"/>
          <w:color w:val="auto"/>
        </w:rPr>
        <w:t>take control of any Proceeds of the Collateral; and</w:t>
      </w:r>
    </w:p>
    <w:p>
      <w:pPr>
        <w:spacing w:after="0" w:line="97" w:lineRule="exact"/>
        <w:rPr>
          <w:rFonts w:ascii="Arial" w:cs="Arial" w:eastAsia="Arial" w:hAnsi="Arial"/>
          <w:sz w:val="16"/>
          <w:szCs w:val="16"/>
          <w:color w:val="auto"/>
        </w:rPr>
      </w:pPr>
    </w:p>
    <w:p>
      <w:pPr>
        <w:ind w:left="1040" w:firstLine="462"/>
        <w:spacing w:after="0" w:line="264" w:lineRule="auto"/>
        <w:tabs>
          <w:tab w:leader="none" w:pos="1834" w:val="left"/>
        </w:tabs>
        <w:numPr>
          <w:ilvl w:val="1"/>
          <w:numId w:val="240"/>
        </w:numPr>
        <w:rPr>
          <w:rFonts w:ascii="Arial" w:cs="Arial" w:eastAsia="Arial" w:hAnsi="Arial"/>
          <w:sz w:val="16"/>
          <w:szCs w:val="16"/>
          <w:color w:val="auto"/>
        </w:rPr>
      </w:pPr>
      <w:r>
        <w:rPr>
          <w:rFonts w:ascii="Arial" w:cs="Arial" w:eastAsia="Arial" w:hAnsi="Arial"/>
          <w:sz w:val="16"/>
          <w:szCs w:val="16"/>
          <w:color w:val="auto"/>
        </w:rPr>
        <w:t>execute (in the name, place and stead of any Grantor) endorsements, assignments, stock powers and other instruments of conveyance or transfer with respect to all or any of the Collateral.</w:t>
      </w:r>
    </w:p>
    <w:p>
      <w:pPr>
        <w:spacing w:after="0" w:line="64" w:lineRule="exact"/>
        <w:rPr>
          <w:rFonts w:ascii="Arial" w:cs="Arial" w:eastAsia="Arial" w:hAnsi="Arial"/>
          <w:sz w:val="16"/>
          <w:szCs w:val="16"/>
          <w:color w:val="auto"/>
        </w:rPr>
      </w:pPr>
    </w:p>
    <w:p>
      <w:pPr>
        <w:ind w:left="1220" w:hanging="212"/>
        <w:spacing w:after="0"/>
        <w:tabs>
          <w:tab w:leader="none" w:pos="122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Without limiting the foregoing, in respect of the Intellectual Property Collateral:</w:t>
      </w:r>
    </w:p>
    <w:p>
      <w:pPr>
        <w:spacing w:after="0" w:line="97" w:lineRule="exact"/>
        <w:rPr>
          <w:rFonts w:ascii="Arial" w:cs="Arial" w:eastAsia="Arial" w:hAnsi="Arial"/>
          <w:sz w:val="16"/>
          <w:szCs w:val="16"/>
          <w:color w:val="auto"/>
        </w:rPr>
      </w:pPr>
    </w:p>
    <w:p>
      <w:pPr>
        <w:jc w:val="both"/>
        <w:ind w:left="1040" w:firstLine="462"/>
        <w:spacing w:after="0" w:line="254" w:lineRule="auto"/>
        <w:tabs>
          <w:tab w:leader="none" w:pos="1714" w:val="left"/>
        </w:tabs>
        <w:numPr>
          <w:ilvl w:val="1"/>
          <w:numId w:val="240"/>
        </w:numPr>
        <w:rPr>
          <w:rFonts w:ascii="Arial" w:cs="Arial" w:eastAsia="Arial" w:hAnsi="Arial"/>
          <w:sz w:val="16"/>
          <w:szCs w:val="16"/>
          <w:color w:val="auto"/>
        </w:rPr>
      </w:pPr>
      <w:r>
        <w:rPr>
          <w:rFonts w:ascii="Arial" w:cs="Arial" w:eastAsia="Arial" w:hAnsi="Arial"/>
          <w:sz w:val="16"/>
          <w:szCs w:val="16"/>
          <w:color w:val="auto"/>
        </w:rPr>
        <w:t>upon the request of the Administrative Agent, each Grantor shall execute and deliver to the Administrative Agent an assignment or assignments of the Intellectual Property Collateral, subject (in the case of any licenses thereunder) to any valid and enforceable requirements to obtain consents from any third parties, and such other documents as are necessary or appropriate to carry out the intent and purposes hereof;</w:t>
      </w:r>
    </w:p>
    <w:p>
      <w:pPr>
        <w:spacing w:after="0" w:line="72" w:lineRule="exact"/>
        <w:rPr>
          <w:rFonts w:ascii="Arial" w:cs="Arial" w:eastAsia="Arial" w:hAnsi="Arial"/>
          <w:sz w:val="16"/>
          <w:szCs w:val="16"/>
          <w:color w:val="auto"/>
        </w:rPr>
      </w:pPr>
    </w:p>
    <w:p>
      <w:pPr>
        <w:jc w:val="both"/>
        <w:ind w:left="1040" w:firstLine="462"/>
        <w:spacing w:after="0" w:line="251" w:lineRule="auto"/>
        <w:tabs>
          <w:tab w:leader="none" w:pos="1744" w:val="left"/>
        </w:tabs>
        <w:numPr>
          <w:ilvl w:val="1"/>
          <w:numId w:val="240"/>
        </w:numPr>
        <w:rPr>
          <w:rFonts w:ascii="Arial" w:cs="Arial" w:eastAsia="Arial" w:hAnsi="Arial"/>
          <w:sz w:val="16"/>
          <w:szCs w:val="16"/>
          <w:color w:val="auto"/>
        </w:rPr>
      </w:pPr>
      <w:r>
        <w:rPr>
          <w:rFonts w:ascii="Arial" w:cs="Arial" w:eastAsia="Arial" w:hAnsi="Arial"/>
          <w:sz w:val="16"/>
          <w:szCs w:val="16"/>
          <w:color w:val="auto"/>
        </w:rPr>
        <w:t>each Grantor agrees that the Administrative Agent may file applications and maintain registrations for the protection of the Intellectual Property Collateral and/or bring suit in the name of such Grantor, the Administrative Agent or any Secured Party to enforce the Intellectual Property Collateral and any licenses thereunder and, upon the request of the Administrative Agent, each Grantor shall use all commercially reasonable efforts to assist with such filing or enforcement (including the execution of relevant documents); and</w:t>
      </w:r>
    </w:p>
    <w:p>
      <w:pPr>
        <w:spacing w:after="0" w:line="74" w:lineRule="exact"/>
        <w:rPr>
          <w:rFonts w:ascii="Arial" w:cs="Arial" w:eastAsia="Arial" w:hAnsi="Arial"/>
          <w:sz w:val="16"/>
          <w:szCs w:val="16"/>
          <w:color w:val="auto"/>
        </w:rPr>
      </w:pPr>
    </w:p>
    <w:p>
      <w:pPr>
        <w:jc w:val="both"/>
        <w:ind w:left="1040" w:firstLine="462"/>
        <w:spacing w:after="0" w:line="279" w:lineRule="auto"/>
        <w:tabs>
          <w:tab w:leader="none" w:pos="1789" w:val="left"/>
        </w:tabs>
        <w:numPr>
          <w:ilvl w:val="1"/>
          <w:numId w:val="240"/>
        </w:numPr>
        <w:rPr>
          <w:rFonts w:ascii="Arial" w:cs="Arial" w:eastAsia="Arial" w:hAnsi="Arial"/>
          <w:sz w:val="15"/>
          <w:szCs w:val="15"/>
          <w:color w:val="auto"/>
        </w:rPr>
      </w:pPr>
      <w:r>
        <w:rPr>
          <w:rFonts w:ascii="Arial" w:cs="Arial" w:eastAsia="Arial" w:hAnsi="Arial"/>
          <w:sz w:val="15"/>
          <w:szCs w:val="15"/>
          <w:color w:val="auto"/>
        </w:rPr>
        <w:t xml:space="preserve">in the event that the Administrative Agent elects not to make any filing or bring any suit as set forth in </w:t>
      </w:r>
      <w:r>
        <w:rPr>
          <w:rFonts w:ascii="Arial" w:cs="Arial" w:eastAsia="Arial" w:hAnsi="Arial"/>
          <w:sz w:val="15"/>
          <w:szCs w:val="15"/>
          <w:u w:val="single" w:color="auto"/>
          <w:color w:val="auto"/>
        </w:rPr>
        <w:t>clause (ii)</w:t>
      </w:r>
      <w:r>
        <w:rPr>
          <w:rFonts w:ascii="Arial" w:cs="Arial" w:eastAsia="Arial" w:hAnsi="Arial"/>
          <w:sz w:val="15"/>
          <w:szCs w:val="15"/>
          <w:color w:val="auto"/>
        </w:rPr>
        <w:t>, each Grantor shall, upon the request of Administrative Agent, use all commercially reasonable efforts, whether through making appropriate filings or bringing suit or otherwise, to protect, enforce and prevent the infringement, misappropriation, dilution, unauthorized use or other violation of the Intellectual Property Collateral.</w:t>
      </w:r>
    </w:p>
    <w:p>
      <w:pPr>
        <w:spacing w:after="0" w:line="149" w:lineRule="exact"/>
        <w:rPr>
          <w:sz w:val="20"/>
          <w:szCs w:val="20"/>
          <w:color w:val="auto"/>
        </w:rPr>
      </w:pPr>
    </w:p>
    <w:p>
      <w:pPr>
        <w:jc w:val="both"/>
        <w:ind w:right="20" w:firstLine="519"/>
        <w:spacing w:after="0" w:line="254" w:lineRule="auto"/>
        <w:rPr>
          <w:sz w:val="20"/>
          <w:szCs w:val="20"/>
          <w:color w:val="auto"/>
        </w:rPr>
      </w:pPr>
      <w:r>
        <w:rPr>
          <w:rFonts w:ascii="Arial" w:cs="Arial" w:eastAsia="Arial" w:hAnsi="Arial"/>
          <w:sz w:val="16"/>
          <w:szCs w:val="16"/>
          <w:color w:val="auto"/>
        </w:rPr>
        <w:t xml:space="preserve">Notwithstanding the foregoing provisions of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for the purposes of this </w:t>
      </w:r>
      <w:r>
        <w:rPr>
          <w:rFonts w:ascii="Arial" w:cs="Arial" w:eastAsia="Arial" w:hAnsi="Arial"/>
          <w:sz w:val="16"/>
          <w:szCs w:val="16"/>
          <w:u w:val="single" w:color="auto"/>
          <w:color w:val="auto"/>
        </w:rPr>
        <w:t>Section 6.1</w:t>
      </w:r>
      <w:r>
        <w:rPr>
          <w:rFonts w:ascii="Arial" w:cs="Arial" w:eastAsia="Arial" w:hAnsi="Arial"/>
          <w:sz w:val="16"/>
          <w:szCs w:val="16"/>
          <w:color w:val="auto"/>
        </w:rPr>
        <w:t>, “Collateral” and “Intellectual Property Collateral” shall include any “intent to use” trademark application only to the extent (i) that the business of such Grantor, or portion thereof, to which that mark pertains is also included in the Collateral and (ii) that such business is ongoing and existing.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40"/>
          </w:cols>
          <w:pgMar w:left="240" w:top="432" w:right="219" w:bottom="1440" w:gutter="0" w:footer="0" w:header="0"/>
        </w:sectPr>
      </w:pPr>
    </w:p>
    <w:bookmarkStart w:id="198" w:name="page199"/>
    <w:bookmarkEnd w:id="198"/>
    <w:p>
      <w:pPr>
        <w:ind w:left="520"/>
        <w:spacing w:after="0"/>
        <w:rPr>
          <w:sz w:val="20"/>
          <w:szCs w:val="20"/>
          <w:color w:val="auto"/>
        </w:rPr>
      </w:pPr>
      <w:r>
        <w:rPr>
          <w:rFonts w:ascii="Arial" w:cs="Arial" w:eastAsia="Arial" w:hAnsi="Arial"/>
          <w:sz w:val="15"/>
          <w:szCs w:val="15"/>
          <w:b w:val="1"/>
          <w:bCs w:val="1"/>
          <w:color w:val="auto"/>
        </w:rPr>
        <w:t xml:space="preserve">SECTION 6.2. </w:t>
      </w:r>
      <w:r>
        <w:rPr>
          <w:rFonts w:ascii="Arial" w:cs="Arial" w:eastAsia="Arial" w:hAnsi="Arial"/>
          <w:sz w:val="15"/>
          <w:szCs w:val="15"/>
          <w:b w:val="1"/>
          <w:bCs w:val="1"/>
          <w:u w:val="single" w:color="auto"/>
          <w:color w:val="auto"/>
        </w:rPr>
        <w:t>Securities Laws</w:t>
      </w:r>
      <w:r>
        <w:rPr>
          <w:rFonts w:ascii="Arial" w:cs="Arial" w:eastAsia="Arial" w:hAnsi="Arial"/>
          <w:sz w:val="15"/>
          <w:szCs w:val="15"/>
          <w:u w:val="single" w:color="auto"/>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If the Administrative Agent shall determine to exercise its right to sell all or any of the Collateral that are Equity Interests pursuant to</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6.1</w:t>
      </w:r>
      <w:r>
        <w:rPr>
          <w:rFonts w:ascii="Arial" w:cs="Arial" w:eastAsia="Arial" w:hAnsi="Arial"/>
          <w:sz w:val="16"/>
          <w:szCs w:val="16"/>
          <w:color w:val="auto"/>
        </w:rPr>
        <w:t>, each Grantor agrees that, upon request of the Administrative Agent, each Grantor will, at its own expense:</w:t>
      </w:r>
    </w:p>
    <w:p>
      <w:pPr>
        <w:spacing w:after="0" w:line="86" w:lineRule="exact"/>
        <w:rPr>
          <w:sz w:val="20"/>
          <w:szCs w:val="20"/>
          <w:color w:val="auto"/>
        </w:rPr>
      </w:pPr>
    </w:p>
    <w:p>
      <w:pPr>
        <w:jc w:val="both"/>
        <w:ind w:left="520" w:firstLine="488"/>
        <w:spacing w:after="0" w:line="317" w:lineRule="auto"/>
        <w:tabs>
          <w:tab w:leader="none" w:pos="1235" w:val="left"/>
        </w:tabs>
        <w:numPr>
          <w:ilvl w:val="0"/>
          <w:numId w:val="241"/>
        </w:numPr>
        <w:rPr>
          <w:rFonts w:ascii="Arial" w:cs="Arial" w:eastAsia="Arial" w:hAnsi="Arial"/>
          <w:sz w:val="13"/>
          <w:szCs w:val="13"/>
          <w:color w:val="auto"/>
        </w:rPr>
      </w:pPr>
      <w:r>
        <w:rPr>
          <w:rFonts w:ascii="Arial" w:cs="Arial" w:eastAsia="Arial" w:hAnsi="Arial"/>
          <w:sz w:val="13"/>
          <w:szCs w:val="13"/>
          <w:color w:val="auto"/>
        </w:rPr>
        <w:t>execute and deliver, and cause (or, with respect to any issuer which is not a Subsidiary of such Grantor, use its best efforts to cause) each issuer of the Collateral contemplated to be sold and the directors and officers thereof to execute and deliver, all such instruments and documents, and do or cause to be done all such other acts and things, as may be necessary or, in the opinion of the Administrative Agent, advisable to register such Collateral under the provisions of the Securities Act of 1933, as from time to time amended (the “</w:t>
      </w:r>
      <w:r>
        <w:rPr>
          <w:rFonts w:ascii="Arial" w:cs="Arial" w:eastAsia="Arial" w:hAnsi="Arial"/>
          <w:sz w:val="13"/>
          <w:szCs w:val="13"/>
          <w:u w:val="single" w:color="auto"/>
          <w:color w:val="auto"/>
        </w:rPr>
        <w:t>Securities Act</w:t>
      </w:r>
      <w:r>
        <w:rPr>
          <w:rFonts w:ascii="Arial" w:cs="Arial" w:eastAsia="Arial" w:hAnsi="Arial"/>
          <w:sz w:val="13"/>
          <w:szCs w:val="13"/>
          <w:color w:val="auto"/>
        </w:rPr>
        <w:t>”), and cause the registration statement relating thereto to become effective and to remain effective for such period as prospectuses are required by Law to be furnished, and to make all amendments and supplements thereto and to the related prospectus which, in the opinion of the Administrative Agent, are necessary or advisable, all in conformity with the requirements of the Securities Act and the rules and regulations of the SEC applicable thereto;</w:t>
      </w:r>
    </w:p>
    <w:p>
      <w:pPr>
        <w:spacing w:after="0" w:line="34" w:lineRule="exact"/>
        <w:rPr>
          <w:rFonts w:ascii="Arial" w:cs="Arial" w:eastAsia="Arial" w:hAnsi="Arial"/>
          <w:sz w:val="13"/>
          <w:szCs w:val="13"/>
          <w:color w:val="auto"/>
        </w:rPr>
      </w:pPr>
    </w:p>
    <w:p>
      <w:pPr>
        <w:ind w:left="520" w:firstLine="488"/>
        <w:spacing w:after="0" w:line="264" w:lineRule="auto"/>
        <w:tabs>
          <w:tab w:leader="none" w:pos="1249" w:val="left"/>
        </w:tabs>
        <w:numPr>
          <w:ilvl w:val="0"/>
          <w:numId w:val="241"/>
        </w:numPr>
        <w:rPr>
          <w:rFonts w:ascii="Arial" w:cs="Arial" w:eastAsia="Arial" w:hAnsi="Arial"/>
          <w:sz w:val="16"/>
          <w:szCs w:val="16"/>
          <w:color w:val="auto"/>
        </w:rPr>
      </w:pPr>
      <w:r>
        <w:rPr>
          <w:rFonts w:ascii="Arial" w:cs="Arial" w:eastAsia="Arial" w:hAnsi="Arial"/>
          <w:sz w:val="16"/>
          <w:szCs w:val="16"/>
          <w:color w:val="auto"/>
        </w:rPr>
        <w:t>use its best efforts to exempt the Collateral under the state securities or “Blue Sky” laws and to obtain all necessary governmental approvals for the sale of the Collateral, as requested by the Administrative Agent;</w:t>
      </w:r>
    </w:p>
    <w:p>
      <w:pPr>
        <w:spacing w:after="0" w:line="64" w:lineRule="exact"/>
        <w:rPr>
          <w:rFonts w:ascii="Arial" w:cs="Arial" w:eastAsia="Arial" w:hAnsi="Arial"/>
          <w:sz w:val="16"/>
          <w:szCs w:val="16"/>
          <w:color w:val="auto"/>
        </w:rPr>
      </w:pPr>
    </w:p>
    <w:p>
      <w:pPr>
        <w:ind w:left="520" w:right="20" w:firstLine="488"/>
        <w:spacing w:after="0" w:line="264" w:lineRule="auto"/>
        <w:tabs>
          <w:tab w:leader="none" w:pos="123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cause (or, with respect to any issuer that is not a Subsidiary of such Grantor, use its best efforts to cause) each such issuer to make available to its security holders, as soon as practicable, an earnings statement that will satisfy the provisions of Section 11(a) of the Securities Act; and</w:t>
      </w:r>
    </w:p>
    <w:p>
      <w:pPr>
        <w:spacing w:after="0" w:line="64" w:lineRule="exact"/>
        <w:rPr>
          <w:rFonts w:ascii="Arial" w:cs="Arial" w:eastAsia="Arial" w:hAnsi="Arial"/>
          <w:sz w:val="16"/>
          <w:szCs w:val="16"/>
          <w:color w:val="auto"/>
        </w:rPr>
      </w:pPr>
    </w:p>
    <w:p>
      <w:pPr>
        <w:ind w:left="520" w:right="20" w:firstLine="488"/>
        <w:spacing w:after="0" w:line="264" w:lineRule="auto"/>
        <w:tabs>
          <w:tab w:leader="none" w:pos="1258" w:val="left"/>
        </w:tabs>
        <w:numPr>
          <w:ilvl w:val="0"/>
          <w:numId w:val="241"/>
        </w:numPr>
        <w:rPr>
          <w:rFonts w:ascii="Arial" w:cs="Arial" w:eastAsia="Arial" w:hAnsi="Arial"/>
          <w:sz w:val="16"/>
          <w:szCs w:val="16"/>
          <w:color w:val="auto"/>
        </w:rPr>
      </w:pPr>
      <w:r>
        <w:rPr>
          <w:rFonts w:ascii="Arial" w:cs="Arial" w:eastAsia="Arial" w:hAnsi="Arial"/>
          <w:sz w:val="16"/>
          <w:szCs w:val="16"/>
          <w:color w:val="auto"/>
        </w:rPr>
        <w:t>do or cause to be done all such other acts and things as may be necessary to make such sale of the Collateral or any part thereof valid and binding and in compliance with applicable Law.</w:t>
      </w:r>
    </w:p>
    <w:p>
      <w:pPr>
        <w:spacing w:after="0" w:line="158" w:lineRule="exact"/>
        <w:rPr>
          <w:sz w:val="20"/>
          <w:szCs w:val="20"/>
          <w:color w:val="auto"/>
        </w:rPr>
      </w:pPr>
    </w:p>
    <w:p>
      <w:pPr>
        <w:jc w:val="both"/>
        <w:ind w:firstLine="519"/>
        <w:spacing w:after="0" w:line="251" w:lineRule="auto"/>
        <w:rPr>
          <w:sz w:val="20"/>
          <w:szCs w:val="20"/>
          <w:color w:val="auto"/>
        </w:rPr>
      </w:pPr>
      <w:r>
        <w:rPr>
          <w:rFonts w:ascii="Arial" w:cs="Arial" w:eastAsia="Arial" w:hAnsi="Arial"/>
          <w:sz w:val="16"/>
          <w:szCs w:val="16"/>
          <w:color w:val="auto"/>
        </w:rPr>
        <w:t>Each Grantor acknowledges the impossibility of ascertaining the amount of damages that would be suffered by the Administrative Agent or the Secured Parties by reason of the failure by such Grantor to perform any of the covenants contained in this Section and consequently agrees that, if such Grantor shall fail to perform any of such covenants, it shall pay, as liquidated damages and not as a penalty, an amount equal to the value (as reasonably determined by the Administrative Agent) of such Collateral on the date the Administrative Agent shall demand compliance with this Section.</w:t>
      </w:r>
    </w:p>
    <w:p>
      <w:pPr>
        <w:spacing w:after="0" w:line="164" w:lineRule="exact"/>
        <w:rPr>
          <w:sz w:val="20"/>
          <w:szCs w:val="20"/>
          <w:color w:val="auto"/>
        </w:rPr>
      </w:pPr>
    </w:p>
    <w:p>
      <w:pPr>
        <w:jc w:val="both"/>
        <w:ind w:firstLine="519"/>
        <w:spacing w:after="0" w:line="267" w:lineRule="auto"/>
        <w:rPr>
          <w:sz w:val="20"/>
          <w:szCs w:val="20"/>
          <w:color w:val="auto"/>
        </w:rPr>
      </w:pPr>
      <w:r>
        <w:rPr>
          <w:rFonts w:ascii="Arial" w:cs="Arial" w:eastAsia="Arial" w:hAnsi="Arial"/>
          <w:sz w:val="15"/>
          <w:szCs w:val="15"/>
          <w:b w:val="1"/>
          <w:bCs w:val="1"/>
          <w:color w:val="auto"/>
        </w:rPr>
        <w:t xml:space="preserve">SECTION 6.3. </w:t>
      </w:r>
      <w:r>
        <w:rPr>
          <w:rFonts w:ascii="Arial" w:cs="Arial" w:eastAsia="Arial" w:hAnsi="Arial"/>
          <w:sz w:val="15"/>
          <w:szCs w:val="15"/>
          <w:b w:val="1"/>
          <w:bCs w:val="1"/>
          <w:u w:val="single" w:color="auto"/>
          <w:color w:val="auto"/>
        </w:rPr>
        <w:t>Compliance with Restrictions</w:t>
      </w:r>
      <w:r>
        <w:rPr>
          <w:rFonts w:ascii="Arial" w:cs="Arial" w:eastAsia="Arial" w:hAnsi="Arial"/>
          <w:sz w:val="15"/>
          <w:szCs w:val="15"/>
          <w:u w:val="single" w:color="auto"/>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Each Grantor agrees that in any sale of any of the Collateral whenever an Event of Default shall have occurred and be</w:t>
      </w:r>
      <w:r>
        <w:rPr>
          <w:rFonts w:ascii="Arial" w:cs="Arial" w:eastAsia="Arial" w:hAnsi="Arial"/>
          <w:sz w:val="15"/>
          <w:szCs w:val="15"/>
          <w:b w:val="1"/>
          <w:bCs w:val="1"/>
          <w:color w:val="auto"/>
        </w:rPr>
        <w:t xml:space="preserve"> </w:t>
      </w:r>
      <w:r>
        <w:rPr>
          <w:rFonts w:ascii="Arial" w:cs="Arial" w:eastAsia="Arial" w:hAnsi="Arial"/>
          <w:sz w:val="15"/>
          <w:szCs w:val="15"/>
          <w:color w:val="auto"/>
        </w:rPr>
        <w:t>continuing, the Administrative Agent is hereby authorized to comply with any limitation or restriction in connection with such sale as it may be advised by counsel is necessary in order to avoid any violation of applicable Law (including compliance with such procedures as may restrict the number of prospective bidders and purchasers, require that such prospective bidders and purchasers have certain qualifications, and restrict such prospective bidders and purchasers to Persons who will represent and agree that they are purchasing for their own account for investment and not with a view to the distribution or resale of such Collateral), or in order to obtain any required approval of the sale or of the purchaser by any Governmental Authority or official, and such Grantor further agrees that such compliance shall not result in such sale being considered or deemed not to have been made in a commercially reasonable manner, nor shall the Administrative Agent be liable nor accountable to such Grantor for any discount allowed by the reason of the fact that such Collateral is sold in compliance with any such limitation or restriction.</w:t>
      </w:r>
    </w:p>
    <w:p>
      <w:pPr>
        <w:spacing w:after="0" w:line="153" w:lineRule="exact"/>
        <w:rPr>
          <w:sz w:val="20"/>
          <w:szCs w:val="20"/>
          <w:color w:val="auto"/>
        </w:rPr>
      </w:pPr>
    </w:p>
    <w:p>
      <w:pPr>
        <w:jc w:val="both"/>
        <w:ind w:right="20" w:firstLine="519"/>
        <w:spacing w:after="0" w:line="322" w:lineRule="auto"/>
        <w:rPr>
          <w:sz w:val="20"/>
          <w:szCs w:val="20"/>
          <w:color w:val="auto"/>
        </w:rPr>
      </w:pPr>
      <w:r>
        <w:rPr>
          <w:rFonts w:ascii="Arial" w:cs="Arial" w:eastAsia="Arial" w:hAnsi="Arial"/>
          <w:sz w:val="13"/>
          <w:szCs w:val="13"/>
          <w:b w:val="1"/>
          <w:bCs w:val="1"/>
          <w:color w:val="auto"/>
        </w:rPr>
        <w:t xml:space="preserve">SECTION 6.4. </w:t>
      </w:r>
      <w:r>
        <w:rPr>
          <w:rFonts w:ascii="Arial" w:cs="Arial" w:eastAsia="Arial" w:hAnsi="Arial"/>
          <w:sz w:val="13"/>
          <w:szCs w:val="13"/>
          <w:b w:val="1"/>
          <w:bCs w:val="1"/>
          <w:u w:val="single" w:color="auto"/>
          <w:color w:val="auto"/>
        </w:rPr>
        <w:t>Protection of Collateral</w:t>
      </w:r>
      <w:r>
        <w:rPr>
          <w:rFonts w:ascii="Arial" w:cs="Arial" w:eastAsia="Arial" w:hAnsi="Arial"/>
          <w:sz w:val="13"/>
          <w:szCs w:val="13"/>
          <w:u w:val="single" w:color="auto"/>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The Administrative Agent may from time to time, at its option, (a) perform any act required under this Agreement or otherwise</w:t>
      </w:r>
      <w:r>
        <w:rPr>
          <w:rFonts w:ascii="Arial" w:cs="Arial" w:eastAsia="Arial" w:hAnsi="Arial"/>
          <w:sz w:val="13"/>
          <w:szCs w:val="13"/>
          <w:b w:val="1"/>
          <w:bCs w:val="1"/>
          <w:color w:val="auto"/>
        </w:rPr>
        <w:t xml:space="preserve"> </w:t>
      </w:r>
      <w:r>
        <w:rPr>
          <w:rFonts w:ascii="Arial" w:cs="Arial" w:eastAsia="Arial" w:hAnsi="Arial"/>
          <w:sz w:val="13"/>
          <w:szCs w:val="13"/>
          <w:color w:val="auto"/>
        </w:rPr>
        <w:t>necessary to carry out the intent and purpose of this Agreement which any Grantor fails to perform after being requested in writing so to perform (it being understood that no such request need be given after the occurrence and during the continuance of an Event of Default) and (b) take any other action which the Administrative Agent deems reasonably necessary for the maintenance, preservation or protection of any of the Collateral or of its security interest therein and, in each case, the expenses of the Administrative Agent incurred in connection therewith shall be payable by such Grantor pursuant to and consistent with Section 11.04 of the Credit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7.</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MISCELLANEOUS PROVISIONS</w:t>
      </w:r>
    </w:p>
    <w:p>
      <w:pPr>
        <w:spacing w:after="0" w:line="191" w:lineRule="exact"/>
        <w:rPr>
          <w:sz w:val="20"/>
          <w:szCs w:val="20"/>
          <w:color w:val="auto"/>
        </w:rPr>
      </w:pPr>
    </w:p>
    <w:p>
      <w:pPr>
        <w:jc w:val="both"/>
        <w:ind w:firstLine="519"/>
        <w:spacing w:after="0" w:line="282" w:lineRule="auto"/>
        <w:rPr>
          <w:sz w:val="20"/>
          <w:szCs w:val="20"/>
          <w:color w:val="auto"/>
        </w:rPr>
      </w:pPr>
      <w:r>
        <w:rPr>
          <w:rFonts w:ascii="Arial" w:cs="Arial" w:eastAsia="Arial" w:hAnsi="Arial"/>
          <w:sz w:val="15"/>
          <w:szCs w:val="15"/>
          <w:b w:val="1"/>
          <w:bCs w:val="1"/>
          <w:color w:val="auto"/>
        </w:rPr>
        <w:t xml:space="preserve">SECTION 7.1. </w:t>
      </w:r>
      <w:r>
        <w:rPr>
          <w:rFonts w:ascii="Arial" w:cs="Arial" w:eastAsia="Arial" w:hAnsi="Arial"/>
          <w:sz w:val="15"/>
          <w:szCs w:val="15"/>
          <w:b w:val="1"/>
          <w:bCs w:val="1"/>
          <w:u w:val="single" w:color="auto"/>
          <w:color w:val="auto"/>
        </w:rPr>
        <w:t>Loan Document</w:t>
      </w:r>
      <w:r>
        <w:rPr>
          <w:rFonts w:ascii="Arial" w:cs="Arial" w:eastAsia="Arial" w:hAnsi="Arial"/>
          <w:sz w:val="15"/>
          <w:szCs w:val="15"/>
          <w:u w:val="single" w:color="auto"/>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This Security Agreement is a Loan Document executed pursuant to the Credit Agreement and shall (unless otherwise expressly indicated</w:t>
      </w:r>
      <w:r>
        <w:rPr>
          <w:rFonts w:ascii="Arial" w:cs="Arial" w:eastAsia="Arial" w:hAnsi="Arial"/>
          <w:sz w:val="15"/>
          <w:szCs w:val="15"/>
          <w:b w:val="1"/>
          <w:bCs w:val="1"/>
          <w:color w:val="auto"/>
        </w:rPr>
        <w:t xml:space="preserve"> </w:t>
      </w:r>
      <w:r>
        <w:rPr>
          <w:rFonts w:ascii="Arial" w:cs="Arial" w:eastAsia="Arial" w:hAnsi="Arial"/>
          <w:sz w:val="15"/>
          <w:szCs w:val="15"/>
          <w:color w:val="auto"/>
        </w:rPr>
        <w:t>herein) be construed, administered and applied in accordance with the terms and provisions thereof, including Article XI thereof. To the extent of any conflict between the terms contained in this Security Agreement and the terms contained in the Credit Agreement, the terms of the Credit Agreement shall control.</w:t>
      </w:r>
    </w:p>
    <w:p>
      <w:pPr>
        <w:spacing w:after="0" w:line="142" w:lineRule="exact"/>
        <w:rPr>
          <w:sz w:val="20"/>
          <w:szCs w:val="20"/>
          <w:color w:val="auto"/>
        </w:rPr>
      </w:pPr>
    </w:p>
    <w:p>
      <w:pPr>
        <w:jc w:val="both"/>
        <w:ind w:firstLine="519"/>
        <w:spacing w:after="0" w:line="253" w:lineRule="auto"/>
        <w:rPr>
          <w:sz w:val="20"/>
          <w:szCs w:val="20"/>
          <w:color w:val="auto"/>
        </w:rPr>
      </w:pPr>
      <w:r>
        <w:rPr>
          <w:rFonts w:ascii="Arial" w:cs="Arial" w:eastAsia="Arial" w:hAnsi="Arial"/>
          <w:sz w:val="16"/>
          <w:szCs w:val="16"/>
          <w:b w:val="1"/>
          <w:bCs w:val="1"/>
          <w:color w:val="auto"/>
        </w:rPr>
        <w:t xml:space="preserve">SECTION 7.2. </w:t>
      </w:r>
      <w:r>
        <w:rPr>
          <w:rFonts w:ascii="Arial" w:cs="Arial" w:eastAsia="Arial" w:hAnsi="Arial"/>
          <w:sz w:val="16"/>
          <w:szCs w:val="16"/>
          <w:b w:val="1"/>
          <w:bCs w:val="1"/>
          <w:u w:val="single" w:color="auto"/>
          <w:color w:val="auto"/>
        </w:rPr>
        <w:t>Binding on Successors, Transferees and Assigns; Assignment</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Security Agreement shall remain in full force and effect until the Termination Date has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occurred, shall be binding upon the Grantors and their successors, transferees and assigns and shall inure to the benefit of and be enforceable by each Secured Party and its successors, transferees and assigns;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Grantor may (unless otherwise permitted under the terms of the Credit Agreement or this Security Agreement) assign any of its obligations hereunder without the prior written consent of all Lenders.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40"/>
          </w:cols>
          <w:pgMar w:left="240" w:top="522" w:right="219" w:bottom="1440" w:gutter="0" w:footer="0" w:header="0"/>
        </w:sectPr>
      </w:pPr>
    </w:p>
    <w:bookmarkStart w:id="199" w:name="page200"/>
    <w:bookmarkEnd w:id="199"/>
    <w:p>
      <w:pPr>
        <w:jc w:val="both"/>
        <w:ind w:firstLine="519"/>
        <w:spacing w:after="0" w:line="253" w:lineRule="auto"/>
        <w:rPr>
          <w:sz w:val="20"/>
          <w:szCs w:val="20"/>
          <w:color w:val="auto"/>
        </w:rPr>
      </w:pPr>
      <w:r>
        <w:rPr>
          <w:rFonts w:ascii="Arial" w:cs="Arial" w:eastAsia="Arial" w:hAnsi="Arial"/>
          <w:sz w:val="16"/>
          <w:szCs w:val="16"/>
          <w:b w:val="1"/>
          <w:bCs w:val="1"/>
          <w:color w:val="auto"/>
        </w:rPr>
        <w:t xml:space="preserve">SECTION 7.3. </w:t>
      </w:r>
      <w:r>
        <w:rPr>
          <w:rFonts w:ascii="Arial" w:cs="Arial" w:eastAsia="Arial" w:hAnsi="Arial"/>
          <w:sz w:val="16"/>
          <w:szCs w:val="16"/>
          <w:b w:val="1"/>
          <w:bCs w:val="1"/>
          <w:u w:val="single" w:color="auto"/>
          <w:color w:val="auto"/>
        </w:rPr>
        <w:t>Amendments, etc</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No amendment to or waiver of any provision of this Security Agreement, nor consent to any departure by any Grantor from its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Security Agreement, shall in any event be effective unless the same shall be in writing and signed by the Administrative Agent (on behalf of the Lenders or the Required Lenders, as the case may be, pursuant to Section 11.01 of the Credit Agreement) and the Grantors and then such waiver or consent shall be effective only in the specific instance and for the specific purpose for which given.</w:t>
      </w:r>
    </w:p>
    <w:p>
      <w:pPr>
        <w:spacing w:after="0" w:line="162" w:lineRule="exact"/>
        <w:rPr>
          <w:sz w:val="20"/>
          <w:szCs w:val="20"/>
          <w:color w:val="auto"/>
        </w:rPr>
      </w:pPr>
    </w:p>
    <w:p>
      <w:pPr>
        <w:jc w:val="both"/>
        <w:ind w:firstLine="519"/>
        <w:spacing w:after="0" w:line="250" w:lineRule="auto"/>
        <w:rPr>
          <w:sz w:val="20"/>
          <w:szCs w:val="20"/>
          <w:color w:val="auto"/>
        </w:rPr>
      </w:pPr>
      <w:r>
        <w:rPr>
          <w:rFonts w:ascii="Arial" w:cs="Arial" w:eastAsia="Arial" w:hAnsi="Arial"/>
          <w:sz w:val="16"/>
          <w:szCs w:val="16"/>
          <w:b w:val="1"/>
          <w:bCs w:val="1"/>
          <w:color w:val="auto"/>
        </w:rPr>
        <w:t xml:space="preserve">SECTION 7.4. </w:t>
      </w:r>
      <w:r>
        <w:rPr>
          <w:rFonts w:ascii="Arial" w:cs="Arial" w:eastAsia="Arial" w:hAnsi="Arial"/>
          <w:sz w:val="16"/>
          <w:szCs w:val="16"/>
          <w:b w:val="1"/>
          <w:bCs w:val="1"/>
          <w:u w:val="single" w:color="auto"/>
          <w:color w:val="auto"/>
        </w:rPr>
        <w:t>Notices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All notices and other communications provided for hereunder shall be in writing or by facsimile and addressed, delivered or transmitted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appropriate party at the address or facsimile number of such party (in the case of any Grantor, in care of the Company) specified in the Credit Agreement or at such other address or facsimile number as may be designated by such party in a notice to the other party. Any notice or other communication, if mailed and properly addressed with postage prepaid or if properly addressed and sent by pre-paid courier service, shall be deemed given when received; any such notice or other communication, if transmitted by facsimile, shall be deemed given when transmitted and electronically confirmed.</w:t>
      </w:r>
    </w:p>
    <w:p>
      <w:pPr>
        <w:spacing w:after="0" w:line="167" w:lineRule="exact"/>
        <w:rPr>
          <w:sz w:val="20"/>
          <w:szCs w:val="20"/>
          <w:color w:val="auto"/>
        </w:rPr>
      </w:pPr>
    </w:p>
    <w:p>
      <w:pPr>
        <w:jc w:val="both"/>
        <w:ind w:firstLine="519"/>
        <w:spacing w:after="0" w:line="318" w:lineRule="auto"/>
        <w:rPr>
          <w:sz w:val="20"/>
          <w:szCs w:val="20"/>
          <w:color w:val="auto"/>
        </w:rPr>
      </w:pPr>
      <w:r>
        <w:rPr>
          <w:rFonts w:ascii="Arial" w:cs="Arial" w:eastAsia="Arial" w:hAnsi="Arial"/>
          <w:sz w:val="13"/>
          <w:szCs w:val="13"/>
          <w:b w:val="1"/>
          <w:bCs w:val="1"/>
          <w:color w:val="auto"/>
        </w:rPr>
        <w:t xml:space="preserve">SECTION 7.5. </w:t>
      </w:r>
      <w:r>
        <w:rPr>
          <w:rFonts w:ascii="Arial" w:cs="Arial" w:eastAsia="Arial" w:hAnsi="Arial"/>
          <w:sz w:val="13"/>
          <w:szCs w:val="13"/>
          <w:b w:val="1"/>
          <w:bCs w:val="1"/>
          <w:u w:val="single" w:color="auto"/>
          <w:color w:val="auto"/>
        </w:rPr>
        <w:t>Release of Liens</w:t>
      </w:r>
      <w:r>
        <w:rPr>
          <w:rFonts w:ascii="Arial" w:cs="Arial" w:eastAsia="Arial" w:hAnsi="Arial"/>
          <w:sz w:val="13"/>
          <w:szCs w:val="13"/>
          <w:u w:val="single" w:color="auto"/>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Upon (a) the Disposition of Collateral in accordance with the Credit Agreement or (b) the occurrence of the Termination Date, the security</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interests granted herein shall automatically terminate with respect to (i) such Collateral (in the case of </w:t>
      </w:r>
      <w:r>
        <w:rPr>
          <w:rFonts w:ascii="Arial" w:cs="Arial" w:eastAsia="Arial" w:hAnsi="Arial"/>
          <w:sz w:val="13"/>
          <w:szCs w:val="13"/>
          <w:u w:val="single" w:color="auto"/>
          <w:color w:val="auto"/>
        </w:rPr>
        <w:t>clause (a)</w:t>
      </w:r>
      <w:r>
        <w:rPr>
          <w:rFonts w:ascii="Arial" w:cs="Arial" w:eastAsia="Arial" w:hAnsi="Arial"/>
          <w:sz w:val="13"/>
          <w:szCs w:val="13"/>
          <w:color w:val="auto"/>
        </w:rPr>
        <w:t xml:space="preserve">) or (ii) all Collateral (in the case of </w:t>
      </w:r>
      <w:r>
        <w:rPr>
          <w:rFonts w:ascii="Arial" w:cs="Arial" w:eastAsia="Arial" w:hAnsi="Arial"/>
          <w:sz w:val="13"/>
          <w:szCs w:val="13"/>
          <w:u w:val="single" w:color="auto"/>
          <w:color w:val="auto"/>
        </w:rPr>
        <w:t>clause (b)</w:t>
      </w:r>
      <w:r>
        <w:rPr>
          <w:rFonts w:ascii="Arial" w:cs="Arial" w:eastAsia="Arial" w:hAnsi="Arial"/>
          <w:sz w:val="13"/>
          <w:szCs w:val="13"/>
          <w:color w:val="auto"/>
        </w:rPr>
        <w:t>), without delivery of any instrument or performance of any act by any party. Upon the occurrence of the Termination Date, this Agreement and all obligations of each Grantor hereunder shall automatically terminate without delivery of any instrument or performance of any act by any party. Upon the consummation of any transaction or termination permitted by the Credit Agreement, the Administrative Agent will, at the Grantors’ sole expense, deliver to the Grantors, without any representations, warranties or recourse of any kind whatsoever, all Collateral held by the Administrative Agent hereunder, and execute and deliver to the Grantors such documents as the Grantors shall reasonably request to evidence such termination.</w:t>
      </w:r>
    </w:p>
    <w:p>
      <w:pPr>
        <w:spacing w:after="0" w:line="124" w:lineRule="exact"/>
        <w:rPr>
          <w:sz w:val="20"/>
          <w:szCs w:val="20"/>
          <w:color w:val="auto"/>
        </w:rPr>
      </w:pPr>
    </w:p>
    <w:p>
      <w:pPr>
        <w:jc w:val="both"/>
        <w:ind w:firstLine="519"/>
        <w:spacing w:after="0" w:line="250" w:lineRule="auto"/>
        <w:rPr>
          <w:sz w:val="20"/>
          <w:szCs w:val="20"/>
          <w:color w:val="auto"/>
        </w:rPr>
      </w:pPr>
      <w:r>
        <w:rPr>
          <w:rFonts w:ascii="Arial" w:cs="Arial" w:eastAsia="Arial" w:hAnsi="Arial"/>
          <w:sz w:val="16"/>
          <w:szCs w:val="16"/>
          <w:b w:val="1"/>
          <w:bCs w:val="1"/>
          <w:color w:val="auto"/>
        </w:rPr>
        <w:t xml:space="preserve">SECTION 7.6. </w:t>
      </w:r>
      <w:r>
        <w:rPr>
          <w:rFonts w:ascii="Arial" w:cs="Arial" w:eastAsia="Arial" w:hAnsi="Arial"/>
          <w:sz w:val="16"/>
          <w:szCs w:val="16"/>
          <w:b w:val="1"/>
          <w:bCs w:val="1"/>
          <w:u w:val="single" w:color="auto"/>
          <w:color w:val="auto"/>
        </w:rPr>
        <w:t>Additional Grantors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execution and delivery by any other Person of a supplement in the form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Annex I</w:t>
      </w:r>
      <w:r>
        <w:rPr>
          <w:rFonts w:ascii="Arial" w:cs="Arial" w:eastAsia="Arial" w:hAnsi="Arial"/>
          <w:sz w:val="16"/>
          <w:szCs w:val="16"/>
          <w:b w:val="1"/>
          <w:bCs w:val="1"/>
          <w:color w:val="auto"/>
        </w:rPr>
        <w:t xml:space="preserve"> </w:t>
      </w:r>
      <w:r>
        <w:rPr>
          <w:rFonts w:ascii="Arial" w:cs="Arial" w:eastAsia="Arial" w:hAnsi="Arial"/>
          <w:sz w:val="16"/>
          <w:szCs w:val="16"/>
          <w:color w:val="auto"/>
        </w:rPr>
        <w:t>hereto (the “</w:t>
      </w:r>
      <w:r>
        <w:rPr>
          <w:rFonts w:ascii="Arial" w:cs="Arial" w:eastAsia="Arial" w:hAnsi="Arial"/>
          <w:sz w:val="16"/>
          <w:szCs w:val="16"/>
          <w:u w:val="single" w:color="auto"/>
          <w:color w:val="auto"/>
        </w:rPr>
        <w:t>Security Agreement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Supplement</w:t>
      </w:r>
      <w:r>
        <w:rPr>
          <w:rFonts w:ascii="Arial" w:cs="Arial" w:eastAsia="Arial" w:hAnsi="Arial"/>
          <w:sz w:val="16"/>
          <w:szCs w:val="16"/>
          <w:color w:val="auto"/>
        </w:rPr>
        <w:t>”), such Person shall become a “Grantor” hereunder with the same force and effect as if it were originally a party to this Security Agreement and named as a “Grantor” hereunder. The execution and delivery of such supplement shall not require the consent of any other Grantor hereunder, and the rights and obligations of each Grantor hereunder shall remain in full force and effect notwithstanding the addition of any new Grantor as a party to this Security Agreement. For the avoidance of doubt, non-U.S. Loan Parties shall not be required to become a “Grantor” hereunder.</w:t>
      </w:r>
    </w:p>
    <w:p>
      <w:pPr>
        <w:spacing w:after="0" w:line="167" w:lineRule="exact"/>
        <w:rPr>
          <w:sz w:val="20"/>
          <w:szCs w:val="20"/>
          <w:color w:val="auto"/>
        </w:rPr>
      </w:pPr>
    </w:p>
    <w:p>
      <w:pPr>
        <w:jc w:val="both"/>
        <w:ind w:firstLine="519"/>
        <w:spacing w:after="0" w:line="253" w:lineRule="auto"/>
        <w:rPr>
          <w:sz w:val="20"/>
          <w:szCs w:val="20"/>
          <w:color w:val="auto"/>
        </w:rPr>
      </w:pPr>
      <w:r>
        <w:rPr>
          <w:rFonts w:ascii="Arial" w:cs="Arial" w:eastAsia="Arial" w:hAnsi="Arial"/>
          <w:sz w:val="16"/>
          <w:szCs w:val="16"/>
          <w:b w:val="1"/>
          <w:bCs w:val="1"/>
          <w:color w:val="auto"/>
        </w:rPr>
        <w:t xml:space="preserve">SECTION 7.7. </w:t>
      </w:r>
      <w:r>
        <w:rPr>
          <w:rFonts w:ascii="Arial" w:cs="Arial" w:eastAsia="Arial" w:hAnsi="Arial"/>
          <w:sz w:val="16"/>
          <w:szCs w:val="16"/>
          <w:b w:val="1"/>
          <w:bCs w:val="1"/>
          <w:u w:val="single" w:color="auto"/>
          <w:color w:val="auto"/>
        </w:rPr>
        <w:t>No Waiver; Remedies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to, and not in limitation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2.4</w:t>
      </w:r>
      <w:r>
        <w:rPr>
          <w:rFonts w:ascii="Arial" w:cs="Arial" w:eastAsia="Arial" w:hAnsi="Arial"/>
          <w:sz w:val="16"/>
          <w:szCs w:val="16"/>
          <w:color w:val="auto"/>
        </w:rPr>
        <w:t>, no failure on the part of any Secured Party to exercise, and no delay in exercising,</w:t>
      </w:r>
      <w:r>
        <w:rPr>
          <w:rFonts w:ascii="Arial" w:cs="Arial" w:eastAsia="Arial" w:hAnsi="Arial"/>
          <w:sz w:val="16"/>
          <w:szCs w:val="16"/>
          <w:b w:val="1"/>
          <w:bCs w:val="1"/>
          <w:color w:val="auto"/>
        </w:rPr>
        <w:t xml:space="preserve"> </w:t>
      </w:r>
      <w:r>
        <w:rPr>
          <w:rFonts w:ascii="Arial" w:cs="Arial" w:eastAsia="Arial" w:hAnsi="Arial"/>
          <w:sz w:val="16"/>
          <w:szCs w:val="16"/>
          <w:color w:val="auto"/>
        </w:rPr>
        <w:t>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under each other Loan Document are cumulative and not exclusive of any remedies provided by Law</w:t>
      </w:r>
    </w:p>
    <w:p>
      <w:pPr>
        <w:spacing w:after="0" w:line="162" w:lineRule="exact"/>
        <w:rPr>
          <w:sz w:val="20"/>
          <w:szCs w:val="20"/>
          <w:color w:val="auto"/>
        </w:rPr>
      </w:pPr>
    </w:p>
    <w:p>
      <w:pPr>
        <w:jc w:val="both"/>
        <w:ind w:right="20" w:firstLine="519"/>
        <w:spacing w:after="0" w:line="269" w:lineRule="auto"/>
        <w:rPr>
          <w:sz w:val="20"/>
          <w:szCs w:val="20"/>
          <w:color w:val="auto"/>
        </w:rPr>
      </w:pPr>
      <w:r>
        <w:rPr>
          <w:rFonts w:ascii="Arial" w:cs="Arial" w:eastAsia="Arial" w:hAnsi="Arial"/>
          <w:sz w:val="16"/>
          <w:szCs w:val="16"/>
          <w:b w:val="1"/>
          <w:bCs w:val="1"/>
          <w:color w:val="auto"/>
        </w:rPr>
        <w:t xml:space="preserve">SECTION 7.8. </w:t>
      </w:r>
      <w:r>
        <w:rPr>
          <w:rFonts w:ascii="Arial" w:cs="Arial" w:eastAsia="Arial" w:hAnsi="Arial"/>
          <w:sz w:val="16"/>
          <w:szCs w:val="16"/>
          <w:b w:val="1"/>
          <w:bCs w:val="1"/>
          <w:u w:val="single" w:color="auto"/>
          <w:color w:val="auto"/>
        </w:rPr>
        <w:t>Headings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various headings of this Security Agreement are inserted for convenience only and shall not affect the meaning or interpretation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Security Agreement or any provisions thereof.</w:t>
      </w:r>
    </w:p>
    <w:p>
      <w:pPr>
        <w:spacing w:after="0" w:line="150" w:lineRule="exact"/>
        <w:rPr>
          <w:sz w:val="20"/>
          <w:szCs w:val="20"/>
          <w:color w:val="auto"/>
        </w:rPr>
      </w:pPr>
    </w:p>
    <w:p>
      <w:pPr>
        <w:jc w:val="both"/>
        <w:ind w:firstLine="519"/>
        <w:spacing w:after="0" w:line="329" w:lineRule="auto"/>
        <w:rPr>
          <w:sz w:val="20"/>
          <w:szCs w:val="20"/>
          <w:color w:val="auto"/>
        </w:rPr>
      </w:pPr>
      <w:r>
        <w:rPr>
          <w:rFonts w:ascii="Arial" w:cs="Arial" w:eastAsia="Arial" w:hAnsi="Arial"/>
          <w:sz w:val="13"/>
          <w:szCs w:val="13"/>
          <w:b w:val="1"/>
          <w:bCs w:val="1"/>
          <w:color w:val="auto"/>
        </w:rPr>
        <w:t xml:space="preserve">SECTION 7.9. </w:t>
      </w:r>
      <w:r>
        <w:rPr>
          <w:rFonts w:ascii="Arial" w:cs="Arial" w:eastAsia="Arial" w:hAnsi="Arial"/>
          <w:sz w:val="13"/>
          <w:szCs w:val="13"/>
          <w:b w:val="1"/>
          <w:bCs w:val="1"/>
          <w:u w:val="single" w:color="auto"/>
          <w:color w:val="auto"/>
        </w:rPr>
        <w:t>Severability</w:t>
      </w:r>
      <w:r>
        <w:rPr>
          <w:rFonts w:ascii="Arial" w:cs="Arial" w:eastAsia="Arial" w:hAnsi="Arial"/>
          <w:sz w:val="13"/>
          <w:szCs w:val="13"/>
          <w:u w:val="single" w:color="auto"/>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If any provision of this Security Agreement or the other Loan Documents is held to be illegal, invalid or unenforceable, (a) the legality, validity</w:t>
      </w:r>
      <w:r>
        <w:rPr>
          <w:rFonts w:ascii="Arial" w:cs="Arial" w:eastAsia="Arial" w:hAnsi="Arial"/>
          <w:sz w:val="13"/>
          <w:szCs w:val="13"/>
          <w:b w:val="1"/>
          <w:bCs w:val="1"/>
          <w:color w:val="auto"/>
        </w:rPr>
        <w:t xml:space="preserve"> </w:t>
      </w:r>
      <w:r>
        <w:rPr>
          <w:rFonts w:ascii="Arial" w:cs="Arial" w:eastAsia="Arial" w:hAnsi="Arial"/>
          <w:sz w:val="13"/>
          <w:szCs w:val="13"/>
          <w:color w:val="auto"/>
        </w:rPr>
        <w:t>and enforceability of the remaining provisions of this Security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 xml:space="preserve">SECTION 7.10. </w:t>
      </w:r>
      <w:r>
        <w:rPr>
          <w:rFonts w:ascii="Arial" w:cs="Arial" w:eastAsia="Arial" w:hAnsi="Arial"/>
          <w:sz w:val="16"/>
          <w:szCs w:val="16"/>
          <w:b w:val="1"/>
          <w:bCs w:val="1"/>
          <w:u w:val="single" w:color="auto"/>
          <w:color w:val="auto"/>
        </w:rPr>
        <w:t>Governing Law; Jurisdiction; Etc</w:t>
      </w:r>
      <w:r>
        <w:rPr>
          <w:rFonts w:ascii="Arial" w:cs="Arial" w:eastAsia="Arial" w:hAnsi="Arial"/>
          <w:sz w:val="16"/>
          <w:szCs w:val="16"/>
          <w:u w:val="single" w:color="auto"/>
          <w:color w:val="auto"/>
        </w:rPr>
        <w:t>.</w:t>
      </w:r>
    </w:p>
    <w:p>
      <w:pPr>
        <w:spacing w:after="0" w:line="101" w:lineRule="exact"/>
        <w:rPr>
          <w:sz w:val="20"/>
          <w:szCs w:val="20"/>
          <w:color w:val="auto"/>
        </w:rPr>
      </w:pPr>
    </w:p>
    <w:p>
      <w:pPr>
        <w:ind w:left="520" w:right="20" w:firstLine="488"/>
        <w:spacing w:after="0" w:line="264" w:lineRule="auto"/>
        <w:tabs>
          <w:tab w:leader="none" w:pos="1240"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SECURITY AGREEMENT SHALL BE GOVERNED BY, AND CONSTRUED IN ACCORDANCE WITH, THE LAW OF THE STATE OF NEW YORK.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40"/>
          </w:cols>
          <w:pgMar w:left="240" w:top="522" w:right="219" w:bottom="1440" w:gutter="0" w:footer="0" w:header="0"/>
        </w:sectPr>
      </w:pPr>
    </w:p>
    <w:bookmarkStart w:id="200" w:name="page201"/>
    <w:bookmarkEnd w:id="200"/>
    <w:p>
      <w:pPr>
        <w:jc w:val="both"/>
        <w:ind w:left="520" w:firstLine="489"/>
        <w:spacing w:after="0" w:line="246" w:lineRule="auto"/>
        <w:tabs>
          <w:tab w:leader="none" w:pos="1249"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xml:space="preserve"> EACH GRANTOR IRREVOCABLY AND UNCONDITIONALLY SUBMITS, FOR ITSELF AND ITS PROPERTY, TO THE NONEXCLUSIVE JURISDICTION OF THE COURTS OF THE STATE OF NEW YORK SITTING IN NEW YORK COUNTY AND OF THE UNITED STATES DISTRICT COURT FOR THE SOUTHERN DISTRICT OF NEW YORK, AND ANY APPELLATE COURT FROM ANY THEREOF, IN ANY ACTION OR PROCEEDING ARISING OUT OF OR RELATING TO THIS SECURITY AGREEMENT OR ANY OTHER LOAN DOCUMENT, OR FOR RECOGNITION OR ENFORCEMENT OF ANY JUDGMENT RELATED THERETO,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SECURITY AGREEMENT OR IN ANY OTHER LOAN DOCUMENT SHALL AFFECT ANY RIGHT THAT THE ADMINISTRATIVE AGENT, ANY LENDER OR THE L/C ISSUER MAY OTHERWISE HAVE TO BRING ANY ACTION OR PROCEEDING RELATING TO THIS SECURITY AGREEMENT OR ANY OTHER LOAN DOCUMENT AGAINST ANY GRANTOR OR ITS PROPERTIES IN THE COURTS OF ANY JURISDICTION.</w:t>
      </w:r>
    </w:p>
    <w:p>
      <w:pPr>
        <w:spacing w:after="0" w:line="81" w:lineRule="exact"/>
        <w:rPr>
          <w:rFonts w:ascii="Arial" w:cs="Arial" w:eastAsia="Arial" w:hAnsi="Arial"/>
          <w:sz w:val="16"/>
          <w:szCs w:val="16"/>
          <w:color w:val="auto"/>
        </w:rPr>
      </w:pPr>
    </w:p>
    <w:p>
      <w:pPr>
        <w:jc w:val="both"/>
        <w:ind w:left="520" w:right="20" w:firstLine="488"/>
        <w:spacing w:after="0" w:line="270" w:lineRule="auto"/>
        <w:tabs>
          <w:tab w:leader="none" w:pos="1263" w:val="left"/>
        </w:tabs>
        <w:numPr>
          <w:ilvl w:val="0"/>
          <w:numId w:val="243"/>
        </w:numPr>
        <w:rPr>
          <w:rFonts w:ascii="Arial" w:cs="Arial" w:eastAsia="Arial" w:hAnsi="Arial"/>
          <w:sz w:val="15"/>
          <w:szCs w:val="15"/>
          <w:color w:val="auto"/>
        </w:rPr>
      </w:pPr>
      <w:r>
        <w:rPr>
          <w:rFonts w:ascii="Arial" w:cs="Arial" w:eastAsia="Arial" w:hAnsi="Arial"/>
          <w:sz w:val="15"/>
          <w:szCs w:val="15"/>
          <w:u w:val="single" w:color="auto"/>
          <w:color w:val="auto"/>
        </w:rPr>
        <w:t>WAIVER OF VENUE.</w:t>
      </w:r>
      <w:r>
        <w:rPr>
          <w:rFonts w:ascii="Arial" w:cs="Arial" w:eastAsia="Arial" w:hAnsi="Arial"/>
          <w:sz w:val="15"/>
          <w:szCs w:val="15"/>
          <w:color w:val="auto"/>
        </w:rPr>
        <w:t xml:space="preserve"> EACH GRANTOR IRREVOCABLY AND UNCONDITIONALLY WAIVES, TO THE FULLEST EXTENT PERMITTED BY APPLICABLE LAW, ANY OBJECTION THAT IT MAY NOW OR HEREAFTER HAVE TO THE LAYING OF VENUE OF ANY ACTION OR PROCEEDING ARISING OUT OF OR RELATING TO THIS SECURITY AGREEMENT OR ANY OTHER LOAN DOCUMENT IN ANY COURT REFERRED TO IN CLAUSE (b) OF THIS SECTION. EACH OF THE PARTIES HERETO HEREBY IRREVOCABLY WAIVES, TO THE FULLEST EXTENT PERMITTED BY APPLICABLE LAW, THE DEFENSE OF AN INCONVENIENT FORUM TO THE MAINTENANCE OF SUCH ACTION OR PROCEEDING IN ANY SUCH COURT.</w:t>
      </w:r>
    </w:p>
    <w:p>
      <w:pPr>
        <w:spacing w:after="0" w:line="61" w:lineRule="exact"/>
        <w:rPr>
          <w:rFonts w:ascii="Arial" w:cs="Arial" w:eastAsia="Arial" w:hAnsi="Arial"/>
          <w:sz w:val="15"/>
          <w:szCs w:val="15"/>
          <w:color w:val="auto"/>
        </w:rPr>
      </w:pPr>
    </w:p>
    <w:p>
      <w:pPr>
        <w:jc w:val="both"/>
        <w:ind w:left="520" w:firstLine="488"/>
        <w:spacing w:after="0" w:line="268" w:lineRule="auto"/>
        <w:tabs>
          <w:tab w:leader="none" w:pos="1237" w:val="left"/>
        </w:tabs>
        <w:numPr>
          <w:ilvl w:val="0"/>
          <w:numId w:val="243"/>
        </w:numPr>
        <w:rPr>
          <w:rFonts w:ascii="Arial" w:cs="Arial" w:eastAsia="Arial" w:hAnsi="Arial"/>
          <w:sz w:val="15"/>
          <w:szCs w:val="15"/>
          <w:color w:val="auto"/>
        </w:rPr>
      </w:pPr>
      <w:r>
        <w:rPr>
          <w:rFonts w:ascii="Arial" w:cs="Arial" w:eastAsia="Arial" w:hAnsi="Arial"/>
          <w:sz w:val="15"/>
          <w:szCs w:val="15"/>
          <w:u w:val="single" w:color="auto"/>
          <w:color w:val="auto"/>
        </w:rPr>
        <w:t>SERVICE OF PROCESS.</w:t>
      </w:r>
      <w:r>
        <w:rPr>
          <w:rFonts w:ascii="Arial" w:cs="Arial" w:eastAsia="Arial" w:hAnsi="Arial"/>
          <w:sz w:val="15"/>
          <w:szCs w:val="15"/>
          <w:color w:val="auto"/>
        </w:rPr>
        <w:t xml:space="preserve"> EACH PARTY HERETO AGREES THAT THE PROCESS BY WHICH ANY SUIT, ACTION OR PROCEEDING IS BEGUN MAY BE SERVED ON IT BY BEING DELIVERED IN CONNECTION WITH ANY SUIT, ACTION OR PROCEEDING IN NEW YORK TO THE PROCESS AGENT FOR SUCH PARTY. EACH PARTY HERETO IRREVOCABLY CONSENTS TO SERVICE OF PROCESS, INCLUDING SERVICE ON ANY PROCESS AGENT, IN THE MANNER PROVIDED FOR NOTICES (OTHER THAN ELECTRONIC NOTICES) IN SECTION 11.02 OF THE CREDIT AGREEMENT. NOTHING HEREIN CONTAINED SHALL AFFECT THE RIGHT TO SERVE PROCESS IN ANY OTHER MANNER PERMITTED BY LAW OR SHALL LIMIT THE RIGHT OF ANY OTHER PERSON PARTY HERETO TO BRING PROCEEDINGS AGAINST SUCH PARTY IN THE COURTS OF ANY OTHER JURISDICTION.</w:t>
      </w:r>
    </w:p>
    <w:p>
      <w:pPr>
        <w:spacing w:after="0" w:line="153" w:lineRule="exact"/>
        <w:rPr>
          <w:sz w:val="20"/>
          <w:szCs w:val="20"/>
          <w:color w:val="auto"/>
        </w:rPr>
      </w:pPr>
    </w:p>
    <w:p>
      <w:pPr>
        <w:jc w:val="both"/>
        <w:ind w:firstLine="519"/>
        <w:spacing w:after="0" w:line="268" w:lineRule="auto"/>
        <w:rPr>
          <w:sz w:val="20"/>
          <w:szCs w:val="20"/>
          <w:color w:val="auto"/>
        </w:rPr>
      </w:pPr>
      <w:r>
        <w:rPr>
          <w:rFonts w:ascii="Arial" w:cs="Arial" w:eastAsia="Arial" w:hAnsi="Arial"/>
          <w:sz w:val="15"/>
          <w:szCs w:val="15"/>
          <w:b w:val="1"/>
          <w:bCs w:val="1"/>
          <w:color w:val="auto"/>
        </w:rPr>
        <w:t xml:space="preserve">SECTION 7.11. </w:t>
      </w:r>
      <w:r>
        <w:rPr>
          <w:rFonts w:ascii="Arial" w:cs="Arial" w:eastAsia="Arial" w:hAnsi="Arial"/>
          <w:sz w:val="15"/>
          <w:szCs w:val="15"/>
          <w:b w:val="1"/>
          <w:bCs w:val="1"/>
          <w:u w:val="single" w:color="auto"/>
          <w:color w:val="auto"/>
        </w:rPr>
        <w:t>Waiver of Jury Trial</w:t>
      </w:r>
      <w:r>
        <w:rPr>
          <w:rFonts w:ascii="Arial" w:cs="Arial" w:eastAsia="Arial" w:hAnsi="Arial"/>
          <w:sz w:val="15"/>
          <w:szCs w:val="15"/>
          <w:u w:val="single" w:color="auto"/>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EACH PARTY HERETO HEREBY IRREVOCABLY WAIVES, TO THE FULLEST EXTENT PERMITTED BY APPLICABLE</w:t>
      </w:r>
      <w:r>
        <w:rPr>
          <w:rFonts w:ascii="Arial" w:cs="Arial" w:eastAsia="Arial" w:hAnsi="Arial"/>
          <w:sz w:val="15"/>
          <w:szCs w:val="15"/>
          <w:b w:val="1"/>
          <w:bCs w:val="1"/>
          <w:color w:val="auto"/>
        </w:rPr>
        <w:t xml:space="preserve"> </w:t>
      </w:r>
      <w:r>
        <w:rPr>
          <w:rFonts w:ascii="Arial" w:cs="Arial" w:eastAsia="Arial" w:hAnsi="Arial"/>
          <w:sz w:val="15"/>
          <w:szCs w:val="15"/>
          <w:color w:val="auto"/>
        </w:rPr>
        <w:t>LAW, ANY RIGHT IT MAY HAVE TO A TRIAL BY JURY IN ANY LEGAL PROCEEDING DIRECTLY OR INDIRECTLY ARISING OUT OF OR RELATING TO THIS SECURITY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SECURITY AGREEMENT AND THE OTHER LOAN DOCUMENTS BY, AMONG OTHER THINGS, THE MUTUAL WAIVERS AND CERTIFICATIONS IN THIS SECTION.</w:t>
      </w:r>
    </w:p>
    <w:p>
      <w:pPr>
        <w:spacing w:after="0" w:line="152" w:lineRule="exact"/>
        <w:rPr>
          <w:sz w:val="20"/>
          <w:szCs w:val="20"/>
          <w:color w:val="auto"/>
        </w:rPr>
      </w:pPr>
    </w:p>
    <w:p>
      <w:pPr>
        <w:jc w:val="both"/>
        <w:ind w:firstLine="519"/>
        <w:spacing w:after="0" w:line="257" w:lineRule="auto"/>
        <w:rPr>
          <w:sz w:val="20"/>
          <w:szCs w:val="20"/>
          <w:color w:val="auto"/>
        </w:rPr>
      </w:pPr>
      <w:r>
        <w:rPr>
          <w:rFonts w:ascii="Arial" w:cs="Arial" w:eastAsia="Arial" w:hAnsi="Arial"/>
          <w:sz w:val="16"/>
          <w:szCs w:val="16"/>
          <w:b w:val="1"/>
          <w:bCs w:val="1"/>
          <w:color w:val="auto"/>
        </w:rPr>
        <w:t xml:space="preserve">SECTION 7.12. </w:t>
      </w:r>
      <w:r>
        <w:rPr>
          <w:rFonts w:ascii="Arial" w:cs="Arial" w:eastAsia="Arial" w:hAnsi="Arial"/>
          <w:sz w:val="16"/>
          <w:szCs w:val="16"/>
          <w:b w:val="1"/>
          <w:bCs w:val="1"/>
          <w:u w:val="single" w:color="auto"/>
          <w:color w:val="auto"/>
        </w:rPr>
        <w:t>Counterparts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Security Agreement may be executed by the parties hereto in several counterparts, each of which shall be deemed to be an original and</w:t>
      </w:r>
      <w:r>
        <w:rPr>
          <w:rFonts w:ascii="Arial" w:cs="Arial" w:eastAsia="Arial" w:hAnsi="Arial"/>
          <w:sz w:val="16"/>
          <w:szCs w:val="16"/>
          <w:b w:val="1"/>
          <w:bCs w:val="1"/>
          <w:color w:val="auto"/>
        </w:rPr>
        <w:t xml:space="preserve"> </w:t>
      </w:r>
      <w:r>
        <w:rPr>
          <w:rFonts w:ascii="Arial" w:cs="Arial" w:eastAsia="Arial" w:hAnsi="Arial"/>
          <w:sz w:val="16"/>
          <w:szCs w:val="16"/>
          <w:color w:val="auto"/>
        </w:rPr>
        <w:t>all of which shall constitute together but one and the same agreement. Delivery of an executed counterpart of a signature page to this Security Agreement by facsimile or via other electronic means shall be effective as delivery of a manually executed counterpart of this Security Agreement.</w:t>
      </w:r>
    </w:p>
    <w:p>
      <w:pPr>
        <w:spacing w:after="0" w:line="159" w:lineRule="exact"/>
        <w:rPr>
          <w:sz w:val="20"/>
          <w:szCs w:val="20"/>
          <w:color w:val="auto"/>
        </w:rPr>
      </w:pPr>
    </w:p>
    <w:p>
      <w:pPr>
        <w:jc w:val="both"/>
        <w:ind w:firstLine="519"/>
        <w:spacing w:after="0" w:line="314" w:lineRule="auto"/>
        <w:rPr>
          <w:sz w:val="20"/>
          <w:szCs w:val="20"/>
          <w:color w:val="auto"/>
        </w:rPr>
      </w:pPr>
      <w:r>
        <w:rPr>
          <w:rFonts w:ascii="Arial" w:cs="Arial" w:eastAsia="Arial" w:hAnsi="Arial"/>
          <w:sz w:val="13"/>
          <w:szCs w:val="13"/>
          <w:b w:val="1"/>
          <w:bCs w:val="1"/>
          <w:color w:val="auto"/>
        </w:rPr>
        <w:t xml:space="preserve">SECTION 7.13. </w:t>
      </w:r>
      <w:r>
        <w:rPr>
          <w:rFonts w:ascii="Arial" w:cs="Arial" w:eastAsia="Arial" w:hAnsi="Arial"/>
          <w:sz w:val="13"/>
          <w:szCs w:val="13"/>
          <w:b w:val="1"/>
          <w:bCs w:val="1"/>
          <w:u w:val="single" w:color="auto"/>
          <w:color w:val="auto"/>
        </w:rPr>
        <w:t>Security Agreements</w:t>
      </w:r>
      <w:r>
        <w:rPr>
          <w:rFonts w:ascii="Arial" w:cs="Arial" w:eastAsia="Arial" w:hAnsi="Arial"/>
          <w:sz w:val="13"/>
          <w:szCs w:val="13"/>
          <w:u w:val="single" w:color="auto"/>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Without limiting any of the rights, remedies, privileges or benefits provided hereunder to the Administrative Agent for its benefit and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the ratable benefit of the other Secured Parties, each Grantor and the Administrative Agent hereby agree that the terms and provisions of this Security Agreement in respect of any Collateral subject to the pledge or other Lien of any other security agreement entered into for the benefit of the Secured Parties are, and shall be deemed to be, supplemental and in addition to the rights, remedies, privileges and benefits provided to the Administrative Agent and the other Secured Parties under such other security agreement and under applicable Law to the extent consistent with applicable Law;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the event that the terms of this Security Agreement conflict or are inconsistent with the applicable other security agreement or applicable Law governing such other security agreement, (a) to the extent that the provisions of such other security agreement or applicable foreign Law are, under applicable foreign Law, necessary for the creation, perfection or priority of the security interests in the Collateral subject to such other security agreement, the terms of such other security agreement or such applicable Law shall be controlling and (b) otherwise, the terms hereof shall be controlling.</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40"/>
          </w:cols>
          <w:pgMar w:left="240" w:top="432" w:right="219" w:bottom="1440" w:gutter="0" w:footer="0" w:header="0"/>
        </w:sectPr>
      </w:pPr>
    </w:p>
    <w:bookmarkStart w:id="201" w:name="page202"/>
    <w:bookmarkEnd w:id="201"/>
    <w:p>
      <w:pPr>
        <w:jc w:val="both"/>
        <w:ind w:right="20" w:firstLine="519"/>
        <w:spacing w:after="0" w:line="282" w:lineRule="auto"/>
        <w:rPr>
          <w:sz w:val="20"/>
          <w:szCs w:val="20"/>
          <w:color w:val="auto"/>
        </w:rPr>
      </w:pPr>
      <w:r>
        <w:rPr>
          <w:rFonts w:ascii="Arial" w:cs="Arial" w:eastAsia="Arial" w:hAnsi="Arial"/>
          <w:sz w:val="15"/>
          <w:szCs w:val="15"/>
          <w:b w:val="1"/>
          <w:bCs w:val="1"/>
          <w:color w:val="auto"/>
        </w:rPr>
        <w:t>SECTION 7.14</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Perfection under Foreign Law</w:t>
      </w:r>
      <w:r>
        <w:rPr>
          <w:rFonts w:ascii="Arial" w:cs="Arial" w:eastAsia="Arial" w:hAnsi="Arial"/>
          <w:sz w:val="15"/>
          <w:szCs w:val="15"/>
          <w:color w:val="auto"/>
        </w:rPr>
        <w:t>. Notwithstanding any other provision of this Agreement with respect to (a) the assets or properties of any Grantor that are</w:t>
      </w:r>
      <w:r>
        <w:rPr>
          <w:rFonts w:ascii="Arial" w:cs="Arial" w:eastAsia="Arial" w:hAnsi="Arial"/>
          <w:sz w:val="15"/>
          <w:szCs w:val="15"/>
          <w:b w:val="1"/>
          <w:bCs w:val="1"/>
          <w:color w:val="auto"/>
        </w:rPr>
        <w:t xml:space="preserve"> </w:t>
      </w:r>
      <w:r>
        <w:rPr>
          <w:rFonts w:ascii="Arial" w:cs="Arial" w:eastAsia="Arial" w:hAnsi="Arial"/>
          <w:sz w:val="15"/>
          <w:szCs w:val="15"/>
          <w:color w:val="auto"/>
        </w:rPr>
        <w:t>located in a non-U.S. jurisdiction (a “</w:t>
      </w:r>
      <w:r>
        <w:rPr>
          <w:rFonts w:ascii="Arial" w:cs="Arial" w:eastAsia="Arial" w:hAnsi="Arial"/>
          <w:sz w:val="15"/>
          <w:szCs w:val="15"/>
          <w:u w:val="single" w:color="auto"/>
          <w:color w:val="auto"/>
        </w:rPr>
        <w:t>Foreign Jurisdiction</w:t>
      </w:r>
      <w:r>
        <w:rPr>
          <w:rFonts w:ascii="Arial" w:cs="Arial" w:eastAsia="Arial" w:hAnsi="Arial"/>
          <w:sz w:val="15"/>
          <w:szCs w:val="15"/>
          <w:color w:val="auto"/>
        </w:rPr>
        <w:t>”) or hereafter are moved to a Foreign Jurisdiction (any assets or properties so located or moved being “</w:t>
      </w:r>
      <w:r>
        <w:rPr>
          <w:rFonts w:ascii="Arial" w:cs="Arial" w:eastAsia="Arial" w:hAnsi="Arial"/>
          <w:sz w:val="15"/>
          <w:szCs w:val="15"/>
          <w:u w:val="single" w:color="auto"/>
          <w:color w:val="auto"/>
        </w:rPr>
        <w:t>Foreign Located</w:t>
      </w:r>
      <w:r>
        <w:rPr>
          <w:rFonts w:ascii="Arial" w:cs="Arial" w:eastAsia="Arial" w:hAnsi="Arial"/>
          <w:sz w:val="15"/>
          <w:szCs w:val="15"/>
          <w:color w:val="auto"/>
        </w:rPr>
        <w:t xml:space="preserve"> </w:t>
      </w:r>
      <w:r>
        <w:rPr>
          <w:rFonts w:ascii="Arial" w:cs="Arial" w:eastAsia="Arial" w:hAnsi="Arial"/>
          <w:sz w:val="15"/>
          <w:szCs w:val="15"/>
          <w:u w:val="single" w:color="auto"/>
          <w:color w:val="auto"/>
        </w:rPr>
        <w:t>Assets</w:t>
      </w:r>
      <w:r>
        <w:rPr>
          <w:rFonts w:ascii="Arial" w:cs="Arial" w:eastAsia="Arial" w:hAnsi="Arial"/>
          <w:sz w:val="15"/>
          <w:szCs w:val="15"/>
          <w:color w:val="auto"/>
        </w:rPr>
        <w:t>”), and (b) Equity Interests in any Foreign Subsidiary that are owned by any Grantor (such Equity Interests being “</w:t>
      </w:r>
      <w:r>
        <w:rPr>
          <w:rFonts w:ascii="Arial" w:cs="Arial" w:eastAsia="Arial" w:hAnsi="Arial"/>
          <w:sz w:val="15"/>
          <w:szCs w:val="15"/>
          <w:u w:val="single" w:color="auto"/>
          <w:color w:val="auto"/>
        </w:rPr>
        <w:t>Foreign Equity</w:t>
      </w:r>
      <w:r>
        <w:rPr>
          <w:rFonts w:ascii="Arial" w:cs="Arial" w:eastAsia="Arial" w:hAnsi="Arial"/>
          <w:sz w:val="15"/>
          <w:szCs w:val="15"/>
          <w:color w:val="auto"/>
        </w:rPr>
        <w:t>”):</w:t>
      </w:r>
    </w:p>
    <w:p>
      <w:pPr>
        <w:spacing w:after="0" w:line="52" w:lineRule="exact"/>
        <w:rPr>
          <w:sz w:val="20"/>
          <w:szCs w:val="20"/>
          <w:color w:val="auto"/>
        </w:rPr>
      </w:pPr>
    </w:p>
    <w:p>
      <w:pPr>
        <w:jc w:val="both"/>
        <w:ind w:left="520" w:right="20" w:firstLine="488"/>
        <w:spacing w:after="0" w:line="254" w:lineRule="auto"/>
        <w:tabs>
          <w:tab w:leader="none" w:pos="1229" w:val="left"/>
        </w:tabs>
        <w:numPr>
          <w:ilvl w:val="0"/>
          <w:numId w:val="244"/>
        </w:numPr>
        <w:rPr>
          <w:rFonts w:ascii="Arial" w:cs="Arial" w:eastAsia="Arial" w:hAnsi="Arial"/>
          <w:sz w:val="16"/>
          <w:szCs w:val="16"/>
          <w:color w:val="auto"/>
        </w:rPr>
      </w:pPr>
      <w:r>
        <w:rPr>
          <w:rFonts w:ascii="Arial" w:cs="Arial" w:eastAsia="Arial" w:hAnsi="Arial"/>
          <w:sz w:val="16"/>
          <w:szCs w:val="16"/>
          <w:color w:val="auto"/>
        </w:rPr>
        <w:t>no Grantor shall be required to take any action to create or perfect any security interest in or Lien on any Foreign Located Assets or Foreign Equity owned by such Grantor under the law of any Foreign Jurisdiction (“</w:t>
      </w:r>
      <w:r>
        <w:rPr>
          <w:rFonts w:ascii="Arial" w:cs="Arial" w:eastAsia="Arial" w:hAnsi="Arial"/>
          <w:sz w:val="16"/>
          <w:szCs w:val="16"/>
          <w:u w:val="single" w:color="auto"/>
          <w:color w:val="auto"/>
        </w:rPr>
        <w:t>Foreign Perfection</w:t>
      </w:r>
      <w:r>
        <w:rPr>
          <w:rFonts w:ascii="Arial" w:cs="Arial" w:eastAsia="Arial" w:hAnsi="Arial"/>
          <w:sz w:val="16"/>
          <w:szCs w:val="16"/>
          <w:color w:val="auto"/>
        </w:rPr>
        <w:t xml:space="preserve">”), except as provided in this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or, as contemplated by the Credit Agreement or any other Loan Document (other than this Agreement);</w:t>
      </w:r>
    </w:p>
    <w:p>
      <w:pPr>
        <w:spacing w:after="0" w:line="72" w:lineRule="exact"/>
        <w:rPr>
          <w:rFonts w:ascii="Arial" w:cs="Arial" w:eastAsia="Arial" w:hAnsi="Arial"/>
          <w:sz w:val="16"/>
          <w:szCs w:val="16"/>
          <w:color w:val="auto"/>
        </w:rPr>
      </w:pPr>
    </w:p>
    <w:p>
      <w:pPr>
        <w:ind w:left="520" w:right="20" w:firstLine="488"/>
        <w:spacing w:after="0" w:line="298" w:lineRule="auto"/>
        <w:tabs>
          <w:tab w:leader="none" w:pos="1244" w:val="left"/>
        </w:tabs>
        <w:numPr>
          <w:ilvl w:val="0"/>
          <w:numId w:val="244"/>
        </w:numPr>
        <w:rPr>
          <w:rFonts w:ascii="Arial" w:cs="Arial" w:eastAsia="Arial" w:hAnsi="Arial"/>
          <w:sz w:val="15"/>
          <w:szCs w:val="15"/>
          <w:color w:val="auto"/>
        </w:rPr>
      </w:pPr>
      <w:r>
        <w:rPr>
          <w:rFonts w:ascii="Arial" w:cs="Arial" w:eastAsia="Arial" w:hAnsi="Arial"/>
          <w:sz w:val="15"/>
          <w:szCs w:val="15"/>
          <w:color w:val="auto"/>
        </w:rPr>
        <w:t>no representation or warranty by any Grantor herein as to the perfection of any security interest granted in any Foreign Located Asset or Foreign Equity shall be deemed to refer to any Foreign Perfection that may be required under the laws of any Foreign Jurisdiction in connection therewith; and</w:t>
      </w:r>
    </w:p>
    <w:p>
      <w:pPr>
        <w:spacing w:after="0" w:line="40" w:lineRule="exact"/>
        <w:rPr>
          <w:rFonts w:ascii="Arial" w:cs="Arial" w:eastAsia="Arial" w:hAnsi="Arial"/>
          <w:sz w:val="15"/>
          <w:szCs w:val="15"/>
          <w:color w:val="auto"/>
        </w:rPr>
      </w:pPr>
    </w:p>
    <w:p>
      <w:pPr>
        <w:jc w:val="both"/>
        <w:ind w:left="520" w:firstLine="488"/>
        <w:spacing w:after="0" w:line="254" w:lineRule="auto"/>
        <w:tabs>
          <w:tab w:leader="none" w:pos="1244" w:val="left"/>
        </w:tabs>
        <w:numPr>
          <w:ilvl w:val="0"/>
          <w:numId w:val="244"/>
        </w:numPr>
        <w:rPr>
          <w:rFonts w:ascii="Arial" w:cs="Arial" w:eastAsia="Arial" w:hAnsi="Arial"/>
          <w:sz w:val="16"/>
          <w:szCs w:val="16"/>
          <w:color w:val="auto"/>
        </w:rPr>
      </w:pPr>
      <w:r>
        <w:rPr>
          <w:rFonts w:ascii="Arial" w:cs="Arial" w:eastAsia="Arial" w:hAnsi="Arial"/>
          <w:sz w:val="16"/>
          <w:szCs w:val="16"/>
          <w:color w:val="auto"/>
        </w:rPr>
        <w:t>if the Administrative Agent shall request any Foreign Perfection with respect to any security interest granted by any Grantor in any Foreign Located Asset or Foreign Equity in accordance with the terms of the Credit Agreement or any other Loan Document, such Grantor shall take such actions as shall be reasonably necessary to carry out any such Foreign Perfection requested by the Administrative Agent.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pages follow</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40"/>
          </w:cols>
          <w:pgMar w:left="240" w:top="522" w:right="219" w:bottom="1440" w:gutter="0" w:footer="0" w:header="0"/>
        </w:sectPr>
      </w:pPr>
    </w:p>
    <w:bookmarkStart w:id="202" w:name="page203"/>
    <w:bookmarkEnd w:id="202"/>
    <w:p>
      <w:pPr>
        <w:ind w:right="20" w:firstLine="519"/>
        <w:spacing w:after="0" w:line="264" w:lineRule="auto"/>
        <w:rPr>
          <w:sz w:val="20"/>
          <w:szCs w:val="20"/>
          <w:color w:val="auto"/>
        </w:rPr>
      </w:pPr>
      <w:r>
        <w:rPr>
          <w:rFonts w:ascii="Arial" w:cs="Arial" w:eastAsia="Arial" w:hAnsi="Arial"/>
          <w:sz w:val="16"/>
          <w:szCs w:val="16"/>
          <w:color w:val="auto"/>
        </w:rPr>
        <w:t>IN WITNESS WHEREOF, each of the parties hereto has caused this Security Agreement to be duly executed and delivered by its Responsible Officer as of the date first written above.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20"/>
                <w:szCs w:val="20"/>
                <w:color w:val="auto"/>
              </w:rPr>
            </w:pPr>
            <w:r>
              <w:rPr>
                <w:rFonts w:ascii="Arial" w:cs="Arial" w:eastAsia="Arial" w:hAnsi="Arial"/>
                <w:sz w:val="16"/>
                <w:szCs w:val="16"/>
                <w:color w:val="auto"/>
              </w:rPr>
              <w:t>GRANTORS:</w:t>
            </w:r>
          </w:p>
        </w:tc>
        <w:tc>
          <w:tcPr>
            <w:tcW w:w="7640" w:type="dxa"/>
            <w:vAlign w:val="bottom"/>
            <w:gridSpan w:val="2"/>
          </w:tcPr>
          <w:p>
            <w:pPr>
              <w:ind w:left="2920"/>
              <w:spacing w:after="0"/>
              <w:rPr>
                <w:sz w:val="20"/>
                <w:szCs w:val="20"/>
                <w:color w:val="auto"/>
              </w:rPr>
            </w:pPr>
            <w:r>
              <w:rPr>
                <w:rFonts w:ascii="Arial" w:cs="Arial" w:eastAsia="Arial" w:hAnsi="Arial"/>
                <w:sz w:val="16"/>
                <w:szCs w:val="16"/>
                <w:b w:val="1"/>
                <w:bCs w:val="1"/>
                <w:color w:val="auto"/>
              </w:rPr>
              <w:t>GENTHERM INCORPORATED,</w:t>
            </w:r>
          </w:p>
        </w:tc>
      </w:tr>
      <w:tr>
        <w:trPr>
          <w:trHeight w:val="199"/>
        </w:trPr>
        <w:tc>
          <w:tcPr>
            <w:tcW w:w="3800" w:type="dxa"/>
            <w:vAlign w:val="bottom"/>
          </w:tcPr>
          <w:p>
            <w:pPr>
              <w:spacing w:after="0"/>
              <w:rPr>
                <w:sz w:val="17"/>
                <w:szCs w:val="17"/>
                <w:color w:val="auto"/>
              </w:rPr>
            </w:pPr>
          </w:p>
        </w:tc>
        <w:tc>
          <w:tcPr>
            <w:tcW w:w="7640" w:type="dxa"/>
            <w:vAlign w:val="bottom"/>
            <w:gridSpan w:val="2"/>
          </w:tcPr>
          <w:p>
            <w:pPr>
              <w:ind w:left="2920"/>
              <w:spacing w:after="0"/>
              <w:rPr>
                <w:sz w:val="20"/>
                <w:szCs w:val="20"/>
                <w:color w:val="auto"/>
              </w:rPr>
            </w:pPr>
            <w:r>
              <w:rPr>
                <w:rFonts w:ascii="Arial" w:cs="Arial" w:eastAsia="Arial" w:hAnsi="Arial"/>
                <w:sz w:val="16"/>
                <w:szCs w:val="16"/>
                <w:color w:val="auto"/>
              </w:rPr>
              <w:t>a Michigan corporation</w:t>
            </w:r>
          </w:p>
        </w:tc>
      </w:tr>
      <w:tr>
        <w:trPr>
          <w:trHeight w:val="375"/>
        </w:trPr>
        <w:tc>
          <w:tcPr>
            <w:tcW w:w="3800" w:type="dxa"/>
            <w:vAlign w:val="bottom"/>
          </w:tcPr>
          <w:p>
            <w:pPr>
              <w:spacing w:after="0"/>
              <w:rPr>
                <w:sz w:val="24"/>
                <w:szCs w:val="24"/>
                <w:color w:val="auto"/>
              </w:rPr>
            </w:pPr>
          </w:p>
        </w:tc>
        <w:tc>
          <w:tcPr>
            <w:tcW w:w="3440" w:type="dxa"/>
            <w:vAlign w:val="bottom"/>
          </w:tcPr>
          <w:p>
            <w:pPr>
              <w:ind w:left="2920"/>
              <w:spacing w:after="0"/>
              <w:rPr>
                <w:sz w:val="20"/>
                <w:szCs w:val="20"/>
                <w:color w:val="auto"/>
              </w:rPr>
            </w:pPr>
            <w:r>
              <w:rPr>
                <w:rFonts w:ascii="Arial" w:cs="Arial" w:eastAsia="Arial" w:hAnsi="Arial"/>
                <w:sz w:val="16"/>
                <w:szCs w:val="16"/>
                <w:color w:val="auto"/>
              </w:rPr>
              <w:t>By:</w:t>
            </w:r>
          </w:p>
        </w:tc>
        <w:tc>
          <w:tcPr>
            <w:tcW w:w="4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Barry G. Steele</w:t>
            </w:r>
          </w:p>
        </w:tc>
      </w:tr>
      <w:tr>
        <w:trPr>
          <w:trHeight w:val="168"/>
        </w:trPr>
        <w:tc>
          <w:tcPr>
            <w:tcW w:w="3800" w:type="dxa"/>
            <w:vAlign w:val="bottom"/>
          </w:tcPr>
          <w:p>
            <w:pPr>
              <w:spacing w:after="0"/>
              <w:rPr>
                <w:sz w:val="14"/>
                <w:szCs w:val="14"/>
                <w:color w:val="auto"/>
              </w:rPr>
            </w:pPr>
          </w:p>
        </w:tc>
        <w:tc>
          <w:tcPr>
            <w:tcW w:w="3440" w:type="dxa"/>
            <w:vAlign w:val="bottom"/>
          </w:tcPr>
          <w:p>
            <w:pPr>
              <w:ind w:left="2920"/>
              <w:spacing w:after="0" w:line="168" w:lineRule="exact"/>
              <w:rPr>
                <w:sz w:val="20"/>
                <w:szCs w:val="20"/>
                <w:color w:val="auto"/>
              </w:rPr>
            </w:pPr>
            <w:r>
              <w:rPr>
                <w:rFonts w:ascii="Arial" w:cs="Arial" w:eastAsia="Arial" w:hAnsi="Arial"/>
                <w:sz w:val="16"/>
                <w:szCs w:val="16"/>
                <w:color w:val="auto"/>
              </w:rPr>
              <w:t>Name:</w:t>
            </w:r>
          </w:p>
        </w:tc>
        <w:tc>
          <w:tcPr>
            <w:tcW w:w="4200" w:type="dxa"/>
            <w:vAlign w:val="bottom"/>
          </w:tcPr>
          <w:p>
            <w:pPr>
              <w:spacing w:after="0" w:line="168" w:lineRule="exact"/>
              <w:rPr>
                <w:sz w:val="20"/>
                <w:szCs w:val="20"/>
                <w:color w:val="auto"/>
              </w:rPr>
            </w:pPr>
            <w:r>
              <w:rPr>
                <w:rFonts w:ascii="Arial" w:cs="Arial" w:eastAsia="Arial" w:hAnsi="Arial"/>
                <w:sz w:val="16"/>
                <w:szCs w:val="16"/>
                <w:color w:val="auto"/>
              </w:rPr>
              <w:t>Barry G. Steele</w:t>
            </w:r>
          </w:p>
        </w:tc>
      </w:tr>
      <w:tr>
        <w:trPr>
          <w:trHeight w:val="199"/>
        </w:trPr>
        <w:tc>
          <w:tcPr>
            <w:tcW w:w="3800" w:type="dxa"/>
            <w:vAlign w:val="bottom"/>
          </w:tcPr>
          <w:p>
            <w:pPr>
              <w:spacing w:after="0"/>
              <w:rPr>
                <w:sz w:val="17"/>
                <w:szCs w:val="17"/>
                <w:color w:val="auto"/>
              </w:rPr>
            </w:pPr>
          </w:p>
        </w:tc>
        <w:tc>
          <w:tcPr>
            <w:tcW w:w="3440" w:type="dxa"/>
            <w:vAlign w:val="bottom"/>
          </w:tcPr>
          <w:p>
            <w:pPr>
              <w:ind w:left="2920"/>
              <w:spacing w:after="0"/>
              <w:rPr>
                <w:sz w:val="20"/>
                <w:szCs w:val="20"/>
                <w:color w:val="auto"/>
              </w:rPr>
            </w:pPr>
            <w:r>
              <w:rPr>
                <w:rFonts w:ascii="Arial" w:cs="Arial" w:eastAsia="Arial" w:hAnsi="Arial"/>
                <w:sz w:val="16"/>
                <w:szCs w:val="16"/>
                <w:color w:val="auto"/>
              </w:rPr>
              <w:t>Title:</w:t>
            </w:r>
          </w:p>
        </w:tc>
        <w:tc>
          <w:tcPr>
            <w:tcW w:w="420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363"/>
        </w:trPr>
        <w:tc>
          <w:tcPr>
            <w:tcW w:w="3800" w:type="dxa"/>
            <w:vAlign w:val="bottom"/>
          </w:tcPr>
          <w:p>
            <w:pPr>
              <w:spacing w:after="0"/>
              <w:rPr>
                <w:sz w:val="24"/>
                <w:szCs w:val="24"/>
                <w:color w:val="auto"/>
              </w:rPr>
            </w:pPr>
          </w:p>
        </w:tc>
        <w:tc>
          <w:tcPr>
            <w:tcW w:w="7640" w:type="dxa"/>
            <w:vAlign w:val="bottom"/>
            <w:gridSpan w:val="2"/>
          </w:tcPr>
          <w:p>
            <w:pPr>
              <w:ind w:left="2920"/>
              <w:spacing w:after="0"/>
              <w:rPr>
                <w:sz w:val="20"/>
                <w:szCs w:val="20"/>
                <w:color w:val="auto"/>
              </w:rPr>
            </w:pPr>
            <w:r>
              <w:rPr>
                <w:rFonts w:ascii="Arial" w:cs="Arial" w:eastAsia="Arial" w:hAnsi="Arial"/>
                <w:sz w:val="16"/>
                <w:szCs w:val="16"/>
                <w:b w:val="1"/>
                <w:bCs w:val="1"/>
                <w:color w:val="auto"/>
              </w:rPr>
              <w:t>GENTHERM (TEXAS), INC.</w:t>
            </w:r>
            <w:r>
              <w:rPr>
                <w:rFonts w:ascii="Arial" w:cs="Arial" w:eastAsia="Arial" w:hAnsi="Arial"/>
                <w:sz w:val="16"/>
                <w:szCs w:val="16"/>
                <w:color w:val="auto"/>
              </w:rPr>
              <w:t>,</w:t>
            </w:r>
          </w:p>
        </w:tc>
      </w:tr>
      <w:tr>
        <w:trPr>
          <w:trHeight w:val="199"/>
        </w:trPr>
        <w:tc>
          <w:tcPr>
            <w:tcW w:w="3800" w:type="dxa"/>
            <w:vAlign w:val="bottom"/>
          </w:tcPr>
          <w:p>
            <w:pPr>
              <w:spacing w:after="0"/>
              <w:rPr>
                <w:sz w:val="17"/>
                <w:szCs w:val="17"/>
                <w:color w:val="auto"/>
              </w:rPr>
            </w:pPr>
          </w:p>
        </w:tc>
        <w:tc>
          <w:tcPr>
            <w:tcW w:w="7640" w:type="dxa"/>
            <w:vAlign w:val="bottom"/>
            <w:gridSpan w:val="2"/>
          </w:tcPr>
          <w:p>
            <w:pPr>
              <w:ind w:left="2920"/>
              <w:spacing w:after="0"/>
              <w:rPr>
                <w:sz w:val="20"/>
                <w:szCs w:val="20"/>
                <w:color w:val="auto"/>
              </w:rPr>
            </w:pPr>
            <w:r>
              <w:rPr>
                <w:rFonts w:ascii="Arial" w:cs="Arial" w:eastAsia="Arial" w:hAnsi="Arial"/>
                <w:sz w:val="16"/>
                <w:szCs w:val="16"/>
                <w:color w:val="auto"/>
              </w:rPr>
              <w:t>a Texas corporation</w:t>
            </w:r>
          </w:p>
        </w:tc>
      </w:tr>
      <w:tr>
        <w:trPr>
          <w:trHeight w:val="375"/>
        </w:trPr>
        <w:tc>
          <w:tcPr>
            <w:tcW w:w="3800" w:type="dxa"/>
            <w:vAlign w:val="bottom"/>
          </w:tcPr>
          <w:p>
            <w:pPr>
              <w:spacing w:after="0"/>
              <w:rPr>
                <w:sz w:val="24"/>
                <w:szCs w:val="24"/>
                <w:color w:val="auto"/>
              </w:rPr>
            </w:pPr>
          </w:p>
        </w:tc>
        <w:tc>
          <w:tcPr>
            <w:tcW w:w="3440" w:type="dxa"/>
            <w:vAlign w:val="bottom"/>
          </w:tcPr>
          <w:p>
            <w:pPr>
              <w:ind w:left="2920"/>
              <w:spacing w:after="0"/>
              <w:rPr>
                <w:sz w:val="20"/>
                <w:szCs w:val="20"/>
                <w:color w:val="auto"/>
              </w:rPr>
            </w:pPr>
            <w:r>
              <w:rPr>
                <w:rFonts w:ascii="Arial" w:cs="Arial" w:eastAsia="Arial" w:hAnsi="Arial"/>
                <w:sz w:val="16"/>
                <w:szCs w:val="16"/>
                <w:color w:val="auto"/>
              </w:rPr>
              <w:t>By:</w:t>
            </w:r>
          </w:p>
        </w:tc>
        <w:tc>
          <w:tcPr>
            <w:tcW w:w="4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Barry G. Steele</w:t>
            </w:r>
          </w:p>
        </w:tc>
      </w:tr>
      <w:tr>
        <w:trPr>
          <w:trHeight w:val="168"/>
        </w:trPr>
        <w:tc>
          <w:tcPr>
            <w:tcW w:w="3800" w:type="dxa"/>
            <w:vAlign w:val="bottom"/>
          </w:tcPr>
          <w:p>
            <w:pPr>
              <w:spacing w:after="0"/>
              <w:rPr>
                <w:sz w:val="14"/>
                <w:szCs w:val="14"/>
                <w:color w:val="auto"/>
              </w:rPr>
            </w:pPr>
          </w:p>
        </w:tc>
        <w:tc>
          <w:tcPr>
            <w:tcW w:w="3440" w:type="dxa"/>
            <w:vAlign w:val="bottom"/>
          </w:tcPr>
          <w:p>
            <w:pPr>
              <w:ind w:left="2920"/>
              <w:spacing w:after="0" w:line="168" w:lineRule="exact"/>
              <w:rPr>
                <w:sz w:val="20"/>
                <w:szCs w:val="20"/>
                <w:color w:val="auto"/>
              </w:rPr>
            </w:pPr>
            <w:r>
              <w:rPr>
                <w:rFonts w:ascii="Arial" w:cs="Arial" w:eastAsia="Arial" w:hAnsi="Arial"/>
                <w:sz w:val="16"/>
                <w:szCs w:val="16"/>
                <w:color w:val="auto"/>
              </w:rPr>
              <w:t>Name:</w:t>
            </w:r>
          </w:p>
        </w:tc>
        <w:tc>
          <w:tcPr>
            <w:tcW w:w="4200" w:type="dxa"/>
            <w:vAlign w:val="bottom"/>
          </w:tcPr>
          <w:p>
            <w:pPr>
              <w:spacing w:after="0" w:line="168" w:lineRule="exact"/>
              <w:rPr>
                <w:sz w:val="20"/>
                <w:szCs w:val="20"/>
                <w:color w:val="auto"/>
              </w:rPr>
            </w:pPr>
            <w:r>
              <w:rPr>
                <w:rFonts w:ascii="Arial" w:cs="Arial" w:eastAsia="Arial" w:hAnsi="Arial"/>
                <w:sz w:val="16"/>
                <w:szCs w:val="16"/>
                <w:color w:val="auto"/>
              </w:rPr>
              <w:t>Barry G. Steele</w:t>
            </w:r>
          </w:p>
        </w:tc>
      </w:tr>
      <w:tr>
        <w:trPr>
          <w:trHeight w:val="199"/>
        </w:trPr>
        <w:tc>
          <w:tcPr>
            <w:tcW w:w="3800" w:type="dxa"/>
            <w:vAlign w:val="bottom"/>
          </w:tcPr>
          <w:p>
            <w:pPr>
              <w:spacing w:after="0"/>
              <w:rPr>
                <w:sz w:val="17"/>
                <w:szCs w:val="17"/>
                <w:color w:val="auto"/>
              </w:rPr>
            </w:pPr>
          </w:p>
        </w:tc>
        <w:tc>
          <w:tcPr>
            <w:tcW w:w="3440" w:type="dxa"/>
            <w:vAlign w:val="bottom"/>
          </w:tcPr>
          <w:p>
            <w:pPr>
              <w:ind w:left="2920"/>
              <w:spacing w:after="0"/>
              <w:rPr>
                <w:sz w:val="20"/>
                <w:szCs w:val="20"/>
                <w:color w:val="auto"/>
              </w:rPr>
            </w:pPr>
            <w:r>
              <w:rPr>
                <w:rFonts w:ascii="Arial" w:cs="Arial" w:eastAsia="Arial" w:hAnsi="Arial"/>
                <w:sz w:val="16"/>
                <w:szCs w:val="16"/>
                <w:color w:val="auto"/>
              </w:rPr>
              <w:t>Title:</w:t>
            </w:r>
          </w:p>
        </w:tc>
        <w:tc>
          <w:tcPr>
            <w:tcW w:w="420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363"/>
        </w:trPr>
        <w:tc>
          <w:tcPr>
            <w:tcW w:w="3800" w:type="dxa"/>
            <w:vAlign w:val="bottom"/>
          </w:tcPr>
          <w:p>
            <w:pPr>
              <w:spacing w:after="0"/>
              <w:rPr>
                <w:sz w:val="24"/>
                <w:szCs w:val="24"/>
                <w:color w:val="auto"/>
              </w:rPr>
            </w:pPr>
          </w:p>
        </w:tc>
        <w:tc>
          <w:tcPr>
            <w:tcW w:w="7640" w:type="dxa"/>
            <w:vAlign w:val="bottom"/>
            <w:gridSpan w:val="2"/>
          </w:tcPr>
          <w:p>
            <w:pPr>
              <w:ind w:left="2920"/>
              <w:spacing w:after="0"/>
              <w:rPr>
                <w:sz w:val="20"/>
                <w:szCs w:val="20"/>
                <w:color w:val="auto"/>
              </w:rPr>
            </w:pPr>
            <w:r>
              <w:rPr>
                <w:rFonts w:ascii="Arial" w:cs="Arial" w:eastAsia="Arial" w:hAnsi="Arial"/>
                <w:sz w:val="16"/>
                <w:szCs w:val="16"/>
                <w:b w:val="1"/>
                <w:bCs w:val="1"/>
                <w:color w:val="auto"/>
              </w:rPr>
              <w:t>WESTRIDGE HAGGERTY LLC</w:t>
            </w:r>
            <w:r>
              <w:rPr>
                <w:rFonts w:ascii="Arial" w:cs="Arial" w:eastAsia="Arial" w:hAnsi="Arial"/>
                <w:sz w:val="16"/>
                <w:szCs w:val="16"/>
                <w:color w:val="auto"/>
              </w:rPr>
              <w:t>,</w:t>
            </w:r>
          </w:p>
        </w:tc>
      </w:tr>
      <w:tr>
        <w:trPr>
          <w:trHeight w:val="199"/>
        </w:trPr>
        <w:tc>
          <w:tcPr>
            <w:tcW w:w="3800" w:type="dxa"/>
            <w:vAlign w:val="bottom"/>
          </w:tcPr>
          <w:p>
            <w:pPr>
              <w:spacing w:after="0"/>
              <w:rPr>
                <w:sz w:val="17"/>
                <w:szCs w:val="17"/>
                <w:color w:val="auto"/>
              </w:rPr>
            </w:pPr>
          </w:p>
        </w:tc>
        <w:tc>
          <w:tcPr>
            <w:tcW w:w="7640" w:type="dxa"/>
            <w:vAlign w:val="bottom"/>
            <w:gridSpan w:val="2"/>
          </w:tcPr>
          <w:p>
            <w:pPr>
              <w:ind w:left="2920"/>
              <w:spacing w:after="0"/>
              <w:rPr>
                <w:sz w:val="20"/>
                <w:szCs w:val="20"/>
                <w:color w:val="auto"/>
              </w:rPr>
            </w:pPr>
            <w:r>
              <w:rPr>
                <w:rFonts w:ascii="Arial" w:cs="Arial" w:eastAsia="Arial" w:hAnsi="Arial"/>
                <w:sz w:val="16"/>
                <w:szCs w:val="16"/>
                <w:color w:val="auto"/>
              </w:rPr>
              <w:t>a Michigan limited liability company</w:t>
            </w:r>
          </w:p>
        </w:tc>
      </w:tr>
      <w:tr>
        <w:trPr>
          <w:trHeight w:val="375"/>
        </w:trPr>
        <w:tc>
          <w:tcPr>
            <w:tcW w:w="3800" w:type="dxa"/>
            <w:vAlign w:val="bottom"/>
          </w:tcPr>
          <w:p>
            <w:pPr>
              <w:spacing w:after="0"/>
              <w:rPr>
                <w:sz w:val="24"/>
                <w:szCs w:val="24"/>
                <w:color w:val="auto"/>
              </w:rPr>
            </w:pPr>
          </w:p>
        </w:tc>
        <w:tc>
          <w:tcPr>
            <w:tcW w:w="3440" w:type="dxa"/>
            <w:vAlign w:val="bottom"/>
          </w:tcPr>
          <w:p>
            <w:pPr>
              <w:ind w:left="2920"/>
              <w:spacing w:after="0"/>
              <w:rPr>
                <w:sz w:val="20"/>
                <w:szCs w:val="20"/>
                <w:color w:val="auto"/>
              </w:rPr>
            </w:pPr>
            <w:r>
              <w:rPr>
                <w:rFonts w:ascii="Arial" w:cs="Arial" w:eastAsia="Arial" w:hAnsi="Arial"/>
                <w:sz w:val="16"/>
                <w:szCs w:val="16"/>
                <w:color w:val="auto"/>
              </w:rPr>
              <w:t>By:</w:t>
            </w:r>
          </w:p>
        </w:tc>
        <w:tc>
          <w:tcPr>
            <w:tcW w:w="4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Barry G. Steele</w:t>
            </w:r>
          </w:p>
        </w:tc>
      </w:tr>
      <w:tr>
        <w:trPr>
          <w:trHeight w:val="168"/>
        </w:trPr>
        <w:tc>
          <w:tcPr>
            <w:tcW w:w="3800" w:type="dxa"/>
            <w:vAlign w:val="bottom"/>
          </w:tcPr>
          <w:p>
            <w:pPr>
              <w:spacing w:after="0"/>
              <w:rPr>
                <w:sz w:val="14"/>
                <w:szCs w:val="14"/>
                <w:color w:val="auto"/>
              </w:rPr>
            </w:pPr>
          </w:p>
        </w:tc>
        <w:tc>
          <w:tcPr>
            <w:tcW w:w="3440" w:type="dxa"/>
            <w:vAlign w:val="bottom"/>
          </w:tcPr>
          <w:p>
            <w:pPr>
              <w:ind w:left="2920"/>
              <w:spacing w:after="0" w:line="168" w:lineRule="exact"/>
              <w:rPr>
                <w:sz w:val="20"/>
                <w:szCs w:val="20"/>
                <w:color w:val="auto"/>
              </w:rPr>
            </w:pPr>
            <w:r>
              <w:rPr>
                <w:rFonts w:ascii="Arial" w:cs="Arial" w:eastAsia="Arial" w:hAnsi="Arial"/>
                <w:sz w:val="16"/>
                <w:szCs w:val="16"/>
                <w:color w:val="auto"/>
              </w:rPr>
              <w:t>Name:</w:t>
            </w:r>
          </w:p>
        </w:tc>
        <w:tc>
          <w:tcPr>
            <w:tcW w:w="4200" w:type="dxa"/>
            <w:vAlign w:val="bottom"/>
          </w:tcPr>
          <w:p>
            <w:pPr>
              <w:spacing w:after="0" w:line="168" w:lineRule="exact"/>
              <w:rPr>
                <w:sz w:val="20"/>
                <w:szCs w:val="20"/>
                <w:color w:val="auto"/>
              </w:rPr>
            </w:pPr>
            <w:r>
              <w:rPr>
                <w:rFonts w:ascii="Arial" w:cs="Arial" w:eastAsia="Arial" w:hAnsi="Arial"/>
                <w:sz w:val="16"/>
                <w:szCs w:val="16"/>
                <w:color w:val="auto"/>
              </w:rPr>
              <w:t>Barry G. Steele</w:t>
            </w:r>
          </w:p>
        </w:tc>
      </w:tr>
      <w:tr>
        <w:trPr>
          <w:trHeight w:val="199"/>
        </w:trPr>
        <w:tc>
          <w:tcPr>
            <w:tcW w:w="3800" w:type="dxa"/>
            <w:vAlign w:val="bottom"/>
          </w:tcPr>
          <w:p>
            <w:pPr>
              <w:spacing w:after="0"/>
              <w:rPr>
                <w:sz w:val="17"/>
                <w:szCs w:val="17"/>
                <w:color w:val="auto"/>
              </w:rPr>
            </w:pPr>
          </w:p>
        </w:tc>
        <w:tc>
          <w:tcPr>
            <w:tcW w:w="3440" w:type="dxa"/>
            <w:vAlign w:val="bottom"/>
          </w:tcPr>
          <w:p>
            <w:pPr>
              <w:ind w:left="2920"/>
              <w:spacing w:after="0"/>
              <w:rPr>
                <w:sz w:val="20"/>
                <w:szCs w:val="20"/>
                <w:color w:val="auto"/>
              </w:rPr>
            </w:pPr>
            <w:r>
              <w:rPr>
                <w:rFonts w:ascii="Arial" w:cs="Arial" w:eastAsia="Arial" w:hAnsi="Arial"/>
                <w:sz w:val="16"/>
                <w:szCs w:val="16"/>
                <w:color w:val="auto"/>
              </w:rPr>
              <w:t>Title:</w:t>
            </w:r>
          </w:p>
        </w:tc>
        <w:tc>
          <w:tcPr>
            <w:tcW w:w="420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440"/>
          </w:cols>
          <w:pgMar w:left="240" w:top="339" w:right="219" w:bottom="1440" w:gutter="0" w:footer="0" w:header="0"/>
        </w:sectPr>
      </w:pPr>
    </w:p>
    <w:bookmarkStart w:id="203" w:name="page204"/>
    <w:bookmarkEnd w:id="203"/>
    <w:p>
      <w:pPr>
        <w:spacing w:after="0"/>
        <w:rPr>
          <w:sz w:val="20"/>
          <w:szCs w:val="20"/>
          <w:color w:val="auto"/>
        </w:rPr>
      </w:pPr>
      <w:r>
        <w:rPr>
          <w:rFonts w:ascii="Arial" w:cs="Arial" w:eastAsia="Arial" w:hAnsi="Arial"/>
          <w:sz w:val="16"/>
          <w:szCs w:val="16"/>
          <w:color w:val="auto"/>
        </w:rPr>
        <w:t>Accepted and agreed to as of the date first above written.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BANK OF AMERICA, N.A.</w:t>
      </w:r>
      <w:r>
        <w:rPr>
          <w:rFonts w:ascii="Arial" w:cs="Arial" w:eastAsia="Arial" w:hAnsi="Arial"/>
          <w:sz w:val="16"/>
          <w:szCs w:val="16"/>
          <w:color w:val="auto"/>
        </w:rPr>
        <w:t>, as Administrative Agent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0" w:type="dxa"/>
            <w:vAlign w:val="bottom"/>
          </w:tcPr>
          <w:p>
            <w:pPr>
              <w:spacing w:after="0"/>
              <w:rPr>
                <w:sz w:val="20"/>
                <w:szCs w:val="20"/>
                <w:color w:val="auto"/>
              </w:rPr>
            </w:pPr>
            <w:r>
              <w:rPr>
                <w:rFonts w:ascii="Arial" w:cs="Arial" w:eastAsia="Arial" w:hAnsi="Arial"/>
                <w:sz w:val="16"/>
                <w:szCs w:val="16"/>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Laura Call</w:t>
            </w:r>
          </w:p>
        </w:tc>
      </w:tr>
      <w:tr>
        <w:trPr>
          <w:trHeight w:val="168"/>
        </w:trPr>
        <w:tc>
          <w:tcPr>
            <w:tcW w:w="660" w:type="dxa"/>
            <w:vAlign w:val="bottom"/>
          </w:tcPr>
          <w:p>
            <w:pPr>
              <w:spacing w:after="0" w:line="168" w:lineRule="exact"/>
              <w:rPr>
                <w:sz w:val="20"/>
                <w:szCs w:val="20"/>
                <w:color w:val="auto"/>
              </w:rPr>
            </w:pPr>
            <w:r>
              <w:rPr>
                <w:rFonts w:ascii="Arial" w:cs="Arial" w:eastAsia="Arial" w:hAnsi="Arial"/>
                <w:sz w:val="16"/>
                <w:szCs w:val="16"/>
                <w:color w:val="auto"/>
              </w:rPr>
              <w:t>Name:</w:t>
            </w:r>
          </w:p>
        </w:tc>
        <w:tc>
          <w:tcPr>
            <w:tcW w:w="3900" w:type="dxa"/>
            <w:vAlign w:val="bottom"/>
          </w:tcPr>
          <w:p>
            <w:pPr>
              <w:spacing w:after="0" w:line="168" w:lineRule="exact"/>
              <w:rPr>
                <w:sz w:val="20"/>
                <w:szCs w:val="20"/>
                <w:color w:val="auto"/>
              </w:rPr>
            </w:pPr>
            <w:r>
              <w:rPr>
                <w:rFonts w:ascii="Arial" w:cs="Arial" w:eastAsia="Arial" w:hAnsi="Arial"/>
                <w:sz w:val="16"/>
                <w:szCs w:val="16"/>
                <w:color w:val="auto"/>
              </w:rPr>
              <w:t>Laura Call</w:t>
            </w:r>
          </w:p>
        </w:tc>
      </w:tr>
      <w:tr>
        <w:trPr>
          <w:trHeight w:val="199"/>
        </w:trPr>
        <w:tc>
          <w:tcPr>
            <w:tcW w:w="660" w:type="dxa"/>
            <w:vAlign w:val="bottom"/>
          </w:tcPr>
          <w:p>
            <w:pPr>
              <w:spacing w:after="0"/>
              <w:rPr>
                <w:sz w:val="20"/>
                <w:szCs w:val="20"/>
                <w:color w:val="auto"/>
              </w:rPr>
            </w:pPr>
            <w:r>
              <w:rPr>
                <w:rFonts w:ascii="Arial" w:cs="Arial" w:eastAsia="Arial" w:hAnsi="Arial"/>
                <w:sz w:val="16"/>
                <w:szCs w:val="16"/>
                <w:color w:val="auto"/>
              </w:rPr>
              <w:t>Title:</w:t>
            </w:r>
          </w:p>
        </w:tc>
        <w:tc>
          <w:tcPr>
            <w:tcW w:w="3900" w:type="dxa"/>
            <w:vAlign w:val="bottom"/>
          </w:tcPr>
          <w:p>
            <w:pPr>
              <w:spacing w:after="0"/>
              <w:rPr>
                <w:sz w:val="20"/>
                <w:szCs w:val="20"/>
                <w:color w:val="auto"/>
              </w:rPr>
            </w:pPr>
            <w:r>
              <w:rPr>
                <w:rFonts w:ascii="Arial" w:cs="Arial" w:eastAsia="Arial" w:hAnsi="Arial"/>
                <w:sz w:val="16"/>
                <w:szCs w:val="16"/>
                <w:color w:val="auto"/>
              </w:rPr>
              <w:t>Assistant Vice President</w:t>
            </w:r>
          </w:p>
        </w:tc>
      </w:tr>
    </w:tbl>
    <w:p>
      <w:pPr>
        <w:sectPr>
          <w:pgSz w:w="11900" w:h="16838" w:orient="portrait"/>
          <w:cols w:equalWidth="0" w:num="1">
            <w:col w:w="10219"/>
          </w:cols>
          <w:pgMar w:left="240" w:top="338" w:right="1440" w:bottom="1440" w:gutter="0" w:footer="0" w:header="0"/>
        </w:sectPr>
      </w:pPr>
    </w:p>
    <w:bookmarkStart w:id="204" w:name="page205"/>
    <w:bookmarkEnd w:id="204"/>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188"/>
        </w:trPr>
        <w:tc>
          <w:tcPr>
            <w:tcW w:w="2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260" w:type="dxa"/>
            <w:vAlign w:val="bottom"/>
          </w:tcPr>
          <w:p>
            <w:pPr>
              <w:jc w:val="right"/>
              <w:spacing w:after="0"/>
              <w:rPr>
                <w:sz w:val="20"/>
                <w:szCs w:val="20"/>
                <w:color w:val="auto"/>
              </w:rPr>
            </w:pPr>
            <w:r>
              <w:rPr>
                <w:rFonts w:ascii="Arial" w:cs="Arial" w:eastAsia="Arial" w:hAnsi="Arial"/>
                <w:sz w:val="16"/>
                <w:szCs w:val="16"/>
                <w:color w:val="auto"/>
              </w:rPr>
              <w:t>ANNEX I</w:t>
            </w:r>
          </w:p>
        </w:tc>
      </w:tr>
      <w:tr>
        <w:trPr>
          <w:trHeight w:val="199"/>
        </w:trPr>
        <w:tc>
          <w:tcPr>
            <w:tcW w:w="2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260" w:type="dxa"/>
            <w:vAlign w:val="bottom"/>
          </w:tcPr>
          <w:p>
            <w:pPr>
              <w:jc w:val="right"/>
              <w:spacing w:after="0"/>
              <w:rPr>
                <w:sz w:val="20"/>
                <w:szCs w:val="20"/>
                <w:color w:val="auto"/>
              </w:rPr>
            </w:pPr>
            <w:r>
              <w:rPr>
                <w:rFonts w:ascii="Arial" w:cs="Arial" w:eastAsia="Arial" w:hAnsi="Arial"/>
                <w:sz w:val="16"/>
                <w:szCs w:val="16"/>
                <w:color w:val="auto"/>
              </w:rPr>
              <w:t>to Security Agreement</w:t>
            </w:r>
          </w:p>
        </w:tc>
      </w:tr>
      <w:tr>
        <w:trPr>
          <w:trHeight w:val="359"/>
        </w:trPr>
        <w:tc>
          <w:tcPr>
            <w:tcW w:w="2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20" w:type="dxa"/>
            <w:vAlign w:val="bottom"/>
            <w:gridSpan w:val="3"/>
          </w:tcPr>
          <w:p>
            <w:pPr>
              <w:jc w:val="right"/>
              <w:ind w:right="4982"/>
              <w:spacing w:after="0"/>
              <w:rPr>
                <w:sz w:val="20"/>
                <w:szCs w:val="20"/>
                <w:color w:val="auto"/>
              </w:rPr>
            </w:pPr>
            <w:r>
              <w:rPr>
                <w:rFonts w:ascii="Arial" w:cs="Arial" w:eastAsia="Arial" w:hAnsi="Arial"/>
                <w:sz w:val="16"/>
                <w:szCs w:val="16"/>
                <w:b w:val="1"/>
                <w:bCs w:val="1"/>
                <w:color w:val="auto"/>
              </w:rPr>
              <w:t>SUPPLEMENT TO</w:t>
            </w:r>
          </w:p>
        </w:tc>
      </w:tr>
      <w:tr>
        <w:trPr>
          <w:trHeight w:val="169"/>
        </w:trPr>
        <w:tc>
          <w:tcPr>
            <w:tcW w:w="2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80" w:type="dxa"/>
            <w:vAlign w:val="bottom"/>
            <w:tcBorders>
              <w:bottom w:val="single" w:sz="8" w:color="auto"/>
            </w:tcBorders>
            <w:gridSpan w:val="3"/>
          </w:tcPr>
          <w:p>
            <w:pPr>
              <w:jc w:val="right"/>
              <w:spacing w:after="0" w:line="169" w:lineRule="exact"/>
              <w:rPr>
                <w:sz w:val="20"/>
                <w:szCs w:val="20"/>
                <w:color w:val="auto"/>
              </w:rPr>
            </w:pPr>
            <w:r>
              <w:rPr>
                <w:rFonts w:ascii="Arial" w:cs="Arial" w:eastAsia="Arial" w:hAnsi="Arial"/>
                <w:sz w:val="16"/>
                <w:szCs w:val="16"/>
                <w:b w:val="1"/>
                <w:bCs w:val="1"/>
                <w:color w:val="auto"/>
                <w:w w:val="96"/>
              </w:rPr>
              <w:t>PLEDGE AND SECURITY AGREEMENT</w:t>
            </w:r>
          </w:p>
        </w:tc>
        <w:tc>
          <w:tcPr>
            <w:tcW w:w="4260" w:type="dxa"/>
            <w:vAlign w:val="bottom"/>
          </w:tcPr>
          <w:p>
            <w:pPr>
              <w:spacing w:after="0"/>
              <w:rPr>
                <w:sz w:val="14"/>
                <w:szCs w:val="14"/>
                <w:color w:val="auto"/>
              </w:rPr>
            </w:pPr>
          </w:p>
        </w:tc>
      </w:tr>
      <w:tr>
        <w:trPr>
          <w:trHeight w:val="355"/>
        </w:trPr>
        <w:tc>
          <w:tcPr>
            <w:tcW w:w="2120" w:type="dxa"/>
            <w:vAlign w:val="bottom"/>
          </w:tcPr>
          <w:p>
            <w:pPr>
              <w:spacing w:after="0"/>
              <w:rPr>
                <w:sz w:val="20"/>
                <w:szCs w:val="20"/>
                <w:color w:val="auto"/>
              </w:rPr>
            </w:pPr>
            <w:r>
              <w:rPr>
                <w:rFonts w:ascii="Arial" w:cs="Arial" w:eastAsia="Arial" w:hAnsi="Arial"/>
                <w:sz w:val="16"/>
                <w:szCs w:val="16"/>
                <w:color w:val="auto"/>
                <w:w w:val="90"/>
              </w:rPr>
              <w:t>This SUPPLEMENT, dated as of</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7140" w:type="dxa"/>
            <w:vAlign w:val="bottom"/>
            <w:gridSpan w:val="4"/>
          </w:tcPr>
          <w:p>
            <w:pPr>
              <w:jc w:val="right"/>
              <w:spacing w:after="0"/>
              <w:rPr>
                <w:sz w:val="20"/>
                <w:szCs w:val="20"/>
                <w:color w:val="auto"/>
              </w:rPr>
            </w:pPr>
            <w:r>
              <w:rPr>
                <w:rFonts w:ascii="Arial" w:cs="Arial" w:eastAsia="Arial" w:hAnsi="Arial"/>
                <w:sz w:val="16"/>
                <w:szCs w:val="16"/>
                <w:color w:val="auto"/>
                <w:w w:val="88"/>
              </w:rPr>
              <w:t>(this “Supplement”), is to the Pledge and Security Agreement, dated as of August 7, 2014 (as amended, restated,</w:t>
            </w:r>
          </w:p>
        </w:tc>
      </w:tr>
      <w:tr>
        <w:trPr>
          <w:trHeight w:val="20"/>
        </w:trPr>
        <w:tc>
          <w:tcPr>
            <w:tcW w:w="2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bl>
    <w:p>
      <w:pPr>
        <w:spacing w:after="0" w:line="11"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extended, supplemented or otherwise modified from time to time, the “</w:t>
      </w:r>
      <w:r>
        <w:rPr>
          <w:rFonts w:ascii="Arial" w:cs="Arial" w:eastAsia="Arial" w:hAnsi="Arial"/>
          <w:sz w:val="16"/>
          <w:szCs w:val="16"/>
          <w:u w:val="single" w:color="auto"/>
          <w:color w:val="auto"/>
        </w:rPr>
        <w:t>Security Agreement</w:t>
      </w:r>
      <w:r>
        <w:rPr>
          <w:rFonts w:ascii="Arial" w:cs="Arial" w:eastAsia="Arial" w:hAnsi="Arial"/>
          <w:sz w:val="16"/>
          <w:szCs w:val="16"/>
          <w:color w:val="auto"/>
        </w:rPr>
        <w:t>”), among the Grantors (such term, and other terms used in this Supplement, to have the meanings set forth in Article I of the Security Agreement) from time to time party thereto, in favor of BANK OF AMERICA, N.A., as the administrative agent (together with its successor(s) thereto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each of the Secured Parties.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 I T N E S SETH:</w:t>
      </w:r>
    </w:p>
    <w:p>
      <w:pPr>
        <w:spacing w:after="0" w:line="191" w:lineRule="exact"/>
        <w:rPr>
          <w:sz w:val="20"/>
          <w:szCs w:val="20"/>
          <w:color w:val="auto"/>
        </w:rPr>
      </w:pPr>
    </w:p>
    <w:p>
      <w:pPr>
        <w:jc w:val="both"/>
        <w:ind w:firstLine="519"/>
        <w:spacing w:after="0" w:line="268" w:lineRule="auto"/>
        <w:rPr>
          <w:sz w:val="20"/>
          <w:szCs w:val="20"/>
          <w:color w:val="auto"/>
        </w:rPr>
      </w:pPr>
      <w:r>
        <w:rPr>
          <w:rFonts w:ascii="Arial" w:cs="Arial" w:eastAsia="Arial" w:hAnsi="Arial"/>
          <w:sz w:val="15"/>
          <w:szCs w:val="15"/>
          <w:color w:val="auto"/>
        </w:rPr>
        <w:t>WHEREAS, pursuant to that certain Credit Agreement, dated as of August 7, 2014 (as amended, restated, extended, supplemented or otherwise modified from time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among the Company, Gentherm GmbH, a German limited liability company (“</w:t>
      </w:r>
      <w:r>
        <w:rPr>
          <w:rFonts w:ascii="Arial" w:cs="Arial" w:eastAsia="Arial" w:hAnsi="Arial"/>
          <w:sz w:val="15"/>
          <w:szCs w:val="15"/>
          <w:u w:val="single" w:color="auto"/>
          <w:color w:val="auto"/>
        </w:rPr>
        <w:t>Gentherm Germany</w:t>
      </w:r>
      <w:r>
        <w:rPr>
          <w:rFonts w:ascii="Arial" w:cs="Arial" w:eastAsia="Arial" w:hAnsi="Arial"/>
          <w:sz w:val="15"/>
          <w:szCs w:val="15"/>
          <w:color w:val="auto"/>
        </w:rPr>
        <w:t>”), Gentherm (Texas), Inc., a Texas corporation (“</w:t>
      </w:r>
      <w:r>
        <w:rPr>
          <w:rFonts w:ascii="Arial" w:cs="Arial" w:eastAsia="Arial" w:hAnsi="Arial"/>
          <w:sz w:val="15"/>
          <w:szCs w:val="15"/>
          <w:u w:val="single" w:color="auto"/>
          <w:color w:val="auto"/>
        </w:rPr>
        <w:t>Gentherm Texas</w:t>
      </w:r>
      <w:r>
        <w:rPr>
          <w:rFonts w:ascii="Arial" w:cs="Arial" w:eastAsia="Arial" w:hAnsi="Arial"/>
          <w:sz w:val="15"/>
          <w:szCs w:val="15"/>
          <w:color w:val="auto"/>
        </w:rPr>
        <w:t>” and, together with the Company, the “</w:t>
      </w:r>
      <w:r>
        <w:rPr>
          <w:rFonts w:ascii="Arial" w:cs="Arial" w:eastAsia="Arial" w:hAnsi="Arial"/>
          <w:sz w:val="15"/>
          <w:szCs w:val="15"/>
          <w:u w:val="single" w:color="auto"/>
          <w:color w:val="auto"/>
        </w:rPr>
        <w:t>U.S. Borrowers</w:t>
      </w:r>
      <w:r>
        <w:rPr>
          <w:rFonts w:ascii="Arial" w:cs="Arial" w:eastAsia="Arial" w:hAnsi="Arial"/>
          <w:sz w:val="15"/>
          <w:szCs w:val="15"/>
          <w:color w:val="auto"/>
        </w:rPr>
        <w:t>”), Gentherm Canada Ltd., an Ontario corporation (“</w:t>
      </w:r>
      <w:r>
        <w:rPr>
          <w:rFonts w:ascii="Arial" w:cs="Arial" w:eastAsia="Arial" w:hAnsi="Arial"/>
          <w:sz w:val="15"/>
          <w:szCs w:val="15"/>
          <w:u w:val="single" w:color="auto"/>
          <w:color w:val="auto"/>
        </w:rPr>
        <w:t>Gentherm Canada</w:t>
      </w:r>
      <w:r>
        <w:rPr>
          <w:rFonts w:ascii="Arial" w:cs="Arial" w:eastAsia="Arial" w:hAnsi="Arial"/>
          <w:sz w:val="15"/>
          <w:szCs w:val="15"/>
          <w:color w:val="auto"/>
        </w:rPr>
        <w:t>”), Global Thermoelectric Inc., an Alberta corporation (“</w:t>
      </w:r>
      <w:r>
        <w:rPr>
          <w:rFonts w:ascii="Arial" w:cs="Arial" w:eastAsia="Arial" w:hAnsi="Arial"/>
          <w:sz w:val="15"/>
          <w:szCs w:val="15"/>
          <w:u w:val="single" w:color="auto"/>
          <w:color w:val="auto"/>
        </w:rPr>
        <w:t>Global</w:t>
      </w:r>
      <w:r>
        <w:rPr>
          <w:rFonts w:ascii="Arial" w:cs="Arial" w:eastAsia="Arial" w:hAnsi="Arial"/>
          <w:sz w:val="15"/>
          <w:szCs w:val="15"/>
          <w:color w:val="auto"/>
        </w:rPr>
        <w:t>” and, together with Gentherm Canada, the “</w:t>
      </w:r>
      <w:r>
        <w:rPr>
          <w:rFonts w:ascii="Arial" w:cs="Arial" w:eastAsia="Arial" w:hAnsi="Arial"/>
          <w:sz w:val="15"/>
          <w:szCs w:val="15"/>
          <w:u w:val="single" w:color="auto"/>
          <w:color w:val="auto"/>
        </w:rPr>
        <w:t>Canadian Borrowers</w:t>
      </w:r>
      <w:r>
        <w:rPr>
          <w:rFonts w:ascii="Arial" w:cs="Arial" w:eastAsia="Arial" w:hAnsi="Arial"/>
          <w:sz w:val="15"/>
          <w:szCs w:val="15"/>
          <w:color w:val="auto"/>
        </w:rPr>
        <w:t>” and, together with Gentherm Canada, the U.S. Borrowers and Gentherm Germany, the “</w:t>
      </w:r>
      <w:r>
        <w:rPr>
          <w:rFonts w:ascii="Arial" w:cs="Arial" w:eastAsia="Arial" w:hAnsi="Arial"/>
          <w:sz w:val="15"/>
          <w:szCs w:val="15"/>
          <w:u w:val="single" w:color="auto"/>
          <w:color w:val="auto"/>
        </w:rPr>
        <w:t>Borrowers</w:t>
      </w:r>
      <w:r>
        <w:rPr>
          <w:rFonts w:ascii="Arial" w:cs="Arial" w:eastAsia="Arial" w:hAnsi="Arial"/>
          <w:sz w:val="15"/>
          <w:szCs w:val="15"/>
          <w:color w:val="auto"/>
        </w:rPr>
        <w:t>” and each, a “</w:t>
      </w:r>
      <w:r>
        <w:rPr>
          <w:rFonts w:ascii="Arial" w:cs="Arial" w:eastAsia="Arial" w:hAnsi="Arial"/>
          <w:sz w:val="15"/>
          <w:szCs w:val="15"/>
          <w:u w:val="single" w:color="auto"/>
          <w:color w:val="auto"/>
        </w:rPr>
        <w:t>Borrower</w:t>
      </w:r>
      <w:r>
        <w:rPr>
          <w:rFonts w:ascii="Arial" w:cs="Arial" w:eastAsia="Arial" w:hAnsi="Arial"/>
          <w:sz w:val="15"/>
          <w:szCs w:val="15"/>
          <w:color w:val="auto"/>
        </w:rPr>
        <w:t>”), each lender from time to time party thereto and Bank of America, N.A., as Administrative Agent, Swing Line Lender and L/C Issuer, the Lenders have extended Commitments to make Loans to and maintain Loans with the Borrowers;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WHEREAS, pursuant to the provisions of Section 7.6 of the Security Agreement, each of the undersigned is becoming a Grantor under the Security Agreement; and</w:t>
      </w:r>
    </w:p>
    <w:p>
      <w:pPr>
        <w:spacing w:after="0" w:line="203" w:lineRule="exact"/>
        <w:rPr>
          <w:sz w:val="20"/>
          <w:szCs w:val="20"/>
          <w:color w:val="auto"/>
        </w:rPr>
      </w:pPr>
    </w:p>
    <w:p>
      <w:pPr>
        <w:jc w:val="both"/>
        <w:ind w:firstLine="519"/>
        <w:spacing w:after="0" w:line="264" w:lineRule="auto"/>
        <w:rPr>
          <w:sz w:val="20"/>
          <w:szCs w:val="20"/>
          <w:color w:val="auto"/>
        </w:rPr>
      </w:pPr>
      <w:r>
        <w:rPr>
          <w:rFonts w:ascii="Arial" w:cs="Arial" w:eastAsia="Arial" w:hAnsi="Arial"/>
          <w:sz w:val="16"/>
          <w:szCs w:val="16"/>
          <w:color w:val="auto"/>
        </w:rPr>
        <w:t>WHEREAS, each of the undersigned desires to become a “Grantor” under the Security Agreement in order to induce the Lenders to continue to make Loans under the Credit Agreement;</w:t>
      </w:r>
    </w:p>
    <w:p>
      <w:pPr>
        <w:spacing w:after="0" w:line="158" w:lineRule="exact"/>
        <w:rPr>
          <w:sz w:val="20"/>
          <w:szCs w:val="20"/>
          <w:color w:val="auto"/>
        </w:rPr>
      </w:pPr>
    </w:p>
    <w:p>
      <w:pPr>
        <w:jc w:val="both"/>
        <w:ind w:right="20" w:firstLine="519"/>
        <w:spacing w:after="0" w:line="264" w:lineRule="auto"/>
        <w:rPr>
          <w:sz w:val="20"/>
          <w:szCs w:val="20"/>
          <w:color w:val="auto"/>
        </w:rPr>
      </w:pPr>
      <w:r>
        <w:rPr>
          <w:rFonts w:ascii="Arial" w:cs="Arial" w:eastAsia="Arial" w:hAnsi="Arial"/>
          <w:sz w:val="16"/>
          <w:szCs w:val="16"/>
          <w:color w:val="auto"/>
        </w:rPr>
        <w:t>NOW, THEREFORE, for good and valuable consideration, the receipt and sufficiency of which is hereby acknowledged, each of the undersigned agrees, for the benefit of each Secured Party, as follows.</w:t>
      </w:r>
    </w:p>
    <w:p>
      <w:pPr>
        <w:spacing w:after="0" w:line="154" w:lineRule="exact"/>
        <w:rPr>
          <w:sz w:val="20"/>
          <w:szCs w:val="20"/>
          <w:color w:val="auto"/>
        </w:rPr>
      </w:pPr>
    </w:p>
    <w:p>
      <w:pPr>
        <w:jc w:val="both"/>
        <w:ind w:firstLine="519"/>
        <w:spacing w:after="0" w:line="268" w:lineRule="auto"/>
        <w:rPr>
          <w:sz w:val="20"/>
          <w:szCs w:val="20"/>
          <w:color w:val="auto"/>
        </w:rPr>
      </w:pPr>
      <w:r>
        <w:rPr>
          <w:rFonts w:ascii="Arial" w:cs="Arial" w:eastAsia="Arial" w:hAnsi="Arial"/>
          <w:sz w:val="15"/>
          <w:szCs w:val="15"/>
          <w:b w:val="1"/>
          <w:bCs w:val="1"/>
          <w:color w:val="auto"/>
        </w:rPr>
        <w:t xml:space="preserve">SECTION 1. </w:t>
      </w:r>
      <w:r>
        <w:rPr>
          <w:rFonts w:ascii="Arial" w:cs="Arial" w:eastAsia="Arial" w:hAnsi="Arial"/>
          <w:sz w:val="15"/>
          <w:szCs w:val="15"/>
          <w:b w:val="1"/>
          <w:bCs w:val="1"/>
          <w:u w:val="single" w:color="auto"/>
          <w:color w:val="auto"/>
        </w:rPr>
        <w:t>Party to Security Agreement, etc</w:t>
      </w:r>
      <w:r>
        <w:rPr>
          <w:rFonts w:ascii="Arial" w:cs="Arial" w:eastAsia="Arial" w:hAnsi="Arial"/>
          <w:sz w:val="15"/>
          <w:szCs w:val="15"/>
          <w:color w:val="auto"/>
        </w:rPr>
        <w:t>. In accordance with the terms of the Security Agreement, by its signature below each of the undersigned hereby irrevocably</w:t>
      </w:r>
      <w:r>
        <w:rPr>
          <w:rFonts w:ascii="Arial" w:cs="Arial" w:eastAsia="Arial" w:hAnsi="Arial"/>
          <w:sz w:val="15"/>
          <w:szCs w:val="15"/>
          <w:b w:val="1"/>
          <w:bCs w:val="1"/>
          <w:color w:val="auto"/>
        </w:rPr>
        <w:t xml:space="preserve"> </w:t>
      </w:r>
      <w:r>
        <w:rPr>
          <w:rFonts w:ascii="Arial" w:cs="Arial" w:eastAsia="Arial" w:hAnsi="Arial"/>
          <w:sz w:val="15"/>
          <w:szCs w:val="15"/>
          <w:color w:val="auto"/>
        </w:rPr>
        <w:t>agrees to become a Grantor under the Security Agreement with the same force and effect as if it were an original signatory thereto and each of the undersigned hereby (a) creates and grants to the Administrative Agent, its successors and assigns, a security interest in all of the undersigned’s right, title and interest in and to the Collateral to secure the payment and performance of the Obligations of the undersigned, (b) agrees to be bound by and comply with all of the terms and provisions of the Security Agreement applicable to it as a Grantor and (c) represents and warrants that the representations and warranties made by it as a Grantor thereunder are true and correct as of the date hereof, unless stated to relate solely to an earlier date, in which case such representations and warranties shall be true and correct as of such earlier date. In furtherance of the foregoing, each reference to a “Grantor” and/or “Grantors” in the Security Agreement shall be deemed to include each of the undersigned.</w:t>
      </w:r>
    </w:p>
    <w:p>
      <w:pPr>
        <w:spacing w:after="0" w:line="152" w:lineRule="exact"/>
        <w:rPr>
          <w:sz w:val="20"/>
          <w:szCs w:val="20"/>
          <w:color w:val="auto"/>
        </w:rPr>
      </w:pPr>
    </w:p>
    <w:p>
      <w:pPr>
        <w:jc w:val="both"/>
        <w:ind w:firstLine="519"/>
        <w:spacing w:after="0" w:line="387" w:lineRule="auto"/>
        <w:rPr>
          <w:sz w:val="20"/>
          <w:szCs w:val="20"/>
          <w:color w:val="auto"/>
        </w:rPr>
      </w:pPr>
      <w:r>
        <w:rPr>
          <w:rFonts w:ascii="Arial" w:cs="Arial" w:eastAsia="Arial" w:hAnsi="Arial"/>
          <w:sz w:val="13"/>
          <w:szCs w:val="13"/>
          <w:b w:val="1"/>
          <w:bCs w:val="1"/>
          <w:color w:val="auto"/>
        </w:rPr>
        <w:t xml:space="preserve">SECTION 2. </w:t>
      </w:r>
      <w:r>
        <w:rPr>
          <w:rFonts w:ascii="Arial" w:cs="Arial" w:eastAsia="Arial" w:hAnsi="Arial"/>
          <w:sz w:val="13"/>
          <w:szCs w:val="13"/>
          <w:b w:val="1"/>
          <w:bCs w:val="1"/>
          <w:u w:val="single" w:color="auto"/>
          <w:color w:val="auto"/>
        </w:rPr>
        <w:t>Representations</w:t>
      </w:r>
      <w:r>
        <w:rPr>
          <w:rFonts w:ascii="Arial" w:cs="Arial" w:eastAsia="Arial" w:hAnsi="Arial"/>
          <w:sz w:val="13"/>
          <w:szCs w:val="13"/>
          <w:color w:val="auto"/>
        </w:rPr>
        <w:t>. Each of the undersigned hereby represents and warrants that this Supplement has been duly authorized, executed and delivered by it and that</w:t>
      </w:r>
      <w:r>
        <w:rPr>
          <w:rFonts w:ascii="Arial" w:cs="Arial" w:eastAsia="Arial" w:hAnsi="Arial"/>
          <w:sz w:val="13"/>
          <w:szCs w:val="13"/>
          <w:b w:val="1"/>
          <w:bCs w:val="1"/>
          <w:color w:val="auto"/>
        </w:rPr>
        <w:t xml:space="preserve"> </w:t>
      </w:r>
      <w:r>
        <w:rPr>
          <w:rFonts w:ascii="Arial" w:cs="Arial" w:eastAsia="Arial" w:hAnsi="Arial"/>
          <w:sz w:val="13"/>
          <w:szCs w:val="13"/>
          <w:color w:val="auto"/>
        </w:rPr>
        <w:t>this Supplement and the Security Agreement constitute the legal, valid and binding obligation of each of the undersigned, enforceable against it in accordance with its terms.</w:t>
      </w:r>
    </w:p>
    <w:p>
      <w:pPr>
        <w:spacing w:after="0" w:line="81" w:lineRule="exact"/>
        <w:rPr>
          <w:sz w:val="20"/>
          <w:szCs w:val="20"/>
          <w:color w:val="auto"/>
        </w:rPr>
      </w:pPr>
    </w:p>
    <w:p>
      <w:pPr>
        <w:jc w:val="both"/>
        <w:ind w:right="20" w:firstLine="519"/>
        <w:spacing w:after="0" w:line="269" w:lineRule="auto"/>
        <w:rPr>
          <w:sz w:val="20"/>
          <w:szCs w:val="20"/>
          <w:color w:val="auto"/>
        </w:rPr>
      </w:pPr>
      <w:r>
        <w:rPr>
          <w:rFonts w:ascii="Arial" w:cs="Arial" w:eastAsia="Arial" w:hAnsi="Arial"/>
          <w:sz w:val="16"/>
          <w:szCs w:val="16"/>
          <w:b w:val="1"/>
          <w:bCs w:val="1"/>
          <w:color w:val="auto"/>
        </w:rPr>
        <w:t xml:space="preserve">SECTION 3. </w:t>
      </w:r>
      <w:r>
        <w:rPr>
          <w:rFonts w:ascii="Arial" w:cs="Arial" w:eastAsia="Arial" w:hAnsi="Arial"/>
          <w:sz w:val="16"/>
          <w:szCs w:val="16"/>
          <w:b w:val="1"/>
          <w:bCs w:val="1"/>
          <w:u w:val="single" w:color="auto"/>
          <w:color w:val="auto"/>
        </w:rPr>
        <w:t>Full Force of Security Agreement</w:t>
      </w:r>
      <w:r>
        <w:rPr>
          <w:rFonts w:ascii="Arial" w:cs="Arial" w:eastAsia="Arial" w:hAnsi="Arial"/>
          <w:sz w:val="16"/>
          <w:szCs w:val="16"/>
          <w:color w:val="auto"/>
        </w:rPr>
        <w:t>. Except as expressly supplemented hereby, the Security Agreement shall remain unchanged and in full force and effect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its terms.</w:t>
      </w:r>
    </w:p>
    <w:p>
      <w:pPr>
        <w:spacing w:after="0" w:line="150" w:lineRule="exact"/>
        <w:rPr>
          <w:sz w:val="20"/>
          <w:szCs w:val="20"/>
          <w:color w:val="auto"/>
        </w:rPr>
      </w:pPr>
    </w:p>
    <w:p>
      <w:pPr>
        <w:jc w:val="both"/>
        <w:ind w:firstLine="519"/>
        <w:spacing w:after="0" w:line="257" w:lineRule="auto"/>
        <w:rPr>
          <w:sz w:val="20"/>
          <w:szCs w:val="20"/>
          <w:color w:val="auto"/>
        </w:rPr>
      </w:pPr>
      <w:r>
        <w:rPr>
          <w:rFonts w:ascii="Arial" w:cs="Arial" w:eastAsia="Arial" w:hAnsi="Arial"/>
          <w:sz w:val="16"/>
          <w:szCs w:val="16"/>
          <w:b w:val="1"/>
          <w:bCs w:val="1"/>
          <w:color w:val="auto"/>
        </w:rPr>
        <w:t xml:space="preserve">SECTION 4. </w:t>
      </w:r>
      <w:r>
        <w:rPr>
          <w:rFonts w:ascii="Arial" w:cs="Arial" w:eastAsia="Arial" w:hAnsi="Arial"/>
          <w:sz w:val="16"/>
          <w:szCs w:val="16"/>
          <w:b w:val="1"/>
          <w:bCs w:val="1"/>
          <w:u w:val="single" w:color="auto"/>
          <w:color w:val="auto"/>
        </w:rPr>
        <w:t>Incorporation</w:t>
      </w:r>
      <w:r>
        <w:rPr>
          <w:rFonts w:ascii="Arial" w:cs="Arial" w:eastAsia="Arial" w:hAnsi="Arial"/>
          <w:sz w:val="16"/>
          <w:szCs w:val="16"/>
          <w:color w:val="auto"/>
        </w:rPr>
        <w:t>. The provisions of Sections 7.7 thru 7.12, inclusive, of the Security Agreement are incorporated into this Supplement as if fully set forth herein,</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mutatis mutandi</w:t>
      </w:r>
      <w:r>
        <w:rPr>
          <w:rFonts w:ascii="Arial" w:cs="Arial" w:eastAsia="Arial" w:hAnsi="Arial"/>
          <w:sz w:val="16"/>
          <w:szCs w:val="16"/>
          <w:color w:val="auto"/>
        </w:rPr>
        <w:t>; provided that (a) references to any Grantor shall be deemed to be references to the undersigned and (b) references to the Security Agreement shall be deemed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references to this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Annex I-2</w:t>
      </w:r>
    </w:p>
    <w:p>
      <w:pPr>
        <w:sectPr>
          <w:pgSz w:w="11900" w:h="16838" w:orient="portrait"/>
          <w:cols w:equalWidth="0" w:num="1">
            <w:col w:w="11440"/>
          </w:cols>
          <w:pgMar w:left="240" w:top="338" w:right="219" w:bottom="1440" w:gutter="0" w:footer="0" w:header="0"/>
        </w:sectPr>
      </w:pPr>
    </w:p>
    <w:bookmarkStart w:id="205" w:name="page206"/>
    <w:bookmarkEnd w:id="205"/>
    <w:p>
      <w:pPr>
        <w:ind w:left="520"/>
        <w:spacing w:after="0"/>
        <w:rPr>
          <w:sz w:val="20"/>
          <w:szCs w:val="20"/>
          <w:color w:val="auto"/>
        </w:rPr>
      </w:pPr>
      <w:r>
        <w:rPr>
          <w:rFonts w:ascii="Arial" w:cs="Arial" w:eastAsia="Arial" w:hAnsi="Arial"/>
          <w:sz w:val="13"/>
          <w:szCs w:val="13"/>
          <w:color w:val="auto"/>
        </w:rPr>
        <w:t>IN WITNESS WHEREOF, each of the parties hereto has caused this Supplement to be duly executed and delivered by its Responsible Officer as of the date first written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above.</w:t>
      </w:r>
    </w:p>
    <w:p>
      <w:pPr>
        <w:spacing w:after="0" w:line="20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[NAME OF ADDITIONAL SUBSIDIARY]</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4789805</wp:posOffset>
            </wp:positionH>
            <wp:positionV relativeFrom="paragraph">
              <wp:posOffset>-115570</wp:posOffset>
            </wp:positionV>
            <wp:extent cx="247142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71420"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auto"/>
        </w:rPr>
        <w:t>Title: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 to as of the date first above written.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BANK OF AMERICA, N.A., as Administrative Agent</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-115570</wp:posOffset>
            </wp:positionV>
            <wp:extent cx="247142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71420"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Title:</w:t>
      </w:r>
    </w:p>
    <w:p>
      <w:pPr>
        <w:sectPr>
          <w:pgSz w:w="11900" w:h="16838" w:orient="portrait"/>
          <w:cols w:equalWidth="0" w:num="1">
            <w:col w:w="11420"/>
          </w:cols>
          <w:pgMar w:left="240" w:top="338" w:right="23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188"/>
        </w:trPr>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SCHEDULE I</w:t>
            </w:r>
          </w:p>
        </w:tc>
        <w:tc>
          <w:tcPr>
            <w:tcW w:w="0" w:type="dxa"/>
            <w:vAlign w:val="bottom"/>
          </w:tcPr>
          <w:p>
            <w:pPr>
              <w:spacing w:after="0"/>
              <w:rPr>
                <w:sz w:val="1"/>
                <w:szCs w:val="1"/>
                <w:color w:val="auto"/>
              </w:rPr>
            </w:pPr>
          </w:p>
        </w:tc>
      </w:tr>
      <w:tr>
        <w:trPr>
          <w:trHeight w:val="199"/>
        </w:trPr>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w w:val="90"/>
              </w:rPr>
              <w:t>to Security Agreement</w:t>
            </w:r>
          </w:p>
        </w:tc>
        <w:tc>
          <w:tcPr>
            <w:tcW w:w="0" w:type="dxa"/>
            <w:vAlign w:val="bottom"/>
          </w:tcPr>
          <w:p>
            <w:pPr>
              <w:spacing w:after="0"/>
              <w:rPr>
                <w:sz w:val="1"/>
                <w:szCs w:val="1"/>
                <w:color w:val="auto"/>
              </w:rPr>
            </w:pPr>
          </w:p>
        </w:tc>
      </w:tr>
      <w:tr>
        <w:trPr>
          <w:trHeight w:val="325"/>
        </w:trPr>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2"/>
                <w:szCs w:val="12"/>
                <w:color w:val="auto"/>
                <w:w w:val="91"/>
              </w:rPr>
              <w:t>Percentage</w:t>
            </w:r>
          </w:p>
        </w:tc>
        <w:tc>
          <w:tcPr>
            <w:tcW w:w="80" w:type="dxa"/>
            <w:vAlign w:val="bottom"/>
          </w:tcPr>
          <w:p>
            <w:pPr>
              <w:spacing w:after="0"/>
              <w:rPr>
                <w:sz w:val="24"/>
                <w:szCs w:val="2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Percentage</w:t>
            </w:r>
          </w:p>
        </w:tc>
        <w:tc>
          <w:tcPr>
            <w:tcW w:w="0" w:type="dxa"/>
            <w:vAlign w:val="bottom"/>
          </w:tcPr>
          <w:p>
            <w:pPr>
              <w:spacing w:after="0"/>
              <w:rPr>
                <w:sz w:val="1"/>
                <w:szCs w:val="1"/>
                <w:color w:val="auto"/>
              </w:rPr>
            </w:pPr>
          </w:p>
        </w:tc>
      </w:tr>
      <w:tr>
        <w:trPr>
          <w:trHeight w:val="129"/>
        </w:trPr>
        <w:tc>
          <w:tcPr>
            <w:tcW w:w="1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center"/>
              <w:ind w:right="180"/>
              <w:spacing w:after="0" w:line="129" w:lineRule="exact"/>
              <w:rPr>
                <w:sz w:val="20"/>
                <w:szCs w:val="20"/>
                <w:color w:val="auto"/>
              </w:rPr>
            </w:pPr>
            <w:r>
              <w:rPr>
                <w:rFonts w:ascii="Arial" w:cs="Arial" w:eastAsia="Arial" w:hAnsi="Arial"/>
                <w:sz w:val="12"/>
                <w:szCs w:val="12"/>
                <w:color w:val="auto"/>
              </w:rPr>
              <w:t>of Equity</w:t>
            </w:r>
          </w:p>
        </w:tc>
        <w:tc>
          <w:tcPr>
            <w:tcW w:w="80" w:type="dxa"/>
            <w:vAlign w:val="bottom"/>
          </w:tcPr>
          <w:p>
            <w:pPr>
              <w:spacing w:after="0"/>
              <w:rPr>
                <w:sz w:val="11"/>
                <w:szCs w:val="11"/>
                <w:color w:val="auto"/>
              </w:rPr>
            </w:pPr>
          </w:p>
        </w:tc>
        <w:tc>
          <w:tcPr>
            <w:tcW w:w="1380" w:type="dxa"/>
            <w:vAlign w:val="bottom"/>
            <w:gridSpan w:val="2"/>
          </w:tcPr>
          <w:p>
            <w:pPr>
              <w:jc w:val="center"/>
              <w:ind w:right="160"/>
              <w:spacing w:after="0" w:line="129" w:lineRule="exact"/>
              <w:rPr>
                <w:sz w:val="20"/>
                <w:szCs w:val="20"/>
                <w:color w:val="auto"/>
              </w:rPr>
            </w:pPr>
            <w:r>
              <w:rPr>
                <w:rFonts w:ascii="Arial" w:cs="Arial" w:eastAsia="Arial" w:hAnsi="Arial"/>
                <w:sz w:val="12"/>
                <w:szCs w:val="12"/>
                <w:color w:val="auto"/>
                <w:w w:val="98"/>
              </w:rPr>
              <w:t>of Equity</w:t>
            </w:r>
          </w:p>
        </w:tc>
        <w:tc>
          <w:tcPr>
            <w:tcW w:w="0" w:type="dxa"/>
            <w:vAlign w:val="bottom"/>
          </w:tcPr>
          <w:p>
            <w:pPr>
              <w:spacing w:after="0"/>
              <w:rPr>
                <w:sz w:val="1"/>
                <w:szCs w:val="1"/>
                <w:color w:val="auto"/>
              </w:rPr>
            </w:pPr>
          </w:p>
        </w:tc>
      </w:tr>
      <w:tr>
        <w:trPr>
          <w:trHeight w:val="129"/>
        </w:trPr>
        <w:tc>
          <w:tcPr>
            <w:tcW w:w="1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vMerge w:val="restart"/>
          </w:tcPr>
          <w:p>
            <w:pPr>
              <w:ind w:left="1000"/>
              <w:spacing w:after="0"/>
              <w:rPr>
                <w:sz w:val="20"/>
                <w:szCs w:val="20"/>
                <w:color w:val="auto"/>
              </w:rPr>
            </w:pPr>
            <w:r>
              <w:rPr>
                <w:rFonts w:ascii="Arial" w:cs="Arial" w:eastAsia="Arial" w:hAnsi="Arial"/>
                <w:sz w:val="12"/>
                <w:szCs w:val="12"/>
                <w:color w:val="auto"/>
              </w:rPr>
              <w:t>Issuer</w:t>
            </w:r>
          </w:p>
        </w:tc>
        <w:tc>
          <w:tcPr>
            <w:tcW w:w="120" w:type="dxa"/>
            <w:vAlign w:val="bottom"/>
            <w:vMerge w:val="restart"/>
          </w:tcPr>
          <w:p>
            <w:pPr>
              <w:spacing w:after="0"/>
              <w:rPr>
                <w:sz w:val="11"/>
                <w:szCs w:val="11"/>
                <w:color w:val="auto"/>
              </w:rPr>
            </w:pPr>
          </w:p>
        </w:tc>
        <w:tc>
          <w:tcPr>
            <w:tcW w:w="1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center"/>
              <w:ind w:right="160"/>
              <w:spacing w:after="0" w:line="129" w:lineRule="exact"/>
              <w:rPr>
                <w:sz w:val="20"/>
                <w:szCs w:val="20"/>
                <w:color w:val="auto"/>
              </w:rPr>
            </w:pPr>
            <w:r>
              <w:rPr>
                <w:rFonts w:ascii="Arial" w:cs="Arial" w:eastAsia="Arial" w:hAnsi="Arial"/>
                <w:sz w:val="12"/>
                <w:szCs w:val="12"/>
                <w:color w:val="auto"/>
                <w:w w:val="91"/>
              </w:rPr>
              <w:t>Interests</w:t>
            </w:r>
          </w:p>
        </w:tc>
        <w:tc>
          <w:tcPr>
            <w:tcW w:w="80" w:type="dxa"/>
            <w:vAlign w:val="bottom"/>
          </w:tcPr>
          <w:p>
            <w:pPr>
              <w:spacing w:after="0"/>
              <w:rPr>
                <w:sz w:val="11"/>
                <w:szCs w:val="11"/>
                <w:color w:val="auto"/>
              </w:rPr>
            </w:pPr>
          </w:p>
        </w:tc>
        <w:tc>
          <w:tcPr>
            <w:tcW w:w="1380" w:type="dxa"/>
            <w:vAlign w:val="bottom"/>
            <w:gridSpan w:val="2"/>
          </w:tcPr>
          <w:p>
            <w:pPr>
              <w:jc w:val="center"/>
              <w:ind w:right="160"/>
              <w:spacing w:after="0" w:line="129" w:lineRule="exact"/>
              <w:rPr>
                <w:sz w:val="20"/>
                <w:szCs w:val="20"/>
                <w:color w:val="auto"/>
              </w:rPr>
            </w:pPr>
            <w:r>
              <w:rPr>
                <w:rFonts w:ascii="Arial" w:cs="Arial" w:eastAsia="Arial" w:hAnsi="Arial"/>
                <w:sz w:val="12"/>
                <w:szCs w:val="12"/>
                <w:color w:val="auto"/>
                <w:w w:val="91"/>
              </w:rPr>
              <w:t>Interests</w:t>
            </w:r>
          </w:p>
        </w:tc>
        <w:tc>
          <w:tcPr>
            <w:tcW w:w="0" w:type="dxa"/>
            <w:vAlign w:val="bottom"/>
          </w:tcPr>
          <w:p>
            <w:pPr>
              <w:spacing w:after="0"/>
              <w:rPr>
                <w:sz w:val="1"/>
                <w:szCs w:val="1"/>
                <w:color w:val="auto"/>
              </w:rPr>
            </w:pPr>
          </w:p>
        </w:tc>
      </w:tr>
      <w:tr>
        <w:trPr>
          <w:trHeight w:val="145"/>
        </w:trPr>
        <w:tc>
          <w:tcPr>
            <w:tcW w:w="19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Grantor</w:t>
            </w:r>
          </w:p>
        </w:tc>
        <w:tc>
          <w:tcPr>
            <w:tcW w:w="120" w:type="dxa"/>
            <w:vAlign w:val="bottom"/>
          </w:tcPr>
          <w:p>
            <w:pPr>
              <w:spacing w:after="0"/>
              <w:rPr>
                <w:sz w:val="12"/>
                <w:szCs w:val="12"/>
                <w:color w:val="auto"/>
              </w:rPr>
            </w:pPr>
          </w:p>
        </w:tc>
        <w:tc>
          <w:tcPr>
            <w:tcW w:w="23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840" w:type="dxa"/>
            <w:vAlign w:val="bottom"/>
            <w:tcBorders>
              <w:bottom w:val="single" w:sz="8" w:color="auto"/>
            </w:tcBorders>
          </w:tcPr>
          <w:p>
            <w:pPr>
              <w:jc w:val="right"/>
              <w:ind w:right="403"/>
              <w:spacing w:after="0"/>
              <w:rPr>
                <w:sz w:val="20"/>
                <w:szCs w:val="20"/>
                <w:color w:val="auto"/>
              </w:rPr>
            </w:pPr>
            <w:r>
              <w:rPr>
                <w:rFonts w:ascii="Arial" w:cs="Arial" w:eastAsia="Arial" w:hAnsi="Arial"/>
                <w:sz w:val="12"/>
                <w:szCs w:val="12"/>
                <w:color w:val="auto"/>
              </w:rPr>
              <w:t>Number of Shares</w:t>
            </w:r>
          </w:p>
        </w:tc>
        <w:tc>
          <w:tcPr>
            <w:tcW w:w="220" w:type="dxa"/>
            <w:vAlign w:val="bottom"/>
          </w:tcPr>
          <w:p>
            <w:pPr>
              <w:spacing w:after="0"/>
              <w:rPr>
                <w:sz w:val="12"/>
                <w:szCs w:val="12"/>
                <w:color w:val="auto"/>
              </w:rPr>
            </w:pPr>
          </w:p>
        </w:tc>
        <w:tc>
          <w:tcPr>
            <w:tcW w:w="1820" w:type="dxa"/>
            <w:vAlign w:val="bottom"/>
            <w:tcBorders>
              <w:bottom w:val="single" w:sz="8" w:color="auto"/>
            </w:tcBorders>
          </w:tcPr>
          <w:p>
            <w:pPr>
              <w:jc w:val="right"/>
              <w:ind w:right="284"/>
              <w:spacing w:after="0"/>
              <w:rPr>
                <w:sz w:val="20"/>
                <w:szCs w:val="20"/>
                <w:color w:val="auto"/>
              </w:rPr>
            </w:pPr>
            <w:r>
              <w:rPr>
                <w:rFonts w:ascii="Arial" w:cs="Arial" w:eastAsia="Arial" w:hAnsi="Arial"/>
                <w:sz w:val="12"/>
                <w:szCs w:val="12"/>
                <w:color w:val="auto"/>
              </w:rPr>
              <w:t>Certificate Number(s)</w:t>
            </w:r>
          </w:p>
        </w:tc>
        <w:tc>
          <w:tcPr>
            <w:tcW w:w="200" w:type="dxa"/>
            <w:vAlign w:val="bottom"/>
          </w:tcPr>
          <w:p>
            <w:pPr>
              <w:spacing w:after="0"/>
              <w:rPr>
                <w:sz w:val="12"/>
                <w:szCs w:val="1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Owned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0"/>
              </w:rPr>
              <w:t>Pledged</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40" w:type="dxa"/>
            <w:vAlign w:val="bottom"/>
          </w:tcPr>
          <w:p>
            <w:pPr>
              <w:spacing w:after="0" w:line="167" w:lineRule="exact"/>
              <w:rPr>
                <w:sz w:val="20"/>
                <w:szCs w:val="20"/>
                <w:color w:val="auto"/>
              </w:rPr>
            </w:pPr>
            <w:r>
              <w:rPr>
                <w:rFonts w:ascii="Arial" w:cs="Arial" w:eastAsia="Arial" w:hAnsi="Arial"/>
                <w:sz w:val="16"/>
                <w:szCs w:val="16"/>
                <w:color w:val="auto"/>
              </w:rPr>
              <w:t>Gentherm Incorporated</w:t>
            </w:r>
          </w:p>
        </w:tc>
        <w:tc>
          <w:tcPr>
            <w:tcW w:w="120" w:type="dxa"/>
            <w:vAlign w:val="bottom"/>
          </w:tcPr>
          <w:p>
            <w:pPr>
              <w:spacing w:after="0"/>
              <w:rPr>
                <w:sz w:val="14"/>
                <w:szCs w:val="14"/>
                <w:color w:val="auto"/>
              </w:rPr>
            </w:pPr>
          </w:p>
        </w:tc>
        <w:tc>
          <w:tcPr>
            <w:tcW w:w="2300" w:type="dxa"/>
            <w:vAlign w:val="bottom"/>
          </w:tcPr>
          <w:p>
            <w:pPr>
              <w:spacing w:after="0" w:line="167" w:lineRule="exact"/>
              <w:rPr>
                <w:sz w:val="20"/>
                <w:szCs w:val="20"/>
                <w:color w:val="auto"/>
              </w:rPr>
            </w:pPr>
            <w:r>
              <w:rPr>
                <w:rFonts w:ascii="Arial" w:cs="Arial" w:eastAsia="Arial" w:hAnsi="Arial"/>
                <w:sz w:val="16"/>
                <w:szCs w:val="16"/>
                <w:color w:val="auto"/>
              </w:rPr>
              <w:t>Gentherm (Texas), Inc.</w:t>
            </w:r>
          </w:p>
        </w:tc>
        <w:tc>
          <w:tcPr>
            <w:tcW w:w="120" w:type="dxa"/>
            <w:vAlign w:val="bottom"/>
          </w:tcPr>
          <w:p>
            <w:pPr>
              <w:spacing w:after="0"/>
              <w:rPr>
                <w:sz w:val="14"/>
                <w:szCs w:val="14"/>
                <w:color w:val="auto"/>
              </w:rPr>
            </w:pPr>
          </w:p>
        </w:tc>
        <w:tc>
          <w:tcPr>
            <w:tcW w:w="1840" w:type="dxa"/>
            <w:vAlign w:val="bottom"/>
          </w:tcPr>
          <w:p>
            <w:pPr>
              <w:jc w:val="right"/>
              <w:spacing w:after="0" w:line="167" w:lineRule="exact"/>
              <w:rPr>
                <w:sz w:val="20"/>
                <w:szCs w:val="20"/>
                <w:color w:val="auto"/>
              </w:rPr>
            </w:pPr>
            <w:r>
              <w:rPr>
                <w:rFonts w:ascii="Arial" w:cs="Arial" w:eastAsia="Arial" w:hAnsi="Arial"/>
                <w:sz w:val="16"/>
                <w:szCs w:val="16"/>
                <w:color w:val="auto"/>
              </w:rPr>
              <w:t>13</w:t>
            </w:r>
          </w:p>
        </w:tc>
        <w:tc>
          <w:tcPr>
            <w:tcW w:w="220" w:type="dxa"/>
            <w:vAlign w:val="bottom"/>
          </w:tcPr>
          <w:p>
            <w:pPr>
              <w:spacing w:after="0"/>
              <w:rPr>
                <w:sz w:val="14"/>
                <w:szCs w:val="14"/>
                <w:color w:val="auto"/>
              </w:rPr>
            </w:pPr>
          </w:p>
        </w:tc>
        <w:tc>
          <w:tcPr>
            <w:tcW w:w="1820" w:type="dxa"/>
            <w:vAlign w:val="bottom"/>
          </w:tcPr>
          <w:p>
            <w:pPr>
              <w:jc w:val="right"/>
              <w:spacing w:after="0" w:line="167" w:lineRule="exact"/>
              <w:rPr>
                <w:sz w:val="20"/>
                <w:szCs w:val="20"/>
                <w:color w:val="auto"/>
              </w:rPr>
            </w:pPr>
            <w:r>
              <w:rPr>
                <w:rFonts w:ascii="Arial" w:cs="Arial" w:eastAsia="Arial" w:hAnsi="Arial"/>
                <w:sz w:val="16"/>
                <w:szCs w:val="16"/>
                <w:color w:val="auto"/>
              </w:rPr>
              <w:t>CS-6</w:t>
            </w:r>
          </w:p>
        </w:tc>
        <w:tc>
          <w:tcPr>
            <w:tcW w:w="200" w:type="dxa"/>
            <w:vAlign w:val="bottom"/>
          </w:tcPr>
          <w:p>
            <w:pPr>
              <w:spacing w:after="0"/>
              <w:rPr>
                <w:sz w:val="14"/>
                <w:szCs w:val="14"/>
                <w:color w:val="auto"/>
              </w:rPr>
            </w:pPr>
          </w:p>
        </w:tc>
        <w:tc>
          <w:tcPr>
            <w:tcW w:w="1420" w:type="dxa"/>
            <w:vAlign w:val="bottom"/>
            <w:gridSpan w:val="2"/>
          </w:tcPr>
          <w:p>
            <w:pPr>
              <w:jc w:val="right"/>
              <w:ind w:right="40"/>
              <w:spacing w:after="0" w:line="167" w:lineRule="exact"/>
              <w:rPr>
                <w:sz w:val="20"/>
                <w:szCs w:val="20"/>
                <w:color w:val="auto"/>
              </w:rPr>
            </w:pPr>
            <w:r>
              <w:rPr>
                <w:rFonts w:ascii="Arial" w:cs="Arial" w:eastAsia="Arial" w:hAnsi="Arial"/>
                <w:sz w:val="16"/>
                <w:szCs w:val="16"/>
                <w:color w:val="auto"/>
              </w:rPr>
              <w:t>11.5%</w:t>
            </w:r>
          </w:p>
        </w:tc>
        <w:tc>
          <w:tcPr>
            <w:tcW w:w="80" w:type="dxa"/>
            <w:vAlign w:val="bottom"/>
          </w:tcPr>
          <w:p>
            <w:pPr>
              <w:spacing w:after="0"/>
              <w:rPr>
                <w:sz w:val="14"/>
                <w:szCs w:val="14"/>
                <w:color w:val="auto"/>
              </w:rPr>
            </w:pPr>
          </w:p>
        </w:tc>
        <w:tc>
          <w:tcPr>
            <w:tcW w:w="1380" w:type="dxa"/>
            <w:vAlign w:val="bottom"/>
            <w:gridSpan w:val="2"/>
          </w:tcPr>
          <w:p>
            <w:pPr>
              <w:jc w:val="right"/>
              <w:ind w:right="20"/>
              <w:spacing w:after="0" w:line="167"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8"/>
        </w:trPr>
        <w:tc>
          <w:tcPr>
            <w:tcW w:w="1940" w:type="dxa"/>
            <w:vAlign w:val="bottom"/>
          </w:tcPr>
          <w:p>
            <w:pPr>
              <w:spacing w:after="0"/>
              <w:rPr>
                <w:sz w:val="20"/>
                <w:szCs w:val="20"/>
                <w:color w:val="auto"/>
              </w:rPr>
            </w:pPr>
            <w:r>
              <w:rPr>
                <w:rFonts w:ascii="Arial" w:cs="Arial" w:eastAsia="Arial" w:hAnsi="Arial"/>
                <w:sz w:val="16"/>
                <w:szCs w:val="16"/>
                <w:color w:val="auto"/>
              </w:rPr>
              <w:t>Gentherm Incorporated</w:t>
            </w:r>
          </w:p>
        </w:tc>
        <w:tc>
          <w:tcPr>
            <w:tcW w:w="2540" w:type="dxa"/>
            <w:vAlign w:val="bottom"/>
            <w:gridSpan w:val="3"/>
          </w:tcPr>
          <w:p>
            <w:pPr>
              <w:ind w:left="120"/>
              <w:spacing w:after="0"/>
              <w:rPr>
                <w:sz w:val="20"/>
                <w:szCs w:val="20"/>
                <w:color w:val="auto"/>
              </w:rPr>
            </w:pPr>
            <w:r>
              <w:rPr>
                <w:rFonts w:ascii="Arial" w:cs="Arial" w:eastAsia="Arial" w:hAnsi="Arial"/>
                <w:sz w:val="16"/>
                <w:szCs w:val="16"/>
                <w:color w:val="auto"/>
              </w:rPr>
              <w:t>Gentherm International Holdings</w:t>
            </w: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40" w:type="dxa"/>
            <w:vAlign w:val="bottom"/>
          </w:tcPr>
          <w:p>
            <w:pPr>
              <w:spacing w:after="0"/>
              <w:rPr>
                <w:sz w:val="16"/>
                <w:szCs w:val="16"/>
                <w:color w:val="auto"/>
              </w:rPr>
            </w:pPr>
          </w:p>
        </w:tc>
        <w:tc>
          <w:tcPr>
            <w:tcW w:w="2540" w:type="dxa"/>
            <w:vAlign w:val="bottom"/>
            <w:gridSpan w:val="3"/>
          </w:tcPr>
          <w:p>
            <w:pPr>
              <w:ind w:left="120"/>
              <w:spacing w:after="0"/>
              <w:rPr>
                <w:sz w:val="20"/>
                <w:szCs w:val="20"/>
                <w:color w:val="auto"/>
              </w:rPr>
            </w:pPr>
            <w:r>
              <w:rPr>
                <w:rFonts w:ascii="Arial" w:cs="Arial" w:eastAsia="Arial" w:hAnsi="Arial"/>
                <w:sz w:val="16"/>
                <w:szCs w:val="16"/>
                <w:color w:val="auto"/>
              </w:rPr>
              <w:t>(Hong Kong) Limited</w:t>
            </w:r>
          </w:p>
        </w:tc>
        <w:tc>
          <w:tcPr>
            <w:tcW w:w="2060" w:type="dxa"/>
            <w:vAlign w:val="bottom"/>
            <w:gridSpan w:val="2"/>
          </w:tcPr>
          <w:p>
            <w:pPr>
              <w:jc w:val="right"/>
              <w:ind w:right="220"/>
              <w:spacing w:after="0"/>
              <w:rPr>
                <w:sz w:val="20"/>
                <w:szCs w:val="20"/>
                <w:color w:val="auto"/>
              </w:rPr>
            </w:pPr>
            <w:r>
              <w:rPr>
                <w:rFonts w:ascii="Arial" w:cs="Arial" w:eastAsia="Arial" w:hAnsi="Arial"/>
                <w:sz w:val="16"/>
                <w:szCs w:val="16"/>
                <w:color w:val="auto"/>
              </w:rPr>
              <w:t>10,000,000</w:t>
            </w:r>
          </w:p>
        </w:tc>
        <w:tc>
          <w:tcPr>
            <w:tcW w:w="2020" w:type="dxa"/>
            <w:vAlign w:val="bottom"/>
            <w:gridSpan w:val="2"/>
          </w:tcPr>
          <w:p>
            <w:pPr>
              <w:jc w:val="right"/>
              <w:ind w:right="200"/>
              <w:spacing w:after="0"/>
              <w:rPr>
                <w:sz w:val="20"/>
                <w:szCs w:val="20"/>
                <w:color w:val="auto"/>
              </w:rPr>
            </w:pPr>
            <w:r>
              <w:rPr>
                <w:rFonts w:ascii="Arial" w:cs="Arial" w:eastAsia="Arial" w:hAnsi="Arial"/>
                <w:sz w:val="16"/>
                <w:szCs w:val="16"/>
                <w:color w:val="auto"/>
              </w:rPr>
              <w:t>6, 7 and 8</w:t>
            </w:r>
          </w:p>
        </w:tc>
        <w:tc>
          <w:tcPr>
            <w:tcW w:w="142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c>
          <w:tcPr>
            <w:tcW w:w="1460" w:type="dxa"/>
            <w:vAlign w:val="bottom"/>
            <w:gridSpan w:val="3"/>
          </w:tcPr>
          <w:p>
            <w:pPr>
              <w:jc w:val="right"/>
              <w:ind w:right="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88"/>
        </w:trPr>
        <w:tc>
          <w:tcPr>
            <w:tcW w:w="1940" w:type="dxa"/>
            <w:vAlign w:val="bottom"/>
          </w:tcPr>
          <w:p>
            <w:pPr>
              <w:spacing w:after="0"/>
              <w:rPr>
                <w:sz w:val="20"/>
                <w:szCs w:val="20"/>
                <w:color w:val="auto"/>
              </w:rPr>
            </w:pPr>
            <w:r>
              <w:rPr>
                <w:rFonts w:ascii="Arial" w:cs="Arial" w:eastAsia="Arial" w:hAnsi="Arial"/>
                <w:sz w:val="16"/>
                <w:szCs w:val="16"/>
                <w:color w:val="auto"/>
              </w:rPr>
              <w:t>Gentherm Incorporated</w:t>
            </w:r>
          </w:p>
        </w:tc>
        <w:tc>
          <w:tcPr>
            <w:tcW w:w="2540" w:type="dxa"/>
            <w:vAlign w:val="bottom"/>
            <w:gridSpan w:val="3"/>
          </w:tcPr>
          <w:p>
            <w:pPr>
              <w:ind w:left="120"/>
              <w:spacing w:after="0"/>
              <w:rPr>
                <w:sz w:val="20"/>
                <w:szCs w:val="20"/>
                <w:color w:val="auto"/>
              </w:rPr>
            </w:pPr>
            <w:r>
              <w:rPr>
                <w:rFonts w:ascii="Arial" w:cs="Arial" w:eastAsia="Arial" w:hAnsi="Arial"/>
                <w:sz w:val="16"/>
                <w:szCs w:val="16"/>
                <w:color w:val="auto"/>
              </w:rPr>
              <w:t>Gentherm Japan Inc.</w:t>
            </w:r>
          </w:p>
        </w:tc>
        <w:tc>
          <w:tcPr>
            <w:tcW w:w="184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6"/>
                <w:szCs w:val="16"/>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6"/>
                <w:szCs w:val="16"/>
                <w:color w:val="auto"/>
              </w:rPr>
              <w:t>N/A – Uncertificated</w:t>
            </w:r>
          </w:p>
        </w:tc>
        <w:tc>
          <w:tcPr>
            <w:tcW w:w="142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c>
          <w:tcPr>
            <w:tcW w:w="1460" w:type="dxa"/>
            <w:vAlign w:val="bottom"/>
            <w:gridSpan w:val="3"/>
          </w:tcPr>
          <w:p>
            <w:pPr>
              <w:jc w:val="right"/>
              <w:ind w:right="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88"/>
        </w:trPr>
        <w:tc>
          <w:tcPr>
            <w:tcW w:w="1940" w:type="dxa"/>
            <w:vAlign w:val="bottom"/>
          </w:tcPr>
          <w:p>
            <w:pPr>
              <w:spacing w:after="0"/>
              <w:rPr>
                <w:sz w:val="20"/>
                <w:szCs w:val="20"/>
                <w:color w:val="auto"/>
              </w:rPr>
            </w:pPr>
            <w:r>
              <w:rPr>
                <w:rFonts w:ascii="Arial" w:cs="Arial" w:eastAsia="Arial" w:hAnsi="Arial"/>
                <w:sz w:val="16"/>
                <w:szCs w:val="16"/>
                <w:color w:val="auto"/>
              </w:rPr>
              <w:t>Gentherm Incorporated</w:t>
            </w:r>
          </w:p>
        </w:tc>
        <w:tc>
          <w:tcPr>
            <w:tcW w:w="2540" w:type="dxa"/>
            <w:vAlign w:val="bottom"/>
            <w:gridSpan w:val="3"/>
          </w:tcPr>
          <w:p>
            <w:pPr>
              <w:ind w:left="120"/>
              <w:spacing w:after="0"/>
              <w:rPr>
                <w:sz w:val="20"/>
                <w:szCs w:val="20"/>
                <w:color w:val="auto"/>
              </w:rPr>
            </w:pPr>
            <w:r>
              <w:rPr>
                <w:rFonts w:ascii="Arial" w:cs="Arial" w:eastAsia="Arial" w:hAnsi="Arial"/>
                <w:sz w:val="16"/>
                <w:szCs w:val="16"/>
                <w:color w:val="auto"/>
              </w:rPr>
              <w:t>Gentherm GmbH</w:t>
            </w:r>
          </w:p>
        </w:tc>
        <w:tc>
          <w:tcPr>
            <w:tcW w:w="2060" w:type="dxa"/>
            <w:vAlign w:val="bottom"/>
            <w:gridSpan w:val="2"/>
          </w:tcPr>
          <w:p>
            <w:pPr>
              <w:jc w:val="right"/>
              <w:ind w:right="220"/>
              <w:spacing w:after="0"/>
              <w:rPr>
                <w:sz w:val="20"/>
                <w:szCs w:val="20"/>
                <w:color w:val="auto"/>
              </w:rPr>
            </w:pPr>
            <w:r>
              <w:rPr>
                <w:rFonts w:ascii="Arial" w:cs="Arial" w:eastAsia="Arial" w:hAnsi="Arial"/>
                <w:sz w:val="16"/>
                <w:szCs w:val="16"/>
                <w:color w:val="auto"/>
              </w:rPr>
              <w:t>N/A –</w:t>
            </w: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6"/>
                <w:szCs w:val="16"/>
                <w:color w:val="auto"/>
              </w:rPr>
              <w:t>Membership Interests</w:t>
            </w:r>
          </w:p>
        </w:tc>
        <w:tc>
          <w:tcPr>
            <w:tcW w:w="2020" w:type="dxa"/>
            <w:vAlign w:val="bottom"/>
            <w:gridSpan w:val="2"/>
          </w:tcPr>
          <w:p>
            <w:pPr>
              <w:jc w:val="right"/>
              <w:ind w:right="200"/>
              <w:spacing w:after="0"/>
              <w:rPr>
                <w:sz w:val="20"/>
                <w:szCs w:val="20"/>
                <w:color w:val="auto"/>
              </w:rPr>
            </w:pPr>
            <w:r>
              <w:rPr>
                <w:rFonts w:ascii="Arial" w:cs="Arial" w:eastAsia="Arial" w:hAnsi="Arial"/>
                <w:sz w:val="16"/>
                <w:szCs w:val="16"/>
                <w:color w:val="auto"/>
              </w:rPr>
              <w:t>N/A – Uncertificated</w:t>
            </w:r>
          </w:p>
        </w:tc>
        <w:tc>
          <w:tcPr>
            <w:tcW w:w="142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c>
          <w:tcPr>
            <w:tcW w:w="1460" w:type="dxa"/>
            <w:vAlign w:val="bottom"/>
            <w:gridSpan w:val="3"/>
          </w:tcPr>
          <w:p>
            <w:pPr>
              <w:jc w:val="right"/>
              <w:ind w:right="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88"/>
        </w:trPr>
        <w:tc>
          <w:tcPr>
            <w:tcW w:w="1940" w:type="dxa"/>
            <w:vAlign w:val="bottom"/>
          </w:tcPr>
          <w:p>
            <w:pPr>
              <w:spacing w:after="0"/>
              <w:rPr>
                <w:sz w:val="20"/>
                <w:szCs w:val="20"/>
                <w:color w:val="auto"/>
              </w:rPr>
            </w:pPr>
            <w:r>
              <w:rPr>
                <w:rFonts w:ascii="Arial" w:cs="Arial" w:eastAsia="Arial" w:hAnsi="Arial"/>
                <w:sz w:val="16"/>
                <w:szCs w:val="16"/>
                <w:color w:val="auto"/>
              </w:rPr>
              <w:t>Gentherm Incorporated</w:t>
            </w:r>
          </w:p>
        </w:tc>
        <w:tc>
          <w:tcPr>
            <w:tcW w:w="2540" w:type="dxa"/>
            <w:vAlign w:val="bottom"/>
            <w:gridSpan w:val="3"/>
          </w:tcPr>
          <w:p>
            <w:pPr>
              <w:ind w:left="120"/>
              <w:spacing w:after="0"/>
              <w:rPr>
                <w:sz w:val="20"/>
                <w:szCs w:val="20"/>
                <w:color w:val="auto"/>
              </w:rPr>
            </w:pPr>
            <w:r>
              <w:rPr>
                <w:rFonts w:ascii="Arial" w:cs="Arial" w:eastAsia="Arial" w:hAnsi="Arial"/>
                <w:sz w:val="16"/>
                <w:szCs w:val="16"/>
                <w:color w:val="auto"/>
              </w:rPr>
              <w:t>Global Thermoelectric Inc.</w:t>
            </w:r>
          </w:p>
        </w:tc>
        <w:tc>
          <w:tcPr>
            <w:tcW w:w="2060" w:type="dxa"/>
            <w:vAlign w:val="bottom"/>
            <w:gridSpan w:val="2"/>
          </w:tcPr>
          <w:p>
            <w:pPr>
              <w:jc w:val="right"/>
              <w:ind w:right="220"/>
              <w:spacing w:after="0"/>
              <w:rPr>
                <w:sz w:val="20"/>
                <w:szCs w:val="20"/>
                <w:color w:val="auto"/>
              </w:rPr>
            </w:pPr>
            <w:r>
              <w:rPr>
                <w:rFonts w:ascii="Arial" w:cs="Arial" w:eastAsia="Arial" w:hAnsi="Arial"/>
                <w:sz w:val="16"/>
                <w:szCs w:val="16"/>
                <w:color w:val="auto"/>
              </w:rPr>
              <w:t>100</w:t>
            </w:r>
          </w:p>
        </w:tc>
        <w:tc>
          <w:tcPr>
            <w:tcW w:w="202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142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c>
          <w:tcPr>
            <w:tcW w:w="1460" w:type="dxa"/>
            <w:vAlign w:val="bottom"/>
            <w:gridSpan w:val="3"/>
          </w:tcPr>
          <w:p>
            <w:pPr>
              <w:jc w:val="right"/>
              <w:ind w:right="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88"/>
        </w:trPr>
        <w:tc>
          <w:tcPr>
            <w:tcW w:w="1940" w:type="dxa"/>
            <w:vAlign w:val="bottom"/>
          </w:tcPr>
          <w:p>
            <w:pPr>
              <w:spacing w:after="0"/>
              <w:rPr>
                <w:sz w:val="20"/>
                <w:szCs w:val="20"/>
                <w:color w:val="auto"/>
              </w:rPr>
            </w:pPr>
            <w:r>
              <w:rPr>
                <w:rFonts w:ascii="Arial" w:cs="Arial" w:eastAsia="Arial" w:hAnsi="Arial"/>
                <w:sz w:val="16"/>
                <w:szCs w:val="16"/>
                <w:color w:val="auto"/>
              </w:rPr>
              <w:t>Gentherm Incorporated</w:t>
            </w:r>
          </w:p>
        </w:tc>
        <w:tc>
          <w:tcPr>
            <w:tcW w:w="2540" w:type="dxa"/>
            <w:vAlign w:val="bottom"/>
            <w:gridSpan w:val="3"/>
          </w:tcPr>
          <w:p>
            <w:pPr>
              <w:ind w:left="120"/>
              <w:spacing w:after="0"/>
              <w:rPr>
                <w:sz w:val="20"/>
                <w:szCs w:val="20"/>
                <w:color w:val="auto"/>
              </w:rPr>
            </w:pPr>
            <w:r>
              <w:rPr>
                <w:rFonts w:ascii="Arial" w:cs="Arial" w:eastAsia="Arial" w:hAnsi="Arial"/>
                <w:sz w:val="16"/>
                <w:szCs w:val="16"/>
                <w:color w:val="auto"/>
              </w:rPr>
              <w:t>Westridge Haggerty LLC</w:t>
            </w:r>
          </w:p>
        </w:tc>
        <w:tc>
          <w:tcPr>
            <w:tcW w:w="2060" w:type="dxa"/>
            <w:vAlign w:val="bottom"/>
            <w:gridSpan w:val="2"/>
          </w:tcPr>
          <w:p>
            <w:pPr>
              <w:jc w:val="right"/>
              <w:ind w:right="220"/>
              <w:spacing w:after="0"/>
              <w:rPr>
                <w:sz w:val="20"/>
                <w:szCs w:val="20"/>
                <w:color w:val="auto"/>
              </w:rPr>
            </w:pPr>
            <w:r>
              <w:rPr>
                <w:rFonts w:ascii="Arial" w:cs="Arial" w:eastAsia="Arial" w:hAnsi="Arial"/>
                <w:sz w:val="16"/>
                <w:szCs w:val="16"/>
                <w:color w:val="auto"/>
              </w:rPr>
              <w:t>N/A – Membership</w:t>
            </w: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6"/>
                <w:szCs w:val="16"/>
                <w:color w:val="auto"/>
              </w:rPr>
              <w:t>Interests</w:t>
            </w:r>
          </w:p>
        </w:tc>
        <w:tc>
          <w:tcPr>
            <w:tcW w:w="2020" w:type="dxa"/>
            <w:vAlign w:val="bottom"/>
            <w:gridSpan w:val="2"/>
          </w:tcPr>
          <w:p>
            <w:pPr>
              <w:jc w:val="right"/>
              <w:ind w:right="200"/>
              <w:spacing w:after="0"/>
              <w:rPr>
                <w:sz w:val="20"/>
                <w:szCs w:val="20"/>
                <w:color w:val="auto"/>
              </w:rPr>
            </w:pPr>
            <w:r>
              <w:rPr>
                <w:rFonts w:ascii="Arial" w:cs="Arial" w:eastAsia="Arial" w:hAnsi="Arial"/>
                <w:sz w:val="16"/>
                <w:szCs w:val="16"/>
                <w:color w:val="auto"/>
              </w:rPr>
              <w:t>N/A – Uncertificated</w:t>
            </w:r>
          </w:p>
        </w:tc>
        <w:tc>
          <w:tcPr>
            <w:tcW w:w="142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c>
          <w:tcPr>
            <w:tcW w:w="1460" w:type="dxa"/>
            <w:vAlign w:val="bottom"/>
            <w:gridSpan w:val="3"/>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9"/>
        </w:trPr>
        <w:tc>
          <w:tcPr>
            <w:tcW w:w="1940" w:type="dxa"/>
            <w:vAlign w:val="bottom"/>
          </w:tcPr>
          <w:p>
            <w:pPr>
              <w:spacing w:after="0"/>
              <w:rPr>
                <w:sz w:val="20"/>
                <w:szCs w:val="20"/>
                <w:color w:val="auto"/>
              </w:rPr>
            </w:pPr>
            <w:r>
              <w:rPr>
                <w:rFonts w:ascii="Arial" w:cs="Arial" w:eastAsia="Arial" w:hAnsi="Arial"/>
                <w:sz w:val="16"/>
                <w:szCs w:val="16"/>
                <w:color w:val="auto"/>
              </w:rPr>
              <w:t>Gentherm (Texas), Inc.</w:t>
            </w:r>
          </w:p>
        </w:tc>
        <w:tc>
          <w:tcPr>
            <w:tcW w:w="2540" w:type="dxa"/>
            <w:vAlign w:val="bottom"/>
            <w:gridSpan w:val="3"/>
          </w:tcPr>
          <w:p>
            <w:pPr>
              <w:ind w:left="120"/>
              <w:spacing w:after="0"/>
              <w:rPr>
                <w:sz w:val="20"/>
                <w:szCs w:val="20"/>
                <w:color w:val="auto"/>
              </w:rPr>
            </w:pPr>
            <w:r>
              <w:rPr>
                <w:rFonts w:ascii="Arial" w:cs="Arial" w:eastAsia="Arial" w:hAnsi="Arial"/>
                <w:sz w:val="16"/>
                <w:szCs w:val="16"/>
                <w:color w:val="auto"/>
                <w:w w:val="99"/>
              </w:rPr>
              <w:t>Gentherm de Mexico S.A. de C.V.</w:t>
            </w:r>
          </w:p>
        </w:tc>
        <w:tc>
          <w:tcPr>
            <w:tcW w:w="1840" w:type="dxa"/>
            <w:vAlign w:val="bottom"/>
          </w:tcPr>
          <w:p>
            <w:pPr>
              <w:jc w:val="right"/>
              <w:spacing w:after="0"/>
              <w:rPr>
                <w:sz w:val="20"/>
                <w:szCs w:val="20"/>
                <w:color w:val="auto"/>
              </w:rPr>
            </w:pPr>
            <w:r>
              <w:rPr>
                <w:rFonts w:ascii="Arial" w:cs="Arial" w:eastAsia="Arial" w:hAnsi="Arial"/>
                <w:sz w:val="16"/>
                <w:szCs w:val="16"/>
                <w:color w:val="auto"/>
              </w:rPr>
              <w:t>99</w:t>
            </w:r>
          </w:p>
        </w:tc>
        <w:tc>
          <w:tcPr>
            <w:tcW w:w="220" w:type="dxa"/>
            <w:vAlign w:val="bottom"/>
          </w:tcPr>
          <w:p>
            <w:pPr>
              <w:spacing w:after="0"/>
              <w:rPr>
                <w:sz w:val="17"/>
                <w:szCs w:val="17"/>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6"/>
                <w:szCs w:val="16"/>
                <w:color w:val="auto"/>
              </w:rPr>
              <w:t>N/A – Uncertificated</w:t>
            </w:r>
          </w:p>
        </w:tc>
        <w:tc>
          <w:tcPr>
            <w:tcW w:w="1420" w:type="dxa"/>
            <w:vAlign w:val="bottom"/>
            <w:gridSpan w:val="2"/>
          </w:tcPr>
          <w:p>
            <w:pPr>
              <w:jc w:val="right"/>
              <w:ind w:right="40"/>
              <w:spacing w:after="0"/>
              <w:rPr>
                <w:sz w:val="20"/>
                <w:szCs w:val="20"/>
                <w:color w:val="auto"/>
              </w:rPr>
            </w:pPr>
            <w:r>
              <w:rPr>
                <w:rFonts w:ascii="Arial" w:cs="Arial" w:eastAsia="Arial" w:hAnsi="Arial"/>
                <w:sz w:val="16"/>
                <w:szCs w:val="16"/>
                <w:color w:val="auto"/>
              </w:rPr>
              <w:t>99%</w:t>
            </w:r>
          </w:p>
        </w:tc>
        <w:tc>
          <w:tcPr>
            <w:tcW w:w="1460" w:type="dxa"/>
            <w:vAlign w:val="bottom"/>
            <w:gridSpan w:val="3"/>
          </w:tcPr>
          <w:p>
            <w:pPr>
              <w:jc w:val="right"/>
              <w:ind w:right="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bl>
    <w:p>
      <w:pPr>
        <w:sectPr>
          <w:pgSz w:w="11900" w:h="16838" w:orient="portrait"/>
          <w:cols w:equalWidth="0" w:num="1">
            <w:col w:w="11440"/>
          </w:cols>
          <w:pgMar w:left="240" w:top="338" w:right="219" w:bottom="1440" w:gutter="0" w:footer="0" w:header="0"/>
        </w:sectPr>
      </w:pPr>
    </w:p>
    <w:bookmarkStart w:id="207" w:name="page208"/>
    <w:bookmarkEnd w:id="207"/>
    <w:p>
      <w:pPr>
        <w:ind w:left="10480"/>
        <w:spacing w:after="0"/>
        <w:rPr>
          <w:sz w:val="20"/>
          <w:szCs w:val="20"/>
          <w:color w:val="auto"/>
        </w:rPr>
      </w:pPr>
      <w:r>
        <w:rPr>
          <w:rFonts w:ascii="Arial" w:cs="Arial" w:eastAsia="Arial" w:hAnsi="Arial"/>
          <w:sz w:val="15"/>
          <w:szCs w:val="15"/>
          <w:color w:val="auto"/>
        </w:rPr>
        <w:t>SCHEDULE II</w:t>
      </w:r>
    </w:p>
    <w:p>
      <w:pPr>
        <w:spacing w:after="0" w:line="27" w:lineRule="exact"/>
        <w:rPr>
          <w:sz w:val="20"/>
          <w:szCs w:val="20"/>
          <w:color w:val="auto"/>
        </w:rPr>
      </w:pPr>
    </w:p>
    <w:p>
      <w:pPr>
        <w:ind w:left="10020"/>
        <w:spacing w:after="0"/>
        <w:rPr>
          <w:sz w:val="20"/>
          <w:szCs w:val="20"/>
          <w:color w:val="auto"/>
        </w:rPr>
      </w:pPr>
      <w:r>
        <w:rPr>
          <w:rFonts w:ascii="Arial" w:cs="Arial" w:eastAsia="Arial" w:hAnsi="Arial"/>
          <w:sz w:val="13"/>
          <w:szCs w:val="13"/>
          <w:color w:val="auto"/>
        </w:rPr>
        <w:t>to Security Agreement</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40" w:type="dxa"/>
            <w:vAlign w:val="bottom"/>
          </w:tcPr>
          <w:p>
            <w:pPr>
              <w:spacing w:after="0"/>
              <w:rPr>
                <w:sz w:val="20"/>
                <w:szCs w:val="20"/>
                <w:color w:val="auto"/>
              </w:rPr>
            </w:pPr>
            <w:r>
              <w:rPr>
                <w:rFonts w:ascii="Arial" w:cs="Arial" w:eastAsia="Arial" w:hAnsi="Arial"/>
                <w:sz w:val="16"/>
                <w:szCs w:val="16"/>
                <w:color w:val="auto"/>
              </w:rPr>
              <w:t>Item A.</w:t>
            </w:r>
          </w:p>
        </w:tc>
        <w:tc>
          <w:tcPr>
            <w:tcW w:w="10400" w:type="dxa"/>
            <w:vAlign w:val="bottom"/>
            <w:gridSpan w:val="3"/>
          </w:tcPr>
          <w:p>
            <w:pPr>
              <w:spacing w:after="0"/>
              <w:rPr>
                <w:sz w:val="20"/>
                <w:szCs w:val="20"/>
                <w:color w:val="auto"/>
              </w:rPr>
            </w:pPr>
            <w:r>
              <w:rPr>
                <w:rFonts w:ascii="Arial" w:cs="Arial" w:eastAsia="Arial" w:hAnsi="Arial"/>
                <w:sz w:val="16"/>
                <w:szCs w:val="16"/>
                <w:color w:val="auto"/>
              </w:rPr>
              <w:t>Location of Each Grantor</w:t>
            </w:r>
          </w:p>
        </w:tc>
      </w:tr>
      <w:tr>
        <w:trPr>
          <w:trHeight w:val="247"/>
        </w:trPr>
        <w:tc>
          <w:tcPr>
            <w:tcW w:w="1040" w:type="dxa"/>
            <w:vAlign w:val="bottom"/>
          </w:tcPr>
          <w:p>
            <w:pPr>
              <w:spacing w:after="0"/>
              <w:rPr>
                <w:sz w:val="21"/>
                <w:szCs w:val="21"/>
                <w:color w:val="auto"/>
              </w:rPr>
            </w:pPr>
          </w:p>
        </w:tc>
        <w:tc>
          <w:tcPr>
            <w:tcW w:w="10400" w:type="dxa"/>
            <w:vAlign w:val="bottom"/>
            <w:gridSpan w:val="3"/>
          </w:tcPr>
          <w:p>
            <w:pPr>
              <w:spacing w:after="0"/>
              <w:rPr>
                <w:sz w:val="20"/>
                <w:szCs w:val="20"/>
                <w:color w:val="auto"/>
              </w:rPr>
            </w:pPr>
            <w:r>
              <w:rPr>
                <w:rFonts w:ascii="Arial" w:cs="Arial" w:eastAsia="Arial" w:hAnsi="Arial"/>
                <w:sz w:val="16"/>
                <w:szCs w:val="16"/>
                <w:color w:val="auto"/>
              </w:rPr>
              <w:t>Gentherm Incorporated: 21680 Haggerty Road, Suite 101, Northville, Michigan 48167</w:t>
            </w:r>
          </w:p>
        </w:tc>
      </w:tr>
      <w:tr>
        <w:trPr>
          <w:trHeight w:val="20"/>
        </w:trPr>
        <w:tc>
          <w:tcPr>
            <w:tcW w:w="10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r>
      <w:tr>
        <w:trPr>
          <w:trHeight w:val="261"/>
        </w:trPr>
        <w:tc>
          <w:tcPr>
            <w:tcW w:w="1040" w:type="dxa"/>
            <w:vAlign w:val="bottom"/>
          </w:tcPr>
          <w:p>
            <w:pPr>
              <w:spacing w:after="0"/>
              <w:rPr>
                <w:sz w:val="22"/>
                <w:szCs w:val="22"/>
                <w:color w:val="auto"/>
              </w:rPr>
            </w:pPr>
          </w:p>
        </w:tc>
        <w:tc>
          <w:tcPr>
            <w:tcW w:w="10400" w:type="dxa"/>
            <w:vAlign w:val="bottom"/>
            <w:gridSpan w:val="3"/>
          </w:tcPr>
          <w:p>
            <w:pPr>
              <w:spacing w:after="0"/>
              <w:rPr>
                <w:sz w:val="20"/>
                <w:szCs w:val="20"/>
                <w:color w:val="auto"/>
              </w:rPr>
            </w:pPr>
            <w:r>
              <w:rPr>
                <w:rFonts w:ascii="Arial" w:cs="Arial" w:eastAsia="Arial" w:hAnsi="Arial"/>
                <w:sz w:val="16"/>
                <w:szCs w:val="16"/>
                <w:color w:val="auto"/>
              </w:rPr>
              <w:t>Gentherm (Texas), Inc.: 2121b Frontera Road, Del Rio, Texas 78840</w:t>
            </w:r>
          </w:p>
        </w:tc>
      </w:tr>
      <w:tr>
        <w:trPr>
          <w:trHeight w:val="20"/>
        </w:trPr>
        <w:tc>
          <w:tcPr>
            <w:tcW w:w="10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r>
      <w:tr>
        <w:trPr>
          <w:trHeight w:val="261"/>
        </w:trPr>
        <w:tc>
          <w:tcPr>
            <w:tcW w:w="1040" w:type="dxa"/>
            <w:vAlign w:val="bottom"/>
          </w:tcPr>
          <w:p>
            <w:pPr>
              <w:spacing w:after="0"/>
              <w:rPr>
                <w:sz w:val="22"/>
                <w:szCs w:val="22"/>
                <w:color w:val="auto"/>
              </w:rPr>
            </w:pPr>
          </w:p>
        </w:tc>
        <w:tc>
          <w:tcPr>
            <w:tcW w:w="10400" w:type="dxa"/>
            <w:vAlign w:val="bottom"/>
            <w:gridSpan w:val="3"/>
          </w:tcPr>
          <w:p>
            <w:pPr>
              <w:spacing w:after="0"/>
              <w:rPr>
                <w:sz w:val="20"/>
                <w:szCs w:val="20"/>
                <w:color w:val="auto"/>
              </w:rPr>
            </w:pPr>
            <w:r>
              <w:rPr>
                <w:rFonts w:ascii="Arial" w:cs="Arial" w:eastAsia="Arial" w:hAnsi="Arial"/>
                <w:sz w:val="16"/>
                <w:szCs w:val="16"/>
                <w:color w:val="auto"/>
              </w:rPr>
              <w:t>Westridge Haggerty LLC: 21680 Haggerty Road, Suite 101, Northville, Michigan 48167</w:t>
            </w:r>
          </w:p>
        </w:tc>
      </w:tr>
      <w:tr>
        <w:trPr>
          <w:trHeight w:val="20"/>
        </w:trPr>
        <w:tc>
          <w:tcPr>
            <w:tcW w:w="10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r>
      <w:tr>
        <w:trPr>
          <w:trHeight w:val="507"/>
        </w:trPr>
        <w:tc>
          <w:tcPr>
            <w:tcW w:w="1040" w:type="dxa"/>
            <w:vAlign w:val="bottom"/>
          </w:tcPr>
          <w:p>
            <w:pPr>
              <w:spacing w:after="0"/>
              <w:rPr>
                <w:sz w:val="20"/>
                <w:szCs w:val="20"/>
                <w:color w:val="auto"/>
              </w:rPr>
            </w:pPr>
            <w:r>
              <w:rPr>
                <w:rFonts w:ascii="Arial" w:cs="Arial" w:eastAsia="Arial" w:hAnsi="Arial"/>
                <w:sz w:val="16"/>
                <w:szCs w:val="16"/>
                <w:color w:val="auto"/>
              </w:rPr>
              <w:t>Item B.</w:t>
            </w:r>
          </w:p>
        </w:tc>
        <w:tc>
          <w:tcPr>
            <w:tcW w:w="10400" w:type="dxa"/>
            <w:vAlign w:val="bottom"/>
            <w:gridSpan w:val="3"/>
          </w:tcPr>
          <w:p>
            <w:pPr>
              <w:spacing w:after="0"/>
              <w:rPr>
                <w:sz w:val="20"/>
                <w:szCs w:val="20"/>
                <w:color w:val="auto"/>
              </w:rPr>
            </w:pPr>
            <w:r>
              <w:rPr>
                <w:rFonts w:ascii="Arial" w:cs="Arial" w:eastAsia="Arial" w:hAnsi="Arial"/>
                <w:sz w:val="16"/>
                <w:szCs w:val="16"/>
                <w:color w:val="auto"/>
              </w:rPr>
              <w:t>Filing Locations (Last 5 Years)</w:t>
            </w:r>
          </w:p>
        </w:tc>
      </w:tr>
      <w:tr>
        <w:trPr>
          <w:trHeight w:val="247"/>
        </w:trPr>
        <w:tc>
          <w:tcPr>
            <w:tcW w:w="1040" w:type="dxa"/>
            <w:vAlign w:val="bottom"/>
          </w:tcPr>
          <w:p>
            <w:pPr>
              <w:spacing w:after="0"/>
              <w:rPr>
                <w:sz w:val="21"/>
                <w:szCs w:val="21"/>
                <w:color w:val="auto"/>
              </w:rPr>
            </w:pPr>
          </w:p>
        </w:tc>
        <w:tc>
          <w:tcPr>
            <w:tcW w:w="10400" w:type="dxa"/>
            <w:vAlign w:val="bottom"/>
            <w:gridSpan w:val="3"/>
          </w:tcPr>
          <w:p>
            <w:pPr>
              <w:spacing w:after="0"/>
              <w:rPr>
                <w:sz w:val="20"/>
                <w:szCs w:val="20"/>
                <w:color w:val="auto"/>
              </w:rPr>
            </w:pPr>
            <w:r>
              <w:rPr>
                <w:rFonts w:ascii="Arial" w:cs="Arial" w:eastAsia="Arial" w:hAnsi="Arial"/>
                <w:sz w:val="16"/>
                <w:szCs w:val="16"/>
                <w:color w:val="auto"/>
                <w:w w:val="89"/>
              </w:rPr>
              <w:t>Gentherm Incorporated: Michigan, Delaware (state of formation of BSST LLC and ZT Plus LLC, which both merged into Gentherm Incorporated as of December 31,</w:t>
            </w:r>
          </w:p>
        </w:tc>
      </w:tr>
      <w:tr>
        <w:trPr>
          <w:trHeight w:val="202"/>
        </w:trPr>
        <w:tc>
          <w:tcPr>
            <w:tcW w:w="1040" w:type="dxa"/>
            <w:vAlign w:val="bottom"/>
          </w:tcPr>
          <w:p>
            <w:pPr>
              <w:spacing w:after="0"/>
              <w:rPr>
                <w:sz w:val="17"/>
                <w:szCs w:val="17"/>
                <w:color w:val="auto"/>
              </w:rPr>
            </w:pPr>
          </w:p>
        </w:tc>
        <w:tc>
          <w:tcPr>
            <w:tcW w:w="14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2013).</w:t>
            </w:r>
          </w:p>
        </w:tc>
        <w:tc>
          <w:tcPr>
            <w:tcW w:w="160" w:type="dxa"/>
            <w:vAlign w:val="bottom"/>
          </w:tcPr>
          <w:p>
            <w:pPr>
              <w:spacing w:after="0"/>
              <w:rPr>
                <w:sz w:val="17"/>
                <w:szCs w:val="17"/>
                <w:color w:val="auto"/>
              </w:rPr>
            </w:pPr>
          </w:p>
        </w:tc>
        <w:tc>
          <w:tcPr>
            <w:tcW w:w="8800" w:type="dxa"/>
            <w:vAlign w:val="bottom"/>
          </w:tcPr>
          <w:p>
            <w:pPr>
              <w:spacing w:after="0"/>
              <w:rPr>
                <w:sz w:val="17"/>
                <w:szCs w:val="17"/>
                <w:color w:val="auto"/>
              </w:rPr>
            </w:pPr>
          </w:p>
        </w:tc>
      </w:tr>
      <w:tr>
        <w:trPr>
          <w:trHeight w:val="247"/>
        </w:trPr>
        <w:tc>
          <w:tcPr>
            <w:tcW w:w="1040" w:type="dxa"/>
            <w:vAlign w:val="bottom"/>
          </w:tcPr>
          <w:p>
            <w:pPr>
              <w:spacing w:after="0"/>
              <w:rPr>
                <w:sz w:val="21"/>
                <w:szCs w:val="21"/>
                <w:color w:val="auto"/>
              </w:rPr>
            </w:pPr>
          </w:p>
        </w:tc>
        <w:tc>
          <w:tcPr>
            <w:tcW w:w="10400" w:type="dxa"/>
            <w:vAlign w:val="bottom"/>
            <w:gridSpan w:val="3"/>
          </w:tcPr>
          <w:p>
            <w:pPr>
              <w:spacing w:after="0"/>
              <w:rPr>
                <w:sz w:val="20"/>
                <w:szCs w:val="20"/>
                <w:color w:val="auto"/>
              </w:rPr>
            </w:pPr>
            <w:r>
              <w:rPr>
                <w:rFonts w:ascii="Arial" w:cs="Arial" w:eastAsia="Arial" w:hAnsi="Arial"/>
                <w:sz w:val="16"/>
                <w:szCs w:val="16"/>
                <w:color w:val="auto"/>
              </w:rPr>
              <w:t>Gentherm (Texas), Inc.: Texas</w:t>
            </w:r>
          </w:p>
        </w:tc>
      </w:tr>
      <w:tr>
        <w:trPr>
          <w:trHeight w:val="20"/>
        </w:trPr>
        <w:tc>
          <w:tcPr>
            <w:tcW w:w="10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r>
      <w:tr>
        <w:trPr>
          <w:trHeight w:val="261"/>
        </w:trPr>
        <w:tc>
          <w:tcPr>
            <w:tcW w:w="1040" w:type="dxa"/>
            <w:vAlign w:val="bottom"/>
          </w:tcPr>
          <w:p>
            <w:pPr>
              <w:spacing w:after="0"/>
              <w:rPr>
                <w:sz w:val="22"/>
                <w:szCs w:val="22"/>
                <w:color w:val="auto"/>
              </w:rPr>
            </w:pPr>
          </w:p>
        </w:tc>
        <w:tc>
          <w:tcPr>
            <w:tcW w:w="10400" w:type="dxa"/>
            <w:vAlign w:val="bottom"/>
            <w:gridSpan w:val="3"/>
          </w:tcPr>
          <w:p>
            <w:pPr>
              <w:spacing w:after="0"/>
              <w:rPr>
                <w:sz w:val="20"/>
                <w:szCs w:val="20"/>
                <w:color w:val="auto"/>
              </w:rPr>
            </w:pPr>
            <w:r>
              <w:rPr>
                <w:rFonts w:ascii="Arial" w:cs="Arial" w:eastAsia="Arial" w:hAnsi="Arial"/>
                <w:sz w:val="16"/>
                <w:szCs w:val="16"/>
                <w:color w:val="auto"/>
              </w:rPr>
              <w:t>Westridge Haggerty LLC: Michigan</w:t>
            </w:r>
          </w:p>
        </w:tc>
      </w:tr>
      <w:tr>
        <w:trPr>
          <w:trHeight w:val="518"/>
        </w:trPr>
        <w:tc>
          <w:tcPr>
            <w:tcW w:w="1040" w:type="dxa"/>
            <w:vAlign w:val="bottom"/>
          </w:tcPr>
          <w:p>
            <w:pPr>
              <w:spacing w:after="0"/>
              <w:rPr>
                <w:sz w:val="20"/>
                <w:szCs w:val="20"/>
                <w:color w:val="auto"/>
              </w:rPr>
            </w:pPr>
            <w:r>
              <w:rPr>
                <w:rFonts w:ascii="Arial" w:cs="Arial" w:eastAsia="Arial" w:hAnsi="Arial"/>
                <w:sz w:val="16"/>
                <w:szCs w:val="16"/>
                <w:color w:val="auto"/>
              </w:rPr>
              <w:t>Item C.</w:t>
            </w:r>
          </w:p>
        </w:tc>
        <w:tc>
          <w:tcPr>
            <w:tcW w:w="160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Trade Names</w:t>
            </w:r>
          </w:p>
        </w:tc>
        <w:tc>
          <w:tcPr>
            <w:tcW w:w="8800" w:type="dxa"/>
            <w:vAlign w:val="bottom"/>
          </w:tcPr>
          <w:p>
            <w:pPr>
              <w:spacing w:after="0"/>
              <w:rPr>
                <w:sz w:val="24"/>
                <w:szCs w:val="24"/>
                <w:color w:val="auto"/>
              </w:rPr>
            </w:pPr>
          </w:p>
        </w:tc>
      </w:tr>
      <w:tr>
        <w:trPr>
          <w:trHeight w:val="247"/>
        </w:trPr>
        <w:tc>
          <w:tcPr>
            <w:tcW w:w="1040" w:type="dxa"/>
            <w:vAlign w:val="bottom"/>
          </w:tcPr>
          <w:p>
            <w:pPr>
              <w:spacing w:after="0"/>
              <w:rPr>
                <w:sz w:val="21"/>
                <w:szCs w:val="21"/>
                <w:color w:val="auto"/>
              </w:rPr>
            </w:pPr>
          </w:p>
        </w:tc>
        <w:tc>
          <w:tcPr>
            <w:tcW w:w="10400" w:type="dxa"/>
            <w:vAlign w:val="bottom"/>
            <w:gridSpan w:val="3"/>
          </w:tcPr>
          <w:p>
            <w:pPr>
              <w:spacing w:after="0"/>
              <w:rPr>
                <w:sz w:val="20"/>
                <w:szCs w:val="20"/>
                <w:color w:val="auto"/>
              </w:rPr>
            </w:pPr>
            <w:r>
              <w:rPr>
                <w:rFonts w:ascii="Arial" w:cs="Arial" w:eastAsia="Arial" w:hAnsi="Arial"/>
                <w:sz w:val="16"/>
                <w:szCs w:val="16"/>
                <w:color w:val="auto"/>
              </w:rPr>
              <w:t>Gentherm Incorporated: Gentherm.</w:t>
            </w:r>
          </w:p>
        </w:tc>
      </w:tr>
      <w:tr>
        <w:trPr>
          <w:trHeight w:val="20"/>
        </w:trPr>
        <w:tc>
          <w:tcPr>
            <w:tcW w:w="10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960" w:type="dxa"/>
            <w:vAlign w:val="bottom"/>
            <w:tcBorders>
              <w:left w:val="single" w:sz="8" w:color="auto"/>
            </w:tcBorders>
            <w:gridSpan w:val="2"/>
          </w:tcPr>
          <w:p>
            <w:pPr>
              <w:spacing w:after="0" w:line="20" w:lineRule="exact"/>
              <w:rPr>
                <w:sz w:val="1"/>
                <w:szCs w:val="1"/>
                <w:color w:val="auto"/>
              </w:rPr>
            </w:pPr>
          </w:p>
        </w:tc>
      </w:tr>
      <w:tr>
        <w:trPr>
          <w:trHeight w:val="261"/>
        </w:trPr>
        <w:tc>
          <w:tcPr>
            <w:tcW w:w="1040" w:type="dxa"/>
            <w:vAlign w:val="bottom"/>
          </w:tcPr>
          <w:p>
            <w:pPr>
              <w:spacing w:after="0"/>
              <w:rPr>
                <w:sz w:val="22"/>
                <w:szCs w:val="22"/>
                <w:color w:val="auto"/>
              </w:rPr>
            </w:pPr>
          </w:p>
        </w:tc>
        <w:tc>
          <w:tcPr>
            <w:tcW w:w="10400" w:type="dxa"/>
            <w:vAlign w:val="bottom"/>
            <w:gridSpan w:val="3"/>
          </w:tcPr>
          <w:p>
            <w:pPr>
              <w:spacing w:after="0"/>
              <w:rPr>
                <w:sz w:val="20"/>
                <w:szCs w:val="20"/>
                <w:color w:val="auto"/>
              </w:rPr>
            </w:pPr>
            <w:r>
              <w:rPr>
                <w:rFonts w:ascii="Arial" w:cs="Arial" w:eastAsia="Arial" w:hAnsi="Arial"/>
                <w:sz w:val="16"/>
                <w:szCs w:val="16"/>
                <w:color w:val="auto"/>
              </w:rPr>
              <w:t>Gentherm (Texas), Inc.: None.</w:t>
            </w:r>
          </w:p>
        </w:tc>
      </w:tr>
      <w:tr>
        <w:trPr>
          <w:trHeight w:val="20"/>
        </w:trPr>
        <w:tc>
          <w:tcPr>
            <w:tcW w:w="10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960" w:type="dxa"/>
            <w:vAlign w:val="bottom"/>
            <w:gridSpan w:val="2"/>
          </w:tcPr>
          <w:p>
            <w:pPr>
              <w:spacing w:after="0" w:line="20" w:lineRule="exact"/>
              <w:rPr>
                <w:sz w:val="1"/>
                <w:szCs w:val="1"/>
                <w:color w:val="auto"/>
              </w:rPr>
            </w:pPr>
          </w:p>
        </w:tc>
      </w:tr>
      <w:tr>
        <w:trPr>
          <w:trHeight w:val="261"/>
        </w:trPr>
        <w:tc>
          <w:tcPr>
            <w:tcW w:w="1040" w:type="dxa"/>
            <w:vAlign w:val="bottom"/>
          </w:tcPr>
          <w:p>
            <w:pPr>
              <w:spacing w:after="0"/>
              <w:rPr>
                <w:sz w:val="22"/>
                <w:szCs w:val="22"/>
                <w:color w:val="auto"/>
              </w:rPr>
            </w:pPr>
          </w:p>
        </w:tc>
        <w:tc>
          <w:tcPr>
            <w:tcW w:w="10400" w:type="dxa"/>
            <w:vAlign w:val="bottom"/>
            <w:gridSpan w:val="3"/>
          </w:tcPr>
          <w:p>
            <w:pPr>
              <w:spacing w:after="0"/>
              <w:rPr>
                <w:sz w:val="20"/>
                <w:szCs w:val="20"/>
                <w:color w:val="auto"/>
              </w:rPr>
            </w:pPr>
            <w:r>
              <w:rPr>
                <w:rFonts w:ascii="Arial" w:cs="Arial" w:eastAsia="Arial" w:hAnsi="Arial"/>
                <w:sz w:val="16"/>
                <w:szCs w:val="16"/>
                <w:color w:val="auto"/>
              </w:rPr>
              <w:t>Westridge Haggerty LLC: None.</w:t>
            </w:r>
          </w:p>
        </w:tc>
      </w:tr>
      <w:tr>
        <w:trPr>
          <w:trHeight w:val="20"/>
        </w:trPr>
        <w:tc>
          <w:tcPr>
            <w:tcW w:w="1040" w:type="dxa"/>
            <w:vAlign w:val="bottom"/>
          </w:tcPr>
          <w:p>
            <w:pPr>
              <w:spacing w:after="0" w:line="20" w:lineRule="exact"/>
              <w:rPr>
                <w:sz w:val="1"/>
                <w:szCs w:val="1"/>
                <w:color w:val="auto"/>
              </w:rPr>
            </w:pPr>
          </w:p>
        </w:tc>
        <w:tc>
          <w:tcPr>
            <w:tcW w:w="1600" w:type="dxa"/>
            <w:vAlign w:val="bottom"/>
            <w:tcBorders>
              <w:right w:val="single" w:sz="8" w:color="auto"/>
            </w:tcBorders>
            <w:gridSpan w:val="2"/>
            <w:shd w:val="clear" w:color="auto" w:fill="000000"/>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r>
      <w:tr>
        <w:trPr>
          <w:trHeight w:val="518"/>
        </w:trPr>
        <w:tc>
          <w:tcPr>
            <w:tcW w:w="1040" w:type="dxa"/>
            <w:vAlign w:val="bottom"/>
          </w:tcPr>
          <w:p>
            <w:pPr>
              <w:spacing w:after="0"/>
              <w:rPr>
                <w:sz w:val="20"/>
                <w:szCs w:val="20"/>
                <w:color w:val="auto"/>
              </w:rPr>
            </w:pPr>
            <w:r>
              <w:rPr>
                <w:rFonts w:ascii="Arial" w:cs="Arial" w:eastAsia="Arial" w:hAnsi="Arial"/>
                <w:sz w:val="16"/>
                <w:szCs w:val="16"/>
                <w:color w:val="auto"/>
              </w:rPr>
              <w:t>Item D.</w:t>
            </w:r>
          </w:p>
        </w:tc>
        <w:tc>
          <w:tcPr>
            <w:tcW w:w="10400" w:type="dxa"/>
            <w:vAlign w:val="bottom"/>
            <w:gridSpan w:val="3"/>
          </w:tcPr>
          <w:p>
            <w:pPr>
              <w:spacing w:after="0"/>
              <w:rPr>
                <w:sz w:val="20"/>
                <w:szCs w:val="20"/>
                <w:color w:val="auto"/>
              </w:rPr>
            </w:pPr>
            <w:r>
              <w:rPr>
                <w:rFonts w:ascii="Arial" w:cs="Arial" w:eastAsia="Arial" w:hAnsi="Arial"/>
                <w:sz w:val="16"/>
                <w:szCs w:val="16"/>
                <w:color w:val="auto"/>
              </w:rPr>
              <w:t>Changes in Name; Merger or Other Reorganization</w:t>
            </w:r>
          </w:p>
        </w:tc>
      </w:tr>
      <w:tr>
        <w:trPr>
          <w:trHeight w:val="247"/>
        </w:trPr>
        <w:tc>
          <w:tcPr>
            <w:tcW w:w="1040" w:type="dxa"/>
            <w:vAlign w:val="bottom"/>
          </w:tcPr>
          <w:p>
            <w:pPr>
              <w:spacing w:after="0"/>
              <w:rPr>
                <w:sz w:val="21"/>
                <w:szCs w:val="21"/>
                <w:color w:val="auto"/>
              </w:rPr>
            </w:pPr>
          </w:p>
        </w:tc>
        <w:tc>
          <w:tcPr>
            <w:tcW w:w="10400" w:type="dxa"/>
            <w:vAlign w:val="bottom"/>
            <w:gridSpan w:val="3"/>
          </w:tcPr>
          <w:p>
            <w:pPr>
              <w:spacing w:after="0"/>
              <w:rPr>
                <w:sz w:val="20"/>
                <w:szCs w:val="20"/>
                <w:color w:val="auto"/>
              </w:rPr>
            </w:pPr>
            <w:r>
              <w:rPr>
                <w:rFonts w:ascii="Arial" w:cs="Arial" w:eastAsia="Arial" w:hAnsi="Arial"/>
                <w:sz w:val="16"/>
                <w:szCs w:val="16"/>
                <w:color w:val="auto"/>
              </w:rPr>
              <w:t>Gentherm Incorporated:</w:t>
            </w:r>
          </w:p>
        </w:tc>
      </w:tr>
      <w:tr>
        <w:trPr>
          <w:trHeight w:val="20"/>
        </w:trPr>
        <w:tc>
          <w:tcPr>
            <w:tcW w:w="10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960" w:type="dxa"/>
            <w:vAlign w:val="bottom"/>
            <w:tcBorders>
              <w:left w:val="single" w:sz="8" w:color="auto"/>
            </w:tcBorders>
            <w:gridSpan w:val="2"/>
          </w:tcPr>
          <w:p>
            <w:pPr>
              <w:spacing w:after="0" w:line="20" w:lineRule="exact"/>
              <w:rPr>
                <w:sz w:val="1"/>
                <w:szCs w:val="1"/>
                <w:color w:val="auto"/>
              </w:rPr>
            </w:pPr>
          </w:p>
        </w:tc>
      </w:tr>
      <w:tr>
        <w:trPr>
          <w:trHeight w:val="284"/>
        </w:trPr>
        <w:tc>
          <w:tcPr>
            <w:tcW w:w="1040" w:type="dxa"/>
            <w:vAlign w:val="bottom"/>
          </w:tcPr>
          <w:p>
            <w:pPr>
              <w:spacing w:after="0"/>
              <w:rPr>
                <w:sz w:val="24"/>
                <w:szCs w:val="24"/>
                <w:color w:val="auto"/>
              </w:rPr>
            </w:pPr>
          </w:p>
        </w:tc>
        <w:tc>
          <w:tcPr>
            <w:tcW w:w="10400" w:type="dxa"/>
            <w:vAlign w:val="bottom"/>
            <w:gridSpan w:val="3"/>
          </w:tcPr>
          <w:p>
            <w:pPr>
              <w:spacing w:after="0"/>
              <w:rPr>
                <w:sz w:val="20"/>
                <w:szCs w:val="20"/>
                <w:color w:val="auto"/>
              </w:rPr>
            </w:pPr>
            <w:r>
              <w:rPr>
                <w:rFonts w:ascii="Arial" w:cs="Arial" w:eastAsia="Arial" w:hAnsi="Arial"/>
                <w:sz w:val="16"/>
                <w:szCs w:val="16"/>
                <w:color w:val="auto"/>
                <w:w w:val="93"/>
              </w:rPr>
              <w:t>Effective December 31, 2013, BSST LLC, a Delaware limited liability company, and ZT Plus, LLC, a Delaware limited liability company, merged with and into</w:t>
            </w:r>
          </w:p>
        </w:tc>
      </w:tr>
      <w:tr>
        <w:trPr>
          <w:trHeight w:val="199"/>
        </w:trPr>
        <w:tc>
          <w:tcPr>
            <w:tcW w:w="1040" w:type="dxa"/>
            <w:vAlign w:val="bottom"/>
          </w:tcPr>
          <w:p>
            <w:pPr>
              <w:spacing w:after="0"/>
              <w:rPr>
                <w:sz w:val="17"/>
                <w:szCs w:val="17"/>
                <w:color w:val="auto"/>
              </w:rPr>
            </w:pPr>
          </w:p>
        </w:tc>
        <w:tc>
          <w:tcPr>
            <w:tcW w:w="10400" w:type="dxa"/>
            <w:vAlign w:val="bottom"/>
            <w:gridSpan w:val="3"/>
          </w:tcPr>
          <w:p>
            <w:pPr>
              <w:spacing w:after="0"/>
              <w:rPr>
                <w:sz w:val="20"/>
                <w:szCs w:val="20"/>
                <w:color w:val="auto"/>
              </w:rPr>
            </w:pPr>
            <w:r>
              <w:rPr>
                <w:rFonts w:ascii="Arial" w:cs="Arial" w:eastAsia="Arial" w:hAnsi="Arial"/>
                <w:sz w:val="16"/>
                <w:szCs w:val="16"/>
                <w:color w:val="auto"/>
              </w:rPr>
              <w:t>Gentherm Incorporated.</w:t>
            </w:r>
          </w:p>
        </w:tc>
      </w:tr>
      <w:tr>
        <w:trPr>
          <w:trHeight w:val="247"/>
        </w:trPr>
        <w:tc>
          <w:tcPr>
            <w:tcW w:w="1040" w:type="dxa"/>
            <w:vAlign w:val="bottom"/>
          </w:tcPr>
          <w:p>
            <w:pPr>
              <w:spacing w:after="0"/>
              <w:rPr>
                <w:sz w:val="21"/>
                <w:szCs w:val="21"/>
                <w:color w:val="auto"/>
              </w:rPr>
            </w:pPr>
          </w:p>
        </w:tc>
        <w:tc>
          <w:tcPr>
            <w:tcW w:w="10400" w:type="dxa"/>
            <w:vAlign w:val="bottom"/>
            <w:gridSpan w:val="3"/>
          </w:tcPr>
          <w:p>
            <w:pPr>
              <w:spacing w:after="0"/>
              <w:rPr>
                <w:sz w:val="20"/>
                <w:szCs w:val="20"/>
                <w:color w:val="auto"/>
              </w:rPr>
            </w:pPr>
            <w:r>
              <w:rPr>
                <w:rFonts w:ascii="Arial" w:cs="Arial" w:eastAsia="Arial" w:hAnsi="Arial"/>
                <w:sz w:val="16"/>
                <w:szCs w:val="16"/>
                <w:color w:val="auto"/>
              </w:rPr>
              <w:t>Gentherm (Texas), Inc.:</w:t>
            </w:r>
          </w:p>
        </w:tc>
      </w:tr>
      <w:tr>
        <w:trPr>
          <w:trHeight w:val="20"/>
        </w:trPr>
        <w:tc>
          <w:tcPr>
            <w:tcW w:w="10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960" w:type="dxa"/>
            <w:vAlign w:val="bottom"/>
            <w:gridSpan w:val="2"/>
          </w:tcPr>
          <w:p>
            <w:pPr>
              <w:spacing w:after="0" w:line="20" w:lineRule="exact"/>
              <w:rPr>
                <w:sz w:val="1"/>
                <w:szCs w:val="1"/>
                <w:color w:val="auto"/>
              </w:rPr>
            </w:pPr>
          </w:p>
        </w:tc>
      </w:tr>
      <w:tr>
        <w:trPr>
          <w:trHeight w:val="284"/>
        </w:trPr>
        <w:tc>
          <w:tcPr>
            <w:tcW w:w="1040" w:type="dxa"/>
            <w:vAlign w:val="bottom"/>
          </w:tcPr>
          <w:p>
            <w:pPr>
              <w:spacing w:after="0"/>
              <w:rPr>
                <w:sz w:val="24"/>
                <w:szCs w:val="24"/>
                <w:color w:val="auto"/>
              </w:rPr>
            </w:pPr>
          </w:p>
        </w:tc>
        <w:tc>
          <w:tcPr>
            <w:tcW w:w="10400" w:type="dxa"/>
            <w:vAlign w:val="bottom"/>
            <w:gridSpan w:val="3"/>
          </w:tcPr>
          <w:p>
            <w:pPr>
              <w:spacing w:after="0"/>
              <w:rPr>
                <w:sz w:val="20"/>
                <w:szCs w:val="20"/>
                <w:color w:val="auto"/>
              </w:rPr>
            </w:pPr>
            <w:r>
              <w:rPr>
                <w:rFonts w:ascii="Arial" w:cs="Arial" w:eastAsia="Arial" w:hAnsi="Arial"/>
                <w:sz w:val="16"/>
                <w:szCs w:val="16"/>
                <w:color w:val="auto"/>
                <w:w w:val="92"/>
              </w:rPr>
              <w:t>Gentherm (Texas), Inc. was formerly known as W.E.T. Automotive Systems (Texas), Inc. The corporation changed its name to Gentherm (Texas), Inc. effective</w:t>
            </w:r>
          </w:p>
        </w:tc>
      </w:tr>
      <w:tr>
        <w:trPr>
          <w:trHeight w:val="199"/>
        </w:trPr>
        <w:tc>
          <w:tcPr>
            <w:tcW w:w="1040" w:type="dxa"/>
            <w:vAlign w:val="bottom"/>
          </w:tcPr>
          <w:p>
            <w:pPr>
              <w:spacing w:after="0"/>
              <w:rPr>
                <w:sz w:val="17"/>
                <w:szCs w:val="17"/>
                <w:color w:val="auto"/>
              </w:rPr>
            </w:pPr>
          </w:p>
        </w:tc>
        <w:tc>
          <w:tcPr>
            <w:tcW w:w="10400" w:type="dxa"/>
            <w:vAlign w:val="bottom"/>
            <w:gridSpan w:val="3"/>
          </w:tcPr>
          <w:p>
            <w:pPr>
              <w:spacing w:after="0"/>
              <w:rPr>
                <w:sz w:val="20"/>
                <w:szCs w:val="20"/>
                <w:color w:val="auto"/>
              </w:rPr>
            </w:pPr>
            <w:r>
              <w:rPr>
                <w:rFonts w:ascii="Arial" w:cs="Arial" w:eastAsia="Arial" w:hAnsi="Arial"/>
                <w:sz w:val="16"/>
                <w:szCs w:val="16"/>
                <w:color w:val="auto"/>
              </w:rPr>
              <w:t>April 1, 2014.</w:t>
            </w:r>
          </w:p>
        </w:tc>
      </w:tr>
      <w:tr>
        <w:trPr>
          <w:trHeight w:val="281"/>
        </w:trPr>
        <w:tc>
          <w:tcPr>
            <w:tcW w:w="1040" w:type="dxa"/>
            <w:vAlign w:val="bottom"/>
          </w:tcPr>
          <w:p>
            <w:pPr>
              <w:spacing w:after="0"/>
              <w:rPr>
                <w:sz w:val="24"/>
                <w:szCs w:val="24"/>
                <w:color w:val="auto"/>
              </w:rPr>
            </w:pPr>
          </w:p>
        </w:tc>
        <w:tc>
          <w:tcPr>
            <w:tcW w:w="10400" w:type="dxa"/>
            <w:vAlign w:val="bottom"/>
            <w:gridSpan w:val="3"/>
          </w:tcPr>
          <w:p>
            <w:pPr>
              <w:spacing w:after="0"/>
              <w:rPr>
                <w:sz w:val="20"/>
                <w:szCs w:val="20"/>
                <w:color w:val="auto"/>
              </w:rPr>
            </w:pPr>
            <w:r>
              <w:rPr>
                <w:rFonts w:ascii="Arial" w:cs="Arial" w:eastAsia="Arial" w:hAnsi="Arial"/>
                <w:sz w:val="16"/>
                <w:szCs w:val="16"/>
                <w:color w:val="auto"/>
              </w:rPr>
              <w:t>Effective May 31, 2014, HeWe Texas, LLC, a Texas limited liability company, merged with and into Gentherm (Texas), Inc.</w:t>
            </w:r>
          </w:p>
        </w:tc>
      </w:tr>
      <w:tr>
        <w:trPr>
          <w:trHeight w:val="247"/>
        </w:trPr>
        <w:tc>
          <w:tcPr>
            <w:tcW w:w="1040" w:type="dxa"/>
            <w:vAlign w:val="bottom"/>
          </w:tcPr>
          <w:p>
            <w:pPr>
              <w:spacing w:after="0"/>
              <w:rPr>
                <w:sz w:val="21"/>
                <w:szCs w:val="21"/>
                <w:color w:val="auto"/>
              </w:rPr>
            </w:pPr>
          </w:p>
        </w:tc>
        <w:tc>
          <w:tcPr>
            <w:tcW w:w="10400" w:type="dxa"/>
            <w:vAlign w:val="bottom"/>
            <w:gridSpan w:val="3"/>
          </w:tcPr>
          <w:p>
            <w:pPr>
              <w:spacing w:after="0"/>
              <w:rPr>
                <w:sz w:val="20"/>
                <w:szCs w:val="20"/>
                <w:color w:val="auto"/>
              </w:rPr>
            </w:pPr>
            <w:r>
              <w:rPr>
                <w:rFonts w:ascii="Arial" w:cs="Arial" w:eastAsia="Arial" w:hAnsi="Arial"/>
                <w:sz w:val="16"/>
                <w:szCs w:val="16"/>
                <w:color w:val="auto"/>
              </w:rPr>
              <w:t>Westridge Haggerty LLC:</w:t>
            </w:r>
          </w:p>
        </w:tc>
      </w:tr>
      <w:tr>
        <w:trPr>
          <w:trHeight w:val="296"/>
        </w:trPr>
        <w:tc>
          <w:tcPr>
            <w:tcW w:w="1040" w:type="dxa"/>
            <w:vAlign w:val="bottom"/>
          </w:tcPr>
          <w:p>
            <w:pPr>
              <w:spacing w:after="0"/>
              <w:rPr>
                <w:sz w:val="24"/>
                <w:szCs w:val="24"/>
                <w:color w:val="auto"/>
              </w:rPr>
            </w:pPr>
          </w:p>
        </w:tc>
        <w:tc>
          <w:tcPr>
            <w:tcW w:w="160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None.</w:t>
            </w:r>
          </w:p>
        </w:tc>
        <w:tc>
          <w:tcPr>
            <w:tcW w:w="8800" w:type="dxa"/>
            <w:vAlign w:val="bottom"/>
          </w:tcPr>
          <w:p>
            <w:pPr>
              <w:spacing w:after="0"/>
              <w:rPr>
                <w:sz w:val="24"/>
                <w:szCs w:val="24"/>
                <w:color w:val="auto"/>
              </w:rPr>
            </w:pPr>
          </w:p>
        </w:tc>
      </w:tr>
    </w:tbl>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6"/>
          <w:szCs w:val="16"/>
          <w:color w:val="auto"/>
        </w:rPr>
        <w:t>Item E.</w:t>
      </w:r>
      <w:r>
        <w:rPr>
          <w:sz w:val="20"/>
          <w:szCs w:val="20"/>
          <w:color w:val="auto"/>
        </w:rPr>
        <w:tab/>
      </w:r>
      <w:r>
        <w:rPr>
          <w:rFonts w:ascii="Arial" w:cs="Arial" w:eastAsia="Arial" w:hAnsi="Arial"/>
          <w:sz w:val="13"/>
          <w:szCs w:val="13"/>
          <w:color w:val="auto"/>
        </w:rPr>
        <w:t>State Organizational Numbers; Taxpayer Identification Numbers</w:t>
      </w:r>
    </w:p>
    <w:p>
      <w:pPr>
        <w:spacing w:after="0" w:line="215" w:lineRule="exact"/>
        <w:rPr>
          <w:sz w:val="20"/>
          <w:szCs w:val="20"/>
          <w:color w:val="auto"/>
        </w:rPr>
      </w:pPr>
    </w:p>
    <w:tbl>
      <w:tblPr>
        <w:tblLayout w:type="fixed"/>
        <w:tblInd w:w="1040" w:type="dxa"/>
        <w:tblCellMar>
          <w:top w:w="0" w:type="dxa"/>
          <w:left w:w="0" w:type="dxa"/>
          <w:bottom w:w="0" w:type="dxa"/>
          <w:right w:w="0" w:type="dxa"/>
        </w:tblCellMar>
      </w:tblPr>
      <w:tr>
        <w:trPr>
          <w:trHeight w:val="199"/>
        </w:trPr>
        <w:tc>
          <w:tcPr>
            <w:tcW w:w="2380" w:type="dxa"/>
            <w:vAlign w:val="bottom"/>
            <w:gridSpan w:val="3"/>
          </w:tcPr>
          <w:p>
            <w:pPr>
              <w:spacing w:after="0"/>
              <w:rPr>
                <w:sz w:val="20"/>
                <w:szCs w:val="20"/>
                <w:color w:val="auto"/>
              </w:rPr>
            </w:pPr>
            <w:r>
              <w:rPr>
                <w:rFonts w:ascii="Arial" w:cs="Arial" w:eastAsia="Arial" w:hAnsi="Arial"/>
                <w:sz w:val="16"/>
                <w:szCs w:val="16"/>
                <w:color w:val="auto"/>
              </w:rPr>
              <w:t>Gentherm Incorporated:</w:t>
            </w:r>
          </w:p>
        </w:tc>
        <w:tc>
          <w:tcPr>
            <w:tcW w:w="4160" w:type="dxa"/>
            <w:vAlign w:val="bottom"/>
          </w:tcPr>
          <w:p>
            <w:pPr>
              <w:ind w:left="760"/>
              <w:spacing w:after="0"/>
              <w:rPr>
                <w:sz w:val="20"/>
                <w:szCs w:val="20"/>
                <w:color w:val="auto"/>
              </w:rPr>
            </w:pPr>
            <w:r>
              <w:rPr>
                <w:rFonts w:ascii="Arial" w:cs="Arial" w:eastAsia="Arial" w:hAnsi="Arial"/>
                <w:sz w:val="16"/>
                <w:szCs w:val="16"/>
                <w:color w:val="auto"/>
                <w:w w:val="99"/>
              </w:rPr>
              <w:t>(a) Michigan Organizational ID number: 54527C</w:t>
            </w:r>
          </w:p>
        </w:tc>
      </w:tr>
      <w:tr>
        <w:trPr>
          <w:trHeight w:val="293"/>
        </w:trPr>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160" w:type="dxa"/>
            <w:vAlign w:val="bottom"/>
          </w:tcPr>
          <w:p>
            <w:pPr>
              <w:ind w:left="760"/>
              <w:spacing w:after="0"/>
              <w:rPr>
                <w:sz w:val="20"/>
                <w:szCs w:val="20"/>
                <w:color w:val="auto"/>
              </w:rPr>
            </w:pPr>
            <w:r>
              <w:rPr>
                <w:rFonts w:ascii="Arial" w:cs="Arial" w:eastAsia="Arial" w:hAnsi="Arial"/>
                <w:sz w:val="16"/>
                <w:szCs w:val="16"/>
                <w:color w:val="auto"/>
              </w:rPr>
              <w:t>(b) EIN: 95-4318554</w:t>
            </w:r>
          </w:p>
        </w:tc>
      </w:tr>
      <w:tr>
        <w:trPr>
          <w:trHeight w:val="259"/>
        </w:trPr>
        <w:tc>
          <w:tcPr>
            <w:tcW w:w="2380" w:type="dxa"/>
            <w:vAlign w:val="bottom"/>
            <w:gridSpan w:val="3"/>
          </w:tcPr>
          <w:p>
            <w:pPr>
              <w:spacing w:after="0"/>
              <w:rPr>
                <w:sz w:val="20"/>
                <w:szCs w:val="20"/>
                <w:color w:val="auto"/>
              </w:rPr>
            </w:pPr>
            <w:r>
              <w:rPr>
                <w:rFonts w:ascii="Arial" w:cs="Arial" w:eastAsia="Arial" w:hAnsi="Arial"/>
                <w:sz w:val="16"/>
                <w:szCs w:val="16"/>
                <w:color w:val="auto"/>
              </w:rPr>
              <w:t>Gentherm (Texas), Inc.:</w:t>
            </w:r>
          </w:p>
        </w:tc>
        <w:tc>
          <w:tcPr>
            <w:tcW w:w="4160" w:type="dxa"/>
            <w:vAlign w:val="bottom"/>
          </w:tcPr>
          <w:p>
            <w:pPr>
              <w:ind w:left="760"/>
              <w:spacing w:after="0"/>
              <w:rPr>
                <w:sz w:val="20"/>
                <w:szCs w:val="20"/>
                <w:color w:val="auto"/>
              </w:rPr>
            </w:pPr>
            <w:r>
              <w:rPr>
                <w:rFonts w:ascii="Arial" w:cs="Arial" w:eastAsia="Arial" w:hAnsi="Arial"/>
                <w:sz w:val="16"/>
                <w:szCs w:val="16"/>
                <w:color w:val="auto"/>
                <w:w w:val="87"/>
              </w:rPr>
              <w:t>(a) Texas Secretary of State filing number: 136333500</w:t>
            </w:r>
          </w:p>
        </w:tc>
      </w:tr>
      <w:tr>
        <w:trPr>
          <w:trHeight w:val="296"/>
        </w:trPr>
        <w:tc>
          <w:tcPr>
            <w:tcW w:w="14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160" w:type="dxa"/>
            <w:vAlign w:val="bottom"/>
          </w:tcPr>
          <w:p>
            <w:pPr>
              <w:ind w:left="760"/>
              <w:spacing w:after="0"/>
              <w:rPr>
                <w:sz w:val="20"/>
                <w:szCs w:val="20"/>
                <w:color w:val="auto"/>
              </w:rPr>
            </w:pPr>
            <w:r>
              <w:rPr>
                <w:rFonts w:ascii="Arial" w:cs="Arial" w:eastAsia="Arial" w:hAnsi="Arial"/>
                <w:sz w:val="16"/>
                <w:szCs w:val="16"/>
                <w:color w:val="auto"/>
              </w:rPr>
              <w:t>(b) EIN: 74-2756104</w:t>
            </w:r>
          </w:p>
        </w:tc>
      </w:tr>
      <w:tr>
        <w:trPr>
          <w:trHeight w:val="259"/>
        </w:trPr>
        <w:tc>
          <w:tcPr>
            <w:tcW w:w="2380" w:type="dxa"/>
            <w:vAlign w:val="bottom"/>
            <w:gridSpan w:val="3"/>
          </w:tcPr>
          <w:p>
            <w:pPr>
              <w:spacing w:after="0"/>
              <w:rPr>
                <w:sz w:val="20"/>
                <w:szCs w:val="20"/>
                <w:color w:val="auto"/>
              </w:rPr>
            </w:pPr>
            <w:r>
              <w:rPr>
                <w:rFonts w:ascii="Arial" w:cs="Arial" w:eastAsia="Arial" w:hAnsi="Arial"/>
                <w:sz w:val="16"/>
                <w:szCs w:val="16"/>
                <w:color w:val="auto"/>
              </w:rPr>
              <w:t>Westridge Haggerty LLC:</w:t>
            </w:r>
          </w:p>
        </w:tc>
        <w:tc>
          <w:tcPr>
            <w:tcW w:w="4160" w:type="dxa"/>
            <w:vAlign w:val="bottom"/>
          </w:tcPr>
          <w:p>
            <w:pPr>
              <w:ind w:left="760"/>
              <w:spacing w:after="0"/>
              <w:rPr>
                <w:sz w:val="20"/>
                <w:szCs w:val="20"/>
                <w:color w:val="auto"/>
              </w:rPr>
            </w:pPr>
            <w:r>
              <w:rPr>
                <w:rFonts w:ascii="Arial" w:cs="Arial" w:eastAsia="Arial" w:hAnsi="Arial"/>
                <w:sz w:val="16"/>
                <w:szCs w:val="16"/>
                <w:color w:val="auto"/>
                <w:w w:val="98"/>
              </w:rPr>
              <w:t>(a) Michigan Organizational ID number: E2240M</w:t>
            </w:r>
          </w:p>
        </w:tc>
      </w:tr>
      <w:tr>
        <w:trPr>
          <w:trHeight w:val="307"/>
        </w:trPr>
        <w:tc>
          <w:tcPr>
            <w:tcW w:w="14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4160" w:type="dxa"/>
            <w:vAlign w:val="bottom"/>
          </w:tcPr>
          <w:p>
            <w:pPr>
              <w:ind w:left="760"/>
              <w:spacing w:after="0"/>
              <w:rPr>
                <w:sz w:val="20"/>
                <w:szCs w:val="20"/>
                <w:color w:val="auto"/>
              </w:rPr>
            </w:pPr>
            <w:r>
              <w:rPr>
                <w:rFonts w:ascii="Arial" w:cs="Arial" w:eastAsia="Arial" w:hAnsi="Arial"/>
                <w:sz w:val="16"/>
                <w:szCs w:val="16"/>
                <w:color w:val="auto"/>
                <w:w w:val="91"/>
              </w:rPr>
              <w:t>(b) EIN: None applied for – uses the Company’s EIN</w:t>
            </w:r>
          </w:p>
        </w:tc>
      </w:tr>
    </w:tbl>
    <w:p>
      <w:pPr>
        <w:sectPr>
          <w:pgSz w:w="11900" w:h="16838" w:orient="portrait"/>
          <w:cols w:equalWidth="0" w:num="1">
            <w:col w:w="11440"/>
          </w:cols>
          <w:pgMar w:left="240" w:top="338" w:right="219" w:bottom="1440" w:gutter="0" w:footer="0" w:header="0"/>
        </w:sectPr>
      </w:pPr>
    </w:p>
    <w:bookmarkStart w:id="208" w:name="page209"/>
    <w:bookmarkEnd w:id="208"/>
    <w:p>
      <w:pPr>
        <w:spacing w:after="0"/>
        <w:tabs>
          <w:tab w:leader="none" w:pos="1020" w:val="left"/>
        </w:tabs>
        <w:rPr>
          <w:sz w:val="20"/>
          <w:szCs w:val="20"/>
          <w:color w:val="auto"/>
        </w:rPr>
      </w:pPr>
      <w:r>
        <w:rPr>
          <w:rFonts w:ascii="Arial" w:cs="Arial" w:eastAsia="Arial" w:hAnsi="Arial"/>
          <w:sz w:val="16"/>
          <w:szCs w:val="16"/>
          <w:color w:val="auto"/>
        </w:rPr>
        <w:t>Item F.</w:t>
      </w:r>
      <w:r>
        <w:rPr>
          <w:sz w:val="20"/>
          <w:szCs w:val="20"/>
          <w:color w:val="auto"/>
        </w:rPr>
        <w:tab/>
      </w:r>
      <w:r>
        <w:rPr>
          <w:rFonts w:ascii="Arial" w:cs="Arial" w:eastAsia="Arial" w:hAnsi="Arial"/>
          <w:sz w:val="13"/>
          <w:szCs w:val="13"/>
          <w:color w:val="auto"/>
        </w:rPr>
        <w:t>Government Contracts</w:t>
      </w:r>
    </w:p>
    <w:p>
      <w:pPr>
        <w:spacing w:after="0" w:line="97"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auto"/>
        </w:rPr>
        <w:t>Gentherm Incorporated</w:t>
      </w:r>
      <w:r>
        <w:rPr>
          <w:rFonts w:ascii="Arial" w:cs="Arial" w:eastAsia="Arial" w:hAnsi="Arial"/>
          <w:sz w:val="16"/>
          <w:szCs w:val="16"/>
          <w:color w:val="auto"/>
        </w:rPr>
        <w:t>: None.</w:t>
      </w:r>
    </w:p>
    <w:p>
      <w:pPr>
        <w:spacing w:after="0" w:line="97"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auto"/>
        </w:rPr>
        <w:t>Gentherm (Texas), Inc.</w:t>
      </w:r>
      <w:r>
        <w:rPr>
          <w:rFonts w:ascii="Arial" w:cs="Arial" w:eastAsia="Arial" w:hAnsi="Arial"/>
          <w:sz w:val="16"/>
          <w:szCs w:val="16"/>
          <w:color w:val="auto"/>
        </w:rPr>
        <w:t>: None.</w:t>
      </w:r>
    </w:p>
    <w:p>
      <w:pPr>
        <w:spacing w:after="0" w:line="97"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auto"/>
        </w:rPr>
        <w:t>Westridge Haggerty LLC</w:t>
      </w:r>
      <w:r>
        <w:rPr>
          <w:rFonts w:ascii="Arial" w:cs="Arial" w:eastAsia="Arial" w:hAnsi="Arial"/>
          <w:sz w:val="16"/>
          <w:szCs w:val="16"/>
          <w:color w:val="auto"/>
        </w:rPr>
        <w:t>: None.</w:t>
      </w:r>
    </w:p>
    <w:p>
      <w:pPr>
        <w:spacing w:after="0" w:line="320" w:lineRule="exact"/>
        <w:rPr>
          <w:sz w:val="20"/>
          <w:szCs w:val="20"/>
          <w:color w:val="auto"/>
        </w:rPr>
      </w:pPr>
    </w:p>
    <w:p>
      <w:pPr>
        <w:spacing w:after="0"/>
        <w:tabs>
          <w:tab w:leader="none" w:pos="1020" w:val="left"/>
        </w:tabs>
        <w:rPr>
          <w:sz w:val="20"/>
          <w:szCs w:val="20"/>
          <w:color w:val="auto"/>
        </w:rPr>
      </w:pPr>
      <w:r>
        <w:rPr>
          <w:rFonts w:ascii="Arial" w:cs="Arial" w:eastAsia="Arial" w:hAnsi="Arial"/>
          <w:sz w:val="16"/>
          <w:szCs w:val="16"/>
          <w:color w:val="auto"/>
        </w:rPr>
        <w:t>Item G.</w:t>
      </w:r>
      <w:r>
        <w:rPr>
          <w:sz w:val="20"/>
          <w:szCs w:val="20"/>
          <w:color w:val="auto"/>
        </w:rPr>
        <w:tab/>
      </w:r>
      <w:r>
        <w:rPr>
          <w:rFonts w:ascii="Arial" w:cs="Arial" w:eastAsia="Arial" w:hAnsi="Arial"/>
          <w:sz w:val="13"/>
          <w:szCs w:val="13"/>
          <w:color w:val="auto"/>
        </w:rPr>
        <w:t>Deposit Accounts; Securities Accounts; Commodity Accounts</w:t>
      </w:r>
    </w:p>
    <w:p>
      <w:pPr>
        <w:spacing w:after="0" w:line="97"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auto"/>
        </w:rPr>
        <w:t>Gentherm Incorporated</w:t>
      </w:r>
      <w:r>
        <w:rPr>
          <w:rFonts w:ascii="Arial" w:cs="Arial" w:eastAsia="Arial" w:hAnsi="Arial"/>
          <w:sz w:val="16"/>
          <w:szCs w:val="16"/>
          <w:color w:val="auto"/>
        </w:rPr>
        <w:t>:</w:t>
      </w:r>
    </w:p>
    <w:p>
      <w:pPr>
        <w:spacing w:after="0" w:line="9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British Pound Checking Account with Barclays Bank ending in 6636</w:t>
      </w:r>
    </w:p>
    <w:p>
      <w:pPr>
        <w:spacing w:after="0" w:line="9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USD Checking Account with Comerica Bank ending in 1896</w:t>
      </w:r>
    </w:p>
    <w:p>
      <w:pPr>
        <w:spacing w:after="0" w:line="9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USD Checking Account with Comerica Bank ending in 7416</w:t>
      </w:r>
    </w:p>
    <w:p>
      <w:pPr>
        <w:spacing w:after="0" w:line="9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USD Checking Account with Comerica Bank ending in 4638</w:t>
      </w:r>
    </w:p>
    <w:p>
      <w:pPr>
        <w:spacing w:after="0" w:line="9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USD Checking Account with Comerica Bank ending in 0324</w:t>
      </w:r>
    </w:p>
    <w:p>
      <w:pPr>
        <w:spacing w:after="0" w:line="9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USD Checking Account with Comerica Bank ending in 0642</w:t>
      </w:r>
    </w:p>
    <w:p>
      <w:pPr>
        <w:spacing w:after="0" w:line="9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Brokerage Account with Comerica Bank ending in 1511</w:t>
      </w:r>
    </w:p>
    <w:p>
      <w:pPr>
        <w:spacing w:after="0" w:line="9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Chinese Yuan Checking Account with Bank of America, Shanghai ending in 4026</w:t>
      </w:r>
    </w:p>
    <w:p>
      <w:pPr>
        <w:spacing w:after="0" w:line="9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USD Checking Account with Bank of America, New York ending in 6306</w:t>
      </w:r>
    </w:p>
    <w:p>
      <w:pPr>
        <w:spacing w:after="0" w:line="9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USD Checking Account with Bank of America, New York ending in 5548</w:t>
      </w:r>
    </w:p>
    <w:p>
      <w:pPr>
        <w:spacing w:after="0" w:line="9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USD Checking Account with Huntington National Bank ending in 1808</w:t>
      </w:r>
    </w:p>
    <w:p>
      <w:pPr>
        <w:spacing w:after="0" w:line="9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USD Checking Account with Deutsche Bank, New York ending in 9223</w:t>
      </w:r>
    </w:p>
    <w:p>
      <w:pPr>
        <w:spacing w:after="0" w:line="9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USD Checking Account with Key Bank ending in 7265</w:t>
      </w:r>
    </w:p>
    <w:p>
      <w:pPr>
        <w:spacing w:after="0" w:line="191"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auto"/>
        </w:rPr>
        <w:t>Gentherm (Texas), Inc.</w:t>
      </w:r>
      <w:r>
        <w:rPr>
          <w:rFonts w:ascii="Arial" w:cs="Arial" w:eastAsia="Arial" w:hAnsi="Arial"/>
          <w:sz w:val="16"/>
          <w:szCs w:val="16"/>
          <w:color w:val="auto"/>
        </w:rPr>
        <w:t>:</w:t>
      </w:r>
    </w:p>
    <w:p>
      <w:pPr>
        <w:spacing w:after="0" w:line="9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USD Checking Account with HSBC USA ending in 3045</w:t>
      </w:r>
    </w:p>
    <w:p>
      <w:pPr>
        <w:spacing w:after="0" w:line="9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USD Checking Account with The Bank &amp; Trust SSB ending in 6558</w:t>
      </w:r>
    </w:p>
    <w:p>
      <w:pPr>
        <w:spacing w:after="0" w:line="191"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auto"/>
        </w:rPr>
        <w:t>Westridge Haggerty LLC</w:t>
      </w:r>
      <w:r>
        <w:rPr>
          <w:rFonts w:ascii="Arial" w:cs="Arial" w:eastAsia="Arial" w:hAnsi="Arial"/>
          <w:sz w:val="16"/>
          <w:szCs w:val="16"/>
          <w:color w:val="auto"/>
        </w:rPr>
        <w:t>:</w:t>
      </w:r>
    </w:p>
    <w:p>
      <w:pPr>
        <w:spacing w:after="0" w:line="9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Checking Account with Comerica Bank ending in 8868</w:t>
      </w:r>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6"/>
          <w:szCs w:val="16"/>
          <w:color w:val="auto"/>
        </w:rPr>
        <w:t>Item H.</w:t>
      </w:r>
      <w:r>
        <w:rPr>
          <w:sz w:val="20"/>
          <w:szCs w:val="20"/>
          <w:color w:val="auto"/>
        </w:rPr>
        <w:tab/>
      </w:r>
      <w:r>
        <w:rPr>
          <w:rFonts w:ascii="Arial" w:cs="Arial" w:eastAsia="Arial" w:hAnsi="Arial"/>
          <w:sz w:val="13"/>
          <w:szCs w:val="13"/>
          <w:color w:val="auto"/>
        </w:rPr>
        <w:t>Letter of Credit Rights</w:t>
      </w:r>
    </w:p>
    <w:p>
      <w:pPr>
        <w:spacing w:after="0" w:line="97"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auto"/>
        </w:rPr>
        <w:t>Gentherm Incorporated</w:t>
      </w:r>
      <w:r>
        <w:rPr>
          <w:rFonts w:ascii="Arial" w:cs="Arial" w:eastAsia="Arial" w:hAnsi="Arial"/>
          <w:sz w:val="16"/>
          <w:szCs w:val="16"/>
          <w:color w:val="auto"/>
        </w:rPr>
        <w:t>: None.</w:t>
      </w:r>
    </w:p>
    <w:p>
      <w:pPr>
        <w:spacing w:after="0" w:line="97"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auto"/>
        </w:rPr>
        <w:t>Gentherm (Texas), Inc.</w:t>
      </w:r>
      <w:r>
        <w:rPr>
          <w:rFonts w:ascii="Arial" w:cs="Arial" w:eastAsia="Arial" w:hAnsi="Arial"/>
          <w:sz w:val="16"/>
          <w:szCs w:val="16"/>
          <w:color w:val="auto"/>
        </w:rPr>
        <w:t>: None.</w:t>
      </w:r>
    </w:p>
    <w:p>
      <w:pPr>
        <w:spacing w:after="0" w:line="97"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auto"/>
        </w:rPr>
        <w:t>Westridge Haggerty</w:t>
      </w:r>
      <w:r>
        <w:rPr>
          <w:rFonts w:ascii="Arial" w:cs="Arial" w:eastAsia="Arial" w:hAnsi="Arial"/>
          <w:sz w:val="16"/>
          <w:szCs w:val="16"/>
          <w:color w:val="auto"/>
        </w:rPr>
        <w:t xml:space="preserve"> LLC: None.</w:t>
      </w:r>
    </w:p>
    <w:p>
      <w:pPr>
        <w:spacing w:after="0" w:line="320" w:lineRule="exact"/>
        <w:rPr>
          <w:sz w:val="20"/>
          <w:szCs w:val="20"/>
          <w:color w:val="auto"/>
        </w:rPr>
      </w:pPr>
    </w:p>
    <w:p>
      <w:pPr>
        <w:spacing w:after="0"/>
        <w:tabs>
          <w:tab w:leader="none" w:pos="1020" w:val="left"/>
        </w:tabs>
        <w:rPr>
          <w:sz w:val="20"/>
          <w:szCs w:val="20"/>
          <w:color w:val="auto"/>
        </w:rPr>
      </w:pPr>
      <w:r>
        <w:rPr>
          <w:rFonts w:ascii="Arial" w:cs="Arial" w:eastAsia="Arial" w:hAnsi="Arial"/>
          <w:sz w:val="16"/>
          <w:szCs w:val="16"/>
          <w:color w:val="auto"/>
        </w:rPr>
        <w:t>Item I.</w:t>
      </w:r>
      <w:r>
        <w:rPr>
          <w:sz w:val="20"/>
          <w:szCs w:val="20"/>
          <w:color w:val="auto"/>
        </w:rPr>
        <w:tab/>
      </w:r>
      <w:r>
        <w:rPr>
          <w:rFonts w:ascii="Arial" w:cs="Arial" w:eastAsia="Arial" w:hAnsi="Arial"/>
          <w:sz w:val="13"/>
          <w:szCs w:val="13"/>
          <w:color w:val="auto"/>
        </w:rPr>
        <w:t>Commercial Tort Claims</w:t>
      </w:r>
    </w:p>
    <w:p>
      <w:pPr>
        <w:spacing w:after="0" w:line="97" w:lineRule="exact"/>
        <w:rPr>
          <w:sz w:val="20"/>
          <w:szCs w:val="20"/>
          <w:color w:val="auto"/>
        </w:rPr>
      </w:pPr>
    </w:p>
    <w:p>
      <w:pPr>
        <w:ind w:left="1040"/>
        <w:spacing w:after="0" w:line="264" w:lineRule="auto"/>
        <w:rPr>
          <w:sz w:val="20"/>
          <w:szCs w:val="20"/>
          <w:color w:val="auto"/>
        </w:rPr>
      </w:pPr>
      <w:r>
        <w:rPr>
          <w:rFonts w:ascii="Arial" w:cs="Arial" w:eastAsia="Arial" w:hAnsi="Arial"/>
          <w:sz w:val="16"/>
          <w:szCs w:val="16"/>
          <w:u w:val="single" w:color="auto"/>
          <w:color w:val="auto"/>
        </w:rPr>
        <w:t>Gentherm Incorporated</w:t>
      </w:r>
      <w:r>
        <w:rPr>
          <w:rFonts w:ascii="Arial" w:cs="Arial" w:eastAsia="Arial" w:hAnsi="Arial"/>
          <w:sz w:val="16"/>
          <w:szCs w:val="16"/>
          <w:color w:val="auto"/>
        </w:rPr>
        <w:t xml:space="preserve">: </w:t>
      </w:r>
      <w:r>
        <w:rPr>
          <w:rFonts w:ascii="Arial" w:cs="Arial" w:eastAsia="Arial" w:hAnsi="Arial"/>
          <w:sz w:val="16"/>
          <w:szCs w:val="16"/>
          <w:i w:val="1"/>
          <w:iCs w:val="1"/>
          <w:color w:val="auto"/>
        </w:rPr>
        <w:t>Gentherm Canada Ltd. (formerly W.E.T. Automotive Systems Ltd.) vs. IGB Automotive Ltd.</w:t>
      </w:r>
      <w:r>
        <w:rPr>
          <w:rFonts w:ascii="Arial" w:cs="Arial" w:eastAsia="Arial" w:hAnsi="Arial"/>
          <w:sz w:val="16"/>
          <w:szCs w:val="16"/>
          <w:color w:val="auto"/>
        </w:rPr>
        <w:t>, Case No. 2:13-CV-11536-AJT-PJK, pending in the United States District Court, Eastern District Of Michigan, Southern Division</w:t>
      </w:r>
    </w:p>
    <w:p>
      <w:pPr>
        <w:spacing w:after="0" w:line="64"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auto"/>
        </w:rPr>
        <w:t>Gentherm (Texas), Inc.</w:t>
      </w:r>
      <w:r>
        <w:rPr>
          <w:rFonts w:ascii="Arial" w:cs="Arial" w:eastAsia="Arial" w:hAnsi="Arial"/>
          <w:sz w:val="16"/>
          <w:szCs w:val="16"/>
          <w:color w:val="auto"/>
        </w:rPr>
        <w:t>: None.</w:t>
      </w:r>
    </w:p>
    <w:p>
      <w:pPr>
        <w:spacing w:after="0" w:line="97"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auto"/>
        </w:rPr>
        <w:t>Westridge Haggerty LLC</w:t>
      </w:r>
      <w:r>
        <w:rPr>
          <w:rFonts w:ascii="Arial" w:cs="Arial" w:eastAsia="Arial" w:hAnsi="Arial"/>
          <w:sz w:val="16"/>
          <w:szCs w:val="16"/>
          <w:color w:val="auto"/>
        </w:rPr>
        <w:t>: None.</w:t>
      </w:r>
    </w:p>
    <w:sectPr>
      <w:pgSz w:w="11900" w:h="16838" w:orient="portrait"/>
      <w:cols w:equalWidth="0" w:num="1">
        <w:col w:w="11440"/>
      </w:cols>
      <w:pgMar w:left="240" w:top="33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25ACE2"/>
    <w:multiLevelType w:val="hybridMultilevel"/>
    <w:lvl w:ilvl="0">
      <w:lvlJc w:val="left"/>
      <w:lvlText w:val="o"/>
      <w:numFmt w:val="bullet"/>
      <w:start w:val="1"/>
    </w:lvl>
  </w:abstractNum>
  <w:abstractNum w:abstractNumId="1">
    <w:nsid w:val="175DFCF0"/>
    <w:multiLevelType w:val="hybridMultilevel"/>
    <w:lvl w:ilvl="0">
      <w:lvlJc w:val="left"/>
      <w:lvlText w:val="(%1)"/>
      <w:numFmt w:val="lowerLetter"/>
      <w:start w:val="4"/>
    </w:lvl>
  </w:abstractNum>
  <w:abstractNum w:abstractNumId="2">
    <w:nsid w:val="4F97E3E4"/>
    <w:multiLevelType w:val="hybridMultilevel"/>
    <w:lvl w:ilvl="0">
      <w:lvlJc w:val="left"/>
      <w:lvlText w:val="A"/>
      <w:numFmt w:val="bullet"/>
      <w:start w:val="1"/>
    </w:lvl>
  </w:abstractNum>
  <w:abstractNum w:abstractNumId="3">
    <w:nsid w:val="53B0A9E"/>
    <w:multiLevelType w:val="hybridMultilevel"/>
    <w:lvl w:ilvl="0">
      <w:lvlJc w:val="left"/>
      <w:lvlText w:val="C"/>
      <w:numFmt w:val="bullet"/>
      <w:start w:val="1"/>
    </w:lvl>
  </w:abstractNum>
  <w:abstractNum w:abstractNumId="4">
    <w:nsid w:val="34FD6B4F"/>
    <w:multiLevelType w:val="hybridMultilevel"/>
    <w:lvl w:ilvl="0">
      <w:lvlJc w:val="left"/>
      <w:lvlText w:val="D"/>
      <w:numFmt w:val="bullet"/>
      <w:start w:val="1"/>
    </w:lvl>
  </w:abstractNum>
  <w:abstractNum w:abstractNumId="5">
    <w:nsid w:val="5915FF32"/>
    <w:multiLevelType w:val="hybridMultilevel"/>
    <w:lvl w:ilvl="0">
      <w:lvlJc w:val="left"/>
      <w:lvlText w:val="F"/>
      <w:numFmt w:val="bullet"/>
      <w:start w:val="1"/>
    </w:lvl>
  </w:abstractNum>
  <w:abstractNum w:abstractNumId="6">
    <w:nsid w:val="56438D15"/>
    <w:multiLevelType w:val="hybridMultilevel"/>
    <w:lvl w:ilvl="0">
      <w:lvlJc w:val="left"/>
      <w:lvlText w:val="G"/>
      <w:numFmt w:val="bullet"/>
      <w:start w:val="1"/>
    </w:lvl>
  </w:abstractNum>
  <w:abstractNum w:abstractNumId="7">
    <w:nsid w:val="519E3149"/>
    <w:multiLevelType w:val="hybridMultilevel"/>
    <w:lvl w:ilvl="0">
      <w:lvlJc w:val="left"/>
      <w:lvlText w:val="(%1)"/>
      <w:numFmt w:val="lowerLetter"/>
      <w:start w:val="2"/>
    </w:lvl>
  </w:abstractNum>
  <w:abstractNum w:abstractNumId="8">
    <w:nsid w:val="2C6E4AFD"/>
    <w:multiLevelType w:val="hybridMultilevel"/>
    <w:lvl w:ilvl="0">
      <w:lvlJc w:val="left"/>
      <w:lvlText w:val="(%1)"/>
      <w:numFmt w:val="lowerLetter"/>
      <w:start w:val="1"/>
    </w:lvl>
  </w:abstractNum>
  <w:abstractNum w:abstractNumId="9">
    <w:nsid w:val="17A1B582"/>
    <w:multiLevelType w:val="hybridMultilevel"/>
    <w:lvl w:ilvl="0">
      <w:lvlJc w:val="left"/>
      <w:lvlText w:val="(%1)"/>
      <w:numFmt w:val="lowerLetter"/>
      <w:start w:val="1"/>
    </w:lvl>
  </w:abstractNum>
  <w:abstractNum w:abstractNumId="10">
    <w:nsid w:val="4DF72E4E"/>
    <w:multiLevelType w:val="hybridMultilevel"/>
    <w:lvl w:ilvl="0">
      <w:lvlJc w:val="left"/>
      <w:lvlText w:val="(%1)"/>
      <w:numFmt w:val="lowerLetter"/>
      <w:start w:val="1"/>
    </w:lvl>
  </w:abstractNum>
  <w:abstractNum w:abstractNumId="11">
    <w:nsid w:val="5046B5A9"/>
    <w:multiLevelType w:val="hybridMultilevel"/>
    <w:lvl w:ilvl="0">
      <w:lvlJc w:val="left"/>
      <w:lvlText w:val="(%1)"/>
      <w:numFmt w:val="lowerLetter"/>
      <w:start w:val="1"/>
    </w:lvl>
  </w:abstractNum>
  <w:abstractNum w:abstractNumId="12">
    <w:nsid w:val="5D888A08"/>
    <w:multiLevelType w:val="hybridMultilevel"/>
    <w:lvl w:ilvl="0">
      <w:lvlJc w:val="left"/>
      <w:lvlText w:val="(%1)"/>
      <w:numFmt w:val="lowerLetter"/>
      <w:start w:val="1"/>
    </w:lvl>
  </w:abstractNum>
  <w:abstractNum w:abstractNumId="13">
    <w:nsid w:val="2A082C70"/>
    <w:multiLevelType w:val="hybridMultilevel"/>
    <w:lvl w:ilvl="0">
      <w:lvlJc w:val="left"/>
      <w:lvlText w:val="(%1)"/>
      <w:numFmt w:val="lowerLetter"/>
      <w:start w:val="2"/>
    </w:lvl>
  </w:abstractNum>
  <w:abstractNum w:abstractNumId="14">
    <w:nsid w:val="5EC6AFD4"/>
    <w:multiLevelType w:val="hybridMultilevel"/>
    <w:lvl w:ilvl="0">
      <w:lvlJc w:val="left"/>
      <w:lvlText w:val="(%1)"/>
      <w:numFmt w:val="lowerLetter"/>
      <w:start w:val="1"/>
    </w:lvl>
  </w:abstractNum>
  <w:abstractNum w:abstractNumId="15">
    <w:nsid w:val="19E21BB2"/>
    <w:multiLevelType w:val="hybridMultilevel"/>
    <w:lvl w:ilvl="0">
      <w:lvlJc w:val="left"/>
      <w:lvlText w:val="(%1)"/>
      <w:numFmt w:val="lowerRoman"/>
      <w:start w:val="1"/>
    </w:lvl>
  </w:abstractNum>
  <w:abstractNum w:abstractNumId="16">
    <w:nsid w:val="75E0858A"/>
    <w:multiLevelType w:val="hybridMultilevel"/>
    <w:lvl w:ilvl="0">
      <w:lvlJc w:val="left"/>
      <w:lvlText w:val="(%1)"/>
      <w:numFmt w:val="lowerLetter"/>
      <w:start w:val="1"/>
    </w:lvl>
  </w:abstractNum>
  <w:abstractNum w:abstractNumId="17">
    <w:nsid w:val="57A61A29"/>
    <w:multiLevelType w:val="hybridMultilevel"/>
    <w:lvl w:ilvl="0">
      <w:lvlJc w:val="left"/>
      <w:lvlText w:val="(%1)"/>
      <w:numFmt w:val="lowerRoman"/>
      <w:start w:val="1"/>
    </w:lvl>
  </w:abstractNum>
  <w:abstractNum w:abstractNumId="18">
    <w:nsid w:val="5399C654"/>
    <w:multiLevelType w:val="hybridMultilevel"/>
    <w:lvl w:ilvl="0">
      <w:lvlJc w:val="left"/>
      <w:lvlText w:val="(%1)"/>
      <w:numFmt w:val="lowerLetter"/>
      <w:start w:val="1"/>
    </w:lvl>
  </w:abstractNum>
  <w:abstractNum w:abstractNumId="19">
    <w:nsid w:val="20EE1348"/>
    <w:multiLevelType w:val="hybridMultilevel"/>
    <w:lvl w:ilvl="0">
      <w:lvlJc w:val="left"/>
      <w:lvlText w:val="(%1)"/>
      <w:numFmt w:val="lowerLetter"/>
      <w:start w:val="1"/>
    </w:lvl>
  </w:abstractNum>
  <w:abstractNum w:abstractNumId="20">
    <w:nsid w:val="4427069A"/>
    <w:multiLevelType w:val="hybridMultilevel"/>
    <w:lvl w:ilvl="0">
      <w:lvlJc w:val="left"/>
      <w:lvlText w:val="(%1)"/>
      <w:numFmt w:val="lowerLetter"/>
      <w:start w:val="3"/>
    </w:lvl>
  </w:abstractNum>
  <w:abstractNum w:abstractNumId="21">
    <w:nsid w:val="B37E80A"/>
    <w:multiLevelType w:val="hybridMultilevel"/>
    <w:lvl w:ilvl="0">
      <w:lvlJc w:val="left"/>
      <w:lvlText w:val="(%1)"/>
      <w:numFmt w:val="lowerLetter"/>
      <w:start w:val="1"/>
    </w:lvl>
  </w:abstractNum>
  <w:abstractNum w:abstractNumId="22">
    <w:nsid w:val="2157F6BC"/>
    <w:multiLevelType w:val="hybridMultilevel"/>
    <w:lvl w:ilvl="0">
      <w:lvlJc w:val="left"/>
      <w:lvlText w:val="(%1)"/>
      <w:numFmt w:val="lowerLetter"/>
      <w:start w:val="1"/>
    </w:lvl>
  </w:abstractNum>
  <w:abstractNum w:abstractNumId="23">
    <w:nsid w:val="704E1DD5"/>
    <w:multiLevelType w:val="hybridMultilevel"/>
    <w:lvl w:ilvl="0">
      <w:lvlJc w:val="left"/>
      <w:lvlText w:val="(%1)"/>
      <w:numFmt w:val="lowerLetter"/>
      <w:start w:val="1"/>
    </w:lvl>
  </w:abstractNum>
  <w:abstractNum w:abstractNumId="24">
    <w:nsid w:val="57D2F10E"/>
    <w:multiLevelType w:val="hybridMultilevel"/>
    <w:lvl w:ilvl="0">
      <w:lvlJc w:val="left"/>
      <w:lvlText w:val="(%1)"/>
      <w:numFmt w:val="lowerLetter"/>
      <w:start w:val="3"/>
    </w:lvl>
  </w:abstractNum>
  <w:abstractNum w:abstractNumId="25">
    <w:nsid w:val="BFFAE18"/>
    <w:multiLevelType w:val="hybridMultilevel"/>
    <w:lvl w:ilvl="0">
      <w:lvlJc w:val="left"/>
      <w:lvlText w:val="(%1)"/>
      <w:numFmt w:val="lowerLetter"/>
      <w:start w:val="2"/>
    </w:lvl>
  </w:abstractNum>
  <w:abstractNum w:abstractNumId="26">
    <w:nsid w:val="E3E47A8"/>
    <w:multiLevelType w:val="hybridMultilevel"/>
    <w:lvl w:ilvl="0">
      <w:lvlJc w:val="left"/>
      <w:lvlText w:val="(%1)"/>
      <w:numFmt w:val="lowerLetter"/>
      <w:start w:val="2"/>
    </w:lvl>
  </w:abstractNum>
  <w:abstractNum w:abstractNumId="27">
    <w:nsid w:val="2E48F04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8">
    <w:nsid w:val="49D0FEAC"/>
    <w:multiLevelType w:val="hybridMultilevel"/>
    <w:lvl w:ilvl="0">
      <w:lvlJc w:val="left"/>
      <w:lvlText w:val="(%1)"/>
      <w:numFmt w:val="upperLetter"/>
      <w:start w:val="4"/>
    </w:lvl>
  </w:abstractNum>
  <w:abstractNum w:abstractNumId="29">
    <w:nsid w:val="4BEE5A5B"/>
    <w:multiLevelType w:val="hybridMultilevel"/>
    <w:lvl w:ilvl="0">
      <w:lvlJc w:val="left"/>
      <w:lvlText w:val="(%1)"/>
      <w:numFmt w:val="lowerRoman"/>
      <w:start w:val="2"/>
    </w:lvl>
    <w:lvl w:ilvl="1">
      <w:lvlJc w:val="left"/>
      <w:lvlText w:val="(%2)"/>
      <w:numFmt w:val="upperLetter"/>
      <w:start w:val="1"/>
    </w:lvl>
  </w:abstractNum>
  <w:abstractNum w:abstractNumId="30">
    <w:nsid w:val="5551B9F3"/>
    <w:multiLevelType w:val="hybridMultilevel"/>
    <w:lvl w:ilvl="0">
      <w:lvlJc w:val="left"/>
      <w:lvlText w:val="(%1)"/>
      <w:numFmt w:val="upperLetter"/>
      <w:start w:val="4"/>
    </w:lvl>
  </w:abstractNum>
  <w:abstractNum w:abstractNumId="31">
    <w:nsid w:val="24F6AB8E"/>
    <w:multiLevelType w:val="hybridMultilevel"/>
    <w:lvl w:ilvl="0">
      <w:lvlJc w:val="left"/>
      <w:lvlText w:val="(%1)"/>
      <w:numFmt w:val="lowerLetter"/>
      <w:start w:val="1"/>
    </w:lvl>
  </w:abstractNum>
  <w:abstractNum w:abstractNumId="32">
    <w:nsid w:val="634C574C"/>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33">
    <w:nsid w:val="24E99DD7"/>
    <w:multiLevelType w:val="hybridMultilevel"/>
    <w:lvl w:ilvl="0">
      <w:lvlJc w:val="left"/>
      <w:lvlText w:val="(%1)"/>
      <w:numFmt w:val="upperLetter"/>
      <w:start w:val="2"/>
    </w:lvl>
    <w:lvl w:ilvl="1">
      <w:lvlJc w:val="left"/>
      <w:lvlText w:val="(%2)"/>
      <w:numFmt w:val="lowerRoman"/>
      <w:start w:val="2"/>
    </w:lvl>
    <w:lvl w:ilvl="2">
      <w:lvlJc w:val="left"/>
      <w:lvlText w:val="(%3)"/>
      <w:numFmt w:val="upperLetter"/>
      <w:start w:val="1"/>
    </w:lvl>
  </w:abstractNum>
  <w:abstractNum w:abstractNumId="34">
    <w:nsid w:val="2A31B62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35">
    <w:nsid w:val="1849C29B"/>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36">
    <w:nsid w:val="7DFF9D0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7">
    <w:nsid w:val="754342"/>
    <w:multiLevelType w:val="hybridMultilevel"/>
    <w:lvl w:ilvl="0">
      <w:lvlJc w:val="left"/>
      <w:lvlText w:val="%1"/>
      <w:numFmt w:val="lowerLetter"/>
      <w:start w:val="1"/>
    </w:lvl>
    <w:lvl w:ilvl="1">
      <w:lvlJc w:val="left"/>
      <w:lvlText w:val="(%2)"/>
      <w:numFmt w:val="lowerRoman"/>
      <w:start w:val="2"/>
    </w:lvl>
  </w:abstractNum>
  <w:abstractNum w:abstractNumId="38">
    <w:nsid w:val="69E7F3E5"/>
    <w:multiLevelType w:val="hybridMultilevel"/>
    <w:lvl w:ilvl="0">
      <w:lvlJc w:val="left"/>
      <w:lvlText w:val="(%1)"/>
      <w:numFmt w:val="lowerLetter"/>
      <w:start w:val="3"/>
    </w:lvl>
    <w:lvl w:ilvl="1">
      <w:lvlJc w:val="left"/>
      <w:lvlText w:val="(%2)"/>
      <w:numFmt w:val="lowerRoman"/>
      <w:start w:val="1"/>
    </w:lvl>
  </w:abstractNum>
  <w:abstractNum w:abstractNumId="39">
    <w:nsid w:val="2A6DE806"/>
    <w:multiLevelType w:val="hybridMultilevel"/>
    <w:lvl w:ilvl="0">
      <w:lvlJc w:val="left"/>
      <w:lvlText w:val="(%1)"/>
      <w:numFmt w:val="lowerRoman"/>
      <w:start w:val="2"/>
    </w:lvl>
  </w:abstractNum>
  <w:abstractNum w:abstractNumId="40">
    <w:nsid w:val="1816F8C4"/>
    <w:multiLevelType w:val="hybridMultilevel"/>
    <w:lvl w:ilvl="0">
      <w:lvlJc w:val="left"/>
      <w:lvlText w:val="(%1)"/>
      <w:numFmt w:val="lowerLetter"/>
      <w:start w:val="4"/>
    </w:lvl>
    <w:lvl w:ilvl="1">
      <w:lvlJc w:val="left"/>
      <w:lvlText w:val="(%2)"/>
      <w:numFmt w:val="lowerRoman"/>
      <w:start w:val="1"/>
    </w:lvl>
  </w:abstractNum>
  <w:abstractNum w:abstractNumId="41">
    <w:nsid w:val="37DF2233"/>
    <w:multiLevelType w:val="hybridMultilevel"/>
    <w:lvl w:ilvl="0">
      <w:lvlJc w:val="left"/>
      <w:lvlText w:val="(%1)"/>
      <w:numFmt w:val="lowerRoman"/>
      <w:start w:val="4"/>
    </w:lvl>
  </w:abstractNum>
  <w:abstractNum w:abstractNumId="42">
    <w:nsid w:val="7AB49DAF"/>
    <w:multiLevelType w:val="hybridMultilevel"/>
    <w:lvl w:ilvl="0">
      <w:lvlJc w:val="left"/>
      <w:lvlText w:val="(%1)"/>
      <w:numFmt w:val="lowerLetter"/>
      <w:start w:val="6"/>
    </w:lvl>
  </w:abstractNum>
  <w:abstractNum w:abstractNumId="43">
    <w:nsid w:val="759F82CD"/>
    <w:multiLevelType w:val="hybridMultilevel"/>
    <w:lvl w:ilvl="0">
      <w:lvlJc w:val="left"/>
      <w:lvlText w:val="(%1)"/>
      <w:numFmt w:val="lowerLetter"/>
      <w:start w:val="9"/>
    </w:lvl>
  </w:abstractNum>
  <w:abstractNum w:abstractNumId="44">
    <w:nsid w:val="61E74EA3"/>
    <w:multiLevelType w:val="hybridMultilevel"/>
    <w:lvl w:ilvl="0">
      <w:lvlJc w:val="left"/>
      <w:lvlText w:val="(%1)"/>
      <w:numFmt w:val="lowerLetter"/>
      <w:start w:val="1"/>
    </w:lvl>
  </w:abstractNum>
  <w:abstractNum w:abstractNumId="45">
    <w:nsid w:val="597B4D84"/>
    <w:multiLevelType w:val="hybridMultilevel"/>
    <w:lvl w:ilvl="0">
      <w:lvlJc w:val="left"/>
      <w:lvlText w:val="(%1)"/>
      <w:numFmt w:val="lowerLetter"/>
      <w:start w:val="2"/>
    </w:lvl>
    <w:lvl w:ilvl="1">
      <w:lvlJc w:val="left"/>
      <w:lvlText w:val="(%2)"/>
      <w:numFmt w:val="lowerRoman"/>
      <w:start w:val="1"/>
    </w:lvl>
  </w:abstractNum>
  <w:abstractNum w:abstractNumId="46">
    <w:nsid w:val="F819E7F"/>
    <w:multiLevelType w:val="hybridMultilevel"/>
    <w:lvl w:ilvl="0">
      <w:lvlJc w:val="left"/>
      <w:lvlText w:val="%1"/>
      <w:numFmt w:val="lowerLetter"/>
      <w:start w:val="1"/>
    </w:lvl>
    <w:lvl w:ilvl="1">
      <w:lvlJc w:val="left"/>
      <w:lvlText w:val="(%2)"/>
      <w:numFmt w:val="lowerRoman"/>
      <w:start w:val="4"/>
    </w:lvl>
  </w:abstractNum>
  <w:abstractNum w:abstractNumId="47">
    <w:nsid w:val="57C7D42D"/>
    <w:multiLevelType w:val="hybridMultilevel"/>
    <w:lvl w:ilvl="0">
      <w:lvlJc w:val="left"/>
      <w:lvlText w:val="(%1)"/>
      <w:numFmt w:val="lowerLetter"/>
      <w:start w:val="4"/>
    </w:lvl>
    <w:lvl w:ilvl="1">
      <w:lvlJc w:val="left"/>
      <w:lvlText w:val="(%2)"/>
      <w:numFmt w:val="lowerRoman"/>
      <w:start w:val="1"/>
    </w:lvl>
  </w:abstractNum>
  <w:abstractNum w:abstractNumId="48">
    <w:nsid w:val="312167AD"/>
    <w:multiLevelType w:val="hybridMultilevel"/>
    <w:lvl w:ilvl="0">
      <w:lvlJc w:val="left"/>
      <w:lvlText w:val="%1"/>
      <w:numFmt w:val="lowerLetter"/>
      <w:start w:val="1"/>
    </w:lvl>
    <w:lvl w:ilvl="1">
      <w:lvlJc w:val="left"/>
      <w:lvlText w:val="(%2)"/>
      <w:numFmt w:val="lowerLetter"/>
      <w:start w:val="35"/>
    </w:lvl>
  </w:abstractNum>
  <w:abstractNum w:abstractNumId="49">
    <w:nsid w:val="631B64D4"/>
    <w:multiLevelType w:val="hybridMultilevel"/>
    <w:lvl w:ilvl="0">
      <w:lvlJc w:val="left"/>
      <w:lvlText w:val="(%1)"/>
      <w:numFmt w:val="lowerLetter"/>
      <w:start w:val="2"/>
    </w:lvl>
    <w:lvl w:ilvl="1">
      <w:lvlJc w:val="left"/>
      <w:lvlText w:val="(%2)"/>
      <w:numFmt w:val="lowerLetter"/>
      <w:start w:val="35"/>
    </w:lvl>
  </w:abstractNum>
  <w:abstractNum w:abstractNumId="50">
    <w:nsid w:val="78B5E776"/>
    <w:multiLevelType w:val="hybridMultilevel"/>
    <w:lvl w:ilvl="0">
      <w:lvlJc w:val="left"/>
      <w:lvlText w:val="(%1)"/>
      <w:numFmt w:val="lowerRoman"/>
      <w:start w:val="3"/>
    </w:lvl>
  </w:abstractNum>
  <w:abstractNum w:abstractNumId="51">
    <w:nsid w:val="75486E47"/>
    <w:multiLevelType w:val="hybridMultilevel"/>
    <w:lvl w:ilvl="0">
      <w:lvlJc w:val="left"/>
      <w:lvlText w:val="(%1)"/>
      <w:numFmt w:val="lowerRoman"/>
      <w:start w:val="5"/>
    </w:lvl>
  </w:abstractNum>
  <w:abstractNum w:abstractNumId="52">
    <w:nsid w:val="6E534CDE"/>
    <w:multiLevelType w:val="hybridMultilevel"/>
    <w:lvl w:ilvl="0">
      <w:lvlJc w:val="left"/>
      <w:lvlText w:val="(%1)"/>
      <w:numFmt w:val="lowerLetter"/>
      <w:start w:val="2"/>
    </w:lvl>
    <w:lvl w:ilvl="1">
      <w:lvlJc w:val="left"/>
      <w:lvlText w:val="(%2)"/>
      <w:numFmt w:val="lowerRoman"/>
      <w:start w:val="2"/>
    </w:lvl>
  </w:abstractNum>
  <w:abstractNum w:abstractNumId="53">
    <w:nsid w:val="1A0DDE32"/>
    <w:multiLevelType w:val="hybridMultilevel"/>
    <w:lvl w:ilvl="0">
      <w:lvlJc w:val="left"/>
      <w:lvlText w:val="(%1)"/>
      <w:numFmt w:val="lowerLetter"/>
      <w:start w:val="2"/>
    </w:lvl>
  </w:abstractNum>
  <w:abstractNum w:abstractNumId="54">
    <w:nsid w:val="65968C1C"/>
    <w:multiLevelType w:val="hybridMultilevel"/>
    <w:lvl w:ilvl="0">
      <w:lvlJc w:val="left"/>
      <w:lvlText w:val="(%1)"/>
      <w:numFmt w:val="lowerLetter"/>
      <w:start w:val="3"/>
    </w:lvl>
  </w:abstractNum>
  <w:abstractNum w:abstractNumId="55">
    <w:nsid w:val="46263DEC"/>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2"/>
    </w:lvl>
  </w:abstractNum>
  <w:abstractNum w:abstractNumId="56">
    <w:nsid w:val="260D8C4A"/>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57">
    <w:nsid w:val="73D4D3C4"/>
    <w:multiLevelType w:val="hybridMultilevel"/>
    <w:lvl w:ilvl="0">
      <w:lvlJc w:val="left"/>
      <w:lvlText w:val="%1"/>
      <w:numFmt w:val="lowerLetter"/>
      <w:start w:val="1"/>
    </w:lvl>
    <w:lvl w:ilvl="1">
      <w:lvlJc w:val="left"/>
      <w:lvlText w:val="(%2)"/>
      <w:numFmt w:val="lowerLetter"/>
      <w:start w:val="1"/>
    </w:lvl>
  </w:abstractNum>
  <w:abstractNum w:abstractNumId="58">
    <w:nsid w:val="746F2E30"/>
    <w:multiLevelType w:val="hybridMultilevel"/>
    <w:lvl w:ilvl="0">
      <w:lvlJc w:val="left"/>
      <w:lvlText w:val="(%1)"/>
      <w:numFmt w:val="lowerLetter"/>
      <w:start w:val="26"/>
    </w:lvl>
    <w:lvl w:ilvl="1">
      <w:lvlJc w:val="left"/>
      <w:lvlText w:val="%2"/>
      <w:numFmt w:val="lowerLetter"/>
      <w:start w:val="1"/>
    </w:lvl>
  </w:abstractNum>
  <w:abstractNum w:abstractNumId="59">
    <w:nsid w:val="6FDE8AF6"/>
    <w:multiLevelType w:val="hybridMultilevel"/>
    <w:lvl w:ilvl="0">
      <w:lvlJc w:val="left"/>
      <w:lvlText w:val="(%1)"/>
      <w:numFmt w:val="lowerLetter"/>
      <w:start w:val="2"/>
    </w:lvl>
  </w:abstractNum>
  <w:abstractNum w:abstractNumId="60">
    <w:nsid w:val="3FC32E20"/>
    <w:multiLevelType w:val="hybridMultilevel"/>
    <w:lvl w:ilvl="0">
      <w:lvlJc w:val="left"/>
      <w:lvlText w:val="(%1)"/>
      <w:numFmt w:val="lowerLetter"/>
      <w:start w:val="1"/>
    </w:lvl>
  </w:abstractNum>
  <w:abstractNum w:abstractNumId="61">
    <w:nsid w:val="49C0E823"/>
    <w:multiLevelType w:val="hybridMultilevel"/>
    <w:lvl w:ilvl="0">
      <w:lvlJc w:val="left"/>
      <w:lvlText w:val="(%1)"/>
      <w:numFmt w:val="lowerLetter"/>
      <w:start w:val="2"/>
    </w:lvl>
  </w:abstractNum>
  <w:abstractNum w:abstractNumId="62">
    <w:nsid w:val="14D53685"/>
    <w:multiLevelType w:val="hybridMultilevel"/>
    <w:lvl w:ilvl="0">
      <w:lvlJc w:val="left"/>
      <w:lvlText w:val="(%1)"/>
      <w:numFmt w:val="lowerLetter"/>
      <w:start w:val="2"/>
    </w:lvl>
  </w:abstractNum>
  <w:abstractNum w:abstractNumId="63">
    <w:nsid w:val="230F856C"/>
    <w:multiLevelType w:val="hybridMultilevel"/>
    <w:lvl w:ilvl="0">
      <w:lvlJc w:val="left"/>
      <w:lvlText w:val="(%1)"/>
      <w:numFmt w:val="lowerRoman"/>
      <w:start w:val="2"/>
    </w:lvl>
  </w:abstractNum>
  <w:abstractNum w:abstractNumId="64">
    <w:nsid w:val="6EAA85FB"/>
    <w:multiLevelType w:val="hybridMultilevel"/>
    <w:lvl w:ilvl="0">
      <w:lvlJc w:val="left"/>
      <w:lvlText w:val="(%1)"/>
      <w:numFmt w:val="lowerLetter"/>
      <w:start w:val="3"/>
    </w:lvl>
  </w:abstractNum>
  <w:abstractNum w:abstractNumId="65">
    <w:nsid w:val="3F06ECB2"/>
    <w:multiLevelType w:val="hybridMultilevel"/>
    <w:lvl w:ilvl="0">
      <w:lvlJc w:val="left"/>
      <w:lvlText w:val="(%1)"/>
      <w:numFmt w:val="lowerLetter"/>
      <w:start w:val="1"/>
    </w:lvl>
  </w:abstractNum>
  <w:abstractNum w:abstractNumId="66">
    <w:nsid w:val="3B594807"/>
    <w:multiLevelType w:val="hybridMultilevel"/>
    <w:lvl w:ilvl="0">
      <w:lvlJc w:val="left"/>
      <w:lvlText w:val="(%1)"/>
      <w:numFmt w:val="lowerRoman"/>
      <w:start w:val="1"/>
    </w:lvl>
  </w:abstractNum>
  <w:abstractNum w:abstractNumId="67">
    <w:nsid w:val="6CAA2304"/>
    <w:multiLevelType w:val="hybridMultilevel"/>
    <w:lvl w:ilvl="0">
      <w:lvlJc w:val="left"/>
      <w:lvlText w:val="(%1)"/>
      <w:numFmt w:val="lowerLetter"/>
      <w:start w:val="1"/>
    </w:lvl>
    <w:lvl w:ilvl="1">
      <w:lvlJc w:val="left"/>
      <w:lvlText w:val="(%2)"/>
      <w:numFmt w:val="lowerRoman"/>
      <w:start w:val="1"/>
    </w:lvl>
  </w:abstractNum>
  <w:abstractNum w:abstractNumId="68">
    <w:nsid w:val="3F7C2FF4"/>
    <w:multiLevelType w:val="hybridMultilevel"/>
    <w:lvl w:ilvl="0">
      <w:lvlJc w:val="left"/>
      <w:lvlText w:val="(%1)"/>
      <w:numFmt w:val="lowerLetter"/>
      <w:start w:val="3"/>
    </w:lvl>
  </w:abstractNum>
  <w:abstractNum w:abstractNumId="69">
    <w:nsid w:val="25413BEC"/>
    <w:multiLevelType w:val="hybridMultilevel"/>
    <w:lvl w:ilvl="0">
      <w:lvlJc w:val="left"/>
      <w:lvlText w:val="(%1)"/>
      <w:numFmt w:val="lowerLetter"/>
      <w:start w:val="7"/>
    </w:lvl>
    <w:lvl w:ilvl="1">
      <w:lvlJc w:val="left"/>
      <w:lvlText w:val="(%2)"/>
      <w:numFmt w:val="lowerRoman"/>
      <w:start w:val="1"/>
    </w:lvl>
    <w:lvl w:ilvl="2">
      <w:lvlJc w:val="left"/>
      <w:lvlText w:val="(%3)"/>
      <w:numFmt w:val="decimal"/>
      <w:start w:val="1"/>
    </w:lvl>
  </w:abstractNum>
  <w:abstractNum w:abstractNumId="70">
    <w:nsid w:val="17180B0B"/>
    <w:multiLevelType w:val="hybridMultilevel"/>
    <w:lvl w:ilvl="0">
      <w:lvlJc w:val="left"/>
      <w:lvlText w:val="(%1)"/>
      <w:numFmt w:val="lowerRoman"/>
      <w:start w:val="3"/>
    </w:lvl>
  </w:abstractNum>
  <w:abstractNum w:abstractNumId="71">
    <w:nsid w:val="579328B9"/>
    <w:multiLevelType w:val="hybridMultilevel"/>
    <w:lvl w:ilvl="0">
      <w:lvlJc w:val="left"/>
      <w:lvlText w:val="(%1)"/>
      <w:numFmt w:val="lowerLetter"/>
      <w:start w:val="8"/>
    </w:lvl>
  </w:abstractNum>
  <w:abstractNum w:abstractNumId="72">
    <w:nsid w:val="5D205E20"/>
    <w:multiLevelType w:val="hybridMultilevel"/>
    <w:lvl w:ilvl="0">
      <w:lvlJc w:val="left"/>
      <w:lvlText w:val="%1"/>
      <w:numFmt w:val="lowerLetter"/>
      <w:start w:val="1"/>
    </w:lvl>
    <w:lvl w:ilvl="1">
      <w:lvlJc w:val="left"/>
      <w:lvlText w:val="(%2)"/>
      <w:numFmt w:val="lowerLetter"/>
      <w:start w:val="1"/>
    </w:lvl>
  </w:abstractNum>
  <w:abstractNum w:abstractNumId="73">
    <w:nsid w:val="11CCA8BA"/>
    <w:multiLevelType w:val="hybridMultilevel"/>
    <w:lvl w:ilvl="0">
      <w:lvlJc w:val="left"/>
      <w:lvlText w:val="(%1)"/>
      <w:numFmt w:val="lowerLetter"/>
      <w:start w:val="35"/>
    </w:lvl>
    <w:lvl w:ilvl="1">
      <w:lvlJc w:val="left"/>
      <w:lvlText w:val="%2"/>
      <w:numFmt w:val="lowerLetter"/>
      <w:start w:val="1"/>
    </w:lvl>
  </w:abstractNum>
  <w:abstractNum w:abstractNumId="74">
    <w:nsid w:val="4D32AB86"/>
    <w:multiLevelType w:val="hybridMultilevel"/>
    <w:lvl w:ilvl="0">
      <w:lvlJc w:val="left"/>
      <w:lvlText w:val="(%1)"/>
      <w:numFmt w:val="lowerLetter"/>
      <w:start w:val="1"/>
    </w:lvl>
  </w:abstractNum>
  <w:abstractNum w:abstractNumId="75">
    <w:nsid w:val="3F07ACC3"/>
    <w:multiLevelType w:val="hybridMultilevel"/>
    <w:lvl w:ilvl="0">
      <w:lvlJc w:val="left"/>
      <w:lvlText w:val="(%1)"/>
      <w:numFmt w:val="lowerRoman"/>
      <w:start w:val="1"/>
    </w:lvl>
    <w:lvl w:ilvl="1">
      <w:lvlJc w:val="left"/>
      <w:lvlText w:val="(%2)"/>
      <w:numFmt w:val="upperLetter"/>
      <w:start w:val="1"/>
    </w:lvl>
  </w:abstractNum>
  <w:abstractNum w:abstractNumId="76">
    <w:nsid w:val="6B47F63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77">
    <w:nsid w:val="5CB44A05"/>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78">
    <w:nsid w:val="16CF80F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9">
    <w:nsid w:val="1C695DEC"/>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80">
    <w:nsid w:val="3FCFAED9"/>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81">
    <w:nsid w:val="F856867"/>
    <w:multiLevelType w:val="hybridMultilevel"/>
    <w:lvl w:ilvl="0">
      <w:lvlJc w:val="left"/>
      <w:lvlText w:val="(%1)"/>
      <w:numFmt w:val="lowerLetter"/>
      <w:start w:val="4"/>
    </w:lvl>
    <w:lvl w:ilvl="1">
      <w:lvlJc w:val="left"/>
      <w:lvlText w:val="(%2)"/>
      <w:numFmt w:val="lowerLetter"/>
      <w:start w:val="35"/>
    </w:lvl>
    <w:lvl w:ilvl="2">
      <w:lvlJc w:val="left"/>
      <w:lvlText w:val="(%3)"/>
      <w:numFmt w:val="upperLetter"/>
      <w:start w:val="1"/>
    </w:lvl>
  </w:abstractNum>
  <w:abstractNum w:abstractNumId="82">
    <w:nsid w:val="11B1CC33"/>
    <w:multiLevelType w:val="hybridMultilevel"/>
    <w:lvl w:ilvl="0">
      <w:lvlJc w:val="left"/>
      <w:lvlText w:val="(%1)"/>
      <w:numFmt w:val="upperLetter"/>
      <w:start w:val="2"/>
    </w:lvl>
    <w:lvl w:ilvl="1">
      <w:lvlJc w:val="left"/>
      <w:lvlText w:val="(%2)"/>
      <w:numFmt w:val="upperLetter"/>
      <w:start w:val="9"/>
    </w:lvl>
  </w:abstractNum>
  <w:abstractNum w:abstractNumId="83">
    <w:nsid w:val="2E22FBB7"/>
    <w:multiLevelType w:val="hybridMultilevel"/>
    <w:lvl w:ilvl="0">
      <w:lvlJc w:val="left"/>
      <w:lvlText w:val="%1"/>
      <w:numFmt w:val="lowerRoman"/>
      <w:start w:val="1"/>
    </w:lvl>
    <w:lvl w:ilvl="1">
      <w:lvlJc w:val="left"/>
      <w:lvlText w:val="(%2)"/>
      <w:numFmt w:val="upperLetter"/>
      <w:start w:val="22"/>
    </w:lvl>
  </w:abstractNum>
  <w:abstractNum w:abstractNumId="84">
    <w:nsid w:val="29934699"/>
    <w:multiLevelType w:val="hybridMultilevel"/>
    <w:lvl w:ilvl="0">
      <w:lvlJc w:val="left"/>
      <w:lvlText w:val="(%1)"/>
      <w:numFmt w:val="lowerRoman"/>
      <w:start w:val="3"/>
    </w:lvl>
    <w:lvl w:ilvl="1">
      <w:lvlJc w:val="left"/>
      <w:lvlText w:val="%2"/>
      <w:numFmt w:val="upperLetter"/>
      <w:start w:val="1"/>
    </w:lvl>
  </w:abstractNum>
  <w:abstractNum w:abstractNumId="85">
    <w:nsid w:val="77485850"/>
    <w:multiLevelType w:val="hybridMultilevel"/>
    <w:lvl w:ilvl="0">
      <w:lvlJc w:val="left"/>
      <w:lvlText w:val="(%1)"/>
      <w:numFmt w:val="lowerLetter"/>
      <w:start w:val="6"/>
    </w:lvl>
  </w:abstractNum>
  <w:abstractNum w:abstractNumId="86">
    <w:nsid w:val="744939A3"/>
    <w:multiLevelType w:val="hybridMultilevel"/>
    <w:lvl w:ilvl="0">
      <w:lvlJc w:val="left"/>
      <w:lvlText w:val="(%1)"/>
      <w:numFmt w:val="lowerLetter"/>
      <w:start w:val="1"/>
    </w:lvl>
  </w:abstractNum>
  <w:abstractNum w:abstractNumId="87">
    <w:nsid w:val="4FA0D2E3"/>
    <w:multiLevelType w:val="hybridMultilevel"/>
    <w:lvl w:ilvl="0">
      <w:lvlJc w:val="left"/>
      <w:lvlText w:val="(%1)"/>
      <w:numFmt w:val="lowerLetter"/>
      <w:start w:val="2"/>
    </w:lvl>
  </w:abstractNum>
  <w:abstractNum w:abstractNumId="88">
    <w:nsid w:val="6B1D2C14"/>
    <w:multiLevelType w:val="hybridMultilevel"/>
    <w:lvl w:ilvl="0">
      <w:lvlJc w:val="left"/>
      <w:lvlText w:val="%1"/>
      <w:numFmt w:val="upperLetter"/>
      <w:start w:val="1"/>
    </w:lvl>
    <w:lvl w:ilvl="1">
      <w:lvlJc w:val="left"/>
      <w:lvlText w:val="(%2)"/>
      <w:numFmt w:val="lowerLetter"/>
      <w:start w:val="1"/>
    </w:lvl>
  </w:abstractNum>
  <w:abstractNum w:abstractNumId="89">
    <w:nsid w:val="68B867D3"/>
    <w:multiLevelType w:val="hybridMultilevel"/>
    <w:lvl w:ilvl="0">
      <w:lvlJc w:val="left"/>
      <w:lvlText w:val="(%1)"/>
      <w:numFmt w:val="upperLetter"/>
      <w:start w:val="1"/>
    </w:lvl>
    <w:lvl w:ilvl="1">
      <w:lvlJc w:val="left"/>
      <w:lvlText w:val="(%2)"/>
      <w:numFmt w:val="lowerLetter"/>
      <w:start w:val="2"/>
    </w:lvl>
  </w:abstractNum>
  <w:abstractNum w:abstractNumId="90">
    <w:nsid w:val="3F7F5DD9"/>
    <w:multiLevelType w:val="hybridMultilevel"/>
    <w:lvl w:ilvl="0">
      <w:lvlJc w:val="left"/>
      <w:lvlText w:val="(%1)"/>
      <w:numFmt w:val="lowerLetter"/>
      <w:start w:val="1"/>
    </w:lvl>
    <w:lvl w:ilvl="1">
      <w:lvlJc w:val="left"/>
      <w:lvlText w:val="(%2)"/>
      <w:numFmt w:val="lowerLetter"/>
      <w:start w:val="9"/>
    </w:lvl>
  </w:abstractNum>
  <w:abstractNum w:abstractNumId="91">
    <w:nsid w:val="2AE05A34"/>
    <w:multiLevelType w:val="hybridMultilevel"/>
    <w:lvl w:ilvl="0">
      <w:lvlJc w:val="left"/>
      <w:lvlText w:val="(%1)"/>
      <w:numFmt w:val="lowerRoman"/>
      <w:start w:val="2"/>
    </w:lvl>
  </w:abstractNum>
  <w:abstractNum w:abstractNumId="92">
    <w:nsid w:val="32794FF7"/>
    <w:multiLevelType w:val="hybridMultilevel"/>
    <w:lvl w:ilvl="0">
      <w:lvlJc w:val="left"/>
      <w:lvlText w:val="(%1)"/>
      <w:numFmt w:val="lowerLetter"/>
      <w:start w:val="2"/>
    </w:lvl>
  </w:abstractNum>
  <w:abstractNum w:abstractNumId="93">
    <w:nsid w:val="5454945E"/>
    <w:multiLevelType w:val="hybridMultilevel"/>
    <w:lvl w:ilvl="0">
      <w:lvlJc w:val="left"/>
      <w:lvlText w:val="(%1)"/>
      <w:numFmt w:val="lowerLetter"/>
      <w:start w:val="6"/>
    </w:lvl>
  </w:abstractNum>
  <w:abstractNum w:abstractNumId="94">
    <w:nsid w:val="4DEFDFA0"/>
    <w:multiLevelType w:val="hybridMultilevel"/>
    <w:lvl w:ilvl="0">
      <w:lvlJc w:val="left"/>
      <w:lvlText w:val="(%1)"/>
      <w:numFmt w:val="lowerLetter"/>
      <w:start w:val="1"/>
    </w:lvl>
  </w:abstractNum>
  <w:abstractNum w:abstractNumId="95">
    <w:nsid w:val="2123D5F2"/>
    <w:multiLevelType w:val="hybridMultilevel"/>
    <w:lvl w:ilvl="0">
      <w:lvlJc w:val="left"/>
      <w:lvlText w:val="(%1)"/>
      <w:numFmt w:val="lowerLetter"/>
      <w:start w:val="1"/>
    </w:lvl>
  </w:abstractNum>
  <w:abstractNum w:abstractNumId="96">
    <w:nsid w:val="135B8110"/>
    <w:multiLevelType w:val="hybridMultilevel"/>
    <w:lvl w:ilvl="0">
      <w:lvlJc w:val="left"/>
      <w:lvlText w:val="(%1)"/>
      <w:numFmt w:val="lowerLetter"/>
      <w:start w:val="2"/>
    </w:lvl>
  </w:abstractNum>
  <w:abstractNum w:abstractNumId="97">
    <w:nsid w:val="94927A8"/>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98">
    <w:nsid w:val="DCDF8F6"/>
    <w:multiLevelType w:val="hybridMultilevel"/>
    <w:lvl w:ilvl="0">
      <w:lvlJc w:val="left"/>
      <w:lvlText w:val="(%1)"/>
      <w:numFmt w:val="lowerLetter"/>
      <w:start w:val="4"/>
    </w:lvl>
  </w:abstractNum>
  <w:abstractNum w:abstractNumId="99">
    <w:nsid w:val="52D7B105"/>
    <w:multiLevelType w:val="hybridMultilevel"/>
    <w:lvl w:ilvl="0">
      <w:lvlJc w:val="left"/>
      <w:lvlText w:val="(%1)"/>
      <w:numFmt w:val="lowerLetter"/>
      <w:start w:val="6"/>
    </w:lvl>
    <w:lvl w:ilvl="1">
      <w:lvlJc w:val="left"/>
      <w:lvlText w:val="(%2)"/>
      <w:numFmt w:val="lowerRoman"/>
      <w:start w:val="1"/>
    </w:lvl>
  </w:abstractNum>
  <w:abstractNum w:abstractNumId="100">
    <w:nsid w:val="2E8A6394"/>
    <w:multiLevelType w:val="hybridMultilevel"/>
    <w:lvl w:ilvl="0">
      <w:lvlJc w:val="left"/>
      <w:lvlText w:val="%1"/>
      <w:numFmt w:val="lowerLetter"/>
      <w:start w:val="1"/>
    </w:lvl>
    <w:lvl w:ilvl="1">
      <w:lvlJc w:val="left"/>
      <w:lvlText w:val="(%2)"/>
      <w:numFmt w:val="lowerLetter"/>
      <w:start w:val="8"/>
    </w:lvl>
  </w:abstractNum>
  <w:abstractNum w:abstractNumId="101">
    <w:nsid w:val="24E60401"/>
    <w:multiLevelType w:val="hybridMultilevel"/>
    <w:lvl w:ilvl="0">
      <w:lvlJc w:val="left"/>
      <w:lvlText w:val="(%1)"/>
      <w:numFmt w:val="lowerLetter"/>
      <w:start w:val="9"/>
    </w:lvl>
    <w:lvl w:ilvl="1">
      <w:lvlJc w:val="left"/>
      <w:lvlText w:val="(%2)"/>
      <w:numFmt w:val="lowerLetter"/>
      <w:start w:val="10"/>
    </w:lvl>
  </w:abstractNum>
  <w:abstractNum w:abstractNumId="102">
    <w:nsid w:val="2A6AD9BE"/>
    <w:multiLevelType w:val="hybridMultilevel"/>
    <w:lvl w:ilvl="0">
      <w:lvlJc w:val="left"/>
      <w:lvlText w:val="(%1)"/>
      <w:numFmt w:val="lowerLetter"/>
      <w:start w:val="1"/>
    </w:lvl>
  </w:abstractNum>
  <w:abstractNum w:abstractNumId="103">
    <w:nsid w:val="BAAC1B4"/>
    <w:multiLevelType w:val="hybridMultilevel"/>
    <w:lvl w:ilvl="0">
      <w:lvlJc w:val="left"/>
      <w:lvlText w:val="(%1)"/>
      <w:numFmt w:val="lowerLetter"/>
      <w:start w:val="2"/>
    </w:lvl>
  </w:abstractNum>
  <w:abstractNum w:abstractNumId="104">
    <w:nsid w:val="36B2ACBC"/>
    <w:multiLevelType w:val="hybridMultilevel"/>
    <w:lvl w:ilvl="0">
      <w:lvlJc w:val="left"/>
      <w:lvlText w:val="(%1)"/>
      <w:numFmt w:val="lowerLetter"/>
      <w:start w:val="3"/>
    </w:lvl>
  </w:abstractNum>
  <w:abstractNum w:abstractNumId="105">
    <w:nsid w:val="779D8544"/>
    <w:multiLevelType w:val="hybridMultilevel"/>
    <w:lvl w:ilvl="0">
      <w:lvlJc w:val="left"/>
      <w:lvlText w:val="(%1)"/>
      <w:numFmt w:val="lowerLetter"/>
      <w:start w:val="1"/>
    </w:lvl>
  </w:abstractNum>
  <w:abstractNum w:abstractNumId="106">
    <w:nsid w:val="4AB26E78"/>
    <w:multiLevelType w:val="hybridMultilevel"/>
    <w:lvl w:ilvl="0">
      <w:lvlJc w:val="left"/>
      <w:lvlText w:val="(%1)"/>
      <w:numFmt w:val="lowerLetter"/>
      <w:start w:val="1"/>
    </w:lvl>
  </w:abstractNum>
  <w:abstractNum w:abstractNumId="107">
    <w:nsid w:val="21FAA2FA"/>
    <w:multiLevelType w:val="hybridMultilevel"/>
    <w:lvl w:ilvl="0">
      <w:lvlJc w:val="left"/>
      <w:lvlText w:val="(%1)"/>
      <w:numFmt w:val="lowerLetter"/>
      <w:start w:val="4"/>
    </w:lvl>
    <w:lvl w:ilvl="1">
      <w:lvlJc w:val="left"/>
      <w:lvlText w:val="(%2)"/>
      <w:numFmt w:val="lowerRoman"/>
      <w:start w:val="1"/>
    </w:lvl>
  </w:abstractNum>
  <w:abstractNum w:abstractNumId="108">
    <w:nsid w:val="5451CF49"/>
    <w:multiLevelType w:val="hybridMultilevel"/>
    <w:lvl w:ilvl="0">
      <w:lvlJc w:val="left"/>
      <w:lvlText w:val="(%1)"/>
      <w:numFmt w:val="lowerLetter"/>
      <w:start w:val="1"/>
    </w:lvl>
  </w:abstractNum>
  <w:abstractNum w:abstractNumId="109">
    <w:nsid w:val="6181EF69"/>
    <w:multiLevelType w:val="hybridMultilevel"/>
    <w:lvl w:ilvl="0">
      <w:lvlJc w:val="left"/>
      <w:lvlText w:val="(%1)"/>
      <w:numFmt w:val="lowerLetter"/>
      <w:start w:val="1"/>
    </w:lvl>
  </w:abstractNum>
  <w:abstractNum w:abstractNumId="110">
    <w:nsid w:val="3E6400E6"/>
    <w:multiLevelType w:val="hybridMultilevel"/>
    <w:lvl w:ilvl="0">
      <w:lvlJc w:val="left"/>
      <w:lvlText w:val="(%1)"/>
      <w:numFmt w:val="lowerLetter"/>
      <w:start w:val="3"/>
    </w:lvl>
  </w:abstractNum>
  <w:abstractNum w:abstractNumId="111">
    <w:nsid w:val="14217E23"/>
    <w:multiLevelType w:val="hybridMultilevel"/>
    <w:lvl w:ilvl="0">
      <w:lvlJc w:val="left"/>
      <w:lvlText w:val="(%1)"/>
      <w:numFmt w:val="lowerLetter"/>
      <w:start w:val="1"/>
    </w:lvl>
  </w:abstractNum>
  <w:abstractNum w:abstractNumId="112">
    <w:nsid w:val="710757D0"/>
    <w:multiLevelType w:val="hybridMultilevel"/>
    <w:lvl w:ilvl="0">
      <w:lvlJc w:val="left"/>
      <w:lvlText w:val="(%1)"/>
      <w:numFmt w:val="lowerLetter"/>
      <w:start w:val="3"/>
    </w:lvl>
  </w:abstractNum>
  <w:abstractNum w:abstractNumId="113">
    <w:nsid w:val="5015CD1A"/>
    <w:multiLevelType w:val="hybridMultilevel"/>
    <w:lvl w:ilvl="0">
      <w:lvlJc w:val="left"/>
      <w:lvlText w:val="(%1)"/>
      <w:numFmt w:val="lowerLetter"/>
      <w:start w:val="1"/>
    </w:lvl>
  </w:abstractNum>
  <w:abstractNum w:abstractNumId="114">
    <w:nsid w:val="424479DA"/>
    <w:multiLevelType w:val="hybridMultilevel"/>
    <w:lvl w:ilvl="0">
      <w:lvlJc w:val="left"/>
      <w:lvlText w:val="(%1)"/>
      <w:numFmt w:val="lowerLetter"/>
      <w:start w:val="8"/>
    </w:lvl>
  </w:abstractNum>
  <w:abstractNum w:abstractNumId="115">
    <w:nsid w:val="1A9A9E69"/>
    <w:multiLevelType w:val="hybridMultilevel"/>
    <w:lvl w:ilvl="0">
      <w:lvlJc w:val="left"/>
      <w:lvlText w:val="(%1)"/>
      <w:numFmt w:val="lowerLetter"/>
      <w:start w:val="1"/>
    </w:lvl>
  </w:abstractNum>
  <w:abstractNum w:abstractNumId="116">
    <w:nsid w:val="475E256A"/>
    <w:multiLevelType w:val="hybridMultilevel"/>
    <w:lvl w:ilvl="0">
      <w:lvlJc w:val="left"/>
      <w:lvlText w:val="(%1)"/>
      <w:numFmt w:val="lowerLetter"/>
      <w:start w:val="1"/>
    </w:lvl>
  </w:abstractNum>
  <w:abstractNum w:abstractNumId="117">
    <w:nsid w:val="368DB37E"/>
    <w:multiLevelType w:val="hybridMultilevel"/>
    <w:lvl w:ilvl="0">
      <w:lvlJc w:val="left"/>
      <w:lvlText w:val="(%1)"/>
      <w:numFmt w:val="lowerLetter"/>
      <w:start w:val="1"/>
    </w:lvl>
  </w:abstractNum>
  <w:abstractNum w:abstractNumId="118">
    <w:nsid w:val="6A3B714C"/>
    <w:multiLevelType w:val="hybridMultilevel"/>
    <w:lvl w:ilvl="0">
      <w:lvlJc w:val="left"/>
      <w:lvlText w:val="(%1)"/>
      <w:numFmt w:val="lowerLetter"/>
      <w:start w:val="1"/>
    </w:lvl>
  </w:abstractNum>
  <w:abstractNum w:abstractNumId="119">
    <w:nsid w:val="327B517E"/>
    <w:multiLevelType w:val="hybridMultilevel"/>
    <w:lvl w:ilvl="0">
      <w:lvlJc w:val="left"/>
      <w:lvlText w:val="(%1)"/>
      <w:numFmt w:val="lowerLetter"/>
      <w:start w:val="3"/>
    </w:lvl>
  </w:abstractNum>
  <w:abstractNum w:abstractNumId="120">
    <w:nsid w:val="1F461B51"/>
    <w:multiLevelType w:val="hybridMultilevel"/>
    <w:lvl w:ilvl="0">
      <w:lvlJc w:val="left"/>
      <w:lvlText w:val="(%1)"/>
      <w:numFmt w:val="lowerLetter"/>
      <w:start w:val="1"/>
    </w:lvl>
  </w:abstractNum>
  <w:abstractNum w:abstractNumId="121">
    <w:nsid w:val="29BACF25"/>
    <w:multiLevelType w:val="hybridMultilevel"/>
    <w:lvl w:ilvl="0">
      <w:lvlJc w:val="left"/>
      <w:lvlText w:val="(%1)"/>
      <w:numFmt w:val="lowerLetter"/>
      <w:start w:val="2"/>
    </w:lvl>
  </w:abstractNum>
  <w:abstractNum w:abstractNumId="122">
    <w:nsid w:val="5D5BABB3"/>
    <w:multiLevelType w:val="hybridMultilevel"/>
    <w:lvl w:ilvl="0">
      <w:lvlJc w:val="left"/>
      <w:lvlText w:val="(%1)"/>
      <w:numFmt w:val="lowerLetter"/>
      <w:start w:val="1"/>
    </w:lvl>
  </w:abstractNum>
  <w:abstractNum w:abstractNumId="123">
    <w:nsid w:val="51BF6B48"/>
    <w:multiLevelType w:val="hybridMultilevel"/>
    <w:lvl w:ilvl="0">
      <w:lvlJc w:val="left"/>
      <w:lvlText w:val="%1"/>
      <w:numFmt w:val="lowerLetter"/>
      <w:start w:val="1"/>
    </w:lvl>
    <w:lvl w:ilvl="1">
      <w:lvlJc w:val="left"/>
      <w:lvlText w:val="(%2)"/>
      <w:numFmt w:val="lowerLetter"/>
      <w:start w:val="4"/>
    </w:lvl>
  </w:abstractNum>
  <w:abstractNum w:abstractNumId="124">
    <w:nsid w:val="7E0F6384"/>
    <w:multiLevelType w:val="hybridMultilevel"/>
    <w:lvl w:ilvl="0">
      <w:lvlJc w:val="left"/>
      <w:lvlText w:val="(%1)"/>
      <w:numFmt w:val="lowerLetter"/>
      <w:start w:val="9"/>
    </w:lvl>
    <w:lvl w:ilvl="1">
      <w:lvlJc w:val="left"/>
      <w:lvlText w:val="(%2)"/>
      <w:numFmt w:val="lowerLetter"/>
      <w:start w:val="5"/>
    </w:lvl>
  </w:abstractNum>
  <w:abstractNum w:abstractNumId="125">
    <w:nsid w:val="2B4B8B53"/>
    <w:multiLevelType w:val="hybridMultilevel"/>
    <w:lvl w:ilvl="0">
      <w:lvlJc w:val="left"/>
      <w:lvlText w:val="(%1)"/>
      <w:numFmt w:val="lowerLetter"/>
      <w:start w:val="9"/>
    </w:lvl>
    <w:lvl w:ilvl="1">
      <w:lvlJc w:val="left"/>
      <w:lvlText w:val="(%2)"/>
      <w:numFmt w:val="lowerLetter"/>
      <w:start w:val="10"/>
    </w:lvl>
  </w:abstractNum>
  <w:abstractNum w:abstractNumId="126">
    <w:nsid w:val="72E3413A"/>
    <w:multiLevelType w:val="hybridMultilevel"/>
    <w:lvl w:ilvl="0">
      <w:lvlJc w:val="left"/>
      <w:lvlText w:val="(%1)"/>
      <w:numFmt w:val="lowerLetter"/>
      <w:start w:val="1"/>
    </w:lvl>
  </w:abstractNum>
  <w:abstractNum w:abstractNumId="127">
    <w:nsid w:val="116AE494"/>
    <w:multiLevelType w:val="hybridMultilevel"/>
    <w:lvl w:ilvl="0">
      <w:lvlJc w:val="left"/>
      <w:lvlText w:val="(%1)"/>
      <w:numFmt w:val="lowerLetter"/>
      <w:start w:val="1"/>
    </w:lvl>
  </w:abstractNum>
  <w:abstractNum w:abstractNumId="128">
    <w:nsid w:val="3494B2FB"/>
    <w:multiLevelType w:val="hybridMultilevel"/>
    <w:lvl w:ilvl="0">
      <w:lvlJc w:val="left"/>
      <w:lvlText w:val="(%1)"/>
      <w:numFmt w:val="lowerLetter"/>
      <w:start w:val="4"/>
    </w:lvl>
  </w:abstractNum>
  <w:abstractNum w:abstractNumId="129">
    <w:nsid w:val="B13A31"/>
    <w:multiLevelType w:val="hybridMultilevel"/>
    <w:lvl w:ilvl="0">
      <w:lvlJc w:val="left"/>
      <w:lvlText w:val="(%1)"/>
      <w:numFmt w:val="lowerLetter"/>
      <w:start w:val="1"/>
    </w:lvl>
  </w:abstractNum>
  <w:abstractNum w:abstractNumId="130">
    <w:nsid w:val="64429599"/>
    <w:multiLevelType w:val="hybridMultilevel"/>
    <w:lvl w:ilvl="0">
      <w:lvlJc w:val="left"/>
      <w:lvlText w:val="(%1)"/>
      <w:numFmt w:val="lowerRoman"/>
      <w:start w:val="1"/>
    </w:lvl>
  </w:abstractNum>
  <w:abstractNum w:abstractNumId="131">
    <w:nsid w:val="631F1690"/>
    <w:multiLevelType w:val="hybridMultilevel"/>
    <w:lvl w:ilvl="0">
      <w:lvlJc w:val="left"/>
      <w:lvlText w:val="%1"/>
      <w:numFmt w:val="lowerLetter"/>
      <w:start w:val="1"/>
    </w:lvl>
    <w:lvl w:ilvl="1">
      <w:lvlJc w:val="left"/>
      <w:lvlText w:val="(%2)"/>
      <w:numFmt w:val="lowerLetter"/>
      <w:start w:val="1"/>
    </w:lvl>
  </w:abstractNum>
  <w:abstractNum w:abstractNumId="132">
    <w:nsid w:val="25973E32"/>
    <w:multiLevelType w:val="hybridMultilevel"/>
    <w:lvl w:ilvl="0">
      <w:lvlJc w:val="left"/>
      <w:lvlText w:val="(%1)"/>
      <w:numFmt w:val="lowerLetter"/>
      <w:start w:val="9"/>
    </w:lvl>
    <w:lvl w:ilvl="1">
      <w:lvlJc w:val="left"/>
      <w:lvlText w:val="%2"/>
      <w:numFmt w:val="lowerLetter"/>
      <w:start w:val="1"/>
    </w:lvl>
  </w:abstractNum>
  <w:abstractNum w:abstractNumId="133">
    <w:nsid w:val="EAD6F57"/>
    <w:multiLevelType w:val="hybridMultilevel"/>
    <w:lvl w:ilvl="0">
      <w:lvlJc w:val="left"/>
      <w:lvlText w:val="(%1)"/>
      <w:numFmt w:val="lowerLetter"/>
      <w:start w:val="1"/>
    </w:lvl>
  </w:abstractNum>
  <w:abstractNum w:abstractNumId="134">
    <w:nsid w:val="6EC9D844"/>
    <w:multiLevelType w:val="hybridMultilevel"/>
    <w:lvl w:ilvl="0">
      <w:lvlJc w:val="left"/>
      <w:lvlText w:val="(%1)"/>
      <w:numFmt w:val="lowerLetter"/>
      <w:start w:val="1"/>
    </w:lvl>
  </w:abstractNum>
  <w:abstractNum w:abstractNumId="135">
    <w:nsid w:val="5C49EAEE"/>
    <w:multiLevelType w:val="hybridMultilevel"/>
    <w:lvl w:ilvl="0">
      <w:lvlJc w:val="left"/>
      <w:lvlText w:val="(%1)"/>
      <w:numFmt w:val="lowerLetter"/>
      <w:start w:val="6"/>
    </w:lvl>
  </w:abstractNum>
  <w:abstractNum w:abstractNumId="136">
    <w:nsid w:val="64AF49B"/>
    <w:multiLevelType w:val="hybridMultilevel"/>
    <w:lvl w:ilvl="0">
      <w:lvlJc w:val="left"/>
      <w:lvlText w:val="%1"/>
      <w:numFmt w:val="upperLetter"/>
      <w:start w:val="1"/>
    </w:lvl>
    <w:lvl w:ilvl="1">
      <w:lvlJc w:val="left"/>
      <w:lvlText w:val="(%2)"/>
      <w:numFmt w:val="lowerLetter"/>
      <w:start w:val="11"/>
    </w:lvl>
  </w:abstractNum>
  <w:abstractNum w:abstractNumId="137">
    <w:nsid w:val="397C46BC"/>
    <w:multiLevelType w:val="hybridMultilevel"/>
    <w:lvl w:ilvl="0">
      <w:lvlJc w:val="left"/>
      <w:lvlText w:val="(%1)"/>
      <w:numFmt w:val="upperLetter"/>
      <w:start w:val="2"/>
    </w:lvl>
    <w:lvl w:ilvl="1">
      <w:lvlJc w:val="left"/>
      <w:lvlText w:val="%2"/>
      <w:numFmt w:val="lowerLetter"/>
      <w:start w:val="1"/>
    </w:lvl>
  </w:abstractNum>
  <w:abstractNum w:abstractNumId="138">
    <w:nsid w:val="7E448DE9"/>
    <w:multiLevelType w:val="hybridMultilevel"/>
    <w:lvl w:ilvl="0">
      <w:lvlJc w:val="left"/>
      <w:lvlText w:val="(%1)"/>
      <w:numFmt w:val="lowerLetter"/>
      <w:start w:val="1"/>
    </w:lvl>
  </w:abstractNum>
  <w:abstractNum w:abstractNumId="139">
    <w:nsid w:val="5A9CC3E5"/>
    <w:multiLevelType w:val="hybridMultilevel"/>
    <w:lvl w:ilvl="0">
      <w:lvlJc w:val="left"/>
      <w:lvlText w:val="(%1)"/>
      <w:numFmt w:val="lowerLetter"/>
      <w:start w:val="1"/>
    </w:lvl>
  </w:abstractNum>
  <w:abstractNum w:abstractNumId="140">
    <w:nsid w:val="1AFE3625"/>
    <w:multiLevelType w:val="hybridMultilevel"/>
    <w:lvl w:ilvl="0">
      <w:lvlJc w:val="left"/>
      <w:lvlText w:val="(%1)"/>
      <w:numFmt w:val="lowerLetter"/>
      <w:start w:val="1"/>
    </w:lvl>
  </w:abstractNum>
  <w:abstractNum w:abstractNumId="141">
    <w:nsid w:val="3CA88ECF"/>
    <w:multiLevelType w:val="hybridMultilevel"/>
    <w:lvl w:ilvl="0">
      <w:lvlJc w:val="left"/>
      <w:lvlText w:val="(%1)"/>
      <w:numFmt w:val="lowerLetter"/>
      <w:start w:val="3"/>
    </w:lvl>
  </w:abstractNum>
  <w:abstractNum w:abstractNumId="142">
    <w:nsid w:val="6EBE4208"/>
    <w:multiLevelType w:val="hybridMultilevel"/>
    <w:lvl w:ilvl="0">
      <w:lvlJc w:val="left"/>
      <w:lvlText w:val="(%1)"/>
      <w:numFmt w:val="lowerLetter"/>
      <w:start w:val="1"/>
    </w:lvl>
  </w:abstractNum>
  <w:abstractNum w:abstractNumId="143">
    <w:nsid w:val="C058DF5"/>
    <w:multiLevelType w:val="hybridMultilevel"/>
    <w:lvl w:ilvl="0">
      <w:lvlJc w:val="left"/>
      <w:lvlText w:val="%1"/>
      <w:numFmt w:val="lowerLetter"/>
      <w:start w:val="1"/>
    </w:lvl>
    <w:lvl w:ilvl="1">
      <w:lvlJc w:val="left"/>
      <w:lvlText w:val="(%2)"/>
      <w:numFmt w:val="lowerLetter"/>
      <w:start w:val="1"/>
    </w:lvl>
  </w:abstractNum>
  <w:abstractNum w:abstractNumId="144">
    <w:nsid w:val="CBE5BE9"/>
    <w:multiLevelType w:val="hybridMultilevel"/>
    <w:lvl w:ilvl="0">
      <w:lvlJc w:val="left"/>
      <w:lvlText w:val="(%1)"/>
      <w:numFmt w:val="lowerLetter"/>
      <w:start w:val="61"/>
    </w:lvl>
    <w:lvl w:ilvl="1">
      <w:lvlJc w:val="left"/>
      <w:lvlText w:val="(%2)"/>
      <w:numFmt w:val="lowerLetter"/>
      <w:start w:val="2"/>
    </w:lvl>
  </w:abstractNum>
  <w:abstractNum w:abstractNumId="145">
    <w:nsid w:val="3102BBE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46">
    <w:nsid w:val="26A02C5E"/>
    <w:multiLevelType w:val="hybridMultilevel"/>
    <w:lvl w:ilvl="0">
      <w:lvlJc w:val="left"/>
      <w:lvlText w:val="(%1)"/>
      <w:numFmt w:val="lowerLetter"/>
      <w:start w:val="1"/>
    </w:lvl>
    <w:lvl w:ilvl="1">
      <w:lvlJc w:val="left"/>
      <w:lvlText w:val="(%2)"/>
      <w:numFmt w:val="lowerLetter"/>
      <w:start w:val="35"/>
    </w:lvl>
  </w:abstractNum>
  <w:abstractNum w:abstractNumId="147">
    <w:nsid w:val="541C8153"/>
    <w:multiLevelType w:val="hybridMultilevel"/>
    <w:lvl w:ilvl="0">
      <w:lvlJc w:val="left"/>
      <w:lvlText w:val="(%1)"/>
      <w:numFmt w:val="lowerLetter"/>
      <w:start w:val="1"/>
    </w:lvl>
    <w:lvl w:ilvl="1">
      <w:lvlJc w:val="left"/>
      <w:lvlText w:val="(%2)"/>
      <w:numFmt w:val="lowerLetter"/>
      <w:start w:val="35"/>
    </w:lvl>
  </w:abstractNum>
  <w:abstractNum w:abstractNumId="148">
    <w:nsid w:val="67906F60"/>
    <w:multiLevelType w:val="hybridMultilevel"/>
    <w:lvl w:ilvl="0">
      <w:lvlJc w:val="left"/>
      <w:lvlText w:val="(%1)"/>
      <w:numFmt w:val="lowerLetter"/>
      <w:start w:val="2"/>
    </w:lvl>
    <w:lvl w:ilvl="1">
      <w:lvlJc w:val="left"/>
      <w:lvlText w:val="(%2)"/>
      <w:numFmt w:val="lowerRoman"/>
      <w:start w:val="1"/>
    </w:lvl>
  </w:abstractNum>
  <w:abstractNum w:abstractNumId="149">
    <w:nsid w:val="10DB9DAA"/>
    <w:multiLevelType w:val="hybridMultilevel"/>
    <w:lvl w:ilvl="0">
      <w:lvlJc w:val="left"/>
      <w:lvlText w:val="(%1)"/>
      <w:numFmt w:val="lowerLetter"/>
      <w:start w:val="1"/>
    </w:lvl>
  </w:abstractNum>
  <w:abstractNum w:abstractNumId="150">
    <w:nsid w:val="697D2D2"/>
    <w:multiLevelType w:val="hybridMultilevel"/>
    <w:lvl w:ilvl="0">
      <w:lvlJc w:val="left"/>
      <w:lvlText w:val="(%1)"/>
      <w:numFmt w:val="lowerLetter"/>
      <w:start w:val="1"/>
    </w:lvl>
  </w:abstractNum>
  <w:abstractNum w:abstractNumId="151">
    <w:nsid w:val="6D68AB2"/>
    <w:multiLevelType w:val="hybridMultilevel"/>
    <w:lvl w:ilvl="0">
      <w:lvlJc w:val="left"/>
      <w:lvlText w:val="(%1)"/>
      <w:numFmt w:val="lowerLetter"/>
      <w:start w:val="1"/>
    </w:lvl>
  </w:abstractNum>
  <w:abstractNum w:abstractNumId="152">
    <w:nsid w:val="3A966CD0"/>
    <w:multiLevelType w:val="hybridMultilevel"/>
    <w:lvl w:ilvl="0">
      <w:lvlJc w:val="left"/>
      <w:lvlText w:val="%1"/>
      <w:numFmt w:val="lowerRoman"/>
      <w:start w:val="1"/>
    </w:lvl>
    <w:lvl w:ilvl="1">
      <w:lvlJc w:val="left"/>
      <w:lvlText w:val="(%2)"/>
      <w:numFmt w:val="lowerLetter"/>
      <w:start w:val="4"/>
    </w:lvl>
  </w:abstractNum>
  <w:abstractNum w:abstractNumId="153">
    <w:nsid w:val="63F37E85"/>
    <w:multiLevelType w:val="hybridMultilevel"/>
    <w:lvl w:ilvl="0">
      <w:lvlJc w:val="left"/>
      <w:lvlText w:val="(%1)"/>
      <w:numFmt w:val="lowerRoman"/>
      <w:start w:val="4"/>
    </w:lvl>
    <w:lvl w:ilvl="1">
      <w:lvlJc w:val="left"/>
      <w:lvlText w:val="%2"/>
      <w:numFmt w:val="lowerLetter"/>
      <w:start w:val="1"/>
    </w:lvl>
  </w:abstractNum>
  <w:abstractNum w:abstractNumId="154">
    <w:nsid w:val="5895F5FA"/>
    <w:multiLevelType w:val="hybridMultilevel"/>
    <w:lvl w:ilvl="0">
      <w:lvlJc w:val="left"/>
      <w:lvlText w:val="(%1)"/>
      <w:numFmt w:val="lowerLetter"/>
      <w:start w:val="1"/>
    </w:lvl>
    <w:lvl w:ilvl="1">
      <w:lvlJc w:val="left"/>
      <w:lvlText w:val="(%2)"/>
      <w:numFmt w:val="lowerRoman"/>
      <w:start w:val="1"/>
    </w:lvl>
  </w:abstractNum>
  <w:abstractNum w:abstractNumId="155">
    <w:nsid w:val="38A5D054"/>
    <w:multiLevelType w:val="hybridMultilevel"/>
    <w:lvl w:ilvl="0">
      <w:lvlJc w:val="left"/>
      <w:lvlText w:val="(%1)"/>
      <w:numFmt w:val="lowerLetter"/>
      <w:start w:val="2"/>
    </w:lvl>
  </w:abstractNum>
  <w:abstractNum w:abstractNumId="156">
    <w:nsid w:val="F3F09D8"/>
    <w:multiLevelType w:val="hybridMultilevel"/>
    <w:lvl w:ilvl="0">
      <w:lvlJc w:val="left"/>
      <w:lvlText w:val="(%1)"/>
      <w:numFmt w:val="lowerLetter"/>
      <w:start w:val="3"/>
    </w:lvl>
  </w:abstractNum>
  <w:abstractNum w:abstractNumId="157">
    <w:nsid w:val="4B793735"/>
    <w:multiLevelType w:val="hybridMultilevel"/>
    <w:lvl w:ilvl="0">
      <w:lvlJc w:val="left"/>
      <w:lvlText w:val="(%1)"/>
      <w:numFmt w:val="lowerLetter"/>
      <w:start w:val="1"/>
    </w:lvl>
  </w:abstractNum>
  <w:abstractNum w:abstractNumId="158">
    <w:nsid w:val="4A10B4E8"/>
    <w:multiLevelType w:val="hybridMultilevel"/>
    <w:lvl w:ilvl="0">
      <w:lvlJc w:val="left"/>
      <w:lvlText w:val="(%1)"/>
      <w:numFmt w:val="lowerLetter"/>
      <w:start w:val="3"/>
    </w:lvl>
  </w:abstractNum>
  <w:abstractNum w:abstractNumId="159">
    <w:nsid w:val="43D3BCD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0">
    <w:nsid w:val="4C2A7166"/>
    <w:multiLevelType w:val="hybridMultilevel"/>
    <w:lvl w:ilvl="0">
      <w:lvlJc w:val="left"/>
      <w:lvlText w:val="(%1)"/>
      <w:numFmt w:val="lowerRoman"/>
      <w:start w:val="3"/>
    </w:lvl>
    <w:lvl w:ilvl="1">
      <w:lvlJc w:val="left"/>
      <w:lvlText w:val="(%2)"/>
      <w:numFmt w:val="upperLetter"/>
      <w:start w:val="1"/>
    </w:lvl>
  </w:abstractNum>
  <w:abstractNum w:abstractNumId="161">
    <w:nsid w:val="2E534A82"/>
    <w:multiLevelType w:val="hybridMultilevel"/>
    <w:lvl w:ilvl="0">
      <w:lvlJc w:val="left"/>
      <w:lvlText w:val="(%1)"/>
      <w:numFmt w:val="lowerLetter"/>
      <w:start w:val="3"/>
    </w:lvl>
  </w:abstractNum>
  <w:abstractNum w:abstractNumId="162">
    <w:nsid w:val="26F2D364"/>
    <w:multiLevelType w:val="hybridMultilevel"/>
    <w:lvl w:ilvl="0">
      <w:lvlJc w:val="left"/>
      <w:lvlText w:val="(%1)"/>
      <w:numFmt w:val="lowerLetter"/>
      <w:start w:val="5"/>
    </w:lvl>
  </w:abstractNum>
  <w:abstractNum w:abstractNumId="163">
    <w:nsid w:val="71C1AF98"/>
    <w:multiLevelType w:val="hybridMultilevel"/>
    <w:lvl w:ilvl="0">
      <w:lvlJc w:val="left"/>
      <w:lvlText w:val="(%1)"/>
      <w:numFmt w:val="lowerLetter"/>
      <w:start w:val="1"/>
    </w:lvl>
  </w:abstractNum>
  <w:abstractNum w:abstractNumId="164">
    <w:nsid w:val="3D00B9D9"/>
    <w:multiLevelType w:val="hybridMultilevel"/>
    <w:lvl w:ilvl="0">
      <w:lvlJc w:val="left"/>
      <w:lvlText w:val="(%1)"/>
      <w:numFmt w:val="lowerLetter"/>
      <w:start w:val="1"/>
    </w:lvl>
  </w:abstractNum>
  <w:abstractNum w:abstractNumId="165">
    <w:nsid w:val="15BCABA8"/>
    <w:multiLevelType w:val="hybridMultilevel"/>
    <w:lvl w:ilvl="0">
      <w:lvlJc w:val="left"/>
      <w:lvlText w:val="%1."/>
      <w:numFmt w:val="decimal"/>
      <w:start w:val="1"/>
    </w:lvl>
  </w:abstractNum>
  <w:abstractNum w:abstractNumId="166">
    <w:nsid w:val="4E0B9A87"/>
    <w:multiLevelType w:val="hybridMultilevel"/>
    <w:lvl w:ilvl="0">
      <w:lvlJc w:val="left"/>
      <w:lvlText w:val="☐"/>
      <w:numFmt w:val="bullet"/>
      <w:start w:val="1"/>
    </w:lvl>
  </w:abstractNum>
  <w:abstractNum w:abstractNumId="167">
    <w:nsid w:val="434BAE75"/>
    <w:multiLevelType w:val="hybridMultilevel"/>
    <w:lvl w:ilvl="0">
      <w:lvlJc w:val="left"/>
      <w:lvlText w:val="%1."/>
      <w:numFmt w:val="decimal"/>
      <w:start w:val="2"/>
    </w:lvl>
  </w:abstractNum>
  <w:abstractNum w:abstractNumId="168">
    <w:nsid w:val="4F38F265"/>
    <w:multiLevelType w:val="hybridMultilevel"/>
    <w:lvl w:ilvl="0">
      <w:lvlJc w:val="left"/>
      <w:lvlText w:val="%1."/>
      <w:numFmt w:val="decimal"/>
      <w:start w:val="1"/>
    </w:lvl>
  </w:abstractNum>
  <w:abstractNum w:abstractNumId="169">
    <w:nsid w:val="4C502870"/>
    <w:multiLevelType w:val="hybridMultilevel"/>
    <w:lvl w:ilvl="0">
      <w:lvlJc w:val="left"/>
      <w:lvlText w:val="%1."/>
      <w:numFmt w:val="decimal"/>
      <w:start w:val="1"/>
    </w:lvl>
  </w:abstractNum>
  <w:abstractNum w:abstractNumId="170">
    <w:nsid w:val="1DE8725A"/>
    <w:multiLevelType w:val="hybridMultilevel"/>
    <w:lvl w:ilvl="0">
      <w:lvlJc w:val="left"/>
      <w:lvlText w:val="%1."/>
      <w:numFmt w:val="decimal"/>
      <w:start w:val="4"/>
    </w:lvl>
  </w:abstractNum>
  <w:abstractNum w:abstractNumId="171">
    <w:nsid w:val="6A37288A"/>
    <w:multiLevelType w:val="hybridMultilevel"/>
    <w:lvl w:ilvl="0">
      <w:lvlJc w:val="left"/>
      <w:lvlText w:val="%1."/>
      <w:numFmt w:val="upperLetter"/>
      <w:start w:val="9"/>
    </w:lvl>
    <w:lvl w:ilvl="1">
      <w:lvlJc w:val="left"/>
      <w:lvlText w:val="%2"/>
      <w:numFmt w:val="upperLetter"/>
      <w:start w:val="1"/>
    </w:lvl>
  </w:abstractNum>
  <w:abstractNum w:abstractNumId="172">
    <w:nsid w:val="8F8B73F"/>
    <w:multiLevelType w:val="hybridMultilevel"/>
    <w:lvl w:ilvl="0">
      <w:lvlJc w:val="left"/>
      <w:lvlText w:val="%1."/>
      <w:numFmt w:val="decimal"/>
      <w:start w:val="9"/>
    </w:lvl>
  </w:abstractNum>
  <w:abstractNum w:abstractNumId="173">
    <w:nsid w:val="CA6B462"/>
    <w:multiLevelType w:val="hybridMultilevel"/>
    <w:lvl w:ilvl="0">
      <w:lvlJc w:val="left"/>
      <w:lvlText w:val="%1."/>
      <w:numFmt w:val="upperLetter"/>
      <w:start w:val="35"/>
    </w:lvl>
  </w:abstractNum>
  <w:abstractNum w:abstractNumId="174">
    <w:nsid w:val="763CB680"/>
    <w:multiLevelType w:val="hybridMultilevel"/>
    <w:lvl w:ilvl="0">
      <w:lvlJc w:val="left"/>
      <w:lvlText w:val="%1."/>
      <w:numFmt w:val="decimal"/>
      <w:start w:val="1"/>
    </w:lvl>
  </w:abstractNum>
  <w:abstractNum w:abstractNumId="175">
    <w:nsid w:val="15B71329"/>
    <w:multiLevelType w:val="hybridMultilevel"/>
    <w:lvl w:ilvl="0">
      <w:lvlJc w:val="left"/>
      <w:lvlText w:val="%1."/>
      <w:numFmt w:val="decimal"/>
      <w:start w:val="2"/>
    </w:lvl>
  </w:abstractNum>
  <w:abstractNum w:abstractNumId="176">
    <w:nsid w:val="3DA97044"/>
    <w:multiLevelType w:val="hybridMultilevel"/>
    <w:lvl w:ilvl="0">
      <w:lvlJc w:val="left"/>
      <w:lvlText w:val="%1"/>
      <w:numFmt w:val="decimal"/>
      <w:start w:val="1"/>
    </w:lvl>
    <w:lvl w:ilvl="1">
      <w:lvlJc w:val="left"/>
      <w:lvlText w:val="%2."/>
      <w:numFmt w:val="decimal"/>
      <w:start w:val="3"/>
    </w:lvl>
  </w:abstractNum>
  <w:abstractNum w:abstractNumId="177">
    <w:nsid w:val="1CDCE2DE"/>
    <w:multiLevelType w:val="hybridMultilevel"/>
    <w:lvl w:ilvl="0">
      <w:lvlJc w:val="left"/>
      <w:lvlText w:val="2"/>
      <w:numFmt w:val="bullet"/>
      <w:start w:val="1"/>
    </w:lvl>
  </w:abstractNum>
  <w:abstractNum w:abstractNumId="178">
    <w:nsid w:val="69D3947C"/>
    <w:multiLevelType w:val="hybridMultilevel"/>
    <w:lvl w:ilvl="0">
      <w:lvlJc w:val="left"/>
      <w:lvlText w:val="3"/>
      <w:numFmt w:val="bullet"/>
      <w:start w:val="1"/>
    </w:lvl>
  </w:abstractNum>
  <w:abstractNum w:abstractNumId="179">
    <w:nsid w:val="2539DFA5"/>
    <w:multiLevelType w:val="hybridMultilevel"/>
    <w:lvl w:ilvl="0">
      <w:lvlJc w:val="left"/>
      <w:lvlText w:val="4"/>
      <w:numFmt w:val="bullet"/>
      <w:start w:val="1"/>
    </w:lvl>
  </w:abstractNum>
  <w:abstractNum w:abstractNumId="180">
    <w:nsid w:val="2DB88089"/>
    <w:multiLevelType w:val="hybridMultilevel"/>
    <w:lvl w:ilvl="0">
      <w:lvlJc w:val="left"/>
      <w:lvlText w:val="%1."/>
      <w:numFmt w:val="decimal"/>
      <w:start w:val="4"/>
    </w:lvl>
  </w:abstractNum>
  <w:abstractNum w:abstractNumId="181">
    <w:nsid w:val="706B674E"/>
    <w:multiLevelType w:val="hybridMultilevel"/>
    <w:lvl w:ilvl="0">
      <w:lvlJc w:val="left"/>
      <w:lvlText w:val="6"/>
      <w:numFmt w:val="bullet"/>
      <w:start w:val="1"/>
    </w:lvl>
  </w:abstractNum>
  <w:abstractNum w:abstractNumId="182">
    <w:nsid w:val="2C106A57"/>
    <w:multiLevelType w:val="hybridMultilevel"/>
    <w:lvl w:ilvl="0">
      <w:lvlJc w:val="left"/>
      <w:lvlText w:val="7"/>
      <w:numFmt w:val="bullet"/>
      <w:start w:val="1"/>
    </w:lvl>
  </w:abstractNum>
  <w:abstractNum w:abstractNumId="183">
    <w:nsid w:val="684EED59"/>
    <w:multiLevelType w:val="hybridMultilevel"/>
    <w:lvl w:ilvl="0">
      <w:lvlJc w:val="left"/>
      <w:lvlText w:val="%1"/>
      <w:numFmt w:val="decimal"/>
      <w:start w:val="14"/>
    </w:lvl>
  </w:abstractNum>
  <w:abstractNum w:abstractNumId="184">
    <w:nsid w:val="545EE5D3"/>
    <w:multiLevelType w:val="hybridMultilevel"/>
    <w:lvl w:ilvl="0">
      <w:lvlJc w:val="left"/>
      <w:lvlText w:val="%1."/>
      <w:numFmt w:val="decimal"/>
      <w:start w:val="1"/>
    </w:lvl>
  </w:abstractNum>
  <w:abstractNum w:abstractNumId="185">
    <w:nsid w:val="4A66051"/>
    <w:multiLevelType w:val="hybridMultilevel"/>
    <w:lvl w:ilvl="0">
      <w:lvlJc w:val="left"/>
      <w:lvlText w:val="(%1)"/>
      <w:numFmt w:val="lowerRoman"/>
      <w:start w:val="2"/>
    </w:lvl>
    <w:lvl w:ilvl="1">
      <w:lvlJc w:val="left"/>
      <w:lvlText w:val="%2"/>
      <w:numFmt w:val="decimal"/>
      <w:start w:val="1"/>
    </w:lvl>
  </w:abstractNum>
  <w:abstractNum w:abstractNumId="186">
    <w:nsid w:val="20F4BDAD"/>
    <w:multiLevelType w:val="hybridMultilevel"/>
    <w:lvl w:ilvl="0">
      <w:lvlJc w:val="left"/>
      <w:lvlText w:val="(%1)"/>
      <w:numFmt w:val="lowerRoman"/>
      <w:start w:val="7"/>
    </w:lvl>
    <w:lvl w:ilvl="1">
      <w:lvlJc w:val="left"/>
      <w:lvlText w:val="%2."/>
      <w:numFmt w:val="decimal"/>
      <w:start w:val="2"/>
    </w:lvl>
  </w:abstractNum>
  <w:abstractNum w:abstractNumId="187">
    <w:nsid w:val="639DEFAC"/>
    <w:multiLevelType w:val="hybridMultilevel"/>
    <w:lvl w:ilvl="0">
      <w:lvlJc w:val="left"/>
      <w:lvlText w:val="%1."/>
      <w:numFmt w:val="decimal"/>
      <w:start w:val="3"/>
    </w:lvl>
  </w:abstractNum>
  <w:abstractNum w:abstractNumId="188">
    <w:nsid w:val="501F9786"/>
    <w:multiLevelType w:val="hybridMultilevel"/>
    <w:lvl w:ilvl="0">
      <w:lvlJc w:val="left"/>
      <w:lvlText w:val="%1"/>
      <w:numFmt w:val="decimal"/>
      <w:start w:val="16"/>
    </w:lvl>
  </w:abstractNum>
  <w:abstractNum w:abstractNumId="189">
    <w:nsid w:val="6B057295"/>
    <w:multiLevelType w:val="hybridMultilevel"/>
    <w:lvl w:ilvl="0">
      <w:lvlJc w:val="left"/>
      <w:lvlText w:val="%1."/>
      <w:numFmt w:val="decimal"/>
      <w:start w:val="1"/>
    </w:lvl>
  </w:abstractNum>
  <w:abstractNum w:abstractNumId="190">
    <w:nsid w:val="2771AC80"/>
    <w:multiLevelType w:val="hybridMultilevel"/>
    <w:lvl w:ilvl="0">
      <w:lvlJc w:val="left"/>
      <w:lvlText w:val="%1."/>
      <w:numFmt w:val="decimal"/>
      <w:start w:val="2"/>
    </w:lvl>
  </w:abstractNum>
  <w:abstractNum w:abstractNumId="191">
    <w:nsid w:val="1C4A08EC"/>
    <w:multiLevelType w:val="hybridMultilevel"/>
    <w:lvl w:ilvl="0">
      <w:lvlJc w:val="left"/>
      <w:lvlText w:val="%1"/>
      <w:numFmt w:val="decimal"/>
      <w:start w:val="17"/>
    </w:lvl>
  </w:abstractNum>
  <w:abstractNum w:abstractNumId="192">
    <w:nsid w:val="1958BD17"/>
    <w:multiLevelType w:val="hybridMultilevel"/>
    <w:lvl w:ilvl="0">
      <w:lvlJc w:val="left"/>
      <w:lvlText w:val="%1."/>
      <w:numFmt w:val="decimal"/>
      <w:start w:val="1"/>
    </w:lvl>
  </w:abstractNum>
  <w:abstractNum w:abstractNumId="193">
    <w:nsid w:val="4E647FE4"/>
    <w:multiLevelType w:val="hybridMultilevel"/>
    <w:lvl w:ilvl="0">
      <w:lvlJc w:val="left"/>
      <w:lvlText w:val="%1"/>
      <w:numFmt w:val="decimal"/>
      <w:start w:val="18"/>
    </w:lvl>
  </w:abstractNum>
  <w:abstractNum w:abstractNumId="194">
    <w:nsid w:val="E0BB885"/>
    <w:multiLevelType w:val="hybridMultilevel"/>
    <w:lvl w:ilvl="0">
      <w:lvlJc w:val="left"/>
      <w:lvlText w:val="%1"/>
      <w:numFmt w:val="decimal"/>
      <w:start w:val="1"/>
    </w:lvl>
    <w:lvl w:ilvl="1">
      <w:lvlJc w:val="left"/>
      <w:lvlText w:val="(%2)"/>
      <w:numFmt w:val="lowerLetter"/>
      <w:start w:val="1"/>
    </w:lvl>
  </w:abstractNum>
  <w:abstractNum w:abstractNumId="195">
    <w:nsid w:val="565976F1"/>
    <w:multiLevelType w:val="hybridMultilevel"/>
    <w:lvl w:ilvl="0">
      <w:lvlJc w:val="left"/>
      <w:lvlText w:val="%1."/>
      <w:numFmt w:val="decimal"/>
      <w:start w:val="1"/>
    </w:lvl>
    <w:lvl w:ilvl="1">
      <w:lvlJc w:val="left"/>
      <w:lvlText w:val="%2"/>
      <w:numFmt w:val="lowerLetter"/>
      <w:start w:val="1"/>
    </w:lvl>
  </w:abstractNum>
  <w:abstractNum w:abstractNumId="196">
    <w:nsid w:val="64212B8C"/>
    <w:multiLevelType w:val="hybridMultilevel"/>
    <w:lvl w:ilvl="0">
      <w:lvlJc w:val="left"/>
      <w:lvlText w:val="%1."/>
      <w:numFmt w:val="decimal"/>
      <w:start w:val="1"/>
    </w:lvl>
    <w:lvl w:ilvl="1">
      <w:lvlJc w:val="left"/>
      <w:lvlText w:val="(%2)"/>
      <w:numFmt w:val="lowerLetter"/>
      <w:start w:val="1"/>
    </w:lvl>
  </w:abstractNum>
  <w:abstractNum w:abstractNumId="197">
    <w:nsid w:val="5C17530C"/>
    <w:multiLevelType w:val="hybridMultilevel"/>
    <w:lvl w:ilvl="0">
      <w:lvlJc w:val="left"/>
      <w:lvlText w:val="%1."/>
      <w:numFmt w:val="decimal"/>
      <w:start w:val="6"/>
    </w:lvl>
  </w:abstractNum>
  <w:abstractNum w:abstractNumId="198">
    <w:nsid w:val="19A52566"/>
    <w:multiLevelType w:val="hybridMultilevel"/>
    <w:lvl w:ilvl="0">
      <w:lvlJc w:val="left"/>
      <w:lvlText w:val="%1."/>
      <w:numFmt w:val="decimal"/>
      <w:start w:val="1"/>
    </w:lvl>
  </w:abstractNum>
  <w:abstractNum w:abstractNumId="199">
    <w:nsid w:val="335A1DF1"/>
    <w:multiLevelType w:val="hybridMultilevel"/>
    <w:lvl w:ilvl="0">
      <w:lvlJc w:val="left"/>
      <w:lvlText w:val="%1."/>
      <w:numFmt w:val="decimal"/>
      <w:start w:val="4"/>
    </w:lvl>
  </w:abstractNum>
  <w:abstractNum w:abstractNumId="200">
    <w:nsid w:val="28677B7C"/>
    <w:multiLevelType w:val="hybridMultilevel"/>
    <w:lvl w:ilvl="0">
      <w:lvlJc w:val="left"/>
      <w:lvlText w:val="%1"/>
      <w:numFmt w:val="lowerRoman"/>
      <w:start w:val="1"/>
    </w:lvl>
    <w:lvl w:ilvl="1">
      <w:lvlJc w:val="left"/>
      <w:lvlText w:val="%2."/>
      <w:numFmt w:val="decimal"/>
      <w:start w:val="5"/>
    </w:lvl>
  </w:abstractNum>
  <w:abstractNum w:abstractNumId="201">
    <w:nsid w:val="378D97C0"/>
    <w:multiLevelType w:val="hybridMultilevel"/>
    <w:lvl w:ilvl="0">
      <w:lvlJc w:val="left"/>
      <w:lvlText w:val="(%1)"/>
      <w:numFmt w:val="lowerRoman"/>
      <w:start w:val="2"/>
    </w:lvl>
    <w:lvl w:ilvl="1">
      <w:lvlJc w:val="left"/>
      <w:lvlText w:val="%2."/>
      <w:numFmt w:val="decimal"/>
      <w:start w:val="6"/>
    </w:lvl>
  </w:abstractNum>
  <w:abstractNum w:abstractNumId="202">
    <w:nsid w:val="1D91467C"/>
    <w:multiLevelType w:val="hybridMultilevel"/>
    <w:lvl w:ilvl="0">
      <w:lvlJc w:val="left"/>
      <w:lvlText w:val="%1"/>
      <w:numFmt w:val="decimal"/>
      <w:start w:val="19"/>
    </w:lvl>
  </w:abstractNum>
  <w:abstractNum w:abstractNumId="203">
    <w:nsid w:val="316032BB"/>
    <w:multiLevelType w:val="hybridMultilevel"/>
    <w:lvl w:ilvl="0">
      <w:lvlJc w:val="left"/>
      <w:lvlText w:val="(%1)"/>
      <w:numFmt w:val="lowerLetter"/>
      <w:start w:val="1"/>
    </w:lvl>
  </w:abstractNum>
  <w:abstractNum w:abstractNumId="204">
    <w:nsid w:val="44344C22"/>
    <w:multiLevelType w:val="hybridMultilevel"/>
    <w:lvl w:ilvl="0">
      <w:lvlJc w:val="left"/>
      <w:lvlText w:val="(%1)"/>
      <w:numFmt w:val="lowerLetter"/>
      <w:start w:val="5"/>
    </w:lvl>
  </w:abstractNum>
  <w:abstractNum w:abstractNumId="205">
    <w:nsid w:val="13CDFCFC"/>
    <w:multiLevelType w:val="hybridMultilevel"/>
    <w:lvl w:ilvl="0">
      <w:lvlJc w:val="left"/>
      <w:lvlText w:val="%1"/>
      <w:numFmt w:val="lowerLetter"/>
      <w:start w:val="1"/>
    </w:lvl>
    <w:lvl w:ilvl="1">
      <w:lvlJc w:val="left"/>
      <w:lvlText w:val="(%2)"/>
      <w:numFmt w:val="lowerLetter"/>
      <w:start w:val="1"/>
    </w:lvl>
  </w:abstractNum>
  <w:abstractNum w:abstractNumId="206">
    <w:nsid w:val="471745E4"/>
    <w:multiLevelType w:val="hybridMultilevel"/>
    <w:lvl w:ilvl="0">
      <w:lvlJc w:val="left"/>
      <w:lvlText w:val="(%1)"/>
      <w:numFmt w:val="lowerLetter"/>
      <w:start w:val="1"/>
    </w:lvl>
    <w:lvl w:ilvl="1">
      <w:lvlJc w:val="left"/>
      <w:lvlText w:val="(%2)"/>
      <w:numFmt w:val="lowerLetter"/>
      <w:start w:val="3"/>
    </w:lvl>
  </w:abstractNum>
  <w:abstractNum w:abstractNumId="207">
    <w:nsid w:val="1DDBC66"/>
    <w:multiLevelType w:val="hybridMultilevel"/>
    <w:lvl w:ilvl="0">
      <w:lvlJc w:val="left"/>
      <w:lvlText w:val="(%1)"/>
      <w:numFmt w:val="lowerLetter"/>
      <w:start w:val="1"/>
    </w:lvl>
  </w:abstractNum>
  <w:abstractNum w:abstractNumId="208">
    <w:nsid w:val="30AADFDA"/>
    <w:multiLevelType w:val="hybridMultilevel"/>
    <w:lvl w:ilvl="0">
      <w:lvlJc w:val="left"/>
      <w:lvlText w:val="%1"/>
      <w:numFmt w:val="lowerLetter"/>
      <w:start w:val="1"/>
    </w:lvl>
    <w:lvl w:ilvl="1">
      <w:lvlJc w:val="left"/>
      <w:lvlText w:val="(%2)"/>
      <w:numFmt w:val="lowerLetter"/>
      <w:start w:val="1"/>
    </w:lvl>
  </w:abstractNum>
  <w:abstractNum w:abstractNumId="209">
    <w:nsid w:val="30EADA61"/>
    <w:multiLevelType w:val="hybridMultilevel"/>
    <w:lvl w:ilvl="0">
      <w:lvlJc w:val="left"/>
      <w:lvlText w:val="(%1)"/>
      <w:numFmt w:val="lowerLetter"/>
      <w:start w:val="2"/>
    </w:lvl>
    <w:lvl w:ilvl="1">
      <w:lvlJc w:val="left"/>
      <w:lvlText w:val="(%2)"/>
      <w:numFmt w:val="lowerLetter"/>
      <w:start w:val="5"/>
    </w:lvl>
  </w:abstractNum>
  <w:abstractNum w:abstractNumId="210">
    <w:nsid w:val="27179C0B"/>
    <w:multiLevelType w:val="hybridMultilevel"/>
    <w:lvl w:ilvl="0">
      <w:lvlJc w:val="left"/>
      <w:lvlText w:val="(%1)"/>
      <w:numFmt w:val="lowerLetter"/>
      <w:start w:val="1"/>
    </w:lvl>
  </w:abstractNum>
  <w:abstractNum w:abstractNumId="211">
    <w:nsid w:val="5E636063"/>
    <w:multiLevelType w:val="hybridMultilevel"/>
    <w:lvl w:ilvl="0">
      <w:lvlJc w:val="left"/>
      <w:lvlText w:val="(%1)"/>
      <w:numFmt w:val="lowerLetter"/>
      <w:start w:val="1"/>
    </w:lvl>
  </w:abstractNum>
  <w:abstractNum w:abstractNumId="212">
    <w:nsid w:val="215641AF"/>
    <w:multiLevelType w:val="hybridMultilevel"/>
    <w:lvl w:ilvl="0">
      <w:lvlJc w:val="left"/>
      <w:lvlText w:val="(%1)"/>
      <w:numFmt w:val="lowerLetter"/>
      <w:start w:val="1"/>
    </w:lvl>
  </w:abstractNum>
  <w:abstractNum w:abstractNumId="213">
    <w:nsid w:val="53280662"/>
    <w:multiLevelType w:val="hybridMultilevel"/>
    <w:lvl w:ilvl="0">
      <w:lvlJc w:val="left"/>
      <w:lvlText w:val="(%1)"/>
      <w:numFmt w:val="lowerLetter"/>
      <w:start w:val="1"/>
    </w:lvl>
  </w:abstractNum>
  <w:abstractNum w:abstractNumId="214">
    <w:nsid w:val="46B24DBC"/>
    <w:multiLevelType w:val="hybridMultilevel"/>
    <w:lvl w:ilvl="0">
      <w:lvlJc w:val="left"/>
      <w:lvlText w:val="(%1)"/>
      <w:numFmt w:val="lowerLetter"/>
      <w:start w:val="7"/>
    </w:lvl>
  </w:abstractNum>
  <w:abstractNum w:abstractNumId="215">
    <w:nsid w:val="75B52783"/>
    <w:multiLevelType w:val="hybridMultilevel"/>
    <w:lvl w:ilvl="0">
      <w:lvlJc w:val="left"/>
      <w:lvlText w:val="(%1)"/>
      <w:numFmt w:val="lowerLetter"/>
      <w:start w:val="1"/>
    </w:lvl>
    <w:lvl w:ilvl="1">
      <w:lvlJc w:val="left"/>
      <w:lvlText w:val="(%2)"/>
      <w:numFmt w:val="lowerRoman"/>
      <w:start w:val="1"/>
    </w:lvl>
  </w:abstractNum>
  <w:abstractNum w:abstractNumId="216">
    <w:nsid w:val="57CE66B4"/>
    <w:multiLevelType w:val="hybridMultilevel"/>
    <w:lvl w:ilvl="0">
      <w:lvlJc w:val="left"/>
      <w:lvlText w:val="(%1)"/>
      <w:numFmt w:val="lowerLetter"/>
      <w:start w:val="1"/>
    </w:lvl>
  </w:abstractNum>
  <w:abstractNum w:abstractNumId="217">
    <w:nsid w:val="67A70B69"/>
    <w:multiLevelType w:val="hybridMultilevel"/>
    <w:lvl w:ilvl="0">
      <w:lvlJc w:val="left"/>
      <w:lvlText w:val="(%1)"/>
      <w:numFmt w:val="lowerLetter"/>
      <w:start w:val="1"/>
    </w:lvl>
  </w:abstractNum>
  <w:abstractNum w:abstractNumId="218">
    <w:nsid w:val="5953172F"/>
    <w:multiLevelType w:val="hybridMultilevel"/>
    <w:lvl w:ilvl="0">
      <w:lvlJc w:val="left"/>
      <w:lvlText w:val="(%1)"/>
      <w:numFmt w:val="lowerLetter"/>
      <w:start w:val="2"/>
    </w:lvl>
  </w:abstractNum>
  <w:abstractNum w:abstractNumId="219">
    <w:nsid w:val="27EDFE3A"/>
    <w:multiLevelType w:val="hybridMultilevel"/>
    <w:lvl w:ilvl="0">
      <w:lvlJc w:val="left"/>
      <w:lvlText w:val="(%1)"/>
      <w:numFmt w:val="lowerLetter"/>
      <w:start w:val="1"/>
    </w:lvl>
  </w:abstractNum>
  <w:abstractNum w:abstractNumId="220">
    <w:nsid w:val="52AC7DFF"/>
    <w:multiLevelType w:val="hybridMultilevel"/>
    <w:lvl w:ilvl="0">
      <w:lvlJc w:val="left"/>
      <w:lvlText w:val="(%1)"/>
      <w:numFmt w:val="lowerLetter"/>
      <w:start w:val="1"/>
    </w:lvl>
    <w:lvl w:ilvl="1">
      <w:lvlJc w:val="left"/>
      <w:lvlText w:val="(%2)"/>
      <w:numFmt w:val="lowerRoman"/>
      <w:start w:val="1"/>
    </w:lvl>
  </w:abstractNum>
  <w:abstractNum w:abstractNumId="221">
    <w:nsid w:val="C4C3AF"/>
    <w:multiLevelType w:val="hybridMultilevel"/>
    <w:lvl w:ilvl="0">
      <w:lvlJc w:val="left"/>
      <w:lvlText w:val="(%1)"/>
      <w:numFmt w:val="lowerLetter"/>
      <w:start w:val="1"/>
    </w:lvl>
  </w:abstractNum>
  <w:abstractNum w:abstractNumId="222">
    <w:nsid w:val="44380727"/>
    <w:multiLevelType w:val="hybridMultilevel"/>
    <w:lvl w:ilvl="0">
      <w:lvlJc w:val="left"/>
      <w:lvlText w:val="(%1)"/>
      <w:numFmt w:val="lowerLetter"/>
      <w:start w:val="1"/>
    </w:lvl>
  </w:abstractNum>
  <w:abstractNum w:abstractNumId="223">
    <w:nsid w:val="6C053B16"/>
    <w:multiLevelType w:val="hybridMultilevel"/>
    <w:lvl w:ilvl="0">
      <w:lvlJc w:val="left"/>
      <w:lvlText w:val="%1"/>
      <w:numFmt w:val="decimal"/>
      <w:start w:val="1"/>
    </w:lvl>
    <w:lvl w:ilvl="1">
      <w:lvlJc w:val="left"/>
      <w:lvlText w:val="(%2)"/>
      <w:numFmt w:val="lowerLetter"/>
      <w:start w:val="2"/>
    </w:lvl>
  </w:abstractNum>
  <w:abstractNum w:abstractNumId="224">
    <w:nsid w:val="4F294393"/>
    <w:multiLevelType w:val="hybridMultilevel"/>
    <w:lvl w:ilvl="0">
      <w:lvlJc w:val="left"/>
      <w:lvlText w:val="(%1)"/>
      <w:numFmt w:val="decimal"/>
      <w:start w:val="2"/>
    </w:lvl>
    <w:lvl w:ilvl="1">
      <w:lvlJc w:val="left"/>
      <w:lvlText w:val="(%2)"/>
      <w:numFmt w:val="lowerLetter"/>
      <w:start w:val="3"/>
    </w:lvl>
  </w:abstractNum>
  <w:abstractNum w:abstractNumId="225">
    <w:nsid w:val="5243BFAC"/>
    <w:multiLevelType w:val="hybridMultilevel"/>
    <w:lvl w:ilvl="0">
      <w:lvlJc w:val="left"/>
      <w:lvlText w:val="(%1)"/>
      <w:numFmt w:val="lowerLetter"/>
      <w:start w:val="1"/>
    </w:lvl>
  </w:abstractNum>
  <w:abstractNum w:abstractNumId="226">
    <w:nsid w:val="425EB207"/>
    <w:multiLevelType w:val="hybridMultilevel"/>
    <w:lvl w:ilvl="0">
      <w:lvlJc w:val="left"/>
      <w:lvlText w:val="(%1)"/>
      <w:numFmt w:val="lowerLetter"/>
      <w:start w:val="1"/>
    </w:lvl>
    <w:lvl w:ilvl="1">
      <w:lvlJc w:val="left"/>
      <w:lvlText w:val="(%2)"/>
      <w:numFmt w:val="lowerRoman"/>
      <w:start w:val="1"/>
    </w:lvl>
  </w:abstractNum>
  <w:abstractNum w:abstractNumId="227">
    <w:nsid w:val="334A6F1F"/>
    <w:multiLevelType w:val="hybridMultilevel"/>
    <w:lvl w:ilvl="0">
      <w:lvlJc w:val="left"/>
      <w:lvlText w:val="(%1)"/>
      <w:numFmt w:val="lowerLetter"/>
      <w:start w:val="1"/>
    </w:lvl>
  </w:abstractNum>
  <w:abstractNum w:abstractNumId="228">
    <w:nsid w:val="2E5B12B8"/>
    <w:multiLevelType w:val="hybridMultilevel"/>
    <w:lvl w:ilvl="0">
      <w:lvlJc w:val="left"/>
      <w:lvlText w:val="(%1)"/>
      <w:numFmt w:val="lowerLetter"/>
      <w:start w:val="1"/>
    </w:lvl>
  </w:abstractNum>
  <w:abstractNum w:abstractNumId="229">
    <w:nsid w:val="5C03D76D"/>
    <w:multiLevelType w:val="hybridMultilevel"/>
    <w:lvl w:ilvl="0">
      <w:lvlJc w:val="left"/>
      <w:lvlText w:val="(%1)"/>
      <w:numFmt w:val="lowerLetter"/>
      <w:start w:val="3"/>
    </w:lvl>
  </w:abstractNum>
  <w:abstractNum w:abstractNumId="230">
    <w:nsid w:val="66A48D11"/>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231">
    <w:nsid w:val="56C28E34"/>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232">
    <w:nsid w:val="13916F2D"/>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abstractNum>
  <w:abstractNum w:abstractNumId="233">
    <w:nsid w:val="435D38D"/>
    <w:multiLevelType w:val="hybridMultilevel"/>
    <w:lvl w:ilvl="0">
      <w:lvlJc w:val="left"/>
      <w:lvlText w:val="(%1)"/>
      <w:numFmt w:val="lowerLetter"/>
      <w:start w:val="1"/>
    </w:lvl>
  </w:abstractNum>
  <w:abstractNum w:abstractNumId="234">
    <w:nsid w:val="822C0EF"/>
    <w:multiLevelType w:val="hybridMultilevel"/>
    <w:lvl w:ilvl="0">
      <w:lvlJc w:val="left"/>
      <w:lvlText w:val="(%1)"/>
      <w:numFmt w:val="lowerLetter"/>
      <w:start w:val="1"/>
    </w:lvl>
  </w:abstractNum>
  <w:abstractNum w:abstractNumId="235">
    <w:nsid w:val="57C5BB4F"/>
    <w:multiLevelType w:val="hybridMultilevel"/>
    <w:lvl w:ilvl="0">
      <w:lvlJc w:val="left"/>
      <w:lvlText w:val="(%1)"/>
      <w:numFmt w:val="lowerLetter"/>
      <w:start w:val="1"/>
    </w:lvl>
  </w:abstractNum>
  <w:abstractNum w:abstractNumId="236">
    <w:nsid w:val="1803D089"/>
    <w:multiLevelType w:val="hybridMultilevel"/>
    <w:lvl w:ilvl="0">
      <w:lvlJc w:val="left"/>
      <w:lvlText w:val="(%1)"/>
      <w:numFmt w:val="lowerLetter"/>
      <w:start w:val="1"/>
    </w:lvl>
  </w:abstractNum>
  <w:abstractNum w:abstractNumId="237">
    <w:nsid w:val="4F3A06D4"/>
    <w:multiLevelType w:val="hybridMultilevel"/>
    <w:lvl w:ilvl="0">
      <w:lvlJc w:val="left"/>
      <w:lvlText w:val="(%1)"/>
      <w:numFmt w:val="lowerLetter"/>
      <w:start w:val="1"/>
    </w:lvl>
    <w:lvl w:ilvl="1">
      <w:lvlJc w:val="left"/>
      <w:lvlText w:val="(%2)"/>
      <w:numFmt w:val="lowerLetter"/>
      <w:start w:val="9"/>
    </w:lvl>
  </w:abstractNum>
  <w:abstractNum w:abstractNumId="238">
    <w:nsid w:val="59A377B6"/>
    <w:multiLevelType w:val="hybridMultilevel"/>
    <w:lvl w:ilvl="0">
      <w:lvlJc w:val="left"/>
      <w:lvlText w:val="%1"/>
      <w:numFmt w:val="lowerLetter"/>
      <w:start w:val="1"/>
    </w:lvl>
    <w:lvl w:ilvl="1">
      <w:lvlJc w:val="left"/>
      <w:lvlText w:val="(%2)"/>
      <w:numFmt w:val="lowerRoman"/>
      <w:start w:val="2"/>
    </w:lvl>
  </w:abstractNum>
  <w:abstractNum w:abstractNumId="239">
    <w:nsid w:val="48AEB063"/>
    <w:multiLevelType w:val="hybridMultilevel"/>
    <w:lvl w:ilvl="0">
      <w:lvlJc w:val="left"/>
      <w:lvlText w:val="(%1)"/>
      <w:numFmt w:val="lowerLetter"/>
      <w:start w:val="2"/>
    </w:lvl>
    <w:lvl w:ilvl="1">
      <w:lvlJc w:val="left"/>
      <w:lvlText w:val="(%2)"/>
      <w:numFmt w:val="lowerRoman"/>
      <w:start w:val="1"/>
    </w:lvl>
  </w:abstractNum>
  <w:abstractNum w:abstractNumId="240">
    <w:nsid w:val="24E135"/>
    <w:multiLevelType w:val="hybridMultilevel"/>
    <w:lvl w:ilvl="0">
      <w:lvlJc w:val="left"/>
      <w:lvlText w:val="(%1)"/>
      <w:numFmt w:val="lowerLetter"/>
      <w:start w:val="1"/>
    </w:lvl>
  </w:abstractNum>
  <w:abstractNum w:abstractNumId="241">
    <w:nsid w:val="BB13C1"/>
    <w:multiLevelType w:val="hybridMultilevel"/>
    <w:lvl w:ilvl="0">
      <w:lvlJc w:val="left"/>
      <w:lvlText w:val="(%1)"/>
      <w:numFmt w:val="lowerLetter"/>
      <w:start w:val="1"/>
    </w:lvl>
  </w:abstractNum>
  <w:abstractNum w:abstractNumId="242">
    <w:nsid w:val="271210C7"/>
    <w:multiLevelType w:val="hybridMultilevel"/>
    <w:lvl w:ilvl="0">
      <w:lvlJc w:val="left"/>
      <w:lvlText w:val="(%1)"/>
      <w:numFmt w:val="lowerLetter"/>
      <w:start w:val="2"/>
    </w:lvl>
  </w:abstractNum>
  <w:abstractNum w:abstractNumId="243">
    <w:nsid w:val="217B22E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2019-12-06T07:53:01Z</dcterms:created>
  <dcterms:modified xsi:type="dcterms:W3CDTF">2019-12-06T07:53:01Z</dcterms:modified>
</cp:coreProperties>
</file>