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0313d425.htm"/>
      <w:bookmarkStart w:id="1" w:name="ksd90313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May 14,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Michigan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0-21810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95-4318554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195" w:hRule="atLeast"/>
        </w:trPr>
        <w:tc>
          <w:tcPr>
            <w:tcW w:w="6838" w:type="dxa"/>
            <w:gridSpan w:val="3"/>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6838" w:type="dxa"/>
            <w:gridSpan w:val="3"/>
            <w:tcBorders/>
          </w:tcPr>
          <w:p>
            <w:pPr>
              <w:pStyle w:val="TableContents"/>
              <w:bidi w:val="0"/>
              <w:spacing w:before="0" w:after="283"/>
              <w:jc w:val="center"/>
              <w:rPr>
                <w:b/>
              </w:rPr>
            </w:pPr>
            <w:r>
              <w:rPr>
                <w:b/>
              </w:rPr>
              <w:t>28875 Cabot Drive, Novi, MI</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48377</w:t>
            </w:r>
          </w:p>
        </w:tc>
      </w:tr>
      <w:tr>
        <w:trPr/>
        <w:tc>
          <w:tcPr>
            <w:tcW w:w="6838" w:type="dxa"/>
            <w:gridSpan w:val="3"/>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(248) 348-9735 </w:t>
      </w:r>
    </w:p>
    <w:p>
      <w:pPr>
        <w:pStyle w:val="TextBody"/>
        <w:bidi w:val="0"/>
        <w:spacing w:before="0" w:after="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N/A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pPr>
            <w:r>
              <w:rPr/>
              <w:t>Common Stock, no par value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THRM</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14, 2026, the shareholders of Gentherm Incorporated (the “Company”) approved an amendment (the “Amendment”) to the Gentherm Incorporated 2023 Equity Incentive Plan (the “2023 Equity Plan”). The Amendment increases by 1,700,000 the maximum number of shares of common stock that may be issued pursuant to awards granted under the 2023 Equity Plan. </w:t>
      </w:r>
    </w:p>
    <w:p>
      <w:pPr>
        <w:pStyle w:val="TextBody"/>
        <w:bidi w:val="0"/>
        <w:spacing w:before="240" w:after="0"/>
        <w:jc w:val="left"/>
        <w:rPr>
          <w:rFonts w:ascii="Times New Roman" w:hAnsi="Times New Roman"/>
          <w:sz w:val="20"/>
        </w:rPr>
      </w:pPr>
      <w:r>
        <w:rPr>
          <w:rFonts w:ascii="Times New Roman" w:hAnsi="Times New Roman"/>
          <w:sz w:val="20"/>
        </w:rPr>
        <w:t xml:space="preserve">Prior to the Amendment, the 2023 Equity Plan provided for shares of common stock available for issuance (the “Share Limit”) equal to the sum of (i) 3,730,000 shares, plus (ii) the number of shares of common stock subject to outstanding awards granted under the Gentherm Incorporated 2013 Equity Incentive Plan (the “2013 Equity Plan”) (as of the effective date of the 2023 Equity Plan) that, after the effective date of the 2023 Equity Plan, are forfeited, surrendered, terminated (other than by exercise), cancelled, lapsed or reacquired by the Company prior to vesting, without the delivery of any shares of common stock, and otherwise comply with the recycling provisions of the 2013 Equity Plan and 2023 Equity Plan. The Amendment increases the Share Limit by 1,700,000 shares. </w:t>
      </w:r>
    </w:p>
    <w:p>
      <w:pPr>
        <w:pStyle w:val="TextBody"/>
        <w:bidi w:val="0"/>
        <w:spacing w:before="240" w:after="0"/>
        <w:jc w:val="left"/>
        <w:rPr>
          <w:rFonts w:ascii="Times New Roman" w:hAnsi="Times New Roman"/>
          <w:sz w:val="20"/>
        </w:rPr>
      </w:pPr>
      <w:r>
        <w:rPr>
          <w:rFonts w:ascii="Times New Roman" w:hAnsi="Times New Roman"/>
          <w:sz w:val="20"/>
        </w:rPr>
        <w:t xml:space="preserve">Except as amended by the Amendment, the other terms of the 2023 Equity Plan remain in full force and effect. A description of the terms of the 2023 Equity Plan is included in the Company’s definitive proxy statement for the 2026 annual meeting of shareholders filed with the Securities and Exchange Commission on April 1, 2026 and as supplemented on April 10, 2026. </w:t>
      </w:r>
    </w:p>
    <w:p>
      <w:pPr>
        <w:pStyle w:val="TextBody"/>
        <w:bidi w:val="0"/>
        <w:spacing w:before="240" w:after="0"/>
        <w:jc w:val="left"/>
        <w:rPr>
          <w:rFonts w:ascii="Times New Roman" w:hAnsi="Times New Roman"/>
          <w:sz w:val="20"/>
        </w:rPr>
      </w:pPr>
      <w:r>
        <w:rPr>
          <w:rFonts w:ascii="Times New Roman" w:hAnsi="Times New Roman"/>
          <w:sz w:val="20"/>
        </w:rPr>
        <w:t xml:space="preserve">The Amendment is attached hereto as Exhibit 10.1 and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5.07</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annual meeting of shareholders of the Company on May 14, 2026 (the “Annual Meeting”), the Company’s shareholders: elected nine directors, each to serve for a one-year term until the 2027 annual meeting of shareholders and until a successor has been duly elected and qualified, or until such director’s earlier resignation, retirement or other termination of service; approved (on an advisory basis) the compensation of the Company’s named executive officers; ratified the appointment of Ernst &amp; Young LLP as the Company’s independent registered public accounting firm for the year ending December 31, 2026; and approved the Amendment. </w:t>
      </w:r>
    </w:p>
    <w:p>
      <w:pPr>
        <w:pStyle w:val="TextBody"/>
        <w:bidi w:val="0"/>
        <w:spacing w:before="240" w:after="0"/>
        <w:jc w:val="left"/>
        <w:rPr>
          <w:rFonts w:ascii="Times New Roman" w:hAnsi="Times New Roman"/>
          <w:sz w:val="20"/>
        </w:rPr>
      </w:pPr>
      <w:r>
        <w:rPr>
          <w:rFonts w:ascii="Times New Roman" w:hAnsi="Times New Roman"/>
          <w:sz w:val="20"/>
        </w:rPr>
        <w:t xml:space="preserve">The final results of the voting are shown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No. 1 - Election of directors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94"/>
        <w:gridCol w:w="183"/>
        <w:gridCol w:w="60"/>
        <w:gridCol w:w="1110"/>
        <w:gridCol w:w="60"/>
        <w:gridCol w:w="183"/>
        <w:gridCol w:w="60"/>
        <w:gridCol w:w="982"/>
        <w:gridCol w:w="60"/>
        <w:gridCol w:w="183"/>
        <w:gridCol w:w="76"/>
        <w:gridCol w:w="1256"/>
        <w:gridCol w:w="65"/>
      </w:tblGrid>
      <w:tr>
        <w:trPr/>
        <w:tc>
          <w:tcPr>
            <w:tcW w:w="4294"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94" w:type="dxa"/>
            <w:tcBorders/>
            <w:vAlign w:val="bottom"/>
          </w:tcPr>
          <w:p>
            <w:pPr>
              <w:pStyle w:val="TableContents"/>
              <w:bidi w:val="0"/>
              <w:spacing w:before="0" w:after="283"/>
              <w:jc w:val="left"/>
              <w:rPr>
                <w:b/>
              </w:rPr>
            </w:pPr>
            <w:r>
              <w:rPr>
                <w:b/>
              </w:rPr>
              <w:t>Nominee</w:t>
            </w:r>
          </w:p>
        </w:tc>
        <w:tc>
          <w:tcPr>
            <w:tcW w:w="183"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Withheld</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Broker Non-</w:t>
              <w:br/>
              <w:t>Votes</w:t>
            </w:r>
          </w:p>
        </w:tc>
        <w:tc>
          <w:tcPr>
            <w:tcW w:w="65"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Sophie Desormière</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25,942,230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882,904</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1,441,147</w:t>
            </w:r>
          </w:p>
        </w:tc>
        <w:tc>
          <w:tcPr>
            <w:tcW w:w="65" w:type="dxa"/>
            <w:tcBorders/>
            <w:shd w:fill="CCEEFF" w:val="clear"/>
            <w:vAlign w:val="bottom"/>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David Heinzman</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26,503,166</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321,968</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1,441,147</w:t>
            </w:r>
          </w:p>
        </w:tc>
        <w:tc>
          <w:tcPr>
            <w:tcW w:w="65"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Hundzinski</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26,385,463</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439,671</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1,441,147</w:t>
            </w:r>
          </w:p>
        </w:tc>
        <w:tc>
          <w:tcPr>
            <w:tcW w:w="65" w:type="dxa"/>
            <w:tcBorders/>
            <w:shd w:fill="CCEEFF" w:val="clear"/>
            <w:vAlign w:val="bottom"/>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Laura Kowalchik</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25,526,608</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1,298,526</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1,441,147</w:t>
            </w:r>
          </w:p>
        </w:tc>
        <w:tc>
          <w:tcPr>
            <w:tcW w:w="65"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Kummeth</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25,668,486</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1,156,648</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1,441,147</w:t>
            </w:r>
          </w:p>
        </w:tc>
        <w:tc>
          <w:tcPr>
            <w:tcW w:w="65" w:type="dxa"/>
            <w:tcBorders/>
            <w:shd w:fill="CCEEFF" w:val="clear"/>
            <w:vAlign w:val="bottom"/>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Betsy Meter</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25,480,404</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1,344,730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1,441,147</w:t>
            </w:r>
          </w:p>
        </w:tc>
        <w:tc>
          <w:tcPr>
            <w:tcW w:w="65"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Presley</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26,716,505</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108,629</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1,441,147</w:t>
            </w:r>
          </w:p>
        </w:tc>
        <w:tc>
          <w:tcPr>
            <w:tcW w:w="65" w:type="dxa"/>
            <w:tcBorders/>
            <w:shd w:fill="CCEEFF" w:val="clear"/>
            <w:vAlign w:val="bottom"/>
          </w:tcPr>
          <w:p>
            <w:pPr>
              <w:pStyle w:val="TableContents"/>
              <w:bidi w:val="0"/>
              <w:spacing w:before="0" w:after="283"/>
              <w:jc w:val="left"/>
              <w:rPr/>
            </w:pPr>
            <w:r>
              <w:rPr/>
              <w:t> </w:t>
            </w:r>
          </w:p>
        </w:tc>
      </w:tr>
      <w:tr>
        <w:trPr/>
        <w:tc>
          <w:tcPr>
            <w:tcW w:w="4294" w:type="dxa"/>
            <w:tcBorders/>
          </w:tcPr>
          <w:p>
            <w:pPr>
              <w:pStyle w:val="TableContents"/>
              <w:bidi w:val="0"/>
              <w:spacing w:before="0" w:after="0"/>
              <w:jc w:val="left"/>
              <w:rPr>
                <w:rFonts w:ascii="Times New Roman" w:hAnsi="Times New Roman"/>
                <w:sz w:val="20"/>
              </w:rPr>
            </w:pPr>
            <w:r>
              <w:rPr>
                <w:rFonts w:ascii="Times New Roman" w:hAnsi="Times New Roman"/>
                <w:sz w:val="20"/>
              </w:rPr>
              <w:t>John Stacey</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25,536,476</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1,288,658</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1,441,147</w:t>
            </w:r>
          </w:p>
        </w:tc>
        <w:tc>
          <w:tcPr>
            <w:tcW w:w="65" w:type="dxa"/>
            <w:tcBorders/>
            <w:vAlign w:val="bottom"/>
          </w:tcPr>
          <w:p>
            <w:pPr>
              <w:pStyle w:val="TableContents"/>
              <w:bidi w:val="0"/>
              <w:spacing w:before="0" w:after="283"/>
              <w:jc w:val="left"/>
              <w:rPr/>
            </w:pPr>
            <w:r>
              <w:rPr/>
              <w:t> </w:t>
            </w:r>
          </w:p>
        </w:tc>
      </w:tr>
      <w:tr>
        <w:trPr/>
        <w:tc>
          <w:tcPr>
            <w:tcW w:w="4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Washington</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26,614,282</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210,852</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1,441,147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No. 2 - Approval (on an advisory basis) of named executive officer compensation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53"/>
        <w:gridCol w:w="93"/>
        <w:gridCol w:w="2253"/>
        <w:gridCol w:w="94"/>
        <w:gridCol w:w="2348"/>
        <w:gridCol w:w="93"/>
        <w:gridCol w:w="2254"/>
      </w:tblGrid>
      <w:tr>
        <w:trPr/>
        <w:tc>
          <w:tcPr>
            <w:tcW w:w="2253"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r>
      <w:tr>
        <w:trPr/>
        <w:tc>
          <w:tcPr>
            <w:tcW w:w="22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93" w:type="dxa"/>
            <w:tcBorders/>
            <w:vAlign w:val="bottom"/>
          </w:tcPr>
          <w:p>
            <w:pPr>
              <w:pStyle w:val="TableContents"/>
              <w:bidi w:val="0"/>
              <w:spacing w:before="0" w:after="283"/>
              <w:jc w:val="left"/>
              <w:rPr/>
            </w:pPr>
            <w:r>
              <w:rPr/>
              <w:t> </w:t>
            </w:r>
          </w:p>
        </w:tc>
        <w:tc>
          <w:tcPr>
            <w:tcW w:w="22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94" w:type="dxa"/>
            <w:tcBorders/>
            <w:vAlign w:val="bottom"/>
          </w:tcPr>
          <w:p>
            <w:pPr>
              <w:pStyle w:val="TableContents"/>
              <w:bidi w:val="0"/>
              <w:spacing w:before="0" w:after="283"/>
              <w:jc w:val="left"/>
              <w:rPr/>
            </w:pPr>
            <w:r>
              <w:rPr/>
              <w:t> </w:t>
            </w:r>
          </w:p>
        </w:tc>
        <w:tc>
          <w:tcPr>
            <w:tcW w:w="23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93" w:type="dxa"/>
            <w:tcBorders/>
            <w:vAlign w:val="bottom"/>
          </w:tcPr>
          <w:p>
            <w:pPr>
              <w:pStyle w:val="TableContents"/>
              <w:bidi w:val="0"/>
              <w:spacing w:before="0" w:after="283"/>
              <w:jc w:val="left"/>
              <w:rPr/>
            </w:pPr>
            <w:r>
              <w:rPr/>
              <w:t> </w:t>
            </w:r>
          </w:p>
        </w:tc>
        <w:tc>
          <w:tcPr>
            <w:tcW w:w="22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2253" w:type="dxa"/>
            <w:tcBorders/>
            <w:shd w:fill="CCEEFF" w:val="clear"/>
          </w:tcPr>
          <w:p>
            <w:pPr>
              <w:pStyle w:val="TableContents"/>
              <w:bidi w:val="0"/>
              <w:spacing w:before="0" w:after="283"/>
              <w:jc w:val="center"/>
              <w:rPr/>
            </w:pPr>
            <w:r>
              <w:rPr/>
              <w:t>24,542,227</w:t>
            </w:r>
          </w:p>
        </w:tc>
        <w:tc>
          <w:tcPr>
            <w:tcW w:w="93" w:type="dxa"/>
            <w:tcBorders/>
            <w:shd w:fill="CCEEFF" w:val="clear"/>
            <w:vAlign w:val="bottom"/>
          </w:tcPr>
          <w:p>
            <w:pPr>
              <w:pStyle w:val="TableContents"/>
              <w:bidi w:val="0"/>
              <w:spacing w:before="0" w:after="283"/>
              <w:jc w:val="left"/>
              <w:rPr/>
            </w:pPr>
            <w:r>
              <w:rPr/>
              <w:t> </w:t>
            </w:r>
          </w:p>
        </w:tc>
        <w:tc>
          <w:tcPr>
            <w:tcW w:w="2253" w:type="dxa"/>
            <w:tcBorders/>
            <w:shd w:fill="CCEEFF" w:val="clear"/>
          </w:tcPr>
          <w:p>
            <w:pPr>
              <w:pStyle w:val="TableContents"/>
              <w:bidi w:val="0"/>
              <w:spacing w:before="0" w:after="283"/>
              <w:jc w:val="center"/>
              <w:rPr/>
            </w:pPr>
            <w:r>
              <w:rPr/>
              <w:t>2,253,813</w:t>
            </w:r>
          </w:p>
        </w:tc>
        <w:tc>
          <w:tcPr>
            <w:tcW w:w="94" w:type="dxa"/>
            <w:tcBorders/>
            <w:shd w:fill="CCEEFF" w:val="clear"/>
            <w:vAlign w:val="bottom"/>
          </w:tcPr>
          <w:p>
            <w:pPr>
              <w:pStyle w:val="TableContents"/>
              <w:bidi w:val="0"/>
              <w:spacing w:before="0" w:after="283"/>
              <w:jc w:val="left"/>
              <w:rPr/>
            </w:pPr>
            <w:r>
              <w:rPr/>
              <w:t> </w:t>
            </w:r>
          </w:p>
        </w:tc>
        <w:tc>
          <w:tcPr>
            <w:tcW w:w="2348" w:type="dxa"/>
            <w:tcBorders/>
            <w:shd w:fill="CCEEFF" w:val="clear"/>
          </w:tcPr>
          <w:p>
            <w:pPr>
              <w:pStyle w:val="TableContents"/>
              <w:bidi w:val="0"/>
              <w:spacing w:before="0" w:after="283"/>
              <w:jc w:val="center"/>
              <w:rPr/>
            </w:pPr>
            <w:r>
              <w:rPr/>
              <w:t>29,094</w:t>
            </w:r>
          </w:p>
        </w:tc>
        <w:tc>
          <w:tcPr>
            <w:tcW w:w="93" w:type="dxa"/>
            <w:tcBorders/>
            <w:shd w:fill="CCEEFF" w:val="clear"/>
            <w:vAlign w:val="bottom"/>
          </w:tcPr>
          <w:p>
            <w:pPr>
              <w:pStyle w:val="TableContents"/>
              <w:bidi w:val="0"/>
              <w:spacing w:before="0" w:after="283"/>
              <w:jc w:val="left"/>
              <w:rPr/>
            </w:pPr>
            <w:r>
              <w:rPr/>
              <w:t> </w:t>
            </w:r>
          </w:p>
        </w:tc>
        <w:tc>
          <w:tcPr>
            <w:tcW w:w="2254" w:type="dxa"/>
            <w:tcBorders/>
            <w:shd w:fill="CCEEFF" w:val="clear"/>
          </w:tcPr>
          <w:p>
            <w:pPr>
              <w:pStyle w:val="TableContents"/>
              <w:bidi w:val="0"/>
              <w:spacing w:before="0" w:after="283"/>
              <w:jc w:val="center"/>
              <w:rPr/>
            </w:pPr>
            <w:r>
              <w:rPr/>
              <w:t>1,441,147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Proposal No. 3 - Ratification of appointment of Ernst &amp; Young LLP as independent registered public accounting firm for the year ending December 31,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14"/>
        <w:gridCol w:w="86"/>
        <w:gridCol w:w="2743"/>
        <w:gridCol w:w="85"/>
        <w:gridCol w:w="2744"/>
      </w:tblGrid>
      <w:tr>
        <w:trPr/>
        <w:tc>
          <w:tcPr>
            <w:tcW w:w="291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29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86" w:type="dxa"/>
            <w:tcBorders/>
            <w:vAlign w:val="bottom"/>
          </w:tcPr>
          <w:p>
            <w:pPr>
              <w:pStyle w:val="TableContents"/>
              <w:bidi w:val="0"/>
              <w:spacing w:before="0" w:after="283"/>
              <w:jc w:val="left"/>
              <w:rPr/>
            </w:pPr>
            <w:r>
              <w:rPr/>
              <w:t> </w:t>
            </w:r>
          </w:p>
        </w:tc>
        <w:tc>
          <w:tcPr>
            <w:tcW w:w="27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85" w:type="dxa"/>
            <w:tcBorders/>
            <w:vAlign w:val="bottom"/>
          </w:tcPr>
          <w:p>
            <w:pPr>
              <w:pStyle w:val="TableContents"/>
              <w:bidi w:val="0"/>
              <w:spacing w:before="0" w:after="283"/>
              <w:jc w:val="left"/>
              <w:rPr/>
            </w:pPr>
            <w:r>
              <w:rPr/>
              <w:t> </w:t>
            </w:r>
          </w:p>
        </w:tc>
        <w:tc>
          <w:tcPr>
            <w:tcW w:w="2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Abstain</w:t>
            </w:r>
          </w:p>
        </w:tc>
      </w:tr>
      <w:tr>
        <w:trPr/>
        <w:tc>
          <w:tcPr>
            <w:tcW w:w="2914" w:type="dxa"/>
            <w:tcBorders/>
            <w:shd w:fill="CCEEFF" w:val="clear"/>
          </w:tcPr>
          <w:p>
            <w:pPr>
              <w:pStyle w:val="TableContents"/>
              <w:bidi w:val="0"/>
              <w:spacing w:before="0" w:after="283"/>
              <w:jc w:val="center"/>
              <w:rPr/>
            </w:pPr>
            <w:r>
              <w:rPr/>
              <w:t>27,592,281</w:t>
            </w:r>
          </w:p>
        </w:tc>
        <w:tc>
          <w:tcPr>
            <w:tcW w:w="86" w:type="dxa"/>
            <w:tcBorders/>
            <w:shd w:fill="CCEEFF" w:val="clear"/>
            <w:vAlign w:val="bottom"/>
          </w:tcPr>
          <w:p>
            <w:pPr>
              <w:pStyle w:val="TableContents"/>
              <w:bidi w:val="0"/>
              <w:spacing w:before="0" w:after="283"/>
              <w:jc w:val="left"/>
              <w:rPr/>
            </w:pPr>
            <w:r>
              <w:rPr/>
              <w:t> </w:t>
            </w:r>
          </w:p>
        </w:tc>
        <w:tc>
          <w:tcPr>
            <w:tcW w:w="2743" w:type="dxa"/>
            <w:tcBorders/>
            <w:shd w:fill="CCEEFF" w:val="clear"/>
          </w:tcPr>
          <w:p>
            <w:pPr>
              <w:pStyle w:val="TableContents"/>
              <w:bidi w:val="0"/>
              <w:spacing w:before="0" w:after="283"/>
              <w:jc w:val="center"/>
              <w:rPr/>
            </w:pPr>
            <w:r>
              <w:rPr/>
              <w:t>659,655</w:t>
            </w:r>
          </w:p>
        </w:tc>
        <w:tc>
          <w:tcPr>
            <w:tcW w:w="85" w:type="dxa"/>
            <w:tcBorders/>
            <w:shd w:fill="CCEEFF" w:val="clear"/>
            <w:vAlign w:val="bottom"/>
          </w:tcPr>
          <w:p>
            <w:pPr>
              <w:pStyle w:val="TableContents"/>
              <w:bidi w:val="0"/>
              <w:spacing w:before="0" w:after="283"/>
              <w:jc w:val="left"/>
              <w:rPr/>
            </w:pPr>
            <w:r>
              <w:rPr/>
              <w:t> </w:t>
            </w:r>
          </w:p>
        </w:tc>
        <w:tc>
          <w:tcPr>
            <w:tcW w:w="2744" w:type="dxa"/>
            <w:tcBorders/>
            <w:shd w:fill="CCEEFF" w:val="clear"/>
          </w:tcPr>
          <w:p>
            <w:pPr>
              <w:pStyle w:val="TableContents"/>
              <w:bidi w:val="0"/>
              <w:spacing w:before="0" w:after="283"/>
              <w:jc w:val="center"/>
              <w:rPr/>
            </w:pPr>
            <w:r>
              <w:rPr/>
              <w:t>14,345</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No. 4 – Approval of the Amendment to the Gentherm Incorporated 2023 Equity Incentive Plan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53"/>
        <w:gridCol w:w="93"/>
        <w:gridCol w:w="2253"/>
        <w:gridCol w:w="94"/>
        <w:gridCol w:w="2348"/>
        <w:gridCol w:w="93"/>
        <w:gridCol w:w="2254"/>
      </w:tblGrid>
      <w:tr>
        <w:trPr/>
        <w:tc>
          <w:tcPr>
            <w:tcW w:w="2253"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r>
      <w:tr>
        <w:trPr/>
        <w:tc>
          <w:tcPr>
            <w:tcW w:w="22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93" w:type="dxa"/>
            <w:tcBorders/>
            <w:vAlign w:val="bottom"/>
          </w:tcPr>
          <w:p>
            <w:pPr>
              <w:pStyle w:val="TableContents"/>
              <w:bidi w:val="0"/>
              <w:spacing w:before="0" w:after="283"/>
              <w:jc w:val="left"/>
              <w:rPr/>
            </w:pPr>
            <w:r>
              <w:rPr/>
              <w:t> </w:t>
            </w:r>
          </w:p>
        </w:tc>
        <w:tc>
          <w:tcPr>
            <w:tcW w:w="22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94" w:type="dxa"/>
            <w:tcBorders/>
            <w:vAlign w:val="bottom"/>
          </w:tcPr>
          <w:p>
            <w:pPr>
              <w:pStyle w:val="TableContents"/>
              <w:bidi w:val="0"/>
              <w:spacing w:before="0" w:after="283"/>
              <w:jc w:val="left"/>
              <w:rPr/>
            </w:pPr>
            <w:r>
              <w:rPr/>
              <w:t> </w:t>
            </w:r>
          </w:p>
        </w:tc>
        <w:tc>
          <w:tcPr>
            <w:tcW w:w="23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93" w:type="dxa"/>
            <w:tcBorders/>
            <w:vAlign w:val="bottom"/>
          </w:tcPr>
          <w:p>
            <w:pPr>
              <w:pStyle w:val="TableContents"/>
              <w:bidi w:val="0"/>
              <w:spacing w:before="0" w:after="283"/>
              <w:jc w:val="left"/>
              <w:rPr/>
            </w:pPr>
            <w:r>
              <w:rPr/>
              <w:t> </w:t>
            </w:r>
          </w:p>
        </w:tc>
        <w:tc>
          <w:tcPr>
            <w:tcW w:w="22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2253" w:type="dxa"/>
            <w:tcBorders/>
            <w:shd w:fill="CCEEFF" w:val="clear"/>
          </w:tcPr>
          <w:p>
            <w:pPr>
              <w:pStyle w:val="TableContents"/>
              <w:bidi w:val="0"/>
              <w:spacing w:before="0" w:after="283"/>
              <w:jc w:val="center"/>
              <w:rPr/>
            </w:pPr>
            <w:r>
              <w:rPr/>
              <w:t>23,746,689</w:t>
            </w:r>
          </w:p>
        </w:tc>
        <w:tc>
          <w:tcPr>
            <w:tcW w:w="93" w:type="dxa"/>
            <w:tcBorders/>
            <w:shd w:fill="CCEEFF" w:val="clear"/>
            <w:vAlign w:val="bottom"/>
          </w:tcPr>
          <w:p>
            <w:pPr>
              <w:pStyle w:val="TableContents"/>
              <w:bidi w:val="0"/>
              <w:spacing w:before="0" w:after="283"/>
              <w:jc w:val="left"/>
              <w:rPr/>
            </w:pPr>
            <w:r>
              <w:rPr/>
              <w:t> </w:t>
            </w:r>
          </w:p>
        </w:tc>
        <w:tc>
          <w:tcPr>
            <w:tcW w:w="2253" w:type="dxa"/>
            <w:tcBorders/>
            <w:shd w:fill="CCEEFF" w:val="clear"/>
          </w:tcPr>
          <w:p>
            <w:pPr>
              <w:pStyle w:val="TableContents"/>
              <w:bidi w:val="0"/>
              <w:spacing w:before="0" w:after="283"/>
              <w:jc w:val="center"/>
              <w:rPr/>
            </w:pPr>
            <w:r>
              <w:rPr/>
              <w:t>3,021,023</w:t>
            </w:r>
          </w:p>
        </w:tc>
        <w:tc>
          <w:tcPr>
            <w:tcW w:w="94" w:type="dxa"/>
            <w:tcBorders/>
            <w:shd w:fill="CCEEFF" w:val="clear"/>
            <w:vAlign w:val="bottom"/>
          </w:tcPr>
          <w:p>
            <w:pPr>
              <w:pStyle w:val="TableContents"/>
              <w:bidi w:val="0"/>
              <w:spacing w:before="0" w:after="283"/>
              <w:jc w:val="left"/>
              <w:rPr/>
            </w:pPr>
            <w:r>
              <w:rPr/>
              <w:t> </w:t>
            </w:r>
          </w:p>
        </w:tc>
        <w:tc>
          <w:tcPr>
            <w:tcW w:w="2348" w:type="dxa"/>
            <w:tcBorders/>
            <w:shd w:fill="CCEEFF" w:val="clear"/>
          </w:tcPr>
          <w:p>
            <w:pPr>
              <w:pStyle w:val="TableContents"/>
              <w:bidi w:val="0"/>
              <w:spacing w:before="0" w:after="283"/>
              <w:jc w:val="center"/>
              <w:rPr/>
            </w:pPr>
            <w:r>
              <w:rPr/>
              <w:t>57,422</w:t>
            </w:r>
          </w:p>
        </w:tc>
        <w:tc>
          <w:tcPr>
            <w:tcW w:w="93" w:type="dxa"/>
            <w:tcBorders/>
            <w:shd w:fill="CCEEFF" w:val="clear"/>
            <w:vAlign w:val="bottom"/>
          </w:tcPr>
          <w:p>
            <w:pPr>
              <w:pStyle w:val="TableContents"/>
              <w:bidi w:val="0"/>
              <w:spacing w:before="0" w:after="283"/>
              <w:jc w:val="left"/>
              <w:rPr/>
            </w:pPr>
            <w:r>
              <w:rPr/>
              <w:t> </w:t>
            </w:r>
          </w:p>
        </w:tc>
        <w:tc>
          <w:tcPr>
            <w:tcW w:w="2254" w:type="dxa"/>
            <w:tcBorders/>
            <w:shd w:fill="CCEEFF" w:val="clear"/>
          </w:tcPr>
          <w:p>
            <w:pPr>
              <w:pStyle w:val="TableContents"/>
              <w:bidi w:val="0"/>
              <w:spacing w:before="0" w:after="283"/>
              <w:jc w:val="center"/>
              <w:rPr/>
            </w:pPr>
            <w:r>
              <w:rPr/>
              <w:t>1,441,147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9.01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(d)</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8"/>
        <w:gridCol w:w="320"/>
        <w:gridCol w:w="8567"/>
      </w:tblGrid>
      <w:tr>
        <w:trPr/>
        <w:tc>
          <w:tcPr>
            <w:tcW w:w="1318"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567" w:type="dxa"/>
            <w:tcBorders/>
            <w:vAlign w:val="center"/>
          </w:tcPr>
          <w:p>
            <w:pPr>
              <w:pStyle w:val="TableContents"/>
              <w:bidi w:val="0"/>
              <w:spacing w:before="0" w:after="283"/>
              <w:jc w:val="left"/>
              <w:rPr>
                <w:sz w:val="4"/>
                <w:szCs w:val="4"/>
              </w:rPr>
            </w:pPr>
            <w:r>
              <w:rPr>
                <w:sz w:val="4"/>
                <w:szCs w:val="4"/>
              </w:rPr>
            </w:r>
          </w:p>
        </w:tc>
      </w:tr>
      <w:tr>
        <w:trPr/>
        <w:tc>
          <w:tcPr>
            <w:tcW w:w="1318" w:type="dxa"/>
            <w:tcBorders/>
          </w:tcPr>
          <w:p>
            <w:pPr>
              <w:pStyle w:val="TableContents"/>
              <w:bidi w:val="0"/>
              <w:spacing w:before="0" w:after="283"/>
              <w:jc w:val="left"/>
              <w:rPr/>
            </w:pPr>
            <w:r>
              <w:rPr/>
              <w:t>Exhibit 10.1*</w:t>
            </w:r>
          </w:p>
        </w:tc>
        <w:tc>
          <w:tcPr>
            <w:tcW w:w="320"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r>
              <w:rPr/>
              <w:t>First Amendment to Gentherm Incorporated 2023 Equity Incentive Plan, effective as of May 14, 2026</w:t>
            </w:r>
          </w:p>
        </w:tc>
      </w:tr>
      <w:tr>
        <w:trPr>
          <w:trHeight w:val="120" w:hRule="atLeast"/>
        </w:trPr>
        <w:tc>
          <w:tcPr>
            <w:tcW w:w="1318" w:type="dxa"/>
            <w:tcBorders/>
            <w:vAlign w:val="center"/>
          </w:tcPr>
          <w:p>
            <w:pPr>
              <w:pStyle w:val="TableContents"/>
              <w:bidi w:val="0"/>
              <w:spacing w:before="0" w:after="283"/>
              <w:jc w:val="left"/>
              <w:rPr>
                <w:sz w:val="4"/>
                <w:szCs w:val="4"/>
              </w:rPr>
            </w:pPr>
            <w:r>
              <w:rPr>
                <w:sz w:val="4"/>
                <w:szCs w:val="4"/>
              </w:rPr>
            </w:r>
          </w:p>
        </w:tc>
        <w:tc>
          <w:tcPr>
            <w:tcW w:w="8887" w:type="dxa"/>
            <w:gridSpan w:val="2"/>
            <w:tcBorders/>
            <w:vAlign w:val="center"/>
          </w:tcPr>
          <w:p>
            <w:pPr>
              <w:pStyle w:val="TableContents"/>
              <w:bidi w:val="0"/>
              <w:spacing w:before="0" w:after="283"/>
              <w:jc w:val="left"/>
              <w:rPr>
                <w:sz w:val="4"/>
                <w:szCs w:val="4"/>
              </w:rPr>
            </w:pPr>
            <w:r>
              <w:rPr>
                <w:sz w:val="4"/>
                <w:szCs w:val="4"/>
              </w:rPr>
            </w:r>
          </w:p>
        </w:tc>
      </w:tr>
      <w:tr>
        <w:trPr/>
        <w:tc>
          <w:tcPr>
            <w:tcW w:w="1318" w:type="dxa"/>
            <w:tcBorders/>
          </w:tcPr>
          <w:p>
            <w:pPr>
              <w:pStyle w:val="TableContents"/>
              <w:bidi w:val="0"/>
              <w:spacing w:before="0" w:after="283"/>
              <w:jc w:val="left"/>
              <w:rPr/>
            </w:pPr>
            <w:r>
              <w:rPr/>
              <w:t>Exhibit 104</w:t>
            </w:r>
          </w:p>
        </w:tc>
        <w:tc>
          <w:tcPr>
            <w:tcW w:w="320"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Indicates management contract or compensatory plan.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among Gentherm, Modine Manufacturing Company (“Modine”) and Modine’s Performance Technologies business (“SpinCo”) (the “Proposed Transaction”), the parties intend to file relevant materials with the SEC, including, among other filings, a registration statement on Form S-4 to be filed by Gentherm (the “Form S-4”) that will include a preliminary proxy statement/prospectus of Gentherm and a definitive proxy statement/prospectus of Gentherm, the latter of which will be mailed to shareholders of Gentherm, and a registration statement on Form 10 to be filed by SpinCo that will incorporate by reference certain portions of the Form S-4 and will serve as an information statement/prospectus in connection with the spin-off of SpinCo from Modine. INVESTORS AND SECURITY HOLDERS OF GENTHERM AND MODINE ARE URGED TO READ THE PROXY STATEMENT/PROSPECTUS, THE INFORMATION STATEMENT/PROSPECTUS AND ANY OTHER DOCUMENTS THAT WILL BE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will be able to obtain free copies of the Form S-4 and the proxy statement/prospectus (when available) and other documents filed with the SEC by Gentherm, Modine or SpinCo through the website maintained by the SEC at www.sec.gov. Copies of the documents filed with the SEC by Gentherm will be available free of charge on Gentherm’s website at ir.Gentherm.com under the tab “Financial Info” and under the heading “SEC Filings.” Copies of the documents filed with the SEC by Modine and SpinCo will be available free of charge on Modine’s website at investors.Modine.com under the tab “Financials” and under the heading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will be contained in the proxy statement/prospectus and other relevant materials to be filed with the SEC regarding the Proposed Transaction. Information about the directors and executive officers of Modine is set forth in its Annual Report on Form 10-K for the year ended March 31, 2025, which was filed with the SEC on May 21, 2025, and its proxy statement for its 2025 annual meeting of shareholders, which was filed with the SEC on July 9, 2025.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includes “forward-looking statements” as that term is defined in Section 27A of the Securities Act, and Section 21E of the Exchange Act, including statements regarding the Proposed Transaction among Gentherm, Modine and SpinCo.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Proposed Transaction is not obtained; (15) 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Current Report on Form 8-K.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May 19,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0"/>
        <w:gridCol w:w="3645"/>
      </w:tblGrid>
      <w:tr>
        <w:trPr/>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GENTHERM INCORPORATED</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Wayne Kauffman</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283"/>
              <w:jc w:val="left"/>
              <w:rPr/>
            </w:pPr>
            <w:r>
              <w:rPr/>
              <w:t>Wayne Kauffman</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283"/>
              <w:jc w:val="left"/>
              <w:rPr/>
            </w:pPr>
            <w:r>
              <w:rPr/>
              <w:t>Senior Vice President, General Counsel and Secretary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center"/>
        <w:rPr>
          <w:rFonts w:ascii="Times New Roman" w:hAnsi="Times New Roman"/>
          <w:b/>
          <w:sz w:val="20"/>
        </w:rPr>
      </w:pPr>
      <w:r>
        <w:rPr>
          <w:rFonts w:ascii="Times New Roman" w:hAnsi="Times New Roman"/>
          <w:b/>
          <w:sz w:val="20"/>
        </w:rPr>
        <w:t xml:space="preserve">First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2023 EQUITY INCENTIVE PLAN </w:t>
      </w:r>
    </w:p>
    <w:p>
      <w:pPr>
        <w:pStyle w:val="TextBody"/>
        <w:bidi w:val="0"/>
        <w:spacing w:before="240" w:after="0"/>
        <w:jc w:val="left"/>
        <w:rPr>
          <w:rFonts w:ascii="Times New Roman" w:hAnsi="Times New Roman"/>
          <w:sz w:val="20"/>
        </w:rPr>
      </w:pPr>
      <w:r>
        <w:rPr>
          <w:rFonts w:ascii="Times New Roman" w:hAnsi="Times New Roman"/>
          <w:sz w:val="20"/>
        </w:rPr>
        <w:t>The Gentherm Incorporated 2023 Equity Incentive Plan (the “</w:t>
      </w:r>
      <w:r>
        <w:rPr>
          <w:rFonts w:ascii="Times New Roman" w:hAnsi="Times New Roman"/>
          <w:sz w:val="20"/>
          <w:u w:val="single"/>
        </w:rPr>
        <w:t>Plan</w:t>
      </w:r>
      <w:r>
        <w:rPr>
          <w:rFonts w:ascii="Times New Roman" w:hAnsi="Times New Roman"/>
          <w:sz w:val="20"/>
        </w:rPr>
        <w:t>”) is amended by this First Amendment (this “</w:t>
      </w:r>
      <w:r>
        <w:rPr>
          <w:rFonts w:ascii="Times New Roman" w:hAnsi="Times New Roman"/>
          <w:sz w:val="20"/>
          <w:u w:val="single"/>
        </w:rPr>
        <w:t>First Amendment</w:t>
      </w:r>
      <w:r>
        <w:rPr>
          <w:rFonts w:ascii="Times New Roman" w:hAnsi="Times New Roman"/>
          <w:sz w:val="20"/>
        </w:rPr>
        <w:t>”) in the following respects, effective from and after the date this First Amendment is approved by the shareholders of Gentherm Incorporated, in accordance with</w:t>
      </w:r>
      <w:r>
        <w:rPr>
          <w:rFonts w:ascii="Times New Roman" w:hAnsi="Times New Roman"/>
          <w:sz w:val="20"/>
          <w:u w:val="single"/>
        </w:rPr>
        <w:t xml:space="preserve"> Section 21 </w:t>
      </w:r>
      <w:r>
        <w:rPr>
          <w:rFonts w:ascii="Times New Roman" w:hAnsi="Times New Roman"/>
          <w:sz w:val="20"/>
        </w:rPr>
        <w:t xml:space="preserve">of the Plan. Following such effective date, any reference to the “Plan” shall mean the Plan, as further amended by this First Amendment. All capitalized terms used but not otherwise defined herein shall have the respective meanings ascribed to such terms in the Plan. </w:t>
      </w:r>
    </w:p>
    <w:p>
      <w:pPr>
        <w:pStyle w:val="TextBody"/>
        <w:bidi w:val="0"/>
        <w:spacing w:before="240" w:after="0"/>
        <w:jc w:val="left"/>
        <w:rPr>
          <w:rFonts w:ascii="Times New Roman" w:hAnsi="Times New Roman"/>
          <w:sz w:val="20"/>
        </w:rPr>
      </w:pPr>
      <w:r>
        <w:rPr>
          <w:rFonts w:ascii="Times New Roman" w:hAnsi="Times New Roman"/>
          <w:sz w:val="20"/>
        </w:rPr>
        <w:t>1.</w:t>
      </w:r>
      <w:r>
        <w:rPr>
          <w:rFonts w:ascii="Times New Roman" w:hAnsi="Times New Roman"/>
          <w:sz w:val="20"/>
          <w:u w:val="single"/>
        </w:rPr>
        <w:t> Section 5(a)</w:t>
      </w:r>
      <w:r>
        <w:rPr>
          <w:rFonts w:ascii="Times New Roman" w:hAnsi="Times New Roman"/>
          <w:sz w:val="20"/>
        </w:rPr>
        <w:t xml:space="preserve"> of the Plan is hereby deleted and replaced in its entirety with the following: </w:t>
      </w:r>
    </w:p>
    <w:p>
      <w:pPr>
        <w:pStyle w:val="TextBody"/>
        <w:bidi w:val="0"/>
        <w:spacing w:before="120" w:after="0"/>
        <w:jc w:val="left"/>
        <w:rPr/>
      </w:pPr>
      <w:r>
        <w:rPr/>
        <w:t>“</w:t>
      </w:r>
      <w:r>
        <w:rPr>
          <w:rFonts w:ascii="Times New Roman" w:hAnsi="Times New Roman"/>
          <w:sz w:val="20"/>
        </w:rPr>
        <w:t xml:space="preserve">Shares of Common Stock issued or to be issued under this Plan shall be authorized but unissued Common Stock. Subject to the other provisions of this Paragraph 5, the maximum number of shares of Common Stock which may be issued pursuant to Awards granted under this Plan or with respect to which Awards may be granted under this Plan shall not exceed in the aggregate (i) 5,430,000 shares of Common Stock plus (ii) the number of shares of Common Stock that, as of the Effective Date were subject to awards granted under the Prior Plan and that, on or after the Effective Date, expire or are forfeited, surrendered, terminated (other than by exercise), cancelled, lapsed or reacquired by the Corporation prior to vesting, without the delivery of any shares of Common Stock in accordance with the terms of such Prior Plan, and comply with the share recycling provisions of the Prior Plan and Paragraph 5(c) of this Plan (in each case, subject to adjustments as provided in this Paragraph 5) (the “Share Limit”).” </w:t>
      </w:r>
    </w:p>
    <w:p>
      <w:pPr>
        <w:pStyle w:val="TextBody"/>
        <w:bidi w:val="0"/>
        <w:spacing w:before="240" w:after="0"/>
        <w:jc w:val="left"/>
        <w:rPr>
          <w:rFonts w:ascii="Times New Roman" w:hAnsi="Times New Roman"/>
          <w:sz w:val="20"/>
        </w:rPr>
      </w:pPr>
      <w:r>
        <w:rPr>
          <w:rFonts w:ascii="Times New Roman" w:hAnsi="Times New Roman"/>
          <w:sz w:val="20"/>
        </w:rPr>
        <w:t xml:space="preserve">2. This First Amendment shall be and is hereby incorporated into and forms a part of the Plan. Except as expressly provided herein, all terms and conditions of the Plan shall remain in full force and effect.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2986</Words>
  <Characters>16605</Characters>
  <CharactersWithSpaces>19676</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