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GENTHERM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320" w:type="dxa"/>
            <w:vAlign w:val="bottom"/>
          </w:tcPr>
          <w:p>
            <w:pPr>
              <w:jc w:val="center"/>
              <w:ind w:right="1082"/>
              <w:spacing w:after="0"/>
              <w:rPr>
                <w:sz w:val="20"/>
                <w:szCs w:val="20"/>
                <w:color w:val="auto"/>
              </w:rPr>
            </w:pPr>
            <w:r>
              <w:rPr>
                <w:rFonts w:ascii="Times New Roman" w:cs="Times New Roman" w:eastAsia="Times New Roman" w:hAnsi="Times New Roman"/>
                <w:sz w:val="18"/>
                <w:szCs w:val="18"/>
                <w:b w:val="1"/>
                <w:bCs w:val="1"/>
                <w:color w:val="auto"/>
                <w:w w:val="99"/>
              </w:rPr>
              <w:t>0-21810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95-4318554</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jc w:val="center"/>
              <w:ind w:right="10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8"/>
                <w:szCs w:val="18"/>
                <w:b w:val="1"/>
                <w:bCs w:val="1"/>
                <w:color w:val="auto"/>
                <w:w w:val="99"/>
              </w:rPr>
              <w:t>28875 Cabot Drive, Novi, MI</w:t>
            </w:r>
          </w:p>
        </w:tc>
        <w:tc>
          <w:tcPr>
            <w:tcW w:w="2320" w:type="dxa"/>
            <w:vAlign w:val="bottom"/>
          </w:tcPr>
          <w:p>
            <w:pPr>
              <w:spacing w:after="0"/>
              <w:rPr>
                <w:sz w:val="24"/>
                <w:szCs w:val="24"/>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48377</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(248) 348-9735</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760"/>
          </w:cols>
          <w:pgMar w:left="436" w:top="293" w:right="499" w:bottom="1440" w:gutter="0" w:footer="0" w:header="0"/>
        </w:sect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May 14, 2026, the shareholders of Gentherm Incorporated (the “Company”) approved an amendment (the “Amendment”) to the Gentherm Incorporated 2023 Equity Incentive Plan (the “2023 Equity Plan”). The Amendment increases by 1,700,000 the maximum number of shares of common stock that may be issued pursuant to awards granted under the 2023 Equity Plan.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Prior to the Amendment, the 2023 Equity Plan provided for shares of common stock available for issuance (the “Share Limit”) equal to the sum of</w:t>
      </w:r>
    </w:p>
    <w:p>
      <w:pPr>
        <w:spacing w:after="0" w:line="27" w:lineRule="exact"/>
        <w:rPr>
          <w:sz w:val="20"/>
          <w:szCs w:val="20"/>
          <w:color w:val="auto"/>
        </w:rPr>
      </w:pPr>
    </w:p>
    <w:p>
      <w:pPr>
        <w:ind w:left="224" w:hanging="224"/>
        <w:spacing w:after="0"/>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3,730,000 shares, plus (ii) the number of shares of common stock subject to outstanding awards granted under the Gentherm Incorporated 2013</w:t>
      </w:r>
    </w:p>
    <w:p>
      <w:pPr>
        <w:spacing w:after="0" w:line="9" w:lineRule="exact"/>
        <w:rPr>
          <w:rFonts w:ascii="Times New Roman" w:cs="Times New Roman" w:eastAsia="Times New Roman" w:hAnsi="Times New Roman"/>
          <w:sz w:val="18"/>
          <w:szCs w:val="18"/>
          <w:color w:val="auto"/>
        </w:rPr>
      </w:pPr>
    </w:p>
    <w:p>
      <w:pPr>
        <w:ind w:left="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 (the “2013 Equity Plan”) (as of the effective date of the 2023 Equity Plan) that, after the effective date of the 2023 Equity Plan, are forfeited, surrendered, terminated (other than by exercise), cancelled, lapsed or reacquired by the Company prior to vesting, without the delivery of any shares of common stock, and otherwise comply with the recycling provisions of the 2013 Equity Plan and 2023 Equity Plan. The Amendment increases the Share Limit by 1,700,000 shares.</w:t>
      </w:r>
    </w:p>
    <w:p>
      <w:pPr>
        <w:spacing w:after="0" w:line="18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Except as amended by the Amendment, the other terms of the 2023 Equity Plan remain in full force and effect. A description of the terms of the 2023 Equity Plan is included in the Company’s definitive proxy statement for the 2026 annual meeting of shareholders filed with the Securities and Exchange Commission on April 1, 2026 and as supplemented on April 10, 2026.</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Amendment is attached hereto as Exhibit 10.1 and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At the annual meeting of shareholders of the Company on May 14, 2026 (the “Annual Meeting”), the Company’s shareholders: elected nine directors, each to serve for a one-year term until the 2027 annual meeting of shareholders and until a successor has been duly elected and qualified, or until such director’s earlier resignation, retirement or other termination of service; approved (on an advisory basis) the compensation of the Company’s named executive officers; ratified the appointment of Ernst &amp; Young LLP as the Company’s independent registered public accounting firm for the year ending December 31, 2026; and approved the Amendment.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final results of the voting are shown below.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3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628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Sophie Desormière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25,942,230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882,904</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David Heinzman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26,503,166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Hundzinski</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26,385,463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439,671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Laura Kowalchik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25,526,608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1,298,526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Kummeth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25,668,486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1,156,648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Betsy Meter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25,480,404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1,344,730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Presley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26,716,505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John Stacey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25,536,476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1,288,658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Washington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26,614,282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Proposal No. 2 - Approval (on an advisory basis) of named executive officer compensation</w:t>
      </w:r>
    </w:p>
    <w:p>
      <w:pPr>
        <w:spacing w:after="0" w:line="250" w:lineRule="exact"/>
        <w:rPr>
          <w:sz w:val="20"/>
          <w:szCs w:val="20"/>
          <w:color w:val="auto"/>
        </w:rPr>
      </w:pPr>
    </w:p>
    <w:tbl>
      <w:tblPr>
        <w:tblLayout w:type="fixed"/>
        <w:tblInd w:w="444" w:type="dxa"/>
        <w:tblCellMar>
          <w:top w:w="0" w:type="dxa"/>
          <w:left w:w="0" w:type="dxa"/>
          <w:bottom w:w="0" w:type="dxa"/>
          <w:right w:w="0" w:type="dxa"/>
        </w:tblCellMar>
      </w:tblPr>
      <w:tr>
        <w:trPr>
          <w:trHeight w:val="187"/>
        </w:trPr>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24,542,227</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2,253,813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1,441,147</w:t>
            </w:r>
          </w:p>
        </w:tc>
      </w:tr>
    </w:tbl>
    <w:p>
      <w:pPr>
        <w:sectPr>
          <w:pgSz w:w="11900" w:h="16838" w:orient="portrait"/>
          <w:cols w:equalWidth="0" w:num="1">
            <w:col w:w="10964"/>
          </w:cols>
          <w:pgMar w:left="436" w:top="293" w:right="499" w:bottom="1440" w:gutter="0" w:footer="0" w:header="0"/>
          <w:type w:val="continuous"/>
        </w:sectPr>
      </w:pPr>
    </w:p>
    <w:bookmarkStart w:id="2" w:name="page3"/>
    <w:bookmarkEnd w:id="2"/>
    <w:p>
      <w:pPr>
        <w:ind w:left="4"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3 - Ratification of appointment of Ernst &amp; Young LLP as independent registered public accounting firm for the year ending December 31, 2026</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2"/>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0" w:type="dxa"/>
            <w:vAlign w:val="bottom"/>
            <w:gridSpan w:val="6"/>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20" w:type="dxa"/>
            <w:vAlign w:val="bottom"/>
          </w:tcPr>
          <w:p>
            <w:pPr>
              <w:spacing w:after="0"/>
              <w:rPr>
                <w:sz w:val="16"/>
                <w:szCs w:val="16"/>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27,592,281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gridSpan w:val="3"/>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659,655</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14,345</w:t>
            </w:r>
          </w:p>
        </w:tc>
        <w:tc>
          <w:tcPr>
            <w:tcW w:w="420" w:type="dxa"/>
            <w:vAlign w:val="bottom"/>
          </w:tcPr>
          <w:p>
            <w:pPr>
              <w:spacing w:after="0"/>
              <w:rPr>
                <w:sz w:val="18"/>
                <w:szCs w:val="18"/>
                <w:color w:val="auto"/>
              </w:rPr>
            </w:pPr>
          </w:p>
        </w:tc>
      </w:tr>
      <w:tr>
        <w:trPr>
          <w:trHeight w:val="540"/>
        </w:trPr>
        <w:tc>
          <w:tcPr>
            <w:tcW w:w="8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Approval of the Amendment to the Gentherm Incorporated 2023 Equity Incentive Plan</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94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0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42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23,746,689</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3,021,023</w:t>
            </w: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57,422</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1,441,147</w:t>
            </w:r>
          </w:p>
        </w:tc>
        <w:tc>
          <w:tcPr>
            <w:tcW w:w="420" w:type="dxa"/>
            <w:vAlign w:val="bottom"/>
            <w:tcBorders>
              <w:top w:val="single" w:sz="8" w:color="auto"/>
            </w:tcBorders>
            <w:shd w:val="clear" w:color="auto" w:fill="CCEEFF"/>
          </w:tcPr>
          <w:p>
            <w:pPr>
              <w:spacing w:after="0"/>
              <w:rPr>
                <w:sz w:val="18"/>
                <w:szCs w:val="18"/>
                <w:color w:val="auto"/>
              </w:rPr>
            </w:pPr>
          </w:p>
        </w:tc>
      </w:tr>
      <w:tr>
        <w:trPr>
          <w:trHeight w:val="58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99"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EE"/>
        </w:rPr>
        <w:t>First Amendment to Gentherm Incorporated 2023 Equity Incentive Plan, effective as of May 14, 2026</w:t>
      </w:r>
    </w:p>
    <w:p>
      <w:pPr>
        <w:spacing w:after="0" w:line="117"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 Indicates management contract or compensatory plan.</w:t>
      </w:r>
    </w:p>
    <w:p>
      <w:pPr>
        <w:sectPr>
          <w:pgSz w:w="11900" w:h="16838" w:orient="portrait"/>
          <w:cols w:equalWidth="0" w:num="1">
            <w:col w:w="10564"/>
          </w:cols>
          <w:pgMar w:left="436" w:top="293"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among Gentherm, Modine Manufacturing Company (“Modine”) and Modine’s Performance Technologies business (“SpinCo”) (the “Proposed Transaction”), the parties intend to file relevant materials with the SEC, including, among other filings, a registration statement on Form S-4 to be filed by Gentherm (the “Form S-4”) that will include a preliminary proxy statement/prospectus of Gentherm and a definitive proxy statement/prospectus of Gentherm, the latter of which will be mailed to shareholders of Gentherm, and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Modine or SpinCo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Annual Report on Form 10-K for the year ended March 31, 2025, which was filed with the SEC on May 21, 2025, and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w:t>
      </w:r>
    </w:p>
    <w:p>
      <w:pPr>
        <w:sectPr>
          <w:pgSz w:w="11900" w:h="16838" w:orient="portrait"/>
          <w:cols w:equalWidth="0" w:num="1">
            <w:col w:w="11020"/>
          </w:cols>
          <w:pgMar w:left="440" w:top="293"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w:t>
      </w:r>
    </w:p>
    <w:p>
      <w:pPr>
        <w:spacing w:after="0" w:line="18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w:t>
      </w:r>
    </w:p>
    <w:p>
      <w:pPr>
        <w:spacing w:after="0" w:line="8" w:lineRule="exact"/>
        <w:rPr>
          <w:sz w:val="20"/>
          <w:szCs w:val="20"/>
          <w:color w:val="auto"/>
        </w:rPr>
      </w:pPr>
    </w:p>
    <w:p>
      <w:pPr>
        <w:ind w:left="344" w:hanging="344"/>
        <w:spacing w:after="0"/>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third parties, including government agencies; (14) the risk that the anticipated tax treatment of the Proposed Transaction is not obtained;</w:t>
      </w:r>
    </w:p>
    <w:p>
      <w:pPr>
        <w:spacing w:after="0" w:line="9" w:lineRule="exact"/>
        <w:rPr>
          <w:rFonts w:ascii="Times New Roman" w:cs="Times New Roman" w:eastAsia="Times New Roman" w:hAnsi="Times New Roman"/>
          <w:sz w:val="18"/>
          <w:szCs w:val="18"/>
          <w:color w:val="auto"/>
        </w:rPr>
      </w:pPr>
    </w:p>
    <w:p>
      <w:pPr>
        <w:ind w:left="4" w:right="160" w:hanging="4"/>
        <w:spacing w:after="0" w:line="253"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w:t>
      </w:r>
    </w:p>
    <w:p>
      <w:pPr>
        <w:sectPr>
          <w:pgSz w:w="11900" w:h="16838" w:orient="portrait"/>
          <w:cols w:equalWidth="0" w:num="1">
            <w:col w:w="11004"/>
          </w:cols>
          <w:pgMar w:left="436" w:top="293" w:right="459" w:bottom="1440" w:gutter="0" w:footer="0" w:header="0"/>
        </w:sectPr>
      </w:pPr>
    </w:p>
    <w:bookmarkStart w:id="5" w:name="page6"/>
    <w:bookmarkEnd w:id="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ectPr>
          <w:pgSz w:w="11900" w:h="16838" w:orient="portrait"/>
          <w:cols w:equalWidth="0" w:num="1">
            <w:col w:w="10920"/>
          </w:cols>
          <w:pgMar w:left="440" w:top="297" w:right="5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Wayne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Wayne Kauffman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860"/>
          </w:cols>
          <w:pgMar w:left="440" w:top="293"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07"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Gentherm Incorporated 2023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amended by this First Amendment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xml:space="preserve">”) in the following respects, effective from and after the date this First Amendment is approved by the shareholders of Gentherm Incorporated,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of the Plan. Following such effective date, any reference to the “Plan” shall mean the Plan, as further amended by this First Amendment. All capitalized terms used but not otherwise defined herein shall have the respective meanings ascribed to such terms in the Plan.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Plan is hereby deleted and replaced in its entirety with the following:</w:t>
      </w:r>
    </w:p>
    <w:p>
      <w:pPr>
        <w:spacing w:after="0" w:line="117" w:lineRule="exact"/>
        <w:rPr>
          <w:sz w:val="20"/>
          <w:szCs w:val="20"/>
          <w:color w:val="auto"/>
        </w:rPr>
      </w:pPr>
    </w:p>
    <w:p>
      <w:pPr>
        <w:ind w:left="444" w:right="20"/>
        <w:spacing w:after="0" w:line="254" w:lineRule="auto"/>
        <w:rPr>
          <w:sz w:val="20"/>
          <w:szCs w:val="20"/>
          <w:color w:val="auto"/>
        </w:rPr>
      </w:pPr>
      <w:r>
        <w:rPr>
          <w:rFonts w:ascii="Times New Roman" w:cs="Times New Roman" w:eastAsia="Times New Roman" w:hAnsi="Times New Roman"/>
          <w:sz w:val="18"/>
          <w:szCs w:val="18"/>
          <w:color w:val="auto"/>
        </w:rPr>
        <w:t>“Shares of Common Stock issued or to be issued under this Plan shall be authorized but unissued Common Stock. Subject to the other provisions of this Paragraph 5, the maximum number of shares of Common Stock which may be issued pursuant to Awards granted under this Plan or with respect to which Awards may be granted under this Plan shall not exceed in the aggregate (i) 5,430,000 shares of Common Stock plus (ii) the number of shares of Common Stock that, as of the Effective Date were subject to awards granted under the Prior Plan and that, on or after the Effective Date, expire or are forfeited, surrendered, terminated (other than by exercise), cancelled, lapsed or reacquired by the Corporation prior to vesting, without the delivery of any shares of Common Stock in accordance with the terms of such Prior Plan, and comply with the share recycling provisions of the Prior Plan and Paragraph 5(c) of this Plan (in each case, subject to adjustments as provided in this Paragraph 5) (the “Share Limit”).”</w:t>
      </w:r>
    </w:p>
    <w:p>
      <w:pPr>
        <w:spacing w:after="0" w:line="192" w:lineRule="exact"/>
        <w:rPr>
          <w:sz w:val="20"/>
          <w:szCs w:val="20"/>
          <w:color w:val="auto"/>
        </w:rPr>
      </w:pPr>
    </w:p>
    <w:p>
      <w:pPr>
        <w:ind w:left="4" w:right="580" w:hanging="4"/>
        <w:spacing w:after="0" w:line="282"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shall be and is hereby incorporated into and forms a part of the Plan. Except as expressly provided herein, all terms and conditions of the Plan shall remain in full force and effect.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decimal"/>
      <w:start w:val="13"/>
    </w:lvl>
  </w:abstractNum>
  <w:abstractNum w:abstractNumId="5">
    <w:nsid w:val="2EB141F2"/>
    <w:multiLevelType w:val="hybridMultilevel"/>
    <w:lvl w:ilvl="0">
      <w:lvlJc w:val="left"/>
      <w:lvlText w:val="(%1)"/>
      <w:numFmt w:val="decimal"/>
      <w:start w:val="15"/>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2026-05-19T16:47:25Z</dcterms:created>
  <dcterms:modified xsi:type="dcterms:W3CDTF">2026-05-19T16:47:25Z</dcterms:modified>
</cp:coreProperties>
</file>