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9841d8k.htm"/>
      <w:bookmarkStart w:id="1" w:name="ksd3984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Michigan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0-21810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95-4318554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28875 Cabot Drive, Novi, MI</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48377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(248) 348-9735</w:t>
      </w:r>
    </w:p>
    <w:p>
      <w:pPr>
        <w:pStyle w:val="TextBody"/>
        <w:bidi w:val="0"/>
        <w:spacing w:before="160" w:after="0"/>
        <w:jc w:val="center"/>
        <w:rPr>
          <w:rFonts w:ascii="Times New Roman" w:hAnsi="Times New Roman"/>
          <w:b/>
          <w:sz w:val="20"/>
        </w:rPr>
      </w:pPr>
      <w:r>
        <w:rPr>
          <w:rFonts w:ascii="Times New Roman" w:hAnsi="Times New Roman"/>
          <w:b/>
          <w:sz w:val="20"/>
        </w:rPr>
        <w:t>Former name or former address, if changed since last report: N/A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2810"/>
        <w:gridCol w:w="60"/>
        <w:gridCol w:w="740"/>
        <w:gridCol w:w="60"/>
        <w:gridCol w:w="263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THRM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January 29, 2026, Gentherm Incorporated, a Michigan corporation (the “Company” or “Gentherm”), entered into (i) an Agreement and Plan of Merger (the “Merger Agreement”), by and among Gentherm, Modine Manufacturing Company, a Wisconsin corporation (“Modine”), Platinum SpinCo Inc., a Delaware corporation and wholly owned subsidiary of Modine (“SpinCo”), and Platinum Gold Merger Sub Inc., a Delaware corporation and a wholly owned subsidiary of Gentherm (“Merger Sub”), and (ii) a Separation Agreement, by and among Gentherm, Modine and SpinCo (together with the Merger Agreement, the “Definitive Agreements”). The Definitive Agreements provide for a Reverse Morris Trust transaction, which includes the spin-off of Modine’s Performance Technologies business (the “Performance Technologies Business”) to SpinCo and the pro rata distribution of all of the issued and outstanding shares of common stock, $0.01 par value per share, of SpinCo (“SpinCo Common Stock”) to the shareholders of Modine, the subsequent merger of Merger Sub with and into SpinCo, with SpinCo as the surviving entity, and the conversion of all SpinCo Common Stock into the right to receive shares of common stock, no par value, of Gentherm (“Common Stock”), as calculated and subject to adjustment as set forth in the Merger Agreement. Upon consummation of the transactions described in the Definitive Agreements (the “Transactions”), SpinCo will become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Gentherm has filed with the U.S. Securities and Exchange Commission (the “SEC”) a registration statement on Form S-4 (File No. 333-297224) (as amended, the “Registration Statement”), which included a preliminary proxy statement/prospectus, on August 12, 2026. The Registration Statement was declared effective by the SEC on August 12, 2026, and a definitive proxy statement/prospectus was first mailed to shareholders of Gentherm on or about August 12, 2026 (the “Proxy Statement/Prospectus”).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Company held a special meeting of its shareholders to consider and vote on certain proposals in connection with the Transactions (such meeting, the “Special Meeting”), each of which is set forth below and described in more detail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 total of approximately 29,142,794 shares of Gentherm Common Stock were present or represented by proxy at the Special Meeting, representing approximately 94.8% of all shares of Gentherm Common Stock entitled to vote at the Special Meeting. The final results of voting on each of the matters submitted to a vote of shareholders during the Special Meeting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No. 1 – Share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Gentherm’s shareholders voted upon a proposal to approve of the issuance of shares of Common Stock pursuant to the Merger Agreement (the “Share Issuance Proposal”). </w:t>
      </w:r>
    </w:p>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1115"/>
        <w:gridCol w:w="60"/>
        <w:gridCol w:w="575"/>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28,125,535</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8,725</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47,561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960,973</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foregoing vote, the shareholders approved the Share Issuance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No. 2 - Charter Amendment Proposal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Gentherm’s shareholders voted upon a proposal to approve an amendment to the Gentherm Second Amended and Restated Articles of Incorporation to effect an increase to the number of authorized shares of Gentherm Common Stock pursuant to the Merger Agreement (the “Charter Amendment Proposal”). </w:t>
      </w:r>
    </w:p>
    <w:p>
      <w:pPr>
        <w:pStyle w:val="TextBody"/>
        <w:bidi w:val="0"/>
        <w:spacing w:before="0" w:after="0"/>
        <w:jc w:val="left"/>
        <w:rPr/>
      </w:pPr>
      <w:r>
        <w:rPr/>
        <w:t> </w:t>
      </w:r>
    </w:p>
    <w:tbl>
      <w:tblPr>
        <w:tblW w:w="4130" w:type="dxa"/>
        <w:jc w:val="left"/>
        <w:tblInd w:w="0" w:type="dxa"/>
        <w:tblLayout w:type="fixed"/>
        <w:tblCellMar>
          <w:top w:w="0" w:type="dxa"/>
          <w:left w:w="0" w:type="dxa"/>
          <w:bottom w:w="0" w:type="dxa"/>
          <w:right w:w="0" w:type="dxa"/>
        </w:tblCellMar>
      </w:tblPr>
      <w:tblGrid>
        <w:gridCol w:w="1115"/>
        <w:gridCol w:w="60"/>
        <w:gridCol w:w="800"/>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28,950,597</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161,933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30,264</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foregoing vote, the shareholders approved the Charter Amendment Proposal.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Proposal No. 3 –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Because the Share Issuance Proposal was approved by at least a majority of the votes cast by the shareholders of Common Stock represented in person or by proxy at the Special Meeting and the Charter Amendment Proposal was approved by at least a majority of the outstanding shares of Common Stock entitled to vote on the Charter Amendment Proposal, the proposal to approve the adjournment of the Special Meeting, if necessary, (a) to solicit additional proxies if there are not sufficient votes at the time of the Special Meeting to approve the Share Issuance Proposal and the Charter Amendment Proposal, (b) if there are insufficient shares of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(the “Adjournment Proposal”), was rendered moot and was not called for a vote at the Special Meeting.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Company issued a press release announcing the results of the shareholder vote at the Special Meeting, a copy of which is attached to this Current Report as Exhibit 99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(including Exhibit 99) is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the approval of the Share Issuance Proposal and the Charter Amendment Proposal, the Transactions are expected to close on October 1, 2026, subject to satisfaction or waiver of remaining customary closing conditions.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1145"/>
        <w:gridCol w:w="120"/>
        <w:gridCol w:w="761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99</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39841dex99.htm">
              <w:r>
                <w:rPr>
                  <w:rStyle w:val="InternetLink"/>
                </w:rPr>
                <w:t xml:space="preserve">Press release, dated as of September 10,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Transactions among Gentherm, Modine and SpinCo, the parties have filed relevant materials with the SEC, including, among other filings, a registration statement on Form S-4 initially filed by Gentherm on July 2, 2026 (the “Form S-4”) that includes a preliminary proxy statement/prospectus of Gentherm, and a registration statement on Form 10 initially filed by SpinCo on July 2, 2026 (as amended, the “Form 10”) that incorporates by reference certain portions of the Form S-4 and serves as an information statement/prospectus in connection with the spin-off of SpinCo from Modine. The Form S-4 and Form 10 were each declared effective by the SEC on August 12, 2026, and the definitive proxy statement/prospectus was first mailed to shareholders of Gentherm on or about August 12, 2026.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may not be satisfied or waived, on a timely basis or otherwise;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of greater than expected difficulty in separating the business of SpinCo from the other businesses of Modine; (15)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(16)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September 11, 2026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380"/>
        <w:gridCol w:w="60"/>
        <w:gridCol w:w="51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vAlign w:val="center"/>
          </w:tcPr>
          <w:p>
            <w:pPr>
              <w:pStyle w:val="TableContents"/>
              <w:bidi w:val="0"/>
              <w:spacing w:before="0" w:after="283"/>
              <w:jc w:val="left"/>
              <w:rPr>
                <w:b/>
              </w:rPr>
            </w:pPr>
            <w:r>
              <w:rPr>
                <w:b/>
              </w:rPr>
              <w:t>GENTHERM INCORPORATED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General Counsel and Secretary</w:t>
            </w:r>
          </w:p>
        </w:tc>
      </w:tr>
    </w:tbl>
    <w:p>
      <w:pPr>
        <w:pStyle w:val="TextBody"/>
        <w:bidi w:val="0"/>
        <w:spacing w:before="0" w:after="0"/>
        <w:jc w:val="right"/>
        <w:rPr>
          <w:rFonts w:ascii="Times New Roman" w:hAnsi="Times New Roman"/>
          <w:b/>
          <w:sz w:val="20"/>
        </w:rPr>
      </w:pPr>
      <w:bookmarkStart w:id="2" w:name="d39841dex99.htm"/>
      <w:bookmarkStart w:id="3" w:name="ksd39841dex99"/>
      <w:bookmarkEnd w:id="2"/>
      <w:bookmarkEnd w:id="3"/>
      <w:r>
        <w:rPr>
          <w:rFonts w:ascii="Times New Roman" w:hAnsi="Times New Roman"/>
          <w:b/>
          <w:sz w:val="20"/>
        </w:rPr>
        <w:t xml:space="preserve">Exhibit 99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53555" cy="629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3555" cy="6299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Shareholders Approve Combination with Modine’s Performance Technologies Business </w:t>
      </w:r>
    </w:p>
    <w:p>
      <w:pPr>
        <w:pStyle w:val="TextBody"/>
        <w:bidi w:val="0"/>
        <w:spacing w:before="240" w:after="0"/>
        <w:jc w:val="center"/>
        <w:rPr>
          <w:rFonts w:ascii="Times New Roman" w:hAnsi="Times New Roman"/>
          <w:i/>
          <w:sz w:val="20"/>
        </w:rPr>
      </w:pPr>
      <w:r>
        <w:rPr>
          <w:rFonts w:ascii="Times New Roman" w:hAnsi="Times New Roman"/>
          <w:i/>
          <w:sz w:val="20"/>
        </w:rPr>
        <w:t xml:space="preserve">Transaction Expected to Close on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NOVI, Michigan, September 10, 2026 — Gentherm (NASDAQ:THRM), (the “Company” or “Gentherm”), a global market leader of innovative thermal management and pneumatic comfort technologies, today announced that, at the Company’s Special Meeting of Shareholders (the “Special Meeting”) held today, Gentherm shareholders voted to approve the proposals required to complete the proposed combination of Modine’s Performance Technologies business with Gentherm, including the issuance of shares of Gentherm common stock to shareholders of Modine (NYSE: MOD) and an amendment to Gentherm’s articles of incorporation to increase the number of authorized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results of Gentherm’s Special Meeting indicate that approximately 99% of the total votes cast by holders of Gentherm common stock at the Special Meeting were voted in favor of the share issuance proposal, and approximately 94% of the outstanding shares of Gentherm common stock entitled to vote thereon were voted in favor of the charter amendment proposal. The final vote results, as certified by the inspector of elections, will be reported in a Form 8-K filed with the U.S. Securities and Exchange Commission (the “SEC”). </w:t>
      </w:r>
    </w:p>
    <w:p>
      <w:pPr>
        <w:pStyle w:val="TextBody"/>
        <w:bidi w:val="0"/>
        <w:spacing w:before="240" w:after="0"/>
        <w:jc w:val="left"/>
        <w:rPr/>
      </w:pPr>
      <w:r>
        <w:rPr/>
        <w:t>“</w:t>
      </w:r>
      <w:r>
        <w:rPr>
          <w:rFonts w:ascii="Times New Roman" w:hAnsi="Times New Roman"/>
          <w:sz w:val="20"/>
        </w:rPr>
        <w:t xml:space="preserve">We appreciate the continued support of our shareholders for this important transaction,” said Bill Presley, the Company’s President and CEO. “This transaction accelerates our transformation to building a higher growth and higher margin, thermal and precision flow management business. The combined business is well positioned to drive meaningful profitable growth across multiple attractive end markets.”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have also received all of the required regulatory approvals, including Modine’s receipt of a Private Letter Ruling from the Internal Revenue Service regarding matters relating to the U.S. federal income tax consequences of the transaction. The final exchange ratio will be announced in connection with the closing and remains subject to potential adjustment as provided in the merger agreement. The exchange ratio adjustment mechanism is designed to preserve the intended tax-free nature of certain aspects of the transaction for U.S. federal income tax purposes to Modine and Modine shareholders on one hand, and the economic allocation between the Modine shareholders and the Gentherm shareholders on the other. The transaction is currently expected to close on October 1, 2026, subject to the satisfaction or waiver of the remaining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Investor Contact</w:t>
      </w:r>
    </w:p>
    <w:p>
      <w:pPr>
        <w:pStyle w:val="TextBody"/>
        <w:bidi w:val="0"/>
        <w:spacing w:before="120" w:after="0"/>
        <w:jc w:val="left"/>
        <w:rPr>
          <w:rFonts w:ascii="Times New Roman" w:hAnsi="Times New Roman"/>
          <w:sz w:val="20"/>
        </w:rPr>
      </w:pPr>
      <w:r>
        <w:rPr>
          <w:rFonts w:ascii="Times New Roman" w:hAnsi="Times New Roman"/>
          <w:sz w:val="20"/>
        </w:rPr>
        <w:t xml:space="preserve">Gregory Blanchette </w:t>
      </w:r>
    </w:p>
    <w:p>
      <w:pPr>
        <w:pStyle w:val="TextBody"/>
        <w:bidi w:val="0"/>
        <w:spacing w:before="0" w:after="0"/>
        <w:jc w:val="left"/>
        <w:rPr>
          <w:rFonts w:ascii="Times New Roman" w:hAnsi="Times New Roman"/>
          <w:sz w:val="20"/>
          <w:u w:val="single"/>
        </w:rPr>
      </w:pPr>
      <w:r>
        <w:rPr>
          <w:rFonts w:ascii="Times New Roman" w:hAnsi="Times New Roman"/>
          <w:sz w:val="20"/>
          <w:u w:val="single"/>
        </w:rPr>
        <w:t>investors@gentherm.com</w:t>
      </w:r>
    </w:p>
    <w:p>
      <w:pPr>
        <w:pStyle w:val="TextBody"/>
        <w:bidi w:val="0"/>
        <w:spacing w:before="0" w:after="0"/>
        <w:jc w:val="left"/>
        <w:rPr>
          <w:rFonts w:ascii="Times New Roman" w:hAnsi="Times New Roman"/>
          <w:sz w:val="20"/>
        </w:rPr>
      </w:pPr>
      <w:r>
        <w:rPr>
          <w:rFonts w:ascii="Times New Roman" w:hAnsi="Times New Roman"/>
          <w:sz w:val="20"/>
        </w:rPr>
        <w:t>248.308.1702</w:t>
      </w:r>
    </w:p>
    <w:p>
      <w:pPr>
        <w:pStyle w:val="TextBody"/>
        <w:bidi w:val="0"/>
        <w:spacing w:before="360" w:after="0"/>
        <w:jc w:val="left"/>
        <w:rPr>
          <w:rFonts w:ascii="Times New Roman" w:hAnsi="Times New Roman"/>
          <w:b/>
          <w:sz w:val="20"/>
        </w:rPr>
      </w:pPr>
      <w:r>
        <w:rPr>
          <w:rFonts w:ascii="Times New Roman" w:hAnsi="Times New Roman"/>
          <w:b/>
          <w:sz w:val="20"/>
        </w:rPr>
        <w:t>Media Contact</w:t>
      </w:r>
    </w:p>
    <w:p>
      <w:pPr>
        <w:pStyle w:val="TextBody"/>
        <w:bidi w:val="0"/>
        <w:spacing w:before="120" w:after="0"/>
        <w:jc w:val="left"/>
        <w:rPr>
          <w:rFonts w:ascii="Times New Roman" w:hAnsi="Times New Roman"/>
          <w:sz w:val="20"/>
        </w:rPr>
      </w:pPr>
      <w:r>
        <w:rPr>
          <w:rFonts w:ascii="Times New Roman" w:hAnsi="Times New Roman"/>
          <w:sz w:val="20"/>
        </w:rPr>
        <w:t>Haley Baur </w:t>
      </w:r>
      <w:r>
        <w:rPr>
          <w:rFonts w:ascii="Times New Roman" w:hAnsi="Times New Roman"/>
          <w:sz w:val="20"/>
          <w:u w:val="single"/>
        </w:rPr>
        <w:t xml:space="preserve"> </w:t>
      </w:r>
    </w:p>
    <w:p>
      <w:pPr>
        <w:pStyle w:val="TextBody"/>
        <w:bidi w:val="0"/>
        <w:spacing w:before="0" w:after="0"/>
        <w:jc w:val="left"/>
        <w:rPr>
          <w:rFonts w:ascii="Times New Roman" w:hAnsi="Times New Roman"/>
          <w:sz w:val="20"/>
          <w:u w:val="single"/>
        </w:rPr>
      </w:pPr>
      <w:r>
        <w:rPr>
          <w:rFonts w:ascii="Times New Roman" w:hAnsi="Times New Roman"/>
          <w:sz w:val="20"/>
          <w:u w:val="single"/>
        </w:rPr>
        <w:t>media@gentherm.com</w:t>
      </w:r>
    </w:p>
    <w:p>
      <w:pPr>
        <w:pStyle w:val="TextBody"/>
        <w:bidi w:val="0"/>
        <w:spacing w:before="0" w:after="0"/>
        <w:jc w:val="left"/>
        <w:rPr>
          <w:rFonts w:ascii="Times New Roman" w:hAnsi="Times New Roman"/>
          <w:sz w:val="20"/>
        </w:rPr>
      </w:pPr>
      <w:r>
        <w:rPr>
          <w:rFonts w:ascii="Times New Roman" w:hAnsi="Times New Roman"/>
          <w:sz w:val="20"/>
        </w:rPr>
        <w:t xml:space="preserve">248.289.9711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Gentherm </w:t>
      </w:r>
    </w:p>
    <w:p>
      <w:pPr>
        <w:pStyle w:val="TextBody"/>
        <w:bidi w:val="0"/>
        <w:spacing w:before="120" w:after="0"/>
        <w:jc w:val="left"/>
        <w:rPr>
          <w:rFonts w:ascii="Times New Roman" w:hAnsi="Times New Roman"/>
          <w:sz w:val="20"/>
        </w:rPr>
      </w:pPr>
      <w:r>
        <w:rPr>
          <w:rFonts w:ascii="Times New Roman" w:hAnsi="Times New Roman"/>
          <w:sz w:val="20"/>
        </w:rPr>
        <w:t>Gentherm (NASDAQ: THRM)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The Company is also developing a number of new technologies and products that will help enable improvements to existing products and to create new product applications for existing and new markets. Gentherm has more than 14,000 employees in facilities across 13 countries. In 2025, the company recorded annual sales of approximately $1.5 billion and secured $2.2 billion in automotive new business awards. For more information, go to </w:t>
      </w:r>
      <w:r>
        <w:rPr>
          <w:rFonts w:ascii="Times New Roman" w:hAnsi="Times New Roman"/>
          <w:sz w:val="20"/>
          <w:u w:val="single"/>
        </w:rPr>
        <w:t>www.gentherm.com</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“forward-looking statements” as that term is defined in Section 27A of the Securities Act, and Section 21E of the Securities Exchange Act of 1934, as amended, including statements regarding the proposed combination of Modine’s Performance Technologies business with Gentherm (the “Proposed Transaction”).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 These forward-looking statements represent Gentherm’s goals, beliefs, plans and expectations about its prospects for the future and other future events. The forward-looking statements included in this release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Such statements are subject to a number of important assumptions, significant risks and uncertainties (some of which are beyond our control) and other factors that may cause actual results or performance to differ materially from that described in or indicated by the forward-looking statements,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geopolitical and similar global factors in the cyclical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and our ability to mitigate the effects of, global economic and trade policies, including increases in duties, tariffs and taxation on the import or export of our products related to U.S. trade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U.S. and global competition, including with non-traditional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new product launches and research and development, and the market acceptance of such products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and challenges of the automotive industry towards electric vehicles, autonomous vehicles and mobility on demand services, and related consumer behaviors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convert automotive new business awards into product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constraints in the supply chain environment, and inflationary and other cost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production levels of our major customers and OEMs in our relevant markets and sudden fluctuations in such production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in China, which is subject to unique operational, competitive, geopolitical, regulatory and economic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our global operations, including our cost structure and global manufacturing footprint, operations within Ukraine, and foreign currency and exchange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quality and safety and impact of product safety recalls and alleged defects in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highly skilled employees and wage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tightening labor market, labor shortages or work stoppages impacting us, our customers or our suppliers, such as recent labor strikes among certain OEMs and suppliers;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achievement of product cost reductions to offset customer-imposed price reductions or other pricing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efforts to optimize our global supply chain and manufacturing footprint, including opening new facilities and transferring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consummate, integrate and achieve planned benefits of strategic acquisitions, investments and, as applicable, exits;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security breaches and other disruptions to our information technology networks and systems, as well as privacy, data security and data protection risks, including risks associated with use of artificial intelligence capabilities in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loss or insolvency of our key customers and OEMs, or key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project future sales volume based on third-party information, based on which we manage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protection of our intellectual property in certain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global anti-corruption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and regulatory proceedings and claims involving us or one of our major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extensive regulation of our patient temperature management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manufacturing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climate change and regulatory and stakeholder-imposed requirements to address climate change and other sustainability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borrowing availability under our revolving credit facility, as well as the ability to access the capital markets, to support our planned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and compliance with our debt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important factors related to the Proposed Transaction could cause actual results to differ materially from those currently anticipated,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Transaction may not be satisfied or waived, on a timely basis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Transaction may not be completed on the terms or in the time frame expected by Gentherm, Modine and Platinum SpinCo Inc. (“SpinCo”),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of the combined company following completion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Transaction, including as a result of delay in completing the Proposed Transaction or integrating the businesses of Gentherm and SpinCo,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shareholder litigation in connection with the Proposed Transaction or other litigation, settlements or investigations may affect the timing or occurrence of the Proposed Transaction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and/or industry specific conditions or any volatility resulting from the imposition of and changing policies, including those policies with respect to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greater than expected difficulty in separating the business of SpinCo from the other businesses of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risks should be read in conjunction with the Company’s reports filed with or furnished to the SEC, including “Risk Factors,” in its most recent Annual Report on Form 10-K and subsequent SEC filings including the Company’s registration statement on Form S-4, which was declared effective by the SEC on August 12, 2026, for a discussion of these and other risks and uncertainties. 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 </w:t>
      </w:r>
    </w:p>
    <w:p>
      <w:pPr>
        <w:pStyle w:val="TextBody"/>
        <w:bidi w:val="0"/>
        <w:spacing w:before="240" w:after="0"/>
        <w:jc w:val="left"/>
        <w:rPr>
          <w:rFonts w:ascii="Times New Roman" w:hAnsi="Times New Roman"/>
          <w:sz w:val="20"/>
        </w:rPr>
      </w:pPr>
      <w:r>
        <w:rPr>
          <w:rFonts w:ascii="Times New Roman" w:hAnsi="Times New Roman"/>
          <w:sz w:val="20"/>
        </w:rPr>
        <w:t>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4397</Words>
  <Characters>25134</Characters>
  <CharactersWithSpaces>29597</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